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1240C" w14:textId="77777777" w:rsidR="00BE5E9B" w:rsidRPr="008233A5" w:rsidRDefault="00BE5E9B">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4768F1" w:rsidRPr="000F4C3B" w14:paraId="3573B9FB" w14:textId="77777777" w:rsidTr="00006560">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221D3F7A" w14:textId="77777777" w:rsidR="004768F1" w:rsidRPr="00EC2A58" w:rsidRDefault="004768F1" w:rsidP="007311C2">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678E1DE0" wp14:editId="521CFB55">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5718FF9D" w14:textId="77777777" w:rsidR="004768F1" w:rsidRPr="00EC2A58" w:rsidRDefault="004768F1" w:rsidP="007311C2">
            <w:pPr>
              <w:widowControl w:val="0"/>
              <w:suppressAutoHyphens/>
              <w:autoSpaceDE w:val="0"/>
              <w:autoSpaceDN w:val="0"/>
              <w:spacing w:after="0" w:line="240" w:lineRule="auto"/>
              <w:textAlignment w:val="baseline"/>
              <w:rPr>
                <w:rFonts w:eastAsia="Times New Roman" w:cs="Arial"/>
                <w:lang w:val="fr-FR"/>
              </w:rPr>
            </w:pPr>
          </w:p>
        </w:tc>
        <w:tc>
          <w:tcPr>
            <w:tcW w:w="4144" w:type="dxa"/>
            <w:tcBorders>
              <w:top w:val="single" w:sz="12" w:space="0" w:color="000000"/>
              <w:bottom w:val="single" w:sz="12" w:space="0" w:color="000000"/>
            </w:tcBorders>
            <w:tcMar>
              <w:top w:w="85" w:type="dxa"/>
              <w:left w:w="108" w:type="dxa"/>
              <w:bottom w:w="0" w:type="dxa"/>
              <w:right w:w="108" w:type="dxa"/>
            </w:tcMar>
          </w:tcPr>
          <w:p w14:paraId="75131122" w14:textId="77777777" w:rsidR="004768F1" w:rsidRPr="00EC2A58" w:rsidRDefault="004768F1" w:rsidP="007311C2">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77854327" w14:textId="77777777" w:rsidR="004768F1" w:rsidRPr="00EC2A58" w:rsidRDefault="004768F1" w:rsidP="007311C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4E6E2E78" w14:textId="77777777" w:rsidR="004768F1" w:rsidRPr="00EC2A58" w:rsidRDefault="004768F1" w:rsidP="007311C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73F9A2CF" w14:textId="77777777" w:rsidR="004768F1" w:rsidRPr="00EC2A58" w:rsidRDefault="004768F1" w:rsidP="007311C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978" w:type="dxa"/>
            <w:tcBorders>
              <w:top w:val="single" w:sz="12" w:space="0" w:color="000000"/>
              <w:bottom w:val="single" w:sz="12" w:space="0" w:color="000000"/>
            </w:tcBorders>
            <w:tcMar>
              <w:top w:w="85" w:type="dxa"/>
              <w:left w:w="108" w:type="dxa"/>
              <w:bottom w:w="0" w:type="dxa"/>
              <w:right w:w="108" w:type="dxa"/>
            </w:tcMar>
          </w:tcPr>
          <w:p w14:paraId="4AE7CAA5" w14:textId="516A6903" w:rsidR="004768F1" w:rsidRPr="00006560" w:rsidRDefault="004768F1" w:rsidP="007311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rPr>
            </w:pPr>
            <w:r w:rsidRPr="00006560">
              <w:rPr>
                <w:rFonts w:eastAsia="Arial" w:cs="Arial"/>
              </w:rPr>
              <w:t>UNEP/CMS/COP15/Doc.</w:t>
            </w:r>
            <w:r w:rsidR="000F4C3B" w:rsidRPr="00006560">
              <w:rPr>
                <w:rFonts w:eastAsia="Arial" w:cs="Arial"/>
              </w:rPr>
              <w:t>25.4.1</w:t>
            </w:r>
            <w:r w:rsidR="00006560" w:rsidRPr="00006560">
              <w:rPr>
                <w:rFonts w:eastAsia="Arial" w:cs="Arial"/>
              </w:rPr>
              <w:t>/Rev</w:t>
            </w:r>
            <w:r w:rsidR="00006560">
              <w:rPr>
                <w:rFonts w:eastAsia="Arial" w:cs="Arial"/>
              </w:rPr>
              <w:t>.1</w:t>
            </w:r>
          </w:p>
          <w:p w14:paraId="39560810" w14:textId="10A84F07" w:rsidR="004768F1" w:rsidRPr="00AF3AEC" w:rsidRDefault="00006560" w:rsidP="007311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18 décembre</w:t>
            </w:r>
            <w:r w:rsidR="004768F1" w:rsidRPr="00AF3AEC">
              <w:rPr>
                <w:rFonts w:eastAsia="Arial" w:cs="Arial"/>
                <w:lang w:val="fr-FR"/>
              </w:rPr>
              <w:t xml:space="preserve"> 2025</w:t>
            </w:r>
          </w:p>
          <w:p w14:paraId="34802BC6" w14:textId="77777777" w:rsidR="004768F1" w:rsidRPr="00FC4F18" w:rsidRDefault="004768F1" w:rsidP="007311C2">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1C1C3A" w14:textId="77777777" w:rsidR="004768F1" w:rsidRPr="00FC4F18" w:rsidRDefault="004768F1" w:rsidP="007311C2">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33B2B504" w14:textId="77777777" w:rsidR="004768F1" w:rsidRPr="00EC2A58" w:rsidRDefault="004768F1" w:rsidP="004768F1">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69D72455" w14:textId="77777777" w:rsidR="004768F1" w:rsidRPr="00EC2A58" w:rsidRDefault="004768F1" w:rsidP="004768F1">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7D99AE76" w14:textId="77777777" w:rsidR="004768F1" w:rsidRPr="00EC2A58" w:rsidRDefault="004768F1" w:rsidP="004768F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0BC6E00E" w14:textId="1121B994" w:rsidR="004768F1" w:rsidRPr="00EC2A58" w:rsidRDefault="004768F1" w:rsidP="004768F1">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0F4C3B">
        <w:rPr>
          <w:rFonts w:eastAsia="Arial" w:cs="Arial"/>
          <w:iCs/>
          <w:lang w:val="fr-FR"/>
        </w:rPr>
        <w:t>25.4.1</w:t>
      </w:r>
      <w:r w:rsidRPr="00EC2A58">
        <w:rPr>
          <w:rFonts w:eastAsia="Arial" w:cs="Arial"/>
          <w:iCs/>
          <w:lang w:val="fr-FR"/>
        </w:rPr>
        <w:t xml:space="preserve"> de l’ordre du jour</w:t>
      </w:r>
    </w:p>
    <w:bookmarkEnd w:id="1"/>
    <w:p w14:paraId="6ED0C450" w14:textId="77777777" w:rsidR="00BE5E9B" w:rsidRPr="008233A5" w:rsidRDefault="00BE5E9B">
      <w:pPr>
        <w:widowControl w:val="0"/>
        <w:suppressAutoHyphens/>
        <w:autoSpaceDE w:val="0"/>
        <w:autoSpaceDN w:val="0"/>
        <w:spacing w:after="0" w:line="240" w:lineRule="auto"/>
        <w:textAlignment w:val="baseline"/>
        <w:rPr>
          <w:rFonts w:eastAsia="Times New Roman" w:cs="Arial"/>
          <w:i/>
          <w:iCs/>
          <w:lang w:val="fr-FR"/>
        </w:rPr>
      </w:pPr>
    </w:p>
    <w:p w14:paraId="5A0816BD" w14:textId="77777777" w:rsidR="00BE5E9B" w:rsidRPr="008233A5" w:rsidRDefault="00BE5E9B">
      <w:pPr>
        <w:widowControl w:val="0"/>
        <w:suppressAutoHyphens/>
        <w:autoSpaceDE w:val="0"/>
        <w:autoSpaceDN w:val="0"/>
        <w:spacing w:after="0" w:line="240" w:lineRule="auto"/>
        <w:textAlignment w:val="baseline"/>
        <w:rPr>
          <w:rFonts w:eastAsia="Times New Roman" w:cs="Arial"/>
          <w:lang w:val="fr-FR"/>
        </w:rPr>
      </w:pPr>
    </w:p>
    <w:p w14:paraId="035D3D3C" w14:textId="77777777" w:rsidR="00BE5E9B" w:rsidRPr="008233A5" w:rsidRDefault="00B757F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11"/>
        <w:jc w:val="center"/>
        <w:textAlignment w:val="baseline"/>
        <w:outlineLvl w:val="1"/>
        <w:rPr>
          <w:rFonts w:eastAsia="Times New Roman" w:cs="Arial"/>
          <w:b/>
          <w:bCs/>
          <w:lang w:val="fr-FR"/>
        </w:rPr>
      </w:pPr>
      <w:bookmarkStart w:id="2" w:name="_Toc201154084"/>
      <w:bookmarkStart w:id="3" w:name="_Toc201243565"/>
      <w:bookmarkStart w:id="4" w:name="_Toc201243929"/>
      <w:r w:rsidRPr="008233A5">
        <w:rPr>
          <w:rFonts w:eastAsia="Times New Roman" w:cs="Arial"/>
          <w:b/>
          <w:bCs/>
          <w:lang w:val="fr-FR"/>
        </w:rPr>
        <w:t>PRIORITÉS DE CONSERVATION POUR LES CÉTACÉS</w:t>
      </w:r>
      <w:bookmarkEnd w:id="2"/>
      <w:bookmarkEnd w:id="3"/>
      <w:bookmarkEnd w:id="4"/>
    </w:p>
    <w:p w14:paraId="65ABE418" w14:textId="77777777" w:rsidR="004C4BEA" w:rsidRDefault="00B757F7">
      <w:pPr>
        <w:widowControl w:val="0"/>
        <w:suppressAutoHyphens/>
        <w:autoSpaceDE w:val="0"/>
        <w:autoSpaceDN w:val="0"/>
        <w:spacing w:after="0" w:line="240" w:lineRule="auto"/>
        <w:jc w:val="center"/>
        <w:textAlignment w:val="baseline"/>
        <w:rPr>
          <w:rFonts w:eastAsia="Times New Roman" w:cs="Arial"/>
          <w:i/>
          <w:lang w:val="fr-FR"/>
        </w:rPr>
      </w:pPr>
      <w:r w:rsidRPr="008233A5">
        <w:rPr>
          <w:rFonts w:eastAsia="Times New Roman" w:cs="Arial"/>
          <w:i/>
          <w:lang w:val="fr-FR"/>
        </w:rPr>
        <w:t xml:space="preserve">(Préparé par le Secrétariat et le Groupe de travail sur les mammifères aquatiques </w:t>
      </w:r>
    </w:p>
    <w:p w14:paraId="2B02E1D8" w14:textId="650AAD6C" w:rsidR="00BE5E9B" w:rsidRPr="008233A5" w:rsidRDefault="00B757F7">
      <w:pPr>
        <w:widowControl w:val="0"/>
        <w:suppressAutoHyphens/>
        <w:autoSpaceDE w:val="0"/>
        <w:autoSpaceDN w:val="0"/>
        <w:spacing w:after="0" w:line="240" w:lineRule="auto"/>
        <w:jc w:val="center"/>
        <w:textAlignment w:val="baseline"/>
        <w:rPr>
          <w:rFonts w:eastAsia="Times New Roman" w:cs="Arial"/>
          <w:i/>
          <w:lang w:val="fr-FR"/>
        </w:rPr>
      </w:pPr>
      <w:r w:rsidRPr="008233A5">
        <w:rPr>
          <w:rFonts w:eastAsia="Times New Roman" w:cs="Arial"/>
          <w:i/>
          <w:lang w:val="fr-FR"/>
        </w:rPr>
        <w:t>du Comité de session du Conseil scientifique)</w:t>
      </w:r>
    </w:p>
    <w:p w14:paraId="289ED40B" w14:textId="77777777" w:rsidR="00BE5E9B" w:rsidRPr="008233A5" w:rsidRDefault="00BE5E9B">
      <w:pPr>
        <w:widowControl w:val="0"/>
        <w:suppressAutoHyphens/>
        <w:autoSpaceDE w:val="0"/>
        <w:autoSpaceDN w:val="0"/>
        <w:spacing w:after="0" w:line="240" w:lineRule="auto"/>
        <w:jc w:val="center"/>
        <w:textAlignment w:val="baseline"/>
        <w:rPr>
          <w:rFonts w:ascii="Calibri" w:eastAsia="Calibri" w:hAnsi="Calibri" w:cs="Times New Roman"/>
          <w:lang w:val="fr-FR"/>
        </w:rPr>
      </w:pPr>
    </w:p>
    <w:p w14:paraId="703962CA" w14:textId="77777777" w:rsidR="00BE5E9B" w:rsidRPr="008233A5" w:rsidRDefault="00BE5E9B">
      <w:pPr>
        <w:widowControl w:val="0"/>
        <w:suppressAutoHyphens/>
        <w:autoSpaceDE w:val="0"/>
        <w:autoSpaceDN w:val="0"/>
        <w:spacing w:after="0" w:line="240" w:lineRule="auto"/>
        <w:textAlignment w:val="baseline"/>
        <w:rPr>
          <w:rFonts w:cs="Arial"/>
          <w:i/>
          <w:sz w:val="21"/>
          <w:szCs w:val="21"/>
          <w:lang w:val="fr-FR"/>
        </w:rPr>
      </w:pPr>
    </w:p>
    <w:p w14:paraId="648FD372" w14:textId="77777777" w:rsidR="00BE5E9B" w:rsidRPr="008233A5" w:rsidRDefault="00B757F7">
      <w:pPr>
        <w:widowControl w:val="0"/>
        <w:suppressAutoHyphens/>
        <w:autoSpaceDE w:val="0"/>
        <w:autoSpaceDN w:val="0"/>
        <w:spacing w:after="0" w:line="240" w:lineRule="auto"/>
        <w:textAlignment w:val="baseline"/>
        <w:rPr>
          <w:rFonts w:ascii="Calibri" w:eastAsia="Calibri" w:hAnsi="Calibri" w:cs="Times New Roman"/>
          <w:lang w:val="fr-FR"/>
        </w:rPr>
      </w:pPr>
      <w:r w:rsidRPr="008233A5">
        <w:rPr>
          <w:rFonts w:eastAsia="Times New Roman" w:cs="Arial"/>
          <w:noProof/>
          <w:sz w:val="21"/>
          <w:szCs w:val="21"/>
          <w:lang w:val="fr-FR"/>
        </w:rPr>
        <mc:AlternateContent>
          <mc:Choice Requires="wps">
            <w:drawing>
              <wp:anchor distT="0" distB="0" distL="114300" distR="114300" simplePos="0" relativeHeight="251658240" behindDoc="0" locked="0" layoutInCell="1" allowOverlap="1" wp14:anchorId="12EC09E2" wp14:editId="42786DB1">
                <wp:simplePos x="0" y="0"/>
                <wp:positionH relativeFrom="column">
                  <wp:posOffset>955343</wp:posOffset>
                </wp:positionH>
                <wp:positionV relativeFrom="paragraph">
                  <wp:posOffset>112272</wp:posOffset>
                </wp:positionV>
                <wp:extent cx="4858603" cy="2565779"/>
                <wp:effectExtent l="0" t="0" r="18415" b="25400"/>
                <wp:wrapNone/>
                <wp:docPr id="5" name="Text Box 5"/>
                <wp:cNvGraphicFramePr/>
                <a:graphic xmlns:a="http://schemas.openxmlformats.org/drawingml/2006/main">
                  <a:graphicData uri="http://schemas.microsoft.com/office/word/2010/wordprocessingShape">
                    <wps:wsp>
                      <wps:cNvSpPr txBox="1"/>
                      <wps:spPr>
                        <a:xfrm>
                          <a:off x="0" y="0"/>
                          <a:ext cx="4858603" cy="2565779"/>
                        </a:xfrm>
                        <a:prstGeom prst="rect">
                          <a:avLst/>
                        </a:prstGeom>
                        <a:solidFill>
                          <a:srgbClr val="FFFFFF"/>
                        </a:solidFill>
                        <a:ln w="3172">
                          <a:solidFill>
                            <a:srgbClr val="000000"/>
                          </a:solidFill>
                          <a:prstDash val="solid"/>
                        </a:ln>
                      </wps:spPr>
                      <wps:txbx>
                        <w:txbxContent>
                          <w:p w14:paraId="1CE3E714" w14:textId="77777777" w:rsidR="00370F6F" w:rsidRDefault="00370F6F">
                            <w:pPr>
                              <w:spacing w:after="0"/>
                              <w:rPr>
                                <w:rFonts w:cs="Arial"/>
                                <w:lang w:val="fr-FR"/>
                              </w:rPr>
                            </w:pPr>
                            <w:r>
                              <w:rPr>
                                <w:rFonts w:cs="Arial"/>
                                <w:lang w:val="fr-FR"/>
                              </w:rPr>
                              <w:t>Résumé :</w:t>
                            </w:r>
                          </w:p>
                          <w:p w14:paraId="6E24A2C2" w14:textId="77777777" w:rsidR="00370F6F" w:rsidRDefault="00370F6F">
                            <w:pPr>
                              <w:spacing w:after="0" w:line="240" w:lineRule="auto"/>
                              <w:jc w:val="both"/>
                              <w:rPr>
                                <w:rFonts w:cs="Arial"/>
                                <w:lang w:val="fr-FR"/>
                              </w:rPr>
                            </w:pPr>
                          </w:p>
                          <w:p w14:paraId="0E84EB09" w14:textId="77777777" w:rsidR="00370F6F" w:rsidRDefault="00370F6F">
                            <w:pPr>
                              <w:spacing w:after="0" w:line="240" w:lineRule="auto"/>
                              <w:jc w:val="both"/>
                              <w:rPr>
                                <w:rFonts w:cs="Arial"/>
                                <w:lang w:val="fr-FR"/>
                              </w:rPr>
                            </w:pPr>
                            <w:r>
                              <w:rPr>
                                <w:rFonts w:cs="Arial"/>
                                <w:lang w:val="fr-FR"/>
                              </w:rPr>
                              <w:t>Le présent document fait état des avancées dans la mise en œuvre des décisions 14.69</w:t>
                            </w:r>
                            <w:r>
                              <w:rPr>
                                <w:rFonts w:cs="Arial"/>
                                <w:iCs/>
                                <w:sz w:val="21"/>
                                <w:szCs w:val="21"/>
                                <w:lang w:val="fr-FR"/>
                              </w:rPr>
                              <w:t>–</w:t>
                            </w:r>
                            <w:r>
                              <w:rPr>
                                <w:rFonts w:cs="Arial"/>
                                <w:lang w:val="fr-FR"/>
                              </w:rPr>
                              <w:t xml:space="preserve">14.73 </w:t>
                            </w:r>
                            <w:r>
                              <w:rPr>
                                <w:rFonts w:cs="Arial"/>
                                <w:i/>
                                <w:iCs/>
                                <w:lang w:val="fr-FR"/>
                              </w:rPr>
                              <w:t>Priorités de conservation pour les cétacés</w:t>
                            </w:r>
                            <w:r>
                              <w:rPr>
                                <w:rFonts w:cs="Arial"/>
                                <w:lang w:val="fr-FR"/>
                              </w:rPr>
                              <w:t xml:space="preserve"> et des décisions 14.74</w:t>
                            </w:r>
                            <w:r>
                              <w:rPr>
                                <w:rFonts w:cs="Arial"/>
                                <w:iCs/>
                                <w:sz w:val="21"/>
                                <w:szCs w:val="21"/>
                                <w:lang w:val="fr-FR"/>
                              </w:rPr>
                              <w:t>–</w:t>
                            </w:r>
                            <w:r>
                              <w:rPr>
                                <w:rFonts w:cs="Arial"/>
                                <w:lang w:val="fr-FR"/>
                              </w:rPr>
                              <w:t xml:space="preserve">14.75 </w:t>
                            </w:r>
                            <w:r>
                              <w:rPr>
                                <w:rFonts w:cs="Arial"/>
                                <w:i/>
                                <w:iCs/>
                                <w:lang w:val="fr-FR"/>
                              </w:rPr>
                              <w:t>Rôle des cétacés dans le fonctionnement des écosystèmes</w:t>
                            </w:r>
                            <w:r>
                              <w:rPr>
                                <w:rFonts w:cs="Arial"/>
                                <w:lang w:val="fr-FR"/>
                              </w:rPr>
                              <w:t xml:space="preserve">, ainsi que de la Résolution 14.9 </w:t>
                            </w:r>
                            <w:r>
                              <w:rPr>
                                <w:rFonts w:cs="Arial"/>
                                <w:i/>
                                <w:iCs/>
                                <w:lang w:val="fr-FR"/>
                              </w:rPr>
                              <w:t>Priorités de conservation pour les cétacés</w:t>
                            </w:r>
                            <w:r>
                              <w:rPr>
                                <w:rFonts w:cs="Arial"/>
                                <w:lang w:val="fr-FR"/>
                              </w:rPr>
                              <w:t xml:space="preserve">. Il contient également un projet de Décisions. </w:t>
                            </w:r>
                          </w:p>
                          <w:p w14:paraId="1C3963CE" w14:textId="77777777" w:rsidR="00370F6F" w:rsidRDefault="00370F6F">
                            <w:pPr>
                              <w:spacing w:after="0" w:line="240" w:lineRule="auto"/>
                              <w:rPr>
                                <w:rFonts w:cs="Arial"/>
                                <w:sz w:val="24"/>
                                <w:szCs w:val="24"/>
                                <w:lang w:val="fr-FR"/>
                              </w:rPr>
                            </w:pPr>
                          </w:p>
                          <w:p w14:paraId="60B69DC4" w14:textId="77777777" w:rsidR="00370F6F" w:rsidRDefault="00370F6F">
                            <w:pPr>
                              <w:spacing w:after="0" w:line="240" w:lineRule="auto"/>
                              <w:jc w:val="both"/>
                              <w:rPr>
                                <w:rFonts w:cs="Arial"/>
                                <w:lang w:val="fr-FR"/>
                              </w:rPr>
                            </w:pPr>
                            <w:r>
                              <w:rPr>
                                <w:rFonts w:cs="Arial"/>
                                <w:lang w:val="fr-FR"/>
                              </w:rPr>
                              <w:t>Le projet de Décisions ci-joint contribuerait à la réalisation des Cibles 1.1–1.3, 3.1, 3.3-3.4 et 6.1 du Plan stratégique de Samarcande pour les espèces migratrices 2024</w:t>
                            </w:r>
                            <w:bookmarkStart w:id="5" w:name="_Hlk207174604"/>
                            <w:r>
                              <w:rPr>
                                <w:rFonts w:cs="Arial"/>
                                <w:lang w:val="fr-FR"/>
                              </w:rPr>
                              <w:t>–</w:t>
                            </w:r>
                            <w:bookmarkEnd w:id="5"/>
                            <w:r>
                              <w:rPr>
                                <w:rFonts w:cs="Arial"/>
                                <w:lang w:val="fr-FR"/>
                              </w:rPr>
                              <w:t>2032.</w:t>
                            </w:r>
                          </w:p>
                          <w:p w14:paraId="6F903B88" w14:textId="77777777" w:rsidR="00AB0F26" w:rsidRDefault="00AB0F26">
                            <w:pPr>
                              <w:spacing w:after="0" w:line="240" w:lineRule="auto"/>
                              <w:jc w:val="both"/>
                              <w:rPr>
                                <w:rFonts w:cs="Arial"/>
                                <w:lang w:val="fr-FR"/>
                              </w:rPr>
                            </w:pPr>
                          </w:p>
                          <w:p w14:paraId="33801492" w14:textId="65A00585" w:rsidR="007738E6" w:rsidRPr="00AB0F26" w:rsidRDefault="00AB0F26" w:rsidP="00AB0F26">
                            <w:pPr>
                              <w:jc w:val="both"/>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2EC09E2" id="_x0000_t202" coordsize="21600,21600" o:spt="202" path="m,l,21600r21600,l21600,xe">
                <v:stroke joinstyle="miter"/>
                <v:path gradientshapeok="t" o:connecttype="rect"/>
              </v:shapetype>
              <v:shape id="Text Box 5" o:spid="_x0000_s1026" type="#_x0000_t202" style="position:absolute;margin-left:75.2pt;margin-top:8.85pt;width:382.55pt;height:20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" strokeweight=".08811mm">
                <v:textbox>
                  <w:txbxContent>
                    <w:p w14:paraId="1CE3E714" w14:textId="77777777" w:rsidR="00370F6F" w:rsidRDefault="00370F6F">
                      <w:pPr>
                        <w:spacing w:after="0"/>
                        <w:rPr>
                          <w:rFonts w:cs="Arial"/>
                          <w:lang w:val="fr-FR"/>
                        </w:rPr>
                      </w:pPr>
                      <w:r>
                        <w:rPr>
                          <w:rFonts w:cs="Arial"/>
                          <w:lang w:val="fr-FR"/>
                        </w:rPr>
                        <w:t>Résumé :</w:t>
                      </w:r>
                    </w:p>
                    <w:p w14:paraId="6E24A2C2" w14:textId="77777777" w:rsidR="00370F6F" w:rsidRDefault="00370F6F">
                      <w:pPr>
                        <w:spacing w:after="0" w:line="240" w:lineRule="auto"/>
                        <w:jc w:val="both"/>
                        <w:rPr>
                          <w:rFonts w:cs="Arial"/>
                          <w:lang w:val="fr-FR"/>
                        </w:rPr>
                      </w:pPr>
                    </w:p>
                    <w:p w14:paraId="0E84EB09" w14:textId="77777777" w:rsidR="00370F6F" w:rsidRDefault="00370F6F">
                      <w:pPr>
                        <w:spacing w:after="0" w:line="240" w:lineRule="auto"/>
                        <w:jc w:val="both"/>
                        <w:rPr>
                          <w:rFonts w:cs="Arial"/>
                          <w:lang w:val="fr-FR"/>
                        </w:rPr>
                      </w:pPr>
                      <w:r>
                        <w:rPr>
                          <w:rFonts w:cs="Arial"/>
                          <w:lang w:val="fr-FR"/>
                        </w:rPr>
                        <w:t>Le présent document fait état des avancées dans la mise en œuvre des décisions 14.69</w:t>
                      </w:r>
                      <w:r>
                        <w:rPr>
                          <w:rFonts w:cs="Arial"/>
                          <w:iCs/>
                          <w:sz w:val="21"/>
                          <w:szCs w:val="21"/>
                          <w:lang w:val="fr-FR"/>
                        </w:rPr>
                        <w:t>–</w:t>
                      </w:r>
                      <w:r>
                        <w:rPr>
                          <w:rFonts w:cs="Arial"/>
                          <w:lang w:val="fr-FR"/>
                        </w:rPr>
                        <w:t xml:space="preserve">14.73 </w:t>
                      </w:r>
                      <w:r>
                        <w:rPr>
                          <w:rFonts w:cs="Arial"/>
                          <w:i/>
                          <w:iCs/>
                          <w:lang w:val="fr-FR"/>
                        </w:rPr>
                        <w:t>Priorités de conservation pour les cétacés</w:t>
                      </w:r>
                      <w:r>
                        <w:rPr>
                          <w:rFonts w:cs="Arial"/>
                          <w:lang w:val="fr-FR"/>
                        </w:rPr>
                        <w:t xml:space="preserve"> et des décisions 14.74</w:t>
                      </w:r>
                      <w:r>
                        <w:rPr>
                          <w:rFonts w:cs="Arial"/>
                          <w:iCs/>
                          <w:sz w:val="21"/>
                          <w:szCs w:val="21"/>
                          <w:lang w:val="fr-FR"/>
                        </w:rPr>
                        <w:t>–</w:t>
                      </w:r>
                      <w:r>
                        <w:rPr>
                          <w:rFonts w:cs="Arial"/>
                          <w:lang w:val="fr-FR"/>
                        </w:rPr>
                        <w:t xml:space="preserve">14.75 </w:t>
                      </w:r>
                      <w:r>
                        <w:rPr>
                          <w:rFonts w:cs="Arial"/>
                          <w:i/>
                          <w:iCs/>
                          <w:lang w:val="fr-FR"/>
                        </w:rPr>
                        <w:t>Rôle des cétacés dans le fonctionnement des écosystèmes</w:t>
                      </w:r>
                      <w:r>
                        <w:rPr>
                          <w:rFonts w:cs="Arial"/>
                          <w:lang w:val="fr-FR"/>
                        </w:rPr>
                        <w:t xml:space="preserve">, ainsi que de la Résolution 14.9 </w:t>
                      </w:r>
                      <w:r>
                        <w:rPr>
                          <w:rFonts w:cs="Arial"/>
                          <w:i/>
                          <w:iCs/>
                          <w:lang w:val="fr-FR"/>
                        </w:rPr>
                        <w:t>Priorités de conservation pour les cétacés</w:t>
                      </w:r>
                      <w:r>
                        <w:rPr>
                          <w:rFonts w:cs="Arial"/>
                          <w:lang w:val="fr-FR"/>
                        </w:rPr>
                        <w:t xml:space="preserve">. Il contient également un projet de Décisions. </w:t>
                      </w:r>
                    </w:p>
                    <w:p w14:paraId="1C3963CE" w14:textId="77777777" w:rsidR="00370F6F" w:rsidRDefault="00370F6F">
                      <w:pPr>
                        <w:spacing w:after="0" w:line="240" w:lineRule="auto"/>
                        <w:rPr>
                          <w:rFonts w:cs="Arial"/>
                          <w:sz w:val="24"/>
                          <w:szCs w:val="24"/>
                          <w:lang w:val="fr-FR"/>
                        </w:rPr>
                      </w:pPr>
                    </w:p>
                    <w:p w14:paraId="60B69DC4" w14:textId="77777777" w:rsidR="00370F6F" w:rsidRDefault="00370F6F">
                      <w:pPr>
                        <w:spacing w:after="0" w:line="240" w:lineRule="auto"/>
                        <w:jc w:val="both"/>
                        <w:rPr>
                          <w:rFonts w:cs="Arial"/>
                          <w:lang w:val="fr-FR"/>
                        </w:rPr>
                      </w:pPr>
                      <w:r>
                        <w:rPr>
                          <w:rFonts w:cs="Arial"/>
                          <w:lang w:val="fr-FR"/>
                        </w:rPr>
                        <w:t>Le projet de Décisions ci-joint contribuerait à la réalisation des Cibles 1.1–1.3, 3.1, 3.3-3.4 et 6.1 du Plan stratégique de Samarcande pour les espèces migratrices 2024</w:t>
                      </w:r>
                      <w:bookmarkStart w:id="6" w:name="_Hlk207174604"/>
                      <w:r>
                        <w:rPr>
                          <w:rFonts w:cs="Arial"/>
                          <w:lang w:val="fr-FR"/>
                        </w:rPr>
                        <w:t>–</w:t>
                      </w:r>
                      <w:bookmarkEnd w:id="6"/>
                      <w:r>
                        <w:rPr>
                          <w:rFonts w:cs="Arial"/>
                          <w:lang w:val="fr-FR"/>
                        </w:rPr>
                        <w:t>2032.</w:t>
                      </w:r>
                    </w:p>
                    <w:p w14:paraId="6F903B88" w14:textId="77777777" w:rsidR="00AB0F26" w:rsidRDefault="00AB0F26">
                      <w:pPr>
                        <w:spacing w:after="0" w:line="240" w:lineRule="auto"/>
                        <w:jc w:val="both"/>
                        <w:rPr>
                          <w:rFonts w:cs="Arial"/>
                          <w:lang w:val="fr-FR"/>
                        </w:rPr>
                      </w:pPr>
                    </w:p>
                    <w:p w14:paraId="33801492" w14:textId="65A00585" w:rsidR="007738E6" w:rsidRPr="00AB0F26" w:rsidRDefault="00AB0F26" w:rsidP="00AB0F26">
                      <w:pPr>
                        <w:jc w:val="both"/>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p>
                  </w:txbxContent>
                </v:textbox>
              </v:shape>
            </w:pict>
          </mc:Fallback>
        </mc:AlternateContent>
      </w:r>
    </w:p>
    <w:p w14:paraId="7CAFA430" w14:textId="77777777" w:rsidR="00BE5E9B" w:rsidRPr="008233A5" w:rsidRDefault="00BE5E9B">
      <w:pPr>
        <w:widowControl w:val="0"/>
        <w:suppressAutoHyphens/>
        <w:autoSpaceDE w:val="0"/>
        <w:autoSpaceDN w:val="0"/>
        <w:spacing w:after="0" w:line="240" w:lineRule="auto"/>
        <w:textAlignment w:val="baseline"/>
        <w:rPr>
          <w:rFonts w:eastAsia="Times New Roman" w:cs="Arial"/>
          <w:sz w:val="21"/>
          <w:szCs w:val="21"/>
          <w:lang w:val="fr-FR"/>
        </w:rPr>
      </w:pPr>
    </w:p>
    <w:p w14:paraId="793AB53A" w14:textId="77777777" w:rsidR="00BE5E9B" w:rsidRPr="008233A5" w:rsidRDefault="00BE5E9B">
      <w:pPr>
        <w:widowControl w:val="0"/>
        <w:suppressAutoHyphens/>
        <w:autoSpaceDE w:val="0"/>
        <w:autoSpaceDN w:val="0"/>
        <w:spacing w:after="0" w:line="240" w:lineRule="auto"/>
        <w:textAlignment w:val="baseline"/>
        <w:rPr>
          <w:rFonts w:eastAsia="Times New Roman" w:cs="Arial"/>
          <w:sz w:val="21"/>
          <w:szCs w:val="21"/>
          <w:lang w:val="fr-FR"/>
        </w:rPr>
      </w:pPr>
    </w:p>
    <w:p w14:paraId="5C477292" w14:textId="77777777" w:rsidR="00BE5E9B" w:rsidRPr="008233A5" w:rsidRDefault="00BE5E9B">
      <w:pPr>
        <w:widowControl w:val="0"/>
        <w:suppressAutoHyphens/>
        <w:autoSpaceDE w:val="0"/>
        <w:autoSpaceDN w:val="0"/>
        <w:spacing w:after="0" w:line="240" w:lineRule="auto"/>
        <w:textAlignment w:val="baseline"/>
        <w:rPr>
          <w:rFonts w:eastAsia="Times New Roman" w:cs="Arial"/>
          <w:sz w:val="21"/>
          <w:szCs w:val="21"/>
          <w:lang w:val="fr-FR"/>
        </w:rPr>
      </w:pPr>
    </w:p>
    <w:p w14:paraId="3C0338A9" w14:textId="77777777" w:rsidR="00BE5E9B" w:rsidRPr="008233A5" w:rsidRDefault="00BE5E9B">
      <w:pPr>
        <w:widowControl w:val="0"/>
        <w:suppressAutoHyphens/>
        <w:autoSpaceDE w:val="0"/>
        <w:autoSpaceDN w:val="0"/>
        <w:spacing w:after="0" w:line="240" w:lineRule="auto"/>
        <w:textAlignment w:val="baseline"/>
        <w:rPr>
          <w:rFonts w:eastAsia="Times New Roman" w:cs="Arial"/>
          <w:sz w:val="21"/>
          <w:szCs w:val="21"/>
          <w:lang w:val="fr-FR"/>
        </w:rPr>
      </w:pPr>
    </w:p>
    <w:p w14:paraId="62A17B44" w14:textId="77777777" w:rsidR="00BE5E9B" w:rsidRPr="008233A5" w:rsidRDefault="00BE5E9B">
      <w:pPr>
        <w:widowControl w:val="0"/>
        <w:suppressAutoHyphens/>
        <w:autoSpaceDE w:val="0"/>
        <w:autoSpaceDN w:val="0"/>
        <w:spacing w:after="0" w:line="240" w:lineRule="auto"/>
        <w:textAlignment w:val="baseline"/>
        <w:rPr>
          <w:rFonts w:eastAsia="Times New Roman" w:cs="Arial"/>
          <w:sz w:val="21"/>
          <w:szCs w:val="21"/>
          <w:lang w:val="fr-FR"/>
        </w:rPr>
      </w:pPr>
    </w:p>
    <w:p w14:paraId="6802D1AB" w14:textId="77777777" w:rsidR="00BE5E9B" w:rsidRPr="008233A5" w:rsidRDefault="00BE5E9B">
      <w:pPr>
        <w:widowControl w:val="0"/>
        <w:suppressAutoHyphens/>
        <w:autoSpaceDE w:val="0"/>
        <w:autoSpaceDN w:val="0"/>
        <w:spacing w:after="0" w:line="240" w:lineRule="auto"/>
        <w:textAlignment w:val="baseline"/>
        <w:rPr>
          <w:rFonts w:eastAsia="Times New Roman" w:cs="Arial"/>
          <w:sz w:val="21"/>
          <w:szCs w:val="21"/>
          <w:lang w:val="fr-FR"/>
        </w:rPr>
      </w:pPr>
    </w:p>
    <w:p w14:paraId="4F327186" w14:textId="77777777" w:rsidR="00BE5E9B" w:rsidRPr="008233A5" w:rsidRDefault="00BE5E9B">
      <w:pPr>
        <w:widowControl w:val="0"/>
        <w:suppressAutoHyphens/>
        <w:autoSpaceDE w:val="0"/>
        <w:autoSpaceDN w:val="0"/>
        <w:spacing w:after="0" w:line="240" w:lineRule="auto"/>
        <w:textAlignment w:val="baseline"/>
        <w:rPr>
          <w:rFonts w:eastAsia="Times New Roman" w:cs="Arial"/>
          <w:sz w:val="21"/>
          <w:szCs w:val="21"/>
          <w:lang w:val="fr-FR"/>
        </w:rPr>
      </w:pPr>
    </w:p>
    <w:p w14:paraId="5D3A0ACD" w14:textId="77777777" w:rsidR="00BE5E9B" w:rsidRPr="008233A5" w:rsidRDefault="00BE5E9B">
      <w:pPr>
        <w:widowControl w:val="0"/>
        <w:suppressAutoHyphens/>
        <w:autoSpaceDE w:val="0"/>
        <w:autoSpaceDN w:val="0"/>
        <w:spacing w:after="0" w:line="240" w:lineRule="auto"/>
        <w:textAlignment w:val="baseline"/>
        <w:rPr>
          <w:rFonts w:eastAsia="Times New Roman" w:cs="Arial"/>
          <w:sz w:val="21"/>
          <w:szCs w:val="21"/>
          <w:lang w:val="fr-FR"/>
        </w:rPr>
      </w:pPr>
    </w:p>
    <w:p w14:paraId="16BD549C" w14:textId="77777777" w:rsidR="00BE5E9B" w:rsidRPr="008233A5" w:rsidRDefault="00BE5E9B">
      <w:pPr>
        <w:widowControl w:val="0"/>
        <w:suppressAutoHyphens/>
        <w:autoSpaceDE w:val="0"/>
        <w:autoSpaceDN w:val="0"/>
        <w:spacing w:after="0" w:line="240" w:lineRule="auto"/>
        <w:textAlignment w:val="baseline"/>
        <w:rPr>
          <w:rFonts w:eastAsia="Times New Roman" w:cs="Arial"/>
          <w:sz w:val="21"/>
          <w:szCs w:val="21"/>
          <w:lang w:val="fr-FR"/>
        </w:rPr>
      </w:pPr>
    </w:p>
    <w:p w14:paraId="78639AFE" w14:textId="77777777" w:rsidR="00BE5E9B" w:rsidRPr="008233A5" w:rsidRDefault="00BE5E9B">
      <w:pPr>
        <w:widowControl w:val="0"/>
        <w:suppressAutoHyphens/>
        <w:autoSpaceDE w:val="0"/>
        <w:autoSpaceDN w:val="0"/>
        <w:spacing w:after="0" w:line="240" w:lineRule="auto"/>
        <w:textAlignment w:val="baseline"/>
        <w:rPr>
          <w:rFonts w:eastAsia="Times New Roman" w:cs="Arial"/>
          <w:sz w:val="21"/>
          <w:szCs w:val="21"/>
          <w:lang w:val="fr-FR"/>
        </w:rPr>
      </w:pPr>
    </w:p>
    <w:p w14:paraId="203DF690" w14:textId="77777777" w:rsidR="00BE5E9B" w:rsidRPr="008233A5" w:rsidRDefault="00BE5E9B">
      <w:pPr>
        <w:widowControl w:val="0"/>
        <w:suppressAutoHyphens/>
        <w:autoSpaceDE w:val="0"/>
        <w:autoSpaceDN w:val="0"/>
        <w:spacing w:after="0" w:line="240" w:lineRule="auto"/>
        <w:textAlignment w:val="baseline"/>
        <w:rPr>
          <w:rFonts w:eastAsia="Times New Roman" w:cs="Arial"/>
          <w:sz w:val="21"/>
          <w:szCs w:val="21"/>
          <w:lang w:val="fr-FR"/>
        </w:rPr>
      </w:pPr>
    </w:p>
    <w:p w14:paraId="0428C88F" w14:textId="77777777" w:rsidR="00BE5E9B" w:rsidRPr="008233A5" w:rsidRDefault="00BE5E9B">
      <w:pPr>
        <w:widowControl w:val="0"/>
        <w:suppressAutoHyphens/>
        <w:autoSpaceDE w:val="0"/>
        <w:autoSpaceDN w:val="0"/>
        <w:spacing w:after="0" w:line="240" w:lineRule="auto"/>
        <w:textAlignment w:val="baseline"/>
        <w:rPr>
          <w:rFonts w:eastAsia="Times New Roman" w:cs="Arial"/>
          <w:sz w:val="21"/>
          <w:szCs w:val="21"/>
          <w:lang w:val="fr-FR"/>
        </w:rPr>
      </w:pPr>
    </w:p>
    <w:p w14:paraId="2BA2CC0D" w14:textId="77777777" w:rsidR="00BE5E9B" w:rsidRPr="008233A5" w:rsidRDefault="00BE5E9B">
      <w:pPr>
        <w:widowControl w:val="0"/>
        <w:suppressAutoHyphens/>
        <w:autoSpaceDE w:val="0"/>
        <w:autoSpaceDN w:val="0"/>
        <w:spacing w:after="0" w:line="240" w:lineRule="auto"/>
        <w:textAlignment w:val="baseline"/>
        <w:rPr>
          <w:rFonts w:eastAsia="Times New Roman" w:cs="Arial"/>
          <w:sz w:val="21"/>
          <w:szCs w:val="21"/>
          <w:lang w:val="fr-FR"/>
        </w:rPr>
      </w:pPr>
    </w:p>
    <w:p w14:paraId="1F7AC7BF" w14:textId="77777777" w:rsidR="00BE5E9B" w:rsidRPr="008233A5" w:rsidRDefault="00BE5E9B">
      <w:pPr>
        <w:widowControl w:val="0"/>
        <w:suppressAutoHyphens/>
        <w:autoSpaceDE w:val="0"/>
        <w:autoSpaceDN w:val="0"/>
        <w:spacing w:after="0" w:line="240" w:lineRule="auto"/>
        <w:textAlignment w:val="baseline"/>
        <w:rPr>
          <w:rFonts w:eastAsia="Times New Roman" w:cs="Arial"/>
          <w:sz w:val="21"/>
          <w:szCs w:val="21"/>
          <w:lang w:val="fr-FR"/>
        </w:rPr>
      </w:pPr>
    </w:p>
    <w:p w14:paraId="444DA6A1" w14:textId="77777777" w:rsidR="00BE5E9B" w:rsidRPr="008233A5" w:rsidRDefault="00BE5E9B">
      <w:pPr>
        <w:widowControl w:val="0"/>
        <w:suppressAutoHyphens/>
        <w:autoSpaceDE w:val="0"/>
        <w:autoSpaceDN w:val="0"/>
        <w:spacing w:after="0" w:line="240" w:lineRule="auto"/>
        <w:textAlignment w:val="baseline"/>
        <w:rPr>
          <w:rFonts w:eastAsia="Times New Roman" w:cs="Arial"/>
          <w:sz w:val="21"/>
          <w:szCs w:val="21"/>
          <w:lang w:val="fr-FR"/>
        </w:rPr>
      </w:pPr>
    </w:p>
    <w:p w14:paraId="71FE49D3" w14:textId="77777777" w:rsidR="00BE5E9B" w:rsidRPr="008233A5" w:rsidRDefault="00BE5E9B">
      <w:pPr>
        <w:widowControl w:val="0"/>
        <w:suppressAutoHyphens/>
        <w:autoSpaceDE w:val="0"/>
        <w:autoSpaceDN w:val="0"/>
        <w:spacing w:after="0" w:line="240" w:lineRule="auto"/>
        <w:textAlignment w:val="baseline"/>
        <w:rPr>
          <w:rFonts w:eastAsia="Times New Roman" w:cs="Arial"/>
          <w:sz w:val="21"/>
          <w:szCs w:val="21"/>
          <w:lang w:val="fr-FR"/>
        </w:rPr>
      </w:pPr>
    </w:p>
    <w:p w14:paraId="43630D9A" w14:textId="77777777" w:rsidR="00BE5E9B" w:rsidRPr="008233A5" w:rsidRDefault="00BE5E9B">
      <w:pPr>
        <w:widowControl w:val="0"/>
        <w:suppressAutoHyphens/>
        <w:autoSpaceDE w:val="0"/>
        <w:autoSpaceDN w:val="0"/>
        <w:spacing w:after="0" w:line="240" w:lineRule="auto"/>
        <w:textAlignment w:val="baseline"/>
        <w:rPr>
          <w:rFonts w:eastAsia="Times New Roman" w:cs="Arial"/>
          <w:sz w:val="21"/>
          <w:szCs w:val="21"/>
          <w:lang w:val="fr-FR"/>
        </w:rPr>
      </w:pPr>
    </w:p>
    <w:p w14:paraId="4A0DA0CA" w14:textId="77777777" w:rsidR="00BE5E9B" w:rsidRPr="008233A5" w:rsidRDefault="00BE5E9B">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07DE490B" w14:textId="77777777" w:rsidR="00BE5E9B" w:rsidRPr="008233A5" w:rsidRDefault="00BE5E9B">
      <w:pPr>
        <w:widowControl w:val="0"/>
        <w:suppressAutoHyphens/>
        <w:autoSpaceDE w:val="0"/>
        <w:autoSpaceDN w:val="0"/>
        <w:spacing w:after="0" w:line="240" w:lineRule="auto"/>
        <w:textAlignment w:val="baseline"/>
        <w:rPr>
          <w:rFonts w:eastAsia="Times New Roman" w:cs="Arial"/>
          <w:lang w:val="fr-FR"/>
        </w:rPr>
      </w:pPr>
    </w:p>
    <w:p w14:paraId="75A4CE6F" w14:textId="77777777" w:rsidR="00BE5E9B" w:rsidRPr="008233A5" w:rsidRDefault="00BE5E9B">
      <w:pPr>
        <w:widowControl w:val="0"/>
        <w:suppressAutoHyphens/>
        <w:autoSpaceDE w:val="0"/>
        <w:autoSpaceDN w:val="0"/>
        <w:spacing w:after="0" w:line="240" w:lineRule="auto"/>
        <w:textAlignment w:val="baseline"/>
        <w:rPr>
          <w:rFonts w:eastAsia="Times New Roman" w:cs="Arial"/>
          <w:lang w:val="fr-FR"/>
        </w:rPr>
      </w:pPr>
    </w:p>
    <w:p w14:paraId="4E90754E" w14:textId="77777777" w:rsidR="00BE5E9B" w:rsidRPr="008233A5" w:rsidRDefault="00BE5E9B">
      <w:pPr>
        <w:spacing w:after="0" w:line="240" w:lineRule="auto"/>
        <w:rPr>
          <w:lang w:val="fr-FR"/>
        </w:rPr>
      </w:pPr>
    </w:p>
    <w:p w14:paraId="16F10A47" w14:textId="77777777" w:rsidR="00BE5E9B" w:rsidRPr="008233A5" w:rsidRDefault="00BE5E9B">
      <w:pPr>
        <w:spacing w:after="0" w:line="240" w:lineRule="auto"/>
        <w:rPr>
          <w:lang w:val="fr-FR"/>
        </w:rPr>
      </w:pPr>
    </w:p>
    <w:p w14:paraId="38241092" w14:textId="77777777" w:rsidR="00BE5E9B" w:rsidRPr="008233A5" w:rsidRDefault="00BE5E9B">
      <w:pPr>
        <w:spacing w:after="0" w:line="240" w:lineRule="auto"/>
        <w:rPr>
          <w:lang w:val="fr-FR"/>
        </w:rPr>
      </w:pPr>
    </w:p>
    <w:p w14:paraId="5A9C9584" w14:textId="77777777" w:rsidR="00BE5E9B" w:rsidRPr="008233A5" w:rsidRDefault="00BE5E9B">
      <w:pPr>
        <w:spacing w:after="0" w:line="240" w:lineRule="auto"/>
        <w:rPr>
          <w:lang w:val="fr-FR"/>
        </w:rPr>
      </w:pPr>
    </w:p>
    <w:p w14:paraId="4420D90C" w14:textId="77777777" w:rsidR="00BE5E9B" w:rsidRPr="008233A5" w:rsidRDefault="00BE5E9B">
      <w:pPr>
        <w:spacing w:after="0" w:line="240" w:lineRule="auto"/>
        <w:rPr>
          <w:lang w:val="fr-FR"/>
        </w:rPr>
        <w:sectPr w:rsidR="00BE5E9B" w:rsidRPr="008233A5">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3B337102" w14:textId="022DD648" w:rsidR="00BE5E9B" w:rsidRPr="008233A5" w:rsidRDefault="00B757F7">
      <w:pPr>
        <w:pStyle w:val="Title1"/>
        <w:rPr>
          <w:lang w:val="fr-FR"/>
        </w:rPr>
      </w:pPr>
      <w:bookmarkStart w:id="9" w:name="_Toc201154085"/>
      <w:bookmarkStart w:id="10" w:name="_Toc201243566"/>
      <w:bookmarkStart w:id="11" w:name="_Toc201243930"/>
      <w:r w:rsidRPr="008233A5">
        <w:rPr>
          <w:lang w:val="fr-FR"/>
        </w:rPr>
        <w:lastRenderedPageBreak/>
        <w:t>PRIORITÉS DE CONSERVATION POUR LES C</w:t>
      </w:r>
      <w:bookmarkEnd w:id="9"/>
      <w:bookmarkEnd w:id="10"/>
      <w:bookmarkEnd w:id="11"/>
      <w:r w:rsidR="00100A16">
        <w:rPr>
          <w:lang w:val="fr-FR"/>
        </w:rPr>
        <w:t>É</w:t>
      </w:r>
      <w:r w:rsidRPr="008233A5">
        <w:rPr>
          <w:lang w:val="fr-FR"/>
        </w:rPr>
        <w:t>tac</w:t>
      </w:r>
      <w:r w:rsidR="00100A16">
        <w:rPr>
          <w:lang w:val="fr-FR"/>
        </w:rPr>
        <w:t>É</w:t>
      </w:r>
      <w:r w:rsidRPr="008233A5">
        <w:rPr>
          <w:lang w:val="fr-FR"/>
        </w:rPr>
        <w:t>s</w:t>
      </w:r>
    </w:p>
    <w:p w14:paraId="3F8336CA" w14:textId="77777777" w:rsidR="00BE5E9B" w:rsidRPr="008233A5" w:rsidRDefault="00BE5E9B">
      <w:pPr>
        <w:pStyle w:val="Firstnumbering"/>
        <w:numPr>
          <w:ilvl w:val="0"/>
          <w:numId w:val="0"/>
        </w:numPr>
        <w:ind w:left="567" w:hanging="567"/>
        <w:jc w:val="both"/>
        <w:rPr>
          <w:lang w:val="fr-FR"/>
        </w:rPr>
      </w:pPr>
    </w:p>
    <w:p w14:paraId="27D9ADCA" w14:textId="77777777" w:rsidR="00BE5E9B" w:rsidRPr="008233A5" w:rsidRDefault="00BE5E9B">
      <w:pPr>
        <w:spacing w:after="0" w:line="240" w:lineRule="auto"/>
        <w:rPr>
          <w:lang w:val="fr-FR"/>
        </w:rPr>
      </w:pPr>
    </w:p>
    <w:p w14:paraId="64ECE005" w14:textId="77777777" w:rsidR="00BE5E9B" w:rsidRPr="008233A5" w:rsidRDefault="00B757F7">
      <w:pPr>
        <w:spacing w:after="0" w:line="240" w:lineRule="auto"/>
        <w:rPr>
          <w:u w:val="single"/>
          <w:lang w:val="fr-FR"/>
        </w:rPr>
      </w:pPr>
      <w:r w:rsidRPr="008233A5">
        <w:rPr>
          <w:u w:val="single"/>
          <w:lang w:val="fr-FR"/>
        </w:rPr>
        <w:t>Contexte</w:t>
      </w:r>
    </w:p>
    <w:p w14:paraId="6E5AFE26" w14:textId="77777777" w:rsidR="00BE5E9B" w:rsidRPr="008233A5" w:rsidRDefault="00BE5E9B">
      <w:pPr>
        <w:spacing w:after="0" w:line="240" w:lineRule="auto"/>
        <w:rPr>
          <w:u w:val="single"/>
          <w:lang w:val="fr-FR"/>
        </w:rPr>
      </w:pPr>
    </w:p>
    <w:p w14:paraId="33D4EBF2" w14:textId="70A0FFE0" w:rsidR="00BE5E9B" w:rsidRPr="008233A5" w:rsidRDefault="00B757F7">
      <w:pPr>
        <w:widowControl w:val="0"/>
        <w:numPr>
          <w:ilvl w:val="0"/>
          <w:numId w:val="4"/>
        </w:numPr>
        <w:autoSpaceDE w:val="0"/>
        <w:autoSpaceDN w:val="0"/>
        <w:adjustRightInd w:val="0"/>
        <w:spacing w:after="0" w:line="240" w:lineRule="auto"/>
        <w:ind w:left="567" w:hanging="567"/>
        <w:jc w:val="both"/>
        <w:rPr>
          <w:rFonts w:cs="Arial"/>
          <w:lang w:val="fr-FR"/>
        </w:rPr>
      </w:pPr>
      <w:bookmarkStart w:id="12" w:name="_Toc201154086"/>
      <w:bookmarkStart w:id="13" w:name="_Toc201243931"/>
      <w:bookmarkStart w:id="14" w:name="_Toc201244172"/>
      <w:r w:rsidRPr="008233A5">
        <w:rPr>
          <w:rFonts w:cs="Arial"/>
          <w:lang w:val="fr-FR"/>
        </w:rPr>
        <w:t>Le présent document intègre les mandats de la COP14 relatifs aux cétacés — à l’exception de ceux concernant les plans d’action, qui sont couverts dans le document </w:t>
      </w:r>
      <w:hyperlink r:id="rId16" w:history="1">
        <w:r w:rsidR="00AC673C" w:rsidRPr="00AC673C">
          <w:rPr>
            <w:rStyle w:val="Hyperlink"/>
            <w:rFonts w:cs="Arial"/>
            <w:lang w:val="fr-FR"/>
          </w:rPr>
          <w:t>UNEP/CMS/COP15/Doc.25.4.2</w:t>
        </w:r>
      </w:hyperlink>
      <w:r w:rsidRPr="008233A5">
        <w:rPr>
          <w:rFonts w:cs="Arial"/>
          <w:lang w:val="fr-FR"/>
        </w:rPr>
        <w:t xml:space="preserve"> </w:t>
      </w:r>
      <w:r w:rsidRPr="008233A5">
        <w:rPr>
          <w:rFonts w:cs="Arial"/>
          <w:i/>
          <w:iCs/>
          <w:lang w:val="fr-FR"/>
        </w:rPr>
        <w:t>Plans d’action pour les cétacés</w:t>
      </w:r>
      <w:r w:rsidRPr="008233A5">
        <w:rPr>
          <w:rFonts w:cs="Arial"/>
          <w:lang w:val="fr-FR"/>
        </w:rPr>
        <w:t xml:space="preserve">, ainsi que les Décisions 14.57-14.60 </w:t>
      </w:r>
      <w:r w:rsidRPr="008233A5">
        <w:rPr>
          <w:rFonts w:cs="Arial"/>
          <w:i/>
          <w:iCs/>
          <w:lang w:val="fr-FR"/>
        </w:rPr>
        <w:t>Aires importantes pour les mammifères marins</w:t>
      </w:r>
      <w:r w:rsidRPr="008233A5">
        <w:rPr>
          <w:rFonts w:cs="Arial"/>
          <w:lang w:val="fr-FR"/>
        </w:rPr>
        <w:t>, qui sont abordées dans le document </w:t>
      </w:r>
      <w:hyperlink r:id="rId17" w:history="1">
        <w:r w:rsidR="00162C99" w:rsidRPr="00A72A85">
          <w:rPr>
            <w:rStyle w:val="Hyperlink"/>
            <w:rFonts w:cs="Arial"/>
            <w:lang w:val="fr-FR"/>
          </w:rPr>
          <w:t>UNEP/CMS/COP15/Doc.25.3.1</w:t>
        </w:r>
      </w:hyperlink>
      <w:r w:rsidRPr="008233A5">
        <w:rPr>
          <w:rFonts w:cs="Arial"/>
          <w:lang w:val="fr-FR"/>
        </w:rPr>
        <w:t xml:space="preserve"> </w:t>
      </w:r>
      <w:r w:rsidRPr="008233A5">
        <w:rPr>
          <w:rFonts w:cs="Arial"/>
          <w:i/>
          <w:iCs/>
          <w:lang w:val="fr-FR"/>
        </w:rPr>
        <w:t>Priorités pour la conservation par zone des espèces migratrices marines.</w:t>
      </w:r>
    </w:p>
    <w:p w14:paraId="0A6C6B60" w14:textId="77777777" w:rsidR="00BE5E9B" w:rsidRPr="008233A5" w:rsidRDefault="00BE5E9B">
      <w:pPr>
        <w:widowControl w:val="0"/>
        <w:autoSpaceDE w:val="0"/>
        <w:autoSpaceDN w:val="0"/>
        <w:adjustRightInd w:val="0"/>
        <w:spacing w:after="0" w:line="240" w:lineRule="auto"/>
        <w:ind w:left="567"/>
        <w:jc w:val="both"/>
        <w:rPr>
          <w:rFonts w:cs="Arial"/>
          <w:lang w:val="fr-FR"/>
        </w:rPr>
      </w:pPr>
    </w:p>
    <w:p w14:paraId="7C5FE7C9" w14:textId="77777777" w:rsidR="00BE5E9B" w:rsidRPr="008233A5" w:rsidRDefault="00B757F7">
      <w:pPr>
        <w:widowControl w:val="0"/>
        <w:numPr>
          <w:ilvl w:val="0"/>
          <w:numId w:val="4"/>
        </w:numPr>
        <w:autoSpaceDE w:val="0"/>
        <w:autoSpaceDN w:val="0"/>
        <w:adjustRightInd w:val="0"/>
        <w:spacing w:after="80" w:line="240" w:lineRule="auto"/>
        <w:ind w:left="567" w:hanging="567"/>
        <w:jc w:val="both"/>
        <w:rPr>
          <w:rFonts w:cs="Arial"/>
          <w:lang w:val="fr-FR"/>
        </w:rPr>
      </w:pPr>
      <w:r w:rsidRPr="008233A5">
        <w:rPr>
          <w:rFonts w:cs="Arial"/>
          <w:lang w:val="fr-FR"/>
        </w:rPr>
        <w:t>Il contient les sections suivantes, chacune faisant état des décisions correspondantes de la COP14 :</w:t>
      </w:r>
    </w:p>
    <w:p w14:paraId="064C06C7" w14:textId="77777777" w:rsidR="00BE5E9B" w:rsidRPr="008233A5" w:rsidRDefault="00B757F7">
      <w:pPr>
        <w:pStyle w:val="ListParagraph"/>
        <w:widowControl w:val="0"/>
        <w:numPr>
          <w:ilvl w:val="1"/>
          <w:numId w:val="45"/>
        </w:numPr>
        <w:autoSpaceDE w:val="0"/>
        <w:autoSpaceDN w:val="0"/>
        <w:adjustRightInd w:val="0"/>
        <w:spacing w:after="80" w:line="240" w:lineRule="auto"/>
        <w:ind w:left="993" w:hanging="426"/>
        <w:jc w:val="both"/>
        <w:rPr>
          <w:rFonts w:cs="Arial"/>
          <w:lang w:val="fr-FR"/>
        </w:rPr>
      </w:pPr>
      <w:r w:rsidRPr="008233A5">
        <w:rPr>
          <w:rFonts w:cs="Arial"/>
          <w:lang w:val="fr-FR"/>
        </w:rPr>
        <w:t>Priorités de conservation pour les cétacés</w:t>
      </w:r>
    </w:p>
    <w:p w14:paraId="2DACC467" w14:textId="77777777" w:rsidR="00BE5E9B" w:rsidRPr="008233A5" w:rsidRDefault="00B757F7">
      <w:pPr>
        <w:pStyle w:val="ListParagraph"/>
        <w:widowControl w:val="0"/>
        <w:numPr>
          <w:ilvl w:val="1"/>
          <w:numId w:val="45"/>
        </w:numPr>
        <w:autoSpaceDE w:val="0"/>
        <w:autoSpaceDN w:val="0"/>
        <w:adjustRightInd w:val="0"/>
        <w:spacing w:after="80" w:line="240" w:lineRule="auto"/>
        <w:ind w:left="993" w:hanging="426"/>
        <w:jc w:val="both"/>
        <w:rPr>
          <w:rFonts w:cs="Arial"/>
          <w:lang w:val="fr-FR"/>
        </w:rPr>
      </w:pPr>
      <w:r w:rsidRPr="008233A5">
        <w:rPr>
          <w:rFonts w:cs="Arial"/>
          <w:lang w:val="fr-FR"/>
        </w:rPr>
        <w:t>Rôle des cétacés dans le fonctionnement des écosystèmes</w:t>
      </w:r>
    </w:p>
    <w:p w14:paraId="57F78187" w14:textId="77777777" w:rsidR="00BE5E9B" w:rsidRPr="008233A5" w:rsidRDefault="00B757F7">
      <w:pPr>
        <w:pStyle w:val="ListParagraph"/>
        <w:widowControl w:val="0"/>
        <w:numPr>
          <w:ilvl w:val="1"/>
          <w:numId w:val="45"/>
        </w:numPr>
        <w:autoSpaceDE w:val="0"/>
        <w:autoSpaceDN w:val="0"/>
        <w:adjustRightInd w:val="0"/>
        <w:spacing w:after="0" w:line="240" w:lineRule="auto"/>
        <w:ind w:left="993" w:hanging="426"/>
        <w:jc w:val="both"/>
        <w:rPr>
          <w:rFonts w:cs="Arial"/>
          <w:lang w:val="fr-FR"/>
        </w:rPr>
      </w:pPr>
      <w:r w:rsidRPr="008233A5">
        <w:rPr>
          <w:rFonts w:cs="Arial"/>
          <w:lang w:val="fr-FR"/>
        </w:rPr>
        <w:t>Mandat pour le Groupe de travail sur les mammifères aquatiques</w:t>
      </w:r>
    </w:p>
    <w:p w14:paraId="4D30F747" w14:textId="77777777" w:rsidR="00BE5E9B" w:rsidRPr="008233A5" w:rsidRDefault="00BE5E9B">
      <w:pPr>
        <w:widowControl w:val="0"/>
        <w:autoSpaceDE w:val="0"/>
        <w:autoSpaceDN w:val="0"/>
        <w:adjustRightInd w:val="0"/>
        <w:spacing w:after="0" w:line="240" w:lineRule="auto"/>
        <w:jc w:val="both"/>
        <w:rPr>
          <w:rFonts w:cs="Arial"/>
          <w:lang w:val="fr-FR"/>
        </w:rPr>
      </w:pPr>
    </w:p>
    <w:p w14:paraId="6A8B3376" w14:textId="77777777" w:rsidR="00BE5E9B" w:rsidRPr="008233A5" w:rsidRDefault="00B757F7">
      <w:pPr>
        <w:pStyle w:val="ListParagraph"/>
        <w:numPr>
          <w:ilvl w:val="0"/>
          <w:numId w:val="46"/>
        </w:numPr>
        <w:spacing w:after="0" w:line="240" w:lineRule="auto"/>
        <w:ind w:left="567" w:hanging="567"/>
        <w:rPr>
          <w:bCs/>
          <w:lang w:val="fr-FR"/>
        </w:rPr>
      </w:pPr>
      <w:r w:rsidRPr="008233A5">
        <w:rPr>
          <w:bCs/>
          <w:u w:val="single"/>
          <w:lang w:val="fr-FR"/>
        </w:rPr>
        <w:t>Priorités de conservation pour les cétacés</w:t>
      </w:r>
      <w:bookmarkEnd w:id="12"/>
      <w:bookmarkEnd w:id="13"/>
      <w:bookmarkEnd w:id="14"/>
    </w:p>
    <w:p w14:paraId="79421972" w14:textId="77777777" w:rsidR="00BE5E9B" w:rsidRPr="008233A5" w:rsidRDefault="00BE5E9B">
      <w:pPr>
        <w:widowControl w:val="0"/>
        <w:autoSpaceDE w:val="0"/>
        <w:autoSpaceDN w:val="0"/>
        <w:adjustRightInd w:val="0"/>
        <w:spacing w:after="0" w:line="240" w:lineRule="auto"/>
        <w:jc w:val="both"/>
        <w:rPr>
          <w:rFonts w:cs="Arial"/>
          <w:lang w:val="fr-FR"/>
        </w:rPr>
      </w:pPr>
    </w:p>
    <w:p w14:paraId="77D7139C" w14:textId="77777777" w:rsidR="00BE5E9B" w:rsidRPr="008233A5" w:rsidRDefault="00B757F7">
      <w:pPr>
        <w:widowControl w:val="0"/>
        <w:numPr>
          <w:ilvl w:val="0"/>
          <w:numId w:val="4"/>
        </w:numPr>
        <w:autoSpaceDE w:val="0"/>
        <w:autoSpaceDN w:val="0"/>
        <w:adjustRightInd w:val="0"/>
        <w:spacing w:after="0" w:line="240" w:lineRule="auto"/>
        <w:ind w:left="567" w:hanging="567"/>
        <w:jc w:val="both"/>
        <w:rPr>
          <w:rFonts w:cs="Arial"/>
          <w:lang w:val="fr-FR"/>
        </w:rPr>
      </w:pPr>
      <w:r w:rsidRPr="008233A5">
        <w:rPr>
          <w:rFonts w:cs="Arial"/>
          <w:lang w:val="fr-FR"/>
        </w:rPr>
        <w:t xml:space="preserve">La COP14 a adopté </w:t>
      </w:r>
      <w:hyperlink r:id="rId18" w:history="1">
        <w:r w:rsidRPr="008233A5">
          <w:rPr>
            <w:rStyle w:val="Hyperlink"/>
            <w:rFonts w:cs="Arial"/>
            <w:lang w:val="fr-FR"/>
          </w:rPr>
          <w:t>la Résolution 14.9</w:t>
        </w:r>
      </w:hyperlink>
      <w:r w:rsidRPr="008233A5">
        <w:rPr>
          <w:rFonts w:cs="Arial"/>
          <w:lang w:val="fr-FR"/>
        </w:rPr>
        <w:t xml:space="preserve"> </w:t>
      </w:r>
      <w:r w:rsidRPr="008233A5">
        <w:rPr>
          <w:rFonts w:cs="Arial"/>
          <w:i/>
          <w:iCs/>
          <w:lang w:val="fr-FR"/>
        </w:rPr>
        <w:t>Priorités de conservation pour les cétacés</w:t>
      </w:r>
      <w:r w:rsidRPr="008233A5">
        <w:rPr>
          <w:rFonts w:cs="Arial"/>
          <w:lang w:val="fr-FR"/>
        </w:rPr>
        <w:t>, qui prie instamment les Parties d’aborder diverses menaces, notamment les prises accessoires, la viande d’animaux sauvages aquatiques, la pollution, le changement climatique, le bruit, les collisions avec les navires, les activités récréatives et les maladies. Les décisions suivantes ont été adoptées par la COP14 à cet égard :</w:t>
      </w:r>
    </w:p>
    <w:p w14:paraId="111848C7" w14:textId="77777777" w:rsidR="00BE5E9B" w:rsidRPr="008233A5" w:rsidRDefault="00BE5E9B">
      <w:pPr>
        <w:widowControl w:val="0"/>
        <w:autoSpaceDE w:val="0"/>
        <w:autoSpaceDN w:val="0"/>
        <w:adjustRightInd w:val="0"/>
        <w:spacing w:after="0" w:line="240" w:lineRule="auto"/>
        <w:jc w:val="both"/>
        <w:rPr>
          <w:rFonts w:cs="Arial"/>
          <w:lang w:val="fr-FR"/>
        </w:rPr>
      </w:pPr>
    </w:p>
    <w:p w14:paraId="6BACAC91" w14:textId="77777777" w:rsidR="00BE5E9B" w:rsidRPr="008331B1" w:rsidRDefault="00B757F7" w:rsidP="006742B2">
      <w:pPr>
        <w:spacing w:after="0" w:line="240" w:lineRule="auto"/>
        <w:ind w:left="851"/>
        <w:jc w:val="both"/>
        <w:rPr>
          <w:rFonts w:cs="Arial"/>
          <w:b/>
          <w:bCs/>
          <w:i/>
          <w:iCs/>
          <w:sz w:val="20"/>
          <w:szCs w:val="20"/>
          <w:lang w:val="fr-FR"/>
        </w:rPr>
      </w:pPr>
      <w:r w:rsidRPr="008331B1">
        <w:rPr>
          <w:rFonts w:cs="Arial"/>
          <w:b/>
          <w:bCs/>
          <w:i/>
          <w:iCs/>
          <w:sz w:val="20"/>
          <w:szCs w:val="20"/>
          <w:lang w:val="fr-FR"/>
        </w:rPr>
        <w:t>D</w:t>
      </w:r>
      <w:r w:rsidR="00370F6F" w:rsidRPr="008331B1">
        <w:rPr>
          <w:rFonts w:cs="Arial"/>
          <w:b/>
          <w:bCs/>
          <w:i/>
          <w:iCs/>
          <w:sz w:val="20"/>
          <w:szCs w:val="20"/>
          <w:lang w:val="fr-FR"/>
        </w:rPr>
        <w:t>écision </w:t>
      </w:r>
      <w:r w:rsidRPr="008331B1">
        <w:rPr>
          <w:rFonts w:cs="Arial"/>
          <w:b/>
          <w:bCs/>
          <w:i/>
          <w:iCs/>
          <w:sz w:val="20"/>
          <w:szCs w:val="20"/>
          <w:lang w:val="fr-FR"/>
        </w:rPr>
        <w:t xml:space="preserve">14.69 </w:t>
      </w:r>
      <w:r w:rsidR="00370F6F" w:rsidRPr="008331B1">
        <w:rPr>
          <w:rFonts w:cs="Arial"/>
          <w:b/>
          <w:bCs/>
          <w:i/>
          <w:iCs/>
          <w:sz w:val="20"/>
          <w:szCs w:val="20"/>
          <w:lang w:val="fr-FR"/>
        </w:rPr>
        <w:t>À l’adresse des Parties</w:t>
      </w:r>
    </w:p>
    <w:p w14:paraId="5A65324E" w14:textId="77777777" w:rsidR="00BE5E9B" w:rsidRPr="008331B1" w:rsidRDefault="00BE5E9B" w:rsidP="006742B2">
      <w:pPr>
        <w:spacing w:after="0" w:line="240" w:lineRule="auto"/>
        <w:ind w:left="851"/>
        <w:jc w:val="both"/>
        <w:rPr>
          <w:rFonts w:cs="Arial"/>
          <w:i/>
          <w:iCs/>
          <w:sz w:val="20"/>
          <w:szCs w:val="20"/>
          <w:lang w:val="fr-FR"/>
        </w:rPr>
      </w:pPr>
    </w:p>
    <w:p w14:paraId="7747CF72" w14:textId="77777777" w:rsidR="00BE5E9B" w:rsidRPr="008331B1" w:rsidRDefault="00370F6F" w:rsidP="006742B2">
      <w:pPr>
        <w:spacing w:after="0" w:line="240" w:lineRule="auto"/>
        <w:ind w:left="851"/>
        <w:jc w:val="both"/>
        <w:rPr>
          <w:rFonts w:cs="Arial"/>
          <w:i/>
          <w:iCs/>
          <w:sz w:val="20"/>
          <w:szCs w:val="20"/>
          <w:lang w:val="fr-FR"/>
        </w:rPr>
      </w:pPr>
      <w:r w:rsidRPr="008331B1">
        <w:rPr>
          <w:rFonts w:cs="Arial"/>
          <w:i/>
          <w:iCs/>
          <w:sz w:val="20"/>
          <w:szCs w:val="20"/>
          <w:lang w:val="fr-FR"/>
        </w:rPr>
        <w:t>Les Parties sont invitées à :</w:t>
      </w:r>
    </w:p>
    <w:p w14:paraId="18EE44F3" w14:textId="77777777" w:rsidR="00370F6F" w:rsidRPr="008331B1" w:rsidRDefault="00370F6F" w:rsidP="006742B2">
      <w:pPr>
        <w:spacing w:after="0" w:line="240" w:lineRule="auto"/>
        <w:ind w:left="851"/>
        <w:jc w:val="both"/>
        <w:rPr>
          <w:rFonts w:cs="Arial"/>
          <w:i/>
          <w:iCs/>
          <w:sz w:val="20"/>
          <w:szCs w:val="20"/>
          <w:lang w:val="fr-FR"/>
        </w:rPr>
      </w:pPr>
    </w:p>
    <w:p w14:paraId="7CF5B206" w14:textId="693C9355" w:rsidR="00BE5E9B" w:rsidRPr="00B81C54" w:rsidRDefault="00370F6F" w:rsidP="006742B2">
      <w:pPr>
        <w:pStyle w:val="ListParagraph"/>
        <w:numPr>
          <w:ilvl w:val="0"/>
          <w:numId w:val="10"/>
        </w:numPr>
        <w:spacing w:after="80" w:line="240" w:lineRule="auto"/>
        <w:ind w:left="1276" w:hanging="425"/>
        <w:contextualSpacing w:val="0"/>
        <w:jc w:val="both"/>
        <w:rPr>
          <w:rFonts w:cs="Arial"/>
          <w:i/>
          <w:iCs/>
          <w:sz w:val="20"/>
          <w:szCs w:val="20"/>
          <w:lang w:val="fr-FR"/>
        </w:rPr>
      </w:pPr>
      <w:r w:rsidRPr="008331B1">
        <w:rPr>
          <w:rFonts w:cs="Arial"/>
          <w:i/>
          <w:iCs/>
          <w:sz w:val="20"/>
          <w:szCs w:val="20"/>
          <w:lang w:val="fr-FR"/>
        </w:rPr>
        <w:t>revoir les priorités régionales pour la conservation des cétacés identifiées à l'annexe 2 du document UNEP/CMS/COP14/Inf.27.5.1a pour leur région ainsi que les recommandations détaillées décrites pour chacune des menaces prioritaires dans la Résolution 14.9 Priorités de conservation pour les cétacés et s'attaquer à celles qui sont les plus urgentes, le cas échéant en coordina</w:t>
      </w:r>
      <w:r w:rsidR="008C55E3" w:rsidRPr="008331B1">
        <w:rPr>
          <w:rFonts w:cs="Arial"/>
          <w:i/>
          <w:iCs/>
          <w:sz w:val="20"/>
          <w:szCs w:val="20"/>
          <w:lang w:val="fr-FR"/>
        </w:rPr>
        <w:t>tion avec d'autres pays de la ré</w:t>
      </w:r>
      <w:r w:rsidRPr="008331B1">
        <w:rPr>
          <w:rFonts w:cs="Arial"/>
          <w:i/>
          <w:iCs/>
          <w:sz w:val="20"/>
          <w:szCs w:val="20"/>
          <w:lang w:val="fr-FR"/>
        </w:rPr>
        <w:t>gion ;</w:t>
      </w:r>
    </w:p>
    <w:p w14:paraId="4EA49117" w14:textId="2E462699" w:rsidR="00370F6F" w:rsidRPr="00B81C54" w:rsidRDefault="00370F6F" w:rsidP="006742B2">
      <w:pPr>
        <w:pStyle w:val="ListParagraph"/>
        <w:numPr>
          <w:ilvl w:val="0"/>
          <w:numId w:val="10"/>
        </w:numPr>
        <w:spacing w:after="80" w:line="240" w:lineRule="auto"/>
        <w:ind w:left="1276" w:hanging="425"/>
        <w:contextualSpacing w:val="0"/>
        <w:jc w:val="both"/>
        <w:rPr>
          <w:rFonts w:cs="Arial"/>
          <w:i/>
          <w:iCs/>
          <w:sz w:val="20"/>
          <w:szCs w:val="20"/>
          <w:lang w:val="fr-FR"/>
        </w:rPr>
      </w:pPr>
      <w:r w:rsidRPr="008331B1">
        <w:rPr>
          <w:rFonts w:cs="Arial"/>
          <w:i/>
          <w:iCs/>
          <w:sz w:val="20"/>
          <w:szCs w:val="20"/>
          <w:lang w:val="fr-FR"/>
        </w:rPr>
        <w:t>rendre compte des progrès réalisés grâce à leur rapports</w:t>
      </w:r>
      <w:r w:rsidR="008C55E3" w:rsidRPr="008331B1">
        <w:rPr>
          <w:rFonts w:cs="Arial"/>
          <w:i/>
          <w:iCs/>
          <w:sz w:val="20"/>
          <w:szCs w:val="20"/>
          <w:lang w:val="fr-FR"/>
        </w:rPr>
        <w:t xml:space="preserve"> </w:t>
      </w:r>
      <w:r w:rsidRPr="008331B1">
        <w:rPr>
          <w:rFonts w:cs="Arial"/>
          <w:i/>
          <w:iCs/>
          <w:sz w:val="20"/>
          <w:szCs w:val="20"/>
          <w:lang w:val="fr-FR"/>
        </w:rPr>
        <w:t>nationaux ; et</w:t>
      </w:r>
    </w:p>
    <w:p w14:paraId="1A5EF78C" w14:textId="77777777" w:rsidR="00BE5E9B" w:rsidRPr="008331B1" w:rsidRDefault="00370F6F" w:rsidP="006742B2">
      <w:pPr>
        <w:pStyle w:val="ListParagraph"/>
        <w:numPr>
          <w:ilvl w:val="0"/>
          <w:numId w:val="10"/>
        </w:numPr>
        <w:spacing w:after="0" w:line="240" w:lineRule="auto"/>
        <w:ind w:left="1276" w:hanging="425"/>
        <w:contextualSpacing w:val="0"/>
        <w:jc w:val="both"/>
        <w:rPr>
          <w:rFonts w:cs="Arial"/>
          <w:i/>
          <w:iCs/>
          <w:sz w:val="20"/>
          <w:szCs w:val="20"/>
          <w:lang w:val="fr-FR"/>
        </w:rPr>
      </w:pPr>
      <w:r w:rsidRPr="008331B1">
        <w:rPr>
          <w:rFonts w:cs="Arial"/>
          <w:i/>
          <w:iCs/>
          <w:sz w:val="20"/>
          <w:szCs w:val="20"/>
          <w:lang w:val="fr-FR"/>
        </w:rPr>
        <w:t>dans la mesure du possible, fournir un appui technique et en matière de renforcement des capacités aux autres Parties, le cas échéant, afin de faciliter le partage des connaissances et une collaboration efficace</w:t>
      </w:r>
      <w:r w:rsidR="00B757F7" w:rsidRPr="008331B1">
        <w:rPr>
          <w:rFonts w:cs="Arial"/>
          <w:i/>
          <w:iCs/>
          <w:sz w:val="20"/>
          <w:szCs w:val="20"/>
          <w:lang w:val="fr-FR"/>
        </w:rPr>
        <w:t>.</w:t>
      </w:r>
    </w:p>
    <w:p w14:paraId="484B87AE" w14:textId="77777777" w:rsidR="00BE5E9B" w:rsidRPr="008233A5" w:rsidRDefault="00BE5E9B" w:rsidP="006742B2">
      <w:pPr>
        <w:spacing w:after="0" w:line="240" w:lineRule="auto"/>
        <w:ind w:left="851"/>
        <w:jc w:val="both"/>
        <w:rPr>
          <w:rFonts w:cs="Arial"/>
          <w:i/>
          <w:iCs/>
          <w:sz w:val="20"/>
          <w:szCs w:val="20"/>
          <w:highlight w:val="yellow"/>
          <w:lang w:val="fr-FR"/>
        </w:rPr>
      </w:pPr>
    </w:p>
    <w:p w14:paraId="14A1058A" w14:textId="77777777" w:rsidR="00BE5E9B" w:rsidRPr="00C74031" w:rsidRDefault="00B757F7" w:rsidP="006742B2">
      <w:pPr>
        <w:spacing w:after="0" w:line="240" w:lineRule="auto"/>
        <w:ind w:left="851"/>
        <w:jc w:val="both"/>
        <w:rPr>
          <w:rFonts w:cs="Arial"/>
          <w:b/>
          <w:bCs/>
          <w:i/>
          <w:iCs/>
          <w:sz w:val="20"/>
          <w:szCs w:val="20"/>
          <w:lang w:val="fr-FR"/>
        </w:rPr>
      </w:pPr>
      <w:r w:rsidRPr="00C74031">
        <w:rPr>
          <w:rFonts w:cs="Arial"/>
          <w:b/>
          <w:bCs/>
          <w:i/>
          <w:iCs/>
          <w:sz w:val="20"/>
          <w:szCs w:val="20"/>
          <w:lang w:val="fr-FR"/>
        </w:rPr>
        <w:t>D</w:t>
      </w:r>
      <w:r w:rsidR="00370F6F" w:rsidRPr="00C74031">
        <w:rPr>
          <w:rFonts w:cs="Arial"/>
          <w:b/>
          <w:bCs/>
          <w:i/>
          <w:iCs/>
          <w:sz w:val="20"/>
          <w:szCs w:val="20"/>
          <w:lang w:val="fr-FR"/>
        </w:rPr>
        <w:t>écision </w:t>
      </w:r>
      <w:r w:rsidRPr="00C74031">
        <w:rPr>
          <w:rFonts w:cs="Arial"/>
          <w:b/>
          <w:bCs/>
          <w:i/>
          <w:iCs/>
          <w:sz w:val="20"/>
          <w:szCs w:val="20"/>
          <w:lang w:val="fr-FR"/>
        </w:rPr>
        <w:t xml:space="preserve">14.70 </w:t>
      </w:r>
      <w:r w:rsidR="00370F6F" w:rsidRPr="00C74031">
        <w:rPr>
          <w:rFonts w:cs="Arial"/>
          <w:b/>
          <w:bCs/>
          <w:i/>
          <w:iCs/>
          <w:sz w:val="20"/>
          <w:szCs w:val="20"/>
          <w:lang w:val="fr-FR"/>
        </w:rPr>
        <w:t>À l’adresse des Parties</w:t>
      </w:r>
    </w:p>
    <w:p w14:paraId="005E451F" w14:textId="77777777" w:rsidR="00BE5E9B" w:rsidRPr="00C74031" w:rsidRDefault="00BE5E9B" w:rsidP="006742B2">
      <w:pPr>
        <w:spacing w:after="0" w:line="240" w:lineRule="auto"/>
        <w:ind w:left="851"/>
        <w:jc w:val="both"/>
        <w:rPr>
          <w:rFonts w:cs="Arial"/>
          <w:i/>
          <w:iCs/>
          <w:sz w:val="20"/>
          <w:szCs w:val="20"/>
          <w:lang w:val="fr-FR"/>
        </w:rPr>
      </w:pPr>
    </w:p>
    <w:p w14:paraId="3B8E5C67" w14:textId="77777777" w:rsidR="00BE5E9B" w:rsidRPr="00C74031" w:rsidRDefault="00370F6F" w:rsidP="006742B2">
      <w:pPr>
        <w:spacing w:after="0" w:line="240" w:lineRule="auto"/>
        <w:ind w:left="851"/>
        <w:jc w:val="both"/>
        <w:rPr>
          <w:rFonts w:cs="Arial"/>
          <w:i/>
          <w:iCs/>
          <w:sz w:val="20"/>
          <w:szCs w:val="20"/>
          <w:lang w:val="fr-FR"/>
        </w:rPr>
      </w:pPr>
      <w:r w:rsidRPr="00C74031">
        <w:rPr>
          <w:rFonts w:cs="Arial"/>
          <w:i/>
          <w:iCs/>
          <w:sz w:val="20"/>
          <w:szCs w:val="20"/>
          <w:lang w:val="fr-FR"/>
        </w:rPr>
        <w:t xml:space="preserve">Les </w:t>
      </w:r>
      <w:r w:rsidR="00B757F7" w:rsidRPr="00C74031">
        <w:rPr>
          <w:rFonts w:cs="Arial"/>
          <w:i/>
          <w:iCs/>
          <w:sz w:val="20"/>
          <w:szCs w:val="20"/>
          <w:lang w:val="fr-FR"/>
        </w:rPr>
        <w:t xml:space="preserve">Parties </w:t>
      </w:r>
      <w:r w:rsidRPr="00C74031">
        <w:rPr>
          <w:rFonts w:cs="Arial"/>
          <w:i/>
          <w:iCs/>
          <w:sz w:val="20"/>
          <w:szCs w:val="20"/>
          <w:lang w:val="fr-FR"/>
        </w:rPr>
        <w:t>sont encouragées à </w:t>
      </w:r>
      <w:r w:rsidR="00B757F7" w:rsidRPr="00C74031">
        <w:rPr>
          <w:rFonts w:cs="Arial"/>
          <w:i/>
          <w:iCs/>
          <w:sz w:val="20"/>
          <w:szCs w:val="20"/>
          <w:lang w:val="fr-FR"/>
        </w:rPr>
        <w:t>:</w:t>
      </w:r>
    </w:p>
    <w:p w14:paraId="5F7BA05A" w14:textId="77777777" w:rsidR="00BE5E9B" w:rsidRPr="00C74031" w:rsidRDefault="00BE5E9B" w:rsidP="006742B2">
      <w:pPr>
        <w:spacing w:after="0" w:line="240" w:lineRule="auto"/>
        <w:ind w:left="851"/>
        <w:jc w:val="both"/>
        <w:rPr>
          <w:rFonts w:cs="Arial"/>
          <w:i/>
          <w:iCs/>
          <w:sz w:val="20"/>
          <w:szCs w:val="20"/>
          <w:lang w:val="fr-FR"/>
        </w:rPr>
      </w:pPr>
    </w:p>
    <w:p w14:paraId="7C70175D" w14:textId="48475801" w:rsidR="00370F6F" w:rsidRPr="006742B2" w:rsidRDefault="00370F6F" w:rsidP="006742B2">
      <w:pPr>
        <w:pStyle w:val="ListParagraph"/>
        <w:numPr>
          <w:ilvl w:val="0"/>
          <w:numId w:val="11"/>
        </w:numPr>
        <w:spacing w:after="80" w:line="240" w:lineRule="auto"/>
        <w:ind w:left="1275" w:hanging="442"/>
        <w:contextualSpacing w:val="0"/>
        <w:jc w:val="both"/>
        <w:rPr>
          <w:rFonts w:cs="Arial"/>
          <w:i/>
          <w:iCs/>
          <w:sz w:val="20"/>
          <w:szCs w:val="20"/>
          <w:lang w:val="fr-FR"/>
        </w:rPr>
      </w:pPr>
      <w:r w:rsidRPr="00C74031">
        <w:rPr>
          <w:rFonts w:cs="Arial"/>
          <w:i/>
          <w:iCs/>
          <w:sz w:val="20"/>
          <w:szCs w:val="20"/>
          <w:lang w:val="fr-FR"/>
        </w:rPr>
        <w:t>s’engager dans le processus de négociation en vue d’élaborer un instrument international juridiquement contraignant pour mettre fin à la pollution plastique ;</w:t>
      </w:r>
    </w:p>
    <w:p w14:paraId="137246A4" w14:textId="68326997" w:rsidR="00370F6F" w:rsidRPr="006742B2" w:rsidRDefault="00370F6F" w:rsidP="006742B2">
      <w:pPr>
        <w:pStyle w:val="ListParagraph"/>
        <w:numPr>
          <w:ilvl w:val="0"/>
          <w:numId w:val="11"/>
        </w:numPr>
        <w:spacing w:after="80" w:line="240" w:lineRule="auto"/>
        <w:ind w:left="1275" w:hanging="442"/>
        <w:contextualSpacing w:val="0"/>
        <w:jc w:val="both"/>
        <w:rPr>
          <w:rFonts w:cs="Arial"/>
          <w:i/>
          <w:iCs/>
          <w:sz w:val="20"/>
          <w:szCs w:val="20"/>
          <w:lang w:val="fr-FR"/>
        </w:rPr>
      </w:pPr>
      <w:r w:rsidRPr="00C74031">
        <w:rPr>
          <w:rFonts w:cs="Arial"/>
          <w:i/>
          <w:iCs/>
          <w:sz w:val="20"/>
          <w:szCs w:val="20"/>
          <w:lang w:val="fr-FR"/>
        </w:rPr>
        <w:t>soutenir la mise en œuvre de l’Accord conclu dans le cadre de la Convention des Nations Unies sur le droit de la mer relatif à la conservation et l'utilisation durable de la diversité biologique marine dans les zones situées au-delà de la juridiction nationale, en particulier le développement d'une étude d'impact sur l’environnement solide, moderne et uniforme pour toutes les activités ayant un impact potenti</w:t>
      </w:r>
      <w:r w:rsidR="008C55E3" w:rsidRPr="00C74031">
        <w:rPr>
          <w:rFonts w:cs="Arial"/>
          <w:i/>
          <w:iCs/>
          <w:sz w:val="20"/>
          <w:szCs w:val="20"/>
          <w:lang w:val="fr-FR"/>
        </w:rPr>
        <w:t>e</w:t>
      </w:r>
      <w:r w:rsidRPr="00C74031">
        <w:rPr>
          <w:rFonts w:cs="Arial"/>
          <w:i/>
          <w:iCs/>
          <w:sz w:val="20"/>
          <w:szCs w:val="20"/>
          <w:lang w:val="fr-FR"/>
        </w:rPr>
        <w:t>l sur les cétacés dans les zones situées à l'intérieur et au-delà des juridictions nationales ; et</w:t>
      </w:r>
    </w:p>
    <w:p w14:paraId="220CB701" w14:textId="77777777" w:rsidR="00BE5E9B" w:rsidRPr="00C74031" w:rsidRDefault="00370F6F" w:rsidP="006742B2">
      <w:pPr>
        <w:pStyle w:val="ListParagraph"/>
        <w:numPr>
          <w:ilvl w:val="0"/>
          <w:numId w:val="11"/>
        </w:numPr>
        <w:spacing w:after="0" w:line="240" w:lineRule="auto"/>
        <w:ind w:left="1276" w:hanging="445"/>
        <w:contextualSpacing w:val="0"/>
        <w:jc w:val="both"/>
        <w:rPr>
          <w:rFonts w:cs="Arial"/>
          <w:i/>
          <w:iCs/>
          <w:sz w:val="20"/>
          <w:szCs w:val="20"/>
          <w:lang w:val="fr-FR"/>
        </w:rPr>
      </w:pPr>
      <w:r w:rsidRPr="00C74031">
        <w:rPr>
          <w:rFonts w:cs="Arial"/>
          <w:i/>
          <w:iCs/>
          <w:sz w:val="20"/>
          <w:szCs w:val="20"/>
          <w:lang w:val="fr-FR"/>
        </w:rPr>
        <w:t>inclure les cétacés dans leurs stratégies et plans d'action nationaux respectifs en matière de biodiversité et veiller à ce que les objectifs et les cibles du cadre mondial pour la biodiversité de Kunming-Montréal soient appliqués de manière à s'aligner positivement sur les priorités en matière de conservation des cétacés</w:t>
      </w:r>
      <w:r w:rsidR="00B757F7" w:rsidRPr="00C74031">
        <w:rPr>
          <w:rFonts w:cs="Arial"/>
          <w:i/>
          <w:iCs/>
          <w:sz w:val="20"/>
          <w:szCs w:val="20"/>
          <w:lang w:val="fr-FR"/>
        </w:rPr>
        <w:t>.</w:t>
      </w:r>
    </w:p>
    <w:p w14:paraId="2629DA26" w14:textId="77777777" w:rsidR="00BE5E9B" w:rsidRPr="00FE2F0D" w:rsidRDefault="00B757F7" w:rsidP="00FE2F0D">
      <w:pPr>
        <w:spacing w:after="0" w:line="240" w:lineRule="auto"/>
        <w:ind w:left="851"/>
        <w:jc w:val="both"/>
        <w:rPr>
          <w:rFonts w:cs="Arial"/>
          <w:b/>
          <w:bCs/>
          <w:i/>
          <w:iCs/>
          <w:sz w:val="20"/>
          <w:szCs w:val="20"/>
          <w:lang w:val="fr-FR"/>
        </w:rPr>
      </w:pPr>
      <w:r w:rsidRPr="00FE2F0D">
        <w:rPr>
          <w:rFonts w:cs="Arial"/>
          <w:b/>
          <w:bCs/>
          <w:i/>
          <w:iCs/>
          <w:sz w:val="20"/>
          <w:szCs w:val="20"/>
          <w:lang w:val="fr-FR"/>
        </w:rPr>
        <w:lastRenderedPageBreak/>
        <w:t>D</w:t>
      </w:r>
      <w:r w:rsidR="00370F6F" w:rsidRPr="00FE2F0D">
        <w:rPr>
          <w:rFonts w:cs="Arial"/>
          <w:b/>
          <w:bCs/>
          <w:i/>
          <w:iCs/>
          <w:sz w:val="20"/>
          <w:szCs w:val="20"/>
          <w:lang w:val="fr-FR"/>
        </w:rPr>
        <w:t>é</w:t>
      </w:r>
      <w:r w:rsidRPr="00FE2F0D">
        <w:rPr>
          <w:rFonts w:cs="Arial"/>
          <w:b/>
          <w:bCs/>
          <w:i/>
          <w:iCs/>
          <w:sz w:val="20"/>
          <w:szCs w:val="20"/>
          <w:lang w:val="fr-FR"/>
        </w:rPr>
        <w:t>cision</w:t>
      </w:r>
      <w:r w:rsidR="008C55E3" w:rsidRPr="00FE2F0D">
        <w:rPr>
          <w:rFonts w:cs="Arial"/>
          <w:b/>
          <w:bCs/>
          <w:i/>
          <w:iCs/>
          <w:sz w:val="20"/>
          <w:szCs w:val="20"/>
          <w:lang w:val="fr-FR"/>
        </w:rPr>
        <w:t> </w:t>
      </w:r>
      <w:r w:rsidRPr="00FE2F0D">
        <w:rPr>
          <w:rFonts w:cs="Arial"/>
          <w:b/>
          <w:bCs/>
          <w:i/>
          <w:iCs/>
          <w:sz w:val="20"/>
          <w:szCs w:val="20"/>
          <w:lang w:val="fr-FR"/>
        </w:rPr>
        <w:t xml:space="preserve">14.71 </w:t>
      </w:r>
      <w:r w:rsidR="00370F6F" w:rsidRPr="00FE2F0D">
        <w:rPr>
          <w:rFonts w:cs="Arial"/>
          <w:b/>
          <w:bCs/>
          <w:i/>
          <w:iCs/>
          <w:sz w:val="20"/>
          <w:szCs w:val="20"/>
          <w:lang w:val="fr-FR"/>
        </w:rPr>
        <w:t>À l’adresse des organisations intergouvernementales et non gouvernementales</w:t>
      </w:r>
    </w:p>
    <w:p w14:paraId="2EA2A0BA" w14:textId="77777777" w:rsidR="00BE5E9B" w:rsidRPr="00FE2F0D" w:rsidRDefault="00BE5E9B" w:rsidP="00FE2F0D">
      <w:pPr>
        <w:spacing w:after="0" w:line="240" w:lineRule="auto"/>
        <w:ind w:left="851"/>
        <w:jc w:val="both"/>
        <w:rPr>
          <w:rFonts w:cs="Arial"/>
          <w:i/>
          <w:iCs/>
          <w:sz w:val="20"/>
          <w:szCs w:val="20"/>
          <w:lang w:val="fr-FR"/>
        </w:rPr>
      </w:pPr>
    </w:p>
    <w:p w14:paraId="2FFCBD8A" w14:textId="77777777" w:rsidR="00BE5E9B" w:rsidRPr="00FE2F0D" w:rsidRDefault="00370F6F" w:rsidP="00FE2F0D">
      <w:pPr>
        <w:spacing w:after="0" w:line="240" w:lineRule="auto"/>
        <w:ind w:left="851"/>
        <w:jc w:val="both"/>
        <w:rPr>
          <w:rFonts w:cs="Arial"/>
          <w:i/>
          <w:iCs/>
          <w:sz w:val="20"/>
          <w:szCs w:val="20"/>
          <w:lang w:val="fr-FR"/>
        </w:rPr>
      </w:pPr>
      <w:r w:rsidRPr="00FE2F0D">
        <w:rPr>
          <w:rFonts w:cs="Arial"/>
          <w:i/>
          <w:iCs/>
          <w:sz w:val="20"/>
          <w:szCs w:val="20"/>
          <w:lang w:val="fr-FR"/>
        </w:rPr>
        <w:t>Les organisations intergouvernementales et non gouvernementales sont encouragées à soutenir les Parties dans l'atténuation des menaces prioritaires identifiées pour leur région à l'annexe 2 du document UNEP/CMS/COP14/Inf.27.5.1a, y compris par la fourniture d'un appui technique et d'une expertise.</w:t>
      </w:r>
    </w:p>
    <w:p w14:paraId="0E0012EE" w14:textId="77777777" w:rsidR="00370F6F" w:rsidRPr="00FE2F0D" w:rsidRDefault="00370F6F" w:rsidP="00FE2F0D">
      <w:pPr>
        <w:spacing w:after="0" w:line="240" w:lineRule="auto"/>
        <w:ind w:left="851"/>
        <w:jc w:val="both"/>
        <w:rPr>
          <w:rFonts w:cs="Arial"/>
          <w:i/>
          <w:iCs/>
          <w:sz w:val="20"/>
          <w:szCs w:val="20"/>
          <w:lang w:val="fr-FR"/>
        </w:rPr>
      </w:pPr>
    </w:p>
    <w:p w14:paraId="33E2E5FD" w14:textId="77777777" w:rsidR="00BE5E9B" w:rsidRPr="00FE2F0D" w:rsidRDefault="00B757F7" w:rsidP="00FE2F0D">
      <w:pPr>
        <w:spacing w:after="0" w:line="240" w:lineRule="auto"/>
        <w:ind w:left="851"/>
        <w:jc w:val="both"/>
        <w:rPr>
          <w:rFonts w:cs="Arial"/>
          <w:b/>
          <w:bCs/>
          <w:i/>
          <w:iCs/>
          <w:sz w:val="20"/>
          <w:szCs w:val="20"/>
          <w:lang w:val="fr-FR"/>
        </w:rPr>
      </w:pPr>
      <w:r w:rsidRPr="00FE2F0D">
        <w:rPr>
          <w:rFonts w:cs="Arial"/>
          <w:b/>
          <w:bCs/>
          <w:i/>
          <w:iCs/>
          <w:sz w:val="20"/>
          <w:szCs w:val="20"/>
          <w:lang w:val="fr-FR"/>
        </w:rPr>
        <w:t>D</w:t>
      </w:r>
      <w:r w:rsidR="00370F6F" w:rsidRPr="00FE2F0D">
        <w:rPr>
          <w:rFonts w:cs="Arial"/>
          <w:b/>
          <w:bCs/>
          <w:i/>
          <w:iCs/>
          <w:sz w:val="20"/>
          <w:szCs w:val="20"/>
          <w:lang w:val="fr-FR"/>
        </w:rPr>
        <w:t>é</w:t>
      </w:r>
      <w:r w:rsidR="008C55E3" w:rsidRPr="00FE2F0D">
        <w:rPr>
          <w:rFonts w:cs="Arial"/>
          <w:b/>
          <w:bCs/>
          <w:i/>
          <w:iCs/>
          <w:sz w:val="20"/>
          <w:szCs w:val="20"/>
          <w:lang w:val="fr-FR"/>
        </w:rPr>
        <w:t>cision </w:t>
      </w:r>
      <w:r w:rsidRPr="00FE2F0D">
        <w:rPr>
          <w:rFonts w:cs="Arial"/>
          <w:b/>
          <w:bCs/>
          <w:i/>
          <w:iCs/>
          <w:sz w:val="20"/>
          <w:szCs w:val="20"/>
          <w:lang w:val="fr-FR"/>
        </w:rPr>
        <w:t xml:space="preserve">14.72 </w:t>
      </w:r>
      <w:r w:rsidR="00370F6F" w:rsidRPr="00FE2F0D">
        <w:rPr>
          <w:rFonts w:cs="Arial"/>
          <w:b/>
          <w:bCs/>
          <w:i/>
          <w:iCs/>
          <w:sz w:val="20"/>
          <w:szCs w:val="20"/>
          <w:lang w:val="fr-FR"/>
        </w:rPr>
        <w:t>À l’adresse du Conseil scientifique</w:t>
      </w:r>
    </w:p>
    <w:p w14:paraId="229DF739" w14:textId="77777777" w:rsidR="00BE5E9B" w:rsidRPr="00FE2F0D" w:rsidRDefault="00BE5E9B" w:rsidP="00FE2F0D">
      <w:pPr>
        <w:spacing w:after="0" w:line="240" w:lineRule="auto"/>
        <w:ind w:left="851"/>
        <w:jc w:val="both"/>
        <w:rPr>
          <w:rFonts w:cs="Arial"/>
          <w:i/>
          <w:iCs/>
          <w:sz w:val="20"/>
          <w:szCs w:val="20"/>
          <w:lang w:val="fr-FR"/>
        </w:rPr>
      </w:pPr>
    </w:p>
    <w:p w14:paraId="21221728" w14:textId="77777777" w:rsidR="00BE5E9B" w:rsidRPr="00FE2F0D" w:rsidRDefault="002323D7" w:rsidP="00FE2F0D">
      <w:pPr>
        <w:spacing w:after="0" w:line="240" w:lineRule="auto"/>
        <w:ind w:left="851"/>
        <w:jc w:val="both"/>
        <w:rPr>
          <w:rFonts w:cs="Arial"/>
          <w:i/>
          <w:iCs/>
          <w:sz w:val="20"/>
          <w:szCs w:val="20"/>
          <w:lang w:val="fr-FR"/>
        </w:rPr>
      </w:pPr>
      <w:r w:rsidRPr="00FE2F0D">
        <w:rPr>
          <w:rFonts w:cs="Arial"/>
          <w:i/>
          <w:iCs/>
          <w:sz w:val="20"/>
          <w:szCs w:val="20"/>
          <w:lang w:val="fr-FR"/>
        </w:rPr>
        <w:t>Le Conseil scientifique, sous réserve de la disponibilité de ressources externes et, le cas échéant, avec le soutien du Groupe de travail sur les mammifères aquatiques, est prié :</w:t>
      </w:r>
    </w:p>
    <w:p w14:paraId="33DF1E04" w14:textId="77777777" w:rsidR="00BE5E9B" w:rsidRPr="00FE2F0D" w:rsidRDefault="00BE5E9B" w:rsidP="00FE2F0D">
      <w:pPr>
        <w:spacing w:after="0" w:line="240" w:lineRule="auto"/>
        <w:ind w:left="851"/>
        <w:jc w:val="both"/>
        <w:rPr>
          <w:rFonts w:cs="Arial"/>
          <w:i/>
          <w:iCs/>
          <w:sz w:val="20"/>
          <w:szCs w:val="20"/>
          <w:lang w:val="fr-FR"/>
        </w:rPr>
      </w:pPr>
    </w:p>
    <w:p w14:paraId="437E22A0" w14:textId="65687001" w:rsidR="00BE5E9B" w:rsidRPr="006B29EF" w:rsidRDefault="002323D7" w:rsidP="006B29EF">
      <w:pPr>
        <w:pStyle w:val="ListParagraph"/>
        <w:numPr>
          <w:ilvl w:val="0"/>
          <w:numId w:val="37"/>
        </w:numPr>
        <w:spacing w:after="80" w:line="240" w:lineRule="auto"/>
        <w:ind w:left="1276" w:hanging="425"/>
        <w:contextualSpacing w:val="0"/>
        <w:jc w:val="both"/>
        <w:rPr>
          <w:rFonts w:cs="Arial"/>
          <w:i/>
          <w:iCs/>
          <w:sz w:val="20"/>
          <w:szCs w:val="20"/>
          <w:lang w:val="fr-FR"/>
        </w:rPr>
      </w:pPr>
      <w:r w:rsidRPr="00FE2F0D">
        <w:rPr>
          <w:rFonts w:cs="Arial"/>
          <w:i/>
          <w:iCs/>
          <w:sz w:val="20"/>
          <w:szCs w:val="20"/>
          <w:lang w:val="fr-FR"/>
        </w:rPr>
        <w:t>en coopération avec le Groupe de travail sur la viande d'animaux sauvages aquatiques, de quantifier la chasse à la baleine contemporaine et les prélèvements de viande d'animaux sauvages aquatiques de tous les cétacés inscrits à l'Annexe I de la CMS dans toutes les régions, et de faire des recommandations aux Parties </w:t>
      </w:r>
      <w:r w:rsidR="00B757F7" w:rsidRPr="00FE2F0D">
        <w:rPr>
          <w:rFonts w:cs="Arial"/>
          <w:i/>
          <w:iCs/>
          <w:sz w:val="20"/>
          <w:szCs w:val="20"/>
          <w:lang w:val="fr-FR"/>
        </w:rPr>
        <w:t>;</w:t>
      </w:r>
    </w:p>
    <w:p w14:paraId="6988B417" w14:textId="7C039751" w:rsidR="00BE5E9B" w:rsidRPr="006B29EF" w:rsidRDefault="002323D7" w:rsidP="006B29EF">
      <w:pPr>
        <w:pStyle w:val="ListParagraph"/>
        <w:numPr>
          <w:ilvl w:val="0"/>
          <w:numId w:val="37"/>
        </w:numPr>
        <w:spacing w:after="80" w:line="240" w:lineRule="auto"/>
        <w:ind w:left="1276" w:hanging="425"/>
        <w:contextualSpacing w:val="0"/>
        <w:jc w:val="both"/>
        <w:rPr>
          <w:rFonts w:cs="Arial"/>
          <w:i/>
          <w:iCs/>
          <w:sz w:val="20"/>
          <w:szCs w:val="20"/>
          <w:lang w:val="fr-FR"/>
        </w:rPr>
      </w:pPr>
      <w:r w:rsidRPr="00FE2F0D">
        <w:rPr>
          <w:rFonts w:cs="Arial"/>
          <w:i/>
          <w:iCs/>
          <w:sz w:val="20"/>
          <w:szCs w:val="20"/>
          <w:lang w:val="fr-FR"/>
        </w:rPr>
        <w:t>dans le contexte des menaces liées au changement climatique, d’élaborer un rapport sur les impacts potentiels</w:t>
      </w:r>
      <w:r w:rsidRPr="00FE2F0D">
        <w:rPr>
          <w:lang w:val="fr-FR"/>
        </w:rPr>
        <w:t xml:space="preserve"> </w:t>
      </w:r>
      <w:r w:rsidRPr="00FE2F0D">
        <w:rPr>
          <w:rFonts w:cs="Arial"/>
          <w:i/>
          <w:iCs/>
          <w:sz w:val="20"/>
          <w:szCs w:val="20"/>
          <w:lang w:val="fr-FR"/>
        </w:rPr>
        <w:t>des migrations induites par le climat sur le bien-être et les résultats en matière de conservation des espèces de cétacés concernées, et de formuler des recommandations à l'intention des Parties ;</w:t>
      </w:r>
    </w:p>
    <w:p w14:paraId="749D5080" w14:textId="78BD2B06" w:rsidR="00BE5E9B" w:rsidRPr="006B29EF" w:rsidRDefault="002323D7" w:rsidP="006B29EF">
      <w:pPr>
        <w:pStyle w:val="ListParagraph"/>
        <w:numPr>
          <w:ilvl w:val="0"/>
          <w:numId w:val="37"/>
        </w:numPr>
        <w:spacing w:after="80" w:line="240" w:lineRule="auto"/>
        <w:ind w:left="1276" w:hanging="425"/>
        <w:contextualSpacing w:val="0"/>
        <w:jc w:val="both"/>
        <w:rPr>
          <w:rFonts w:cs="Arial"/>
          <w:i/>
          <w:iCs/>
          <w:sz w:val="20"/>
          <w:szCs w:val="20"/>
          <w:lang w:val="fr-FR"/>
        </w:rPr>
      </w:pPr>
      <w:r w:rsidRPr="006B29EF">
        <w:rPr>
          <w:rFonts w:cs="Arial"/>
          <w:i/>
          <w:iCs/>
          <w:sz w:val="20"/>
          <w:szCs w:val="20"/>
          <w:lang w:val="fr-FR"/>
        </w:rPr>
        <w:t>de recommander l'utilisation de protocoles standard d'échouage et de nécropsie, en tenant compte du travail effectué par l'ACCOBAMS, l'ASCOBANS et la CBI, afin d'aider à enquêter sur les causes des événements de mortalité </w:t>
      </w:r>
      <w:r w:rsidR="00B757F7" w:rsidRPr="006B29EF">
        <w:rPr>
          <w:rFonts w:cs="Arial"/>
          <w:i/>
          <w:iCs/>
          <w:sz w:val="20"/>
          <w:szCs w:val="20"/>
          <w:lang w:val="fr-FR"/>
        </w:rPr>
        <w:t>;</w:t>
      </w:r>
    </w:p>
    <w:p w14:paraId="1E5D66DE" w14:textId="764CE701" w:rsidR="00BE5E9B" w:rsidRPr="006B29EF" w:rsidRDefault="002323D7" w:rsidP="006B29EF">
      <w:pPr>
        <w:pStyle w:val="ListParagraph"/>
        <w:numPr>
          <w:ilvl w:val="0"/>
          <w:numId w:val="37"/>
        </w:numPr>
        <w:spacing w:after="80" w:line="240" w:lineRule="auto"/>
        <w:ind w:left="1276" w:hanging="425"/>
        <w:contextualSpacing w:val="0"/>
        <w:jc w:val="both"/>
        <w:rPr>
          <w:rFonts w:cs="Arial"/>
          <w:i/>
          <w:iCs/>
          <w:sz w:val="20"/>
          <w:szCs w:val="20"/>
          <w:lang w:val="fr-FR"/>
        </w:rPr>
      </w:pPr>
      <w:r w:rsidRPr="00FE2F0D">
        <w:rPr>
          <w:rFonts w:cs="Arial"/>
          <w:i/>
          <w:iCs/>
          <w:sz w:val="20"/>
          <w:szCs w:val="20"/>
          <w:lang w:val="fr-FR"/>
        </w:rPr>
        <w:t>d’élaborer un rapport sur la surveillance, le bien-être et la conservation des cétacés « hors habitat »,inscrits aux Annexes de la CMS, de fournir des conseils sur les réponses appropriées à leur apporter et de formuler des recommandations aux Parties </w:t>
      </w:r>
      <w:r w:rsidR="00B757F7" w:rsidRPr="00FE2F0D">
        <w:rPr>
          <w:rFonts w:cs="Arial"/>
          <w:i/>
          <w:iCs/>
          <w:sz w:val="20"/>
          <w:szCs w:val="20"/>
          <w:lang w:val="fr-FR"/>
        </w:rPr>
        <w:t>;</w:t>
      </w:r>
    </w:p>
    <w:p w14:paraId="3476DCF1" w14:textId="5B524482" w:rsidR="00BE5E9B" w:rsidRPr="006B29EF" w:rsidRDefault="002323D7" w:rsidP="006B29EF">
      <w:pPr>
        <w:pStyle w:val="ListParagraph"/>
        <w:numPr>
          <w:ilvl w:val="0"/>
          <w:numId w:val="37"/>
        </w:numPr>
        <w:spacing w:after="80" w:line="240" w:lineRule="auto"/>
        <w:ind w:left="1276" w:hanging="425"/>
        <w:contextualSpacing w:val="0"/>
        <w:jc w:val="both"/>
        <w:rPr>
          <w:rFonts w:cs="Arial"/>
          <w:i/>
          <w:iCs/>
          <w:sz w:val="20"/>
          <w:szCs w:val="20"/>
          <w:lang w:val="fr-FR"/>
        </w:rPr>
      </w:pPr>
      <w:r w:rsidRPr="00FE2F0D">
        <w:rPr>
          <w:rFonts w:cs="Arial"/>
          <w:i/>
          <w:iCs/>
          <w:sz w:val="20"/>
          <w:szCs w:val="20"/>
          <w:lang w:val="fr-FR"/>
        </w:rPr>
        <w:t>de synthétiser la recherche sur la compréhension émergente de la façon dont le bien-être des cétacés peut avoir un impact sur les résultats de la conservation, et de faire des recommandations aux Parties ; et</w:t>
      </w:r>
    </w:p>
    <w:p w14:paraId="4F06E5DD" w14:textId="77777777" w:rsidR="00BE5E9B" w:rsidRPr="00FE2F0D" w:rsidRDefault="002323D7" w:rsidP="00C41C47">
      <w:pPr>
        <w:pStyle w:val="ListParagraph"/>
        <w:numPr>
          <w:ilvl w:val="0"/>
          <w:numId w:val="37"/>
        </w:numPr>
        <w:spacing w:after="0" w:line="240" w:lineRule="auto"/>
        <w:ind w:left="1276" w:hanging="425"/>
        <w:jc w:val="both"/>
        <w:rPr>
          <w:rFonts w:cs="Arial"/>
          <w:i/>
          <w:iCs/>
          <w:sz w:val="20"/>
          <w:szCs w:val="20"/>
          <w:lang w:val="fr-FR"/>
        </w:rPr>
      </w:pPr>
      <w:r w:rsidRPr="00FE2F0D">
        <w:rPr>
          <w:rFonts w:cs="Arial"/>
          <w:i/>
          <w:iCs/>
          <w:sz w:val="20"/>
          <w:szCs w:val="20"/>
          <w:lang w:val="fr-FR"/>
        </w:rPr>
        <w:t>d’examiner les recommandations pour une action future potentielle du Conseil scientifique telles que contenues dans le document UNEP/CMS/COP14/Inf.27.5.1b et de faire des recommandations à la 15</w:t>
      </w:r>
      <w:r w:rsidRPr="00FE2F0D">
        <w:rPr>
          <w:rFonts w:cs="Arial"/>
          <w:i/>
          <w:iCs/>
          <w:sz w:val="20"/>
          <w:szCs w:val="20"/>
          <w:vertAlign w:val="superscript"/>
          <w:lang w:val="fr-FR"/>
        </w:rPr>
        <w:t>e</w:t>
      </w:r>
      <w:r w:rsidRPr="00FE2F0D">
        <w:rPr>
          <w:rFonts w:cs="Arial"/>
          <w:i/>
          <w:iCs/>
          <w:sz w:val="20"/>
          <w:szCs w:val="20"/>
          <w:lang w:val="fr-FR"/>
        </w:rPr>
        <w:t> session de la Conférence des Parties sur les actions prioritaires à mener au cours de la période intersessions suivante.</w:t>
      </w:r>
    </w:p>
    <w:p w14:paraId="56AD2F1E" w14:textId="77777777" w:rsidR="002323D7" w:rsidRPr="00FE2F0D" w:rsidRDefault="002323D7" w:rsidP="00FE2F0D">
      <w:pPr>
        <w:spacing w:after="0" w:line="240" w:lineRule="auto"/>
        <w:ind w:left="851"/>
        <w:jc w:val="both"/>
        <w:rPr>
          <w:rFonts w:cs="Arial"/>
          <w:i/>
          <w:iCs/>
          <w:sz w:val="20"/>
          <w:szCs w:val="20"/>
          <w:lang w:val="fr-FR"/>
        </w:rPr>
      </w:pPr>
    </w:p>
    <w:p w14:paraId="4CF577F3" w14:textId="77777777" w:rsidR="00BE5E9B" w:rsidRPr="00FE2F0D" w:rsidRDefault="00B757F7" w:rsidP="00FE2F0D">
      <w:pPr>
        <w:spacing w:after="0" w:line="240" w:lineRule="auto"/>
        <w:ind w:left="851"/>
        <w:jc w:val="both"/>
        <w:rPr>
          <w:rFonts w:cs="Arial"/>
          <w:b/>
          <w:bCs/>
          <w:i/>
          <w:iCs/>
          <w:sz w:val="20"/>
          <w:szCs w:val="20"/>
          <w:lang w:val="fr-FR"/>
        </w:rPr>
      </w:pPr>
      <w:r w:rsidRPr="00FE2F0D">
        <w:rPr>
          <w:rFonts w:cs="Arial"/>
          <w:b/>
          <w:bCs/>
          <w:i/>
          <w:iCs/>
          <w:sz w:val="20"/>
          <w:szCs w:val="20"/>
          <w:lang w:val="fr-FR"/>
        </w:rPr>
        <w:t>D</w:t>
      </w:r>
      <w:r w:rsidR="002323D7" w:rsidRPr="00FE2F0D">
        <w:rPr>
          <w:rFonts w:cs="Arial"/>
          <w:b/>
          <w:bCs/>
          <w:i/>
          <w:iCs/>
          <w:sz w:val="20"/>
          <w:szCs w:val="20"/>
          <w:lang w:val="fr-FR"/>
        </w:rPr>
        <w:t>é</w:t>
      </w:r>
      <w:r w:rsidR="008C55E3" w:rsidRPr="00FE2F0D">
        <w:rPr>
          <w:rFonts w:cs="Arial"/>
          <w:b/>
          <w:bCs/>
          <w:i/>
          <w:iCs/>
          <w:sz w:val="20"/>
          <w:szCs w:val="20"/>
          <w:lang w:val="fr-FR"/>
        </w:rPr>
        <w:t>cision </w:t>
      </w:r>
      <w:r w:rsidRPr="00FE2F0D">
        <w:rPr>
          <w:rFonts w:cs="Arial"/>
          <w:b/>
          <w:bCs/>
          <w:i/>
          <w:iCs/>
          <w:sz w:val="20"/>
          <w:szCs w:val="20"/>
          <w:lang w:val="fr-FR"/>
        </w:rPr>
        <w:t xml:space="preserve">14.73 </w:t>
      </w:r>
      <w:r w:rsidR="002323D7" w:rsidRPr="00FE2F0D">
        <w:rPr>
          <w:rFonts w:cs="Arial"/>
          <w:b/>
          <w:bCs/>
          <w:i/>
          <w:iCs/>
          <w:sz w:val="20"/>
          <w:szCs w:val="20"/>
          <w:lang w:val="fr-FR"/>
        </w:rPr>
        <w:t>À l’adresse du Secrétariat</w:t>
      </w:r>
      <w:r w:rsidRPr="00FE2F0D">
        <w:rPr>
          <w:rFonts w:cs="Arial"/>
          <w:b/>
          <w:bCs/>
          <w:i/>
          <w:iCs/>
          <w:sz w:val="20"/>
          <w:szCs w:val="20"/>
          <w:lang w:val="fr-FR"/>
        </w:rPr>
        <w:t xml:space="preserve"> </w:t>
      </w:r>
    </w:p>
    <w:p w14:paraId="00078E42" w14:textId="77777777" w:rsidR="00BE5E9B" w:rsidRPr="00FE2F0D" w:rsidRDefault="00BE5E9B" w:rsidP="00FE2F0D">
      <w:pPr>
        <w:spacing w:after="0" w:line="240" w:lineRule="auto"/>
        <w:ind w:left="851"/>
        <w:jc w:val="both"/>
        <w:rPr>
          <w:rFonts w:cs="Arial"/>
          <w:i/>
          <w:iCs/>
          <w:sz w:val="20"/>
          <w:szCs w:val="20"/>
          <w:lang w:val="fr-FR"/>
        </w:rPr>
      </w:pPr>
    </w:p>
    <w:p w14:paraId="3CE91972" w14:textId="77777777" w:rsidR="00BE5E9B" w:rsidRPr="008233A5" w:rsidRDefault="002323D7" w:rsidP="00FE2F0D">
      <w:pPr>
        <w:spacing w:after="0" w:line="240" w:lineRule="auto"/>
        <w:ind w:left="851"/>
        <w:jc w:val="both"/>
        <w:rPr>
          <w:rFonts w:cs="Arial"/>
          <w:i/>
          <w:iCs/>
          <w:sz w:val="20"/>
          <w:szCs w:val="20"/>
          <w:lang w:val="fr-FR"/>
        </w:rPr>
      </w:pPr>
      <w:r w:rsidRPr="00FE2F0D">
        <w:rPr>
          <w:rFonts w:cs="Arial"/>
          <w:i/>
          <w:iCs/>
          <w:sz w:val="20"/>
          <w:szCs w:val="20"/>
          <w:lang w:val="fr-FR"/>
        </w:rPr>
        <w:t>Le Secrétariat, sous réserve de la disponibilité de ressources</w:t>
      </w:r>
      <w:r w:rsidR="008C55E3" w:rsidRPr="00FE2F0D">
        <w:rPr>
          <w:rFonts w:cs="Arial"/>
          <w:i/>
          <w:iCs/>
          <w:sz w:val="20"/>
          <w:szCs w:val="20"/>
          <w:lang w:val="fr-FR"/>
        </w:rPr>
        <w:t xml:space="preserve"> </w:t>
      </w:r>
      <w:r w:rsidRPr="00FE2F0D">
        <w:rPr>
          <w:rFonts w:cs="Arial"/>
          <w:i/>
          <w:iCs/>
          <w:sz w:val="20"/>
          <w:szCs w:val="20"/>
          <w:lang w:val="fr-FR"/>
        </w:rPr>
        <w:t>externes, soutient le Conseil scientifique dans l'élaboration des</w:t>
      </w:r>
      <w:r w:rsidR="008C55E3" w:rsidRPr="00FE2F0D">
        <w:rPr>
          <w:rFonts w:cs="Arial"/>
          <w:i/>
          <w:iCs/>
          <w:sz w:val="20"/>
          <w:szCs w:val="20"/>
          <w:lang w:val="fr-FR"/>
        </w:rPr>
        <w:t xml:space="preserve"> </w:t>
      </w:r>
      <w:r w:rsidRPr="00FE2F0D">
        <w:rPr>
          <w:rFonts w:cs="Arial"/>
          <w:i/>
          <w:iCs/>
          <w:sz w:val="20"/>
          <w:szCs w:val="20"/>
          <w:lang w:val="fr-FR"/>
        </w:rPr>
        <w:t>rapports et des recommandations demandés dans la Décision</w:t>
      </w:r>
      <w:r w:rsidR="008C55E3" w:rsidRPr="00FE2F0D">
        <w:rPr>
          <w:rFonts w:cs="Arial"/>
          <w:i/>
          <w:iCs/>
          <w:sz w:val="20"/>
          <w:szCs w:val="20"/>
          <w:lang w:val="fr-FR"/>
        </w:rPr>
        <w:t> </w:t>
      </w:r>
      <w:r w:rsidRPr="00FE2F0D">
        <w:rPr>
          <w:rFonts w:cs="Arial"/>
          <w:i/>
          <w:iCs/>
          <w:sz w:val="20"/>
          <w:szCs w:val="20"/>
          <w:lang w:val="fr-FR"/>
        </w:rPr>
        <w:t>14.72</w:t>
      </w:r>
      <w:r w:rsidR="00B757F7" w:rsidRPr="00FE2F0D">
        <w:rPr>
          <w:rFonts w:cs="Arial"/>
          <w:i/>
          <w:iCs/>
          <w:sz w:val="20"/>
          <w:szCs w:val="20"/>
          <w:lang w:val="fr-FR"/>
        </w:rPr>
        <w:t>.</w:t>
      </w:r>
    </w:p>
    <w:p w14:paraId="55820F58" w14:textId="77777777" w:rsidR="00BE5E9B" w:rsidRPr="008233A5" w:rsidRDefault="00BE5E9B">
      <w:pPr>
        <w:spacing w:after="0" w:line="240" w:lineRule="auto"/>
        <w:rPr>
          <w:rFonts w:cs="Arial"/>
          <w:lang w:val="fr-FR"/>
        </w:rPr>
      </w:pPr>
    </w:p>
    <w:p w14:paraId="79937DC7" w14:textId="77777777" w:rsidR="00BE5E9B" w:rsidRPr="008233A5" w:rsidRDefault="00B757F7">
      <w:pPr>
        <w:widowControl w:val="0"/>
        <w:autoSpaceDE w:val="0"/>
        <w:autoSpaceDN w:val="0"/>
        <w:adjustRightInd w:val="0"/>
        <w:spacing w:after="0" w:line="240" w:lineRule="auto"/>
        <w:jc w:val="both"/>
        <w:rPr>
          <w:rFonts w:cs="Arial"/>
          <w:u w:val="single"/>
          <w:lang w:val="fr-FR"/>
        </w:rPr>
      </w:pPr>
      <w:r w:rsidRPr="008233A5">
        <w:rPr>
          <w:rFonts w:cs="Arial"/>
          <w:u w:val="single"/>
          <w:lang w:val="fr-FR"/>
        </w:rPr>
        <w:t>Rapport sur la quantification de la chasse à la baleine contemporaine et du prélèvement de viande d’animaux sauvages aquatiques de tous les cétacés inscrits à l’Annexe I de la CMS dans toutes les régions</w:t>
      </w:r>
    </w:p>
    <w:p w14:paraId="2A4D4131" w14:textId="77777777" w:rsidR="00BE5E9B" w:rsidRPr="008233A5" w:rsidRDefault="00BE5E9B">
      <w:pPr>
        <w:widowControl w:val="0"/>
        <w:autoSpaceDE w:val="0"/>
        <w:autoSpaceDN w:val="0"/>
        <w:adjustRightInd w:val="0"/>
        <w:spacing w:after="0" w:line="240" w:lineRule="auto"/>
        <w:ind w:left="567"/>
        <w:jc w:val="both"/>
        <w:rPr>
          <w:rFonts w:cs="Arial"/>
          <w:lang w:val="fr-FR"/>
        </w:rPr>
      </w:pPr>
    </w:p>
    <w:p w14:paraId="70CABF0D" w14:textId="0C9DD069" w:rsidR="00BE5E9B" w:rsidRPr="008233A5" w:rsidRDefault="00B757F7">
      <w:pPr>
        <w:pStyle w:val="ListParagraph"/>
        <w:widowControl w:val="0"/>
        <w:numPr>
          <w:ilvl w:val="0"/>
          <w:numId w:val="4"/>
        </w:numPr>
        <w:autoSpaceDE w:val="0"/>
        <w:autoSpaceDN w:val="0"/>
        <w:adjustRightInd w:val="0"/>
        <w:spacing w:after="0" w:line="240" w:lineRule="auto"/>
        <w:ind w:left="567" w:hanging="567"/>
        <w:contextualSpacing w:val="0"/>
        <w:jc w:val="both"/>
        <w:rPr>
          <w:rFonts w:cs="Arial"/>
          <w:u w:val="single"/>
          <w:lang w:val="fr-FR"/>
        </w:rPr>
      </w:pPr>
      <w:r w:rsidRPr="008233A5">
        <w:rPr>
          <w:rFonts w:cs="Arial"/>
          <w:lang w:val="fr-FR"/>
        </w:rPr>
        <w:t>Le Secrétariat, avec le financement du gouvernement allemand, a engagé un consultant pour rédiger un rapport sur la quantification de la chasse à la baleine contemporaine et du prélèvement de viande d’animaux sauvages aquatiques de tous les cétacés inscrits à l’Annexe I de la CMS dans toutes les régions (Décision 14.72 (a)). Le projet de rapport a été communiqué pour commentaires au Groupe de travail sur la viande d’animaux sauvages aquatiques et au Groupe de travail sur les mammifères aquatiques (AMWG), ainsi qu’à la Commission Baleinière Internationale (CBI). La version finale est disponible dans le document </w:t>
      </w:r>
      <w:hyperlink r:id="rId19" w:history="1">
        <w:r w:rsidR="00A72CF3" w:rsidRPr="00A72CF3">
          <w:rPr>
            <w:rStyle w:val="Hyperlink"/>
            <w:rFonts w:cs="Arial"/>
            <w:lang w:val="fr-FR"/>
          </w:rPr>
          <w:t>UNEP/CMS/COP15/Inf.25.4.1a</w:t>
        </w:r>
      </w:hyperlink>
      <w:r w:rsidRPr="008233A5">
        <w:rPr>
          <w:rFonts w:cs="Arial"/>
          <w:lang w:val="fr-FR"/>
        </w:rPr>
        <w:t xml:space="preserve"> ; un résumé et des recommandations clés sont joints en annexe 1. </w:t>
      </w:r>
    </w:p>
    <w:p w14:paraId="2D105627" w14:textId="34363C20" w:rsidR="00A72CF3" w:rsidRDefault="00A72CF3">
      <w:pPr>
        <w:widowControl w:val="0"/>
        <w:autoSpaceDE w:val="0"/>
        <w:autoSpaceDN w:val="0"/>
        <w:adjustRightInd w:val="0"/>
        <w:spacing w:after="0" w:line="240" w:lineRule="auto"/>
        <w:jc w:val="both"/>
        <w:rPr>
          <w:rFonts w:cs="Arial"/>
          <w:u w:val="single"/>
          <w:lang w:val="fr-FR"/>
        </w:rPr>
      </w:pPr>
      <w:r>
        <w:rPr>
          <w:rFonts w:cs="Arial"/>
          <w:u w:val="single"/>
          <w:lang w:val="fr-FR"/>
        </w:rPr>
        <w:br w:type="page"/>
      </w:r>
    </w:p>
    <w:p w14:paraId="66C5D688" w14:textId="77777777" w:rsidR="00BE5E9B" w:rsidRPr="008233A5" w:rsidRDefault="00B757F7">
      <w:pPr>
        <w:widowControl w:val="0"/>
        <w:autoSpaceDE w:val="0"/>
        <w:autoSpaceDN w:val="0"/>
        <w:adjustRightInd w:val="0"/>
        <w:spacing w:after="0" w:line="240" w:lineRule="auto"/>
        <w:jc w:val="both"/>
        <w:rPr>
          <w:rFonts w:cs="Arial"/>
          <w:u w:val="single"/>
          <w:lang w:val="fr-FR"/>
        </w:rPr>
      </w:pPr>
      <w:bookmarkStart w:id="15" w:name="_Hlk205451589"/>
      <w:r w:rsidRPr="008233A5">
        <w:rPr>
          <w:rFonts w:cs="Arial"/>
          <w:u w:val="single"/>
          <w:lang w:val="fr-FR"/>
        </w:rPr>
        <w:lastRenderedPageBreak/>
        <w:t>Rapport sur les impacts potentiels des migrations induites par le climat sur le bien-être et les résultats de conservation des espèces de cétacés concernées</w:t>
      </w:r>
      <w:bookmarkEnd w:id="15"/>
    </w:p>
    <w:p w14:paraId="4EC3FA5E" w14:textId="77777777" w:rsidR="00BE5E9B" w:rsidRPr="008233A5" w:rsidRDefault="00BE5E9B">
      <w:pPr>
        <w:widowControl w:val="0"/>
        <w:autoSpaceDE w:val="0"/>
        <w:autoSpaceDN w:val="0"/>
        <w:adjustRightInd w:val="0"/>
        <w:spacing w:after="0" w:line="240" w:lineRule="auto"/>
        <w:ind w:left="567"/>
        <w:jc w:val="both"/>
        <w:rPr>
          <w:rFonts w:cs="Arial"/>
          <w:highlight w:val="yellow"/>
          <w:lang w:val="fr-FR"/>
        </w:rPr>
      </w:pPr>
    </w:p>
    <w:p w14:paraId="4F68D59E" w14:textId="58C25F46" w:rsidR="00BE5E9B" w:rsidRPr="008233A5" w:rsidRDefault="00B757F7">
      <w:pPr>
        <w:pStyle w:val="ListParagraph"/>
        <w:widowControl w:val="0"/>
        <w:numPr>
          <w:ilvl w:val="0"/>
          <w:numId w:val="4"/>
        </w:numPr>
        <w:autoSpaceDE w:val="0"/>
        <w:autoSpaceDN w:val="0"/>
        <w:adjustRightInd w:val="0"/>
        <w:spacing w:after="0" w:line="240" w:lineRule="auto"/>
        <w:ind w:left="567" w:hanging="567"/>
        <w:contextualSpacing w:val="0"/>
        <w:jc w:val="both"/>
        <w:rPr>
          <w:rFonts w:cs="Arial"/>
          <w:lang w:val="fr-FR"/>
        </w:rPr>
      </w:pPr>
      <w:r w:rsidRPr="008233A5">
        <w:rPr>
          <w:rFonts w:cs="Arial"/>
          <w:lang w:val="fr-FR"/>
        </w:rPr>
        <w:t>Le rapport sur les impacts potentiels des migrations induites par le climat (Décision 14.72 (b)) a été élaboré par le gouvernement du Royaume-Uni, en consultation avec les conseillers nommés par la COP pour les mammifères aquatiques, la pollution marine et le changement climatique. Le résumé et les recommandations du rapport sont disponibles à l’Annexe 2. Le rapport complet est disponible sous la cote </w:t>
      </w:r>
      <w:hyperlink r:id="rId20" w:history="1">
        <w:r w:rsidR="00886CEB" w:rsidRPr="008E32DC">
          <w:rPr>
            <w:rStyle w:val="Hyperlink"/>
            <w:rFonts w:cs="Arial"/>
            <w:lang w:val="fr-FR"/>
          </w:rPr>
          <w:t>UNEP/CMS/COP15/Inf.25.4.1b</w:t>
        </w:r>
        <w:r w:rsidRPr="008E32DC">
          <w:rPr>
            <w:rStyle w:val="Hyperlink"/>
            <w:rFonts w:cs="Arial"/>
            <w:lang w:val="fr-FR"/>
          </w:rPr>
          <w:t>.</w:t>
        </w:r>
      </w:hyperlink>
    </w:p>
    <w:p w14:paraId="03D7F6B4" w14:textId="77777777" w:rsidR="00BE5E9B" w:rsidRPr="008233A5" w:rsidRDefault="00BE5E9B">
      <w:pPr>
        <w:widowControl w:val="0"/>
        <w:autoSpaceDE w:val="0"/>
        <w:autoSpaceDN w:val="0"/>
        <w:adjustRightInd w:val="0"/>
        <w:spacing w:after="0" w:line="240" w:lineRule="auto"/>
        <w:jc w:val="both"/>
        <w:rPr>
          <w:rFonts w:cs="Arial"/>
          <w:lang w:val="fr-FR"/>
        </w:rPr>
      </w:pPr>
    </w:p>
    <w:p w14:paraId="0F2004E0" w14:textId="77777777" w:rsidR="00BE5E9B" w:rsidRPr="008233A5" w:rsidRDefault="00B757F7">
      <w:pPr>
        <w:widowControl w:val="0"/>
        <w:autoSpaceDE w:val="0"/>
        <w:autoSpaceDN w:val="0"/>
        <w:adjustRightInd w:val="0"/>
        <w:spacing w:after="0" w:line="240" w:lineRule="auto"/>
        <w:jc w:val="both"/>
        <w:rPr>
          <w:rFonts w:cs="Arial"/>
          <w:u w:val="single"/>
          <w:lang w:val="fr-FR"/>
        </w:rPr>
      </w:pPr>
      <w:r w:rsidRPr="008233A5">
        <w:rPr>
          <w:rFonts w:cs="Arial"/>
          <w:u w:val="single"/>
          <w:lang w:val="fr-FR"/>
        </w:rPr>
        <w:t>Protocoles standard d’échouage et de nécropsie</w:t>
      </w:r>
    </w:p>
    <w:p w14:paraId="5A67C2AA" w14:textId="77777777" w:rsidR="00BE5E9B" w:rsidRPr="008233A5" w:rsidRDefault="00BE5E9B">
      <w:pPr>
        <w:widowControl w:val="0"/>
        <w:autoSpaceDE w:val="0"/>
        <w:autoSpaceDN w:val="0"/>
        <w:adjustRightInd w:val="0"/>
        <w:spacing w:after="0" w:line="240" w:lineRule="auto"/>
        <w:ind w:left="567"/>
        <w:jc w:val="both"/>
        <w:rPr>
          <w:rFonts w:cs="Arial"/>
          <w:lang w:val="fr-FR"/>
        </w:rPr>
      </w:pPr>
    </w:p>
    <w:p w14:paraId="59A3E3ED" w14:textId="77777777" w:rsidR="00BE5E9B" w:rsidRPr="008233A5" w:rsidRDefault="00B757F7">
      <w:pPr>
        <w:pStyle w:val="ListParagraph"/>
        <w:widowControl w:val="0"/>
        <w:numPr>
          <w:ilvl w:val="0"/>
          <w:numId w:val="4"/>
        </w:numPr>
        <w:autoSpaceDE w:val="0"/>
        <w:autoSpaceDN w:val="0"/>
        <w:adjustRightInd w:val="0"/>
        <w:spacing w:after="0" w:line="240" w:lineRule="auto"/>
        <w:ind w:left="567" w:hanging="567"/>
        <w:contextualSpacing w:val="0"/>
        <w:jc w:val="both"/>
        <w:rPr>
          <w:rFonts w:cs="Arial"/>
          <w:lang w:val="fr-FR"/>
        </w:rPr>
      </w:pPr>
      <w:r w:rsidRPr="008233A5">
        <w:rPr>
          <w:rFonts w:cs="Arial"/>
          <w:lang w:val="fr-FR"/>
        </w:rPr>
        <w:t xml:space="preserve">Les Parties peuvent bénéficier du travail entrepris sur les protocoles d’échouage et de nécropsie par les accords dérivés de la CMS. Conformément à la Décision 14.72 (c), les protocoles suivants sont recommandés aux Parties : </w:t>
      </w:r>
    </w:p>
    <w:p w14:paraId="7F6BD1B6" w14:textId="77777777" w:rsidR="00BE5E9B" w:rsidRPr="008233A5" w:rsidRDefault="00BE5E9B">
      <w:pPr>
        <w:pStyle w:val="ListParagraph"/>
        <w:widowControl w:val="0"/>
        <w:autoSpaceDE w:val="0"/>
        <w:autoSpaceDN w:val="0"/>
        <w:adjustRightInd w:val="0"/>
        <w:spacing w:after="0" w:line="240" w:lineRule="auto"/>
        <w:ind w:left="567"/>
        <w:contextualSpacing w:val="0"/>
        <w:jc w:val="both"/>
        <w:rPr>
          <w:rFonts w:cs="Arial"/>
          <w:lang w:val="fr-FR"/>
        </w:rPr>
      </w:pPr>
    </w:p>
    <w:p w14:paraId="6659326B" w14:textId="77777777" w:rsidR="00BE5E9B" w:rsidRPr="008233A5" w:rsidRDefault="00B757F7">
      <w:pPr>
        <w:pStyle w:val="ListParagraph"/>
        <w:widowControl w:val="0"/>
        <w:numPr>
          <w:ilvl w:val="0"/>
          <w:numId w:val="41"/>
        </w:numPr>
        <w:autoSpaceDE w:val="0"/>
        <w:autoSpaceDN w:val="0"/>
        <w:adjustRightInd w:val="0"/>
        <w:spacing w:after="0" w:line="240" w:lineRule="auto"/>
        <w:jc w:val="both"/>
        <w:rPr>
          <w:rFonts w:cs="Arial"/>
          <w:lang w:val="fr-FR"/>
        </w:rPr>
      </w:pPr>
      <w:r w:rsidRPr="008233A5">
        <w:rPr>
          <w:rFonts w:cs="Arial"/>
          <w:iCs/>
          <w:lang w:val="fr-FR"/>
        </w:rPr>
        <w:t>Les</w:t>
      </w:r>
      <w:r w:rsidRPr="008233A5">
        <w:rPr>
          <w:rFonts w:cs="Arial"/>
          <w:i/>
          <w:iCs/>
          <w:lang w:val="fr-FR"/>
        </w:rPr>
        <w:t xml:space="preserve"> Meilleures pratiques en matière d’enquête post-mortem sur les cétacés et de prélèvement de tissus</w:t>
      </w:r>
      <w:r w:rsidRPr="008233A5">
        <w:rPr>
          <w:rStyle w:val="FootnoteReference"/>
          <w:rFonts w:cs="Arial"/>
          <w:i/>
          <w:iCs/>
          <w:lang w:val="fr-FR"/>
        </w:rPr>
        <w:footnoteReference w:id="2"/>
      </w:r>
      <w:r w:rsidRPr="008233A5">
        <w:rPr>
          <w:rFonts w:cs="Arial"/>
          <w:i/>
          <w:iCs/>
          <w:lang w:val="fr-FR"/>
        </w:rPr>
        <w:t xml:space="preserve">, </w:t>
      </w:r>
      <w:r w:rsidRPr="008233A5">
        <w:rPr>
          <w:rFonts w:cs="Arial"/>
          <w:lang w:val="fr-FR"/>
        </w:rPr>
        <w:t>développées conjointement par l’Accord sur la conservation des cétacés de la mer Noire, de la Méditerranée et de la zone atlantique adjacente (ACCOBAMS) et l’Accord sur la conservation des petits cétacés de la mer Baltique, du nord-est de l’Atlantique et des mers d’Irlande et du Nord (ASCOBANS), constituent un protocole exhaustif et à plusieurs niveaux offrant un cadre pour la collecte et l’interprétation des données en fonction des ressources disponibles. Ce protocole a été élaboré par d’éminents pathologistes spécialisés dans les cétacés et adopté lors de la 9</w:t>
      </w:r>
      <w:r w:rsidRPr="008233A5">
        <w:rPr>
          <w:rFonts w:cs="Arial"/>
          <w:vertAlign w:val="superscript"/>
          <w:lang w:val="fr-FR"/>
        </w:rPr>
        <w:t>e</w:t>
      </w:r>
      <w:r w:rsidRPr="008233A5">
        <w:rPr>
          <w:rFonts w:cs="Arial"/>
          <w:lang w:val="fr-FR"/>
        </w:rPr>
        <w:t xml:space="preserve"> Réunion des Parties (MOP9) de l’ASCOBANS. Le protocole n’est pas conçu pour remplacer les protocoles existants, en particulier ceux des laboratoires et des réseaux d’échouage bien établis depuis longtemps, mais il offre un cadre pour améliorer la cohérence à travers l’Europe lors de la réalisation d’examens sur des cétacés morts. </w:t>
      </w:r>
    </w:p>
    <w:p w14:paraId="06F02417" w14:textId="77777777" w:rsidR="00BE5E9B" w:rsidRPr="008233A5" w:rsidRDefault="00BE5E9B">
      <w:pPr>
        <w:pStyle w:val="ListParagraph"/>
        <w:widowControl w:val="0"/>
        <w:autoSpaceDE w:val="0"/>
        <w:autoSpaceDN w:val="0"/>
        <w:adjustRightInd w:val="0"/>
        <w:spacing w:after="0" w:line="240" w:lineRule="auto"/>
        <w:ind w:left="927"/>
        <w:jc w:val="both"/>
        <w:rPr>
          <w:rFonts w:cs="Arial"/>
          <w:lang w:val="fr-FR"/>
        </w:rPr>
      </w:pPr>
    </w:p>
    <w:p w14:paraId="45A54B70" w14:textId="77777777" w:rsidR="00BE5E9B" w:rsidRPr="008233A5" w:rsidRDefault="00B757F7">
      <w:pPr>
        <w:pStyle w:val="ListParagraph"/>
        <w:widowControl w:val="0"/>
        <w:numPr>
          <w:ilvl w:val="0"/>
          <w:numId w:val="41"/>
        </w:numPr>
        <w:autoSpaceDE w:val="0"/>
        <w:autoSpaceDN w:val="0"/>
        <w:adjustRightInd w:val="0"/>
        <w:spacing w:after="0" w:line="240" w:lineRule="auto"/>
        <w:jc w:val="both"/>
        <w:rPr>
          <w:rFonts w:cs="Arial"/>
          <w:u w:val="single"/>
          <w:lang w:val="fr-FR"/>
        </w:rPr>
      </w:pPr>
      <w:r w:rsidRPr="008233A5">
        <w:rPr>
          <w:rFonts w:cs="Arial"/>
          <w:iCs/>
          <w:lang w:val="fr-FR"/>
        </w:rPr>
        <w:t>Le</w:t>
      </w:r>
      <w:r w:rsidRPr="008233A5">
        <w:rPr>
          <w:rFonts w:cs="Arial"/>
          <w:i/>
          <w:iCs/>
          <w:lang w:val="fr-FR"/>
        </w:rPr>
        <w:t xml:space="preserve"> Cadre standard d’évaluation lors des nécropsies de cétacés pour établir des diagnostiques se basant sur des preuves relatives à des questions et/ou des menaces spécifiques</w:t>
      </w:r>
      <w:r w:rsidRPr="008233A5">
        <w:rPr>
          <w:rStyle w:val="FootnoteReference"/>
          <w:rFonts w:cs="Arial"/>
          <w:lang w:val="fr-FR"/>
        </w:rPr>
        <w:footnoteReference w:id="3"/>
      </w:r>
      <w:r w:rsidRPr="008233A5">
        <w:rPr>
          <w:rFonts w:cs="Arial"/>
          <w:lang w:val="fr-FR"/>
        </w:rPr>
        <w:t xml:space="preserve">, adoptés par l’ACCOBAMS lors de la MOP7, constituent un résumé opérationnel des </w:t>
      </w:r>
      <w:r w:rsidRPr="008233A5">
        <w:rPr>
          <w:rFonts w:cs="Arial"/>
          <w:i/>
          <w:iCs/>
          <w:lang w:val="fr-FR"/>
        </w:rPr>
        <w:t>meilleures pratiques pour les investigations post-mortem et les prélèvements de tissus chez les cétacés</w:t>
      </w:r>
      <w:r w:rsidRPr="008233A5">
        <w:rPr>
          <w:rFonts w:cs="Arial"/>
          <w:lang w:val="fr-FR"/>
        </w:rPr>
        <w:t xml:space="preserve">. Ces cadres peuvent soutenir l’interprétation des données et des observations recueillies lors d’une nécropsie approfondie et complète réalisée par un pathologiste vétérinaire et/ou un vétérinaire gouvernemental. </w:t>
      </w:r>
    </w:p>
    <w:p w14:paraId="714BF3A8" w14:textId="77777777" w:rsidR="00BE5E9B" w:rsidRPr="008233A5" w:rsidRDefault="00BE5E9B">
      <w:pPr>
        <w:pStyle w:val="ListParagraph"/>
        <w:widowControl w:val="0"/>
        <w:autoSpaceDE w:val="0"/>
        <w:autoSpaceDN w:val="0"/>
        <w:adjustRightInd w:val="0"/>
        <w:spacing w:after="0" w:line="240" w:lineRule="auto"/>
        <w:ind w:left="927"/>
        <w:jc w:val="both"/>
        <w:rPr>
          <w:rFonts w:cs="Arial"/>
          <w:u w:val="single"/>
          <w:lang w:val="fr-FR"/>
        </w:rPr>
      </w:pPr>
    </w:p>
    <w:p w14:paraId="09CF6A6C" w14:textId="77777777" w:rsidR="00BE5E9B" w:rsidRPr="008233A5" w:rsidRDefault="00B757F7">
      <w:pPr>
        <w:pStyle w:val="ListParagraph"/>
        <w:widowControl w:val="0"/>
        <w:numPr>
          <w:ilvl w:val="0"/>
          <w:numId w:val="41"/>
        </w:numPr>
        <w:autoSpaceDE w:val="0"/>
        <w:autoSpaceDN w:val="0"/>
        <w:adjustRightInd w:val="0"/>
        <w:spacing w:after="0" w:line="240" w:lineRule="auto"/>
        <w:jc w:val="both"/>
        <w:rPr>
          <w:rFonts w:cs="Arial"/>
          <w:u w:val="single"/>
          <w:lang w:val="fr-FR"/>
        </w:rPr>
      </w:pPr>
      <w:r w:rsidRPr="008233A5">
        <w:rPr>
          <w:rFonts w:cs="Arial"/>
          <w:iCs/>
          <w:lang w:val="fr-FR"/>
        </w:rPr>
        <w:t xml:space="preserve">L’initiative </w:t>
      </w:r>
      <w:r w:rsidRPr="008233A5">
        <w:rPr>
          <w:rFonts w:cs="Arial"/>
          <w:i/>
          <w:iCs/>
          <w:lang w:val="fr-FR"/>
        </w:rPr>
        <w:t>Strandings Initiative</w:t>
      </w:r>
      <w:r w:rsidRPr="008233A5">
        <w:rPr>
          <w:rStyle w:val="FootnoteReference"/>
          <w:rFonts w:cs="Arial"/>
          <w:lang w:val="fr-FR"/>
        </w:rPr>
        <w:footnoteReference w:id="4"/>
      </w:r>
      <w:r w:rsidRPr="008233A5">
        <w:rPr>
          <w:rFonts w:cs="Arial"/>
          <w:lang w:val="fr-FR"/>
        </w:rPr>
        <w:t>, mise en place par la CBI, fournit des conseils d’experts, une formation pratique, une collecte de données et un soutien en temps réel aux intervenants en cas d’échouage dans le monde entier. Elle a été lancée en 2016.</w:t>
      </w:r>
    </w:p>
    <w:p w14:paraId="75326468" w14:textId="77777777" w:rsidR="00BE5E9B" w:rsidRPr="008233A5" w:rsidRDefault="00BE5E9B">
      <w:pPr>
        <w:widowControl w:val="0"/>
        <w:autoSpaceDE w:val="0"/>
        <w:autoSpaceDN w:val="0"/>
        <w:adjustRightInd w:val="0"/>
        <w:spacing w:after="0" w:line="240" w:lineRule="auto"/>
        <w:jc w:val="both"/>
        <w:rPr>
          <w:rFonts w:cs="Arial"/>
          <w:u w:val="single"/>
          <w:lang w:val="fr-FR"/>
        </w:rPr>
      </w:pPr>
    </w:p>
    <w:p w14:paraId="2942EC4F" w14:textId="77777777" w:rsidR="00BE5E9B" w:rsidRPr="008233A5" w:rsidRDefault="00B757F7">
      <w:pPr>
        <w:widowControl w:val="0"/>
        <w:autoSpaceDE w:val="0"/>
        <w:autoSpaceDN w:val="0"/>
        <w:adjustRightInd w:val="0"/>
        <w:spacing w:after="0" w:line="240" w:lineRule="auto"/>
        <w:jc w:val="both"/>
        <w:rPr>
          <w:rFonts w:cs="Arial"/>
          <w:u w:val="single"/>
          <w:lang w:val="fr-FR"/>
        </w:rPr>
      </w:pPr>
      <w:r w:rsidRPr="008233A5">
        <w:rPr>
          <w:rFonts w:cs="Arial"/>
          <w:u w:val="single"/>
          <w:lang w:val="fr-FR"/>
        </w:rPr>
        <w:t>Rapport sur la surveillance, le bien-être et la conservation des cétacés « hors habitat » inscrits aux Annexes de la CMS</w:t>
      </w:r>
    </w:p>
    <w:p w14:paraId="0770565D" w14:textId="77777777" w:rsidR="00BE5E9B" w:rsidRPr="008233A5" w:rsidRDefault="00BE5E9B">
      <w:pPr>
        <w:widowControl w:val="0"/>
        <w:autoSpaceDE w:val="0"/>
        <w:autoSpaceDN w:val="0"/>
        <w:adjustRightInd w:val="0"/>
        <w:spacing w:after="0" w:line="240" w:lineRule="auto"/>
        <w:ind w:left="567"/>
        <w:jc w:val="both"/>
        <w:rPr>
          <w:rFonts w:cs="Arial"/>
          <w:lang w:val="fr-FR"/>
        </w:rPr>
      </w:pPr>
    </w:p>
    <w:p w14:paraId="7BADE215" w14:textId="488CBCB9" w:rsidR="00BE5E9B" w:rsidRPr="008233A5" w:rsidRDefault="00B757F7">
      <w:pPr>
        <w:pStyle w:val="ListParagraph"/>
        <w:widowControl w:val="0"/>
        <w:numPr>
          <w:ilvl w:val="0"/>
          <w:numId w:val="4"/>
        </w:numPr>
        <w:autoSpaceDE w:val="0"/>
        <w:autoSpaceDN w:val="0"/>
        <w:adjustRightInd w:val="0"/>
        <w:spacing w:after="0" w:line="240" w:lineRule="auto"/>
        <w:ind w:left="567" w:hanging="567"/>
        <w:contextualSpacing w:val="0"/>
        <w:jc w:val="both"/>
        <w:rPr>
          <w:rFonts w:cs="Arial"/>
          <w:i/>
          <w:iCs/>
          <w:u w:val="single"/>
          <w:lang w:val="fr-FR"/>
        </w:rPr>
      </w:pPr>
      <w:r w:rsidRPr="008233A5">
        <w:rPr>
          <w:rFonts w:cs="Arial"/>
          <w:lang w:val="fr-FR"/>
        </w:rPr>
        <w:t xml:space="preserve">Un cétacé « hors habitat » est soit un individu en dehors de son aire de répartition naturelle, soit un individu dans son aire de répartition naturelle, mais dans un habitat qui n’est pas optimal pour sa santé ou sa survie en raison de l’absence de conditions appropriées ou d’un conflit potentiel avec les humains. L’AMWG a identifié les « cétacés </w:t>
      </w:r>
      <w:r w:rsidRPr="008233A5">
        <w:rPr>
          <w:rFonts w:cs="Arial"/>
          <w:lang w:val="fr-FR"/>
        </w:rPr>
        <w:lastRenderedPageBreak/>
        <w:t>hors habitat » et les migrants climatiques</w:t>
      </w:r>
      <w:r w:rsidRPr="008233A5">
        <w:rPr>
          <w:rFonts w:cs="Arial"/>
          <w:color w:val="EE0000"/>
          <w:lang w:val="fr-FR"/>
        </w:rPr>
        <w:t xml:space="preserve"> </w:t>
      </w:r>
      <w:r w:rsidRPr="008233A5">
        <w:rPr>
          <w:rFonts w:cs="Arial"/>
          <w:lang w:val="fr-FR"/>
        </w:rPr>
        <w:t>comme étant des individus particulièrement menacés dans le document</w:t>
      </w:r>
      <w:hyperlink r:id="rId21" w:history="1">
        <w:r w:rsidR="0008082E" w:rsidRPr="0008082E">
          <w:rPr>
            <w:rStyle w:val="Hyperlink"/>
            <w:rFonts w:cs="Arial"/>
            <w:color w:val="auto"/>
            <w:u w:val="none"/>
            <w:lang w:val="fr-FR"/>
          </w:rPr>
          <w:t xml:space="preserve"> </w:t>
        </w:r>
        <w:r w:rsidRPr="008233A5">
          <w:rPr>
            <w:rStyle w:val="Hyperlink"/>
            <w:rFonts w:cs="Arial"/>
            <w:lang w:val="fr-FR"/>
          </w:rPr>
          <w:t>UNEP/CMS/COP14/Inf.27.5.1a</w:t>
        </w:r>
      </w:hyperlink>
      <w:r w:rsidRPr="008233A5">
        <w:rPr>
          <w:rFonts w:cs="Arial"/>
          <w:lang w:val="fr-FR"/>
        </w:rPr>
        <w:t xml:space="preserve"> </w:t>
      </w:r>
      <w:r w:rsidRPr="008233A5">
        <w:rPr>
          <w:rFonts w:cs="Arial"/>
          <w:i/>
          <w:iCs/>
          <w:lang w:val="fr-FR"/>
        </w:rPr>
        <w:t>Examen à l’appui de l’élaboration d’un deuxième programme de travail de la CMS sur les cétacés (2024-2035)</w:t>
      </w:r>
      <w:r w:rsidRPr="008233A5">
        <w:rPr>
          <w:rFonts w:cs="Arial"/>
          <w:lang w:val="fr-FR"/>
        </w:rPr>
        <w:t xml:space="preserve">. </w:t>
      </w:r>
    </w:p>
    <w:p w14:paraId="58C73797" w14:textId="77777777" w:rsidR="00BE5E9B" w:rsidRPr="008233A5" w:rsidRDefault="00BE5E9B">
      <w:pPr>
        <w:pStyle w:val="ListParagraph"/>
        <w:widowControl w:val="0"/>
        <w:autoSpaceDE w:val="0"/>
        <w:autoSpaceDN w:val="0"/>
        <w:adjustRightInd w:val="0"/>
        <w:spacing w:after="0" w:line="240" w:lineRule="auto"/>
        <w:ind w:left="567"/>
        <w:contextualSpacing w:val="0"/>
        <w:jc w:val="both"/>
        <w:rPr>
          <w:rFonts w:cs="Arial"/>
          <w:u w:val="single"/>
          <w:lang w:val="fr-FR"/>
        </w:rPr>
      </w:pPr>
    </w:p>
    <w:p w14:paraId="6DAC6E59" w14:textId="54B564A3" w:rsidR="00BE5E9B" w:rsidRPr="008233A5" w:rsidRDefault="00B757F7">
      <w:pPr>
        <w:pStyle w:val="ListParagraph"/>
        <w:widowControl w:val="0"/>
        <w:numPr>
          <w:ilvl w:val="0"/>
          <w:numId w:val="4"/>
        </w:numPr>
        <w:autoSpaceDE w:val="0"/>
        <w:autoSpaceDN w:val="0"/>
        <w:adjustRightInd w:val="0"/>
        <w:spacing w:after="0" w:line="240" w:lineRule="auto"/>
        <w:ind w:left="567" w:hanging="567"/>
        <w:contextualSpacing w:val="0"/>
        <w:jc w:val="both"/>
        <w:rPr>
          <w:rFonts w:cs="Arial"/>
          <w:i/>
          <w:iCs/>
          <w:u w:val="single"/>
          <w:lang w:val="fr-FR"/>
        </w:rPr>
      </w:pPr>
      <w:r w:rsidRPr="008233A5">
        <w:rPr>
          <w:rFonts w:cs="Arial"/>
          <w:lang w:val="fr-FR"/>
        </w:rPr>
        <w:t>Le rapport susmentionné demandé dans la Décision 14.72 (d) a été publié en tant qu’</w:t>
      </w:r>
      <w:hyperlink r:id="rId22" w:history="1">
        <w:r w:rsidRPr="008233A5">
          <w:rPr>
            <w:rStyle w:val="Hyperlink"/>
            <w:rFonts w:cs="Arial"/>
            <w:lang w:val="fr-FR"/>
          </w:rPr>
          <w:t>article en libre accès</w:t>
        </w:r>
      </w:hyperlink>
      <w:r w:rsidR="00DC5642" w:rsidRPr="008233A5">
        <w:rPr>
          <w:rFonts w:cs="Arial"/>
          <w:lang w:val="fr-FR"/>
        </w:rPr>
        <w:t xml:space="preserve"> intitulé </w:t>
      </w:r>
      <w:r w:rsidRPr="008233A5">
        <w:rPr>
          <w:rFonts w:cs="Arial"/>
          <w:i/>
          <w:iCs/>
          <w:lang w:val="fr-FR"/>
        </w:rPr>
        <w:t>Out of habitat marine mammals — Identification, causes, and management recommendations</w:t>
      </w:r>
      <w:r w:rsidRPr="008233A5">
        <w:rPr>
          <w:rFonts w:cs="Arial"/>
          <w:lang w:val="fr-FR"/>
        </w:rPr>
        <w:t xml:space="preserve"> (Nunny et al., 2025) et est disponible sous la cote </w:t>
      </w:r>
      <w:hyperlink r:id="rId23" w:history="1">
        <w:r w:rsidR="00102365" w:rsidRPr="00EA206C">
          <w:rPr>
            <w:rStyle w:val="Hyperlink"/>
            <w:rFonts w:cs="Arial"/>
            <w:lang w:val="fr-FR"/>
          </w:rPr>
          <w:t>UNEP/CMS/COP15/Inf.25.4.1c</w:t>
        </w:r>
        <w:r w:rsidRPr="00EA206C">
          <w:rPr>
            <w:rStyle w:val="Hyperlink"/>
            <w:lang w:val="fr-FR"/>
          </w:rPr>
          <w:t>.</w:t>
        </w:r>
      </w:hyperlink>
      <w:r w:rsidRPr="008233A5">
        <w:rPr>
          <w:rFonts w:cs="Arial"/>
          <w:lang w:val="fr-FR"/>
        </w:rPr>
        <w:t xml:space="preserve"> Un résumé des principales conclusions et recommandations se trouve à l’Annexe 3. </w:t>
      </w:r>
    </w:p>
    <w:p w14:paraId="0B124C03" w14:textId="77777777" w:rsidR="00BE5E9B" w:rsidRPr="008233A5" w:rsidRDefault="00BE5E9B">
      <w:pPr>
        <w:widowControl w:val="0"/>
        <w:autoSpaceDE w:val="0"/>
        <w:autoSpaceDN w:val="0"/>
        <w:adjustRightInd w:val="0"/>
        <w:spacing w:after="0" w:line="240" w:lineRule="auto"/>
        <w:jc w:val="both"/>
        <w:rPr>
          <w:rFonts w:cs="Arial"/>
          <w:u w:val="single"/>
          <w:lang w:val="fr-FR"/>
        </w:rPr>
      </w:pPr>
    </w:p>
    <w:p w14:paraId="57FAD658" w14:textId="77777777" w:rsidR="00BE5E9B" w:rsidRPr="008233A5" w:rsidRDefault="00B757F7">
      <w:pPr>
        <w:widowControl w:val="0"/>
        <w:autoSpaceDE w:val="0"/>
        <w:autoSpaceDN w:val="0"/>
        <w:adjustRightInd w:val="0"/>
        <w:spacing w:after="0" w:line="240" w:lineRule="auto"/>
        <w:jc w:val="both"/>
        <w:rPr>
          <w:rFonts w:cs="Arial"/>
          <w:u w:val="single"/>
          <w:lang w:val="fr-FR"/>
        </w:rPr>
      </w:pPr>
      <w:r w:rsidRPr="008233A5">
        <w:rPr>
          <w:rFonts w:cs="Arial"/>
          <w:u w:val="single"/>
          <w:lang w:val="fr-FR"/>
        </w:rPr>
        <w:t>Synthèse de la recherche sur la compréhension émergente de la façon dont le bien-être des cétacés peut avoir un impact sur les résultats de conservation</w:t>
      </w:r>
    </w:p>
    <w:p w14:paraId="4CFDE435" w14:textId="77777777" w:rsidR="00BE5E9B" w:rsidRPr="008233A5" w:rsidRDefault="00BE5E9B">
      <w:pPr>
        <w:widowControl w:val="0"/>
        <w:autoSpaceDE w:val="0"/>
        <w:autoSpaceDN w:val="0"/>
        <w:adjustRightInd w:val="0"/>
        <w:spacing w:after="0" w:line="240" w:lineRule="auto"/>
        <w:ind w:left="567"/>
        <w:jc w:val="both"/>
        <w:rPr>
          <w:rFonts w:cs="Arial"/>
          <w:lang w:val="fr-FR"/>
        </w:rPr>
      </w:pPr>
    </w:p>
    <w:p w14:paraId="432890DB" w14:textId="3BB7571E" w:rsidR="00BE5E9B" w:rsidRPr="008233A5" w:rsidRDefault="00B757F7">
      <w:pPr>
        <w:pStyle w:val="ListParagraph"/>
        <w:widowControl w:val="0"/>
        <w:numPr>
          <w:ilvl w:val="0"/>
          <w:numId w:val="4"/>
        </w:numPr>
        <w:autoSpaceDE w:val="0"/>
        <w:autoSpaceDN w:val="0"/>
        <w:adjustRightInd w:val="0"/>
        <w:spacing w:after="0" w:line="240" w:lineRule="auto"/>
        <w:ind w:left="567" w:hanging="567"/>
        <w:contextualSpacing w:val="0"/>
        <w:jc w:val="both"/>
        <w:rPr>
          <w:rFonts w:cs="Arial"/>
          <w:u w:val="single"/>
          <w:lang w:val="fr-FR"/>
        </w:rPr>
      </w:pPr>
      <w:r w:rsidRPr="008233A5">
        <w:rPr>
          <w:rFonts w:cs="Arial"/>
          <w:lang w:val="fr-FR"/>
        </w:rPr>
        <w:t>En raison de la brièveté de la période intersessions, la synthèse demandée dans la Décision 14.72 (e) n’a pas été finalisée. C’est pourquoi il est proposé de renouveler cette Décision à l’Annexe </w:t>
      </w:r>
      <w:r w:rsidR="00293936">
        <w:rPr>
          <w:rFonts w:cs="Arial"/>
          <w:lang w:val="fr-FR"/>
        </w:rPr>
        <w:t>6</w:t>
      </w:r>
      <w:r w:rsidRPr="008233A5">
        <w:rPr>
          <w:rFonts w:cs="Arial"/>
          <w:lang w:val="fr-FR"/>
        </w:rPr>
        <w:t xml:space="preserve">. </w:t>
      </w:r>
    </w:p>
    <w:p w14:paraId="064A05F7" w14:textId="77777777" w:rsidR="00BE5E9B" w:rsidRPr="008233A5" w:rsidRDefault="00BE5E9B">
      <w:pPr>
        <w:widowControl w:val="0"/>
        <w:autoSpaceDE w:val="0"/>
        <w:autoSpaceDN w:val="0"/>
        <w:adjustRightInd w:val="0"/>
        <w:spacing w:after="0" w:line="240" w:lineRule="auto"/>
        <w:jc w:val="both"/>
        <w:rPr>
          <w:rFonts w:cs="Arial"/>
          <w:u w:val="single"/>
          <w:lang w:val="fr-FR"/>
        </w:rPr>
      </w:pPr>
    </w:p>
    <w:p w14:paraId="60D3977D" w14:textId="77777777" w:rsidR="00BE5E9B" w:rsidRPr="008233A5" w:rsidRDefault="00B757F7">
      <w:pPr>
        <w:widowControl w:val="0"/>
        <w:autoSpaceDE w:val="0"/>
        <w:autoSpaceDN w:val="0"/>
        <w:adjustRightInd w:val="0"/>
        <w:spacing w:after="0" w:line="240" w:lineRule="auto"/>
        <w:jc w:val="both"/>
        <w:rPr>
          <w:rFonts w:cs="Arial"/>
          <w:u w:val="single"/>
          <w:lang w:val="fr-FR"/>
        </w:rPr>
      </w:pPr>
      <w:r w:rsidRPr="008233A5">
        <w:rPr>
          <w:rFonts w:cs="Arial"/>
          <w:u w:val="single"/>
          <w:lang w:val="fr-FR"/>
        </w:rPr>
        <w:t>Examen des recommandations pour une action future potentielle du Conseil scientifique</w:t>
      </w:r>
    </w:p>
    <w:p w14:paraId="3067908B" w14:textId="77777777" w:rsidR="00BE5E9B" w:rsidRPr="008233A5" w:rsidRDefault="00BE5E9B">
      <w:pPr>
        <w:widowControl w:val="0"/>
        <w:autoSpaceDE w:val="0"/>
        <w:autoSpaceDN w:val="0"/>
        <w:adjustRightInd w:val="0"/>
        <w:spacing w:after="0" w:line="240" w:lineRule="auto"/>
        <w:ind w:left="567"/>
        <w:jc w:val="both"/>
        <w:rPr>
          <w:rFonts w:cs="Arial"/>
          <w:highlight w:val="yellow"/>
          <w:lang w:val="fr-FR"/>
        </w:rPr>
      </w:pPr>
    </w:p>
    <w:p w14:paraId="10210130" w14:textId="26219BBC" w:rsidR="00BE5E9B" w:rsidRPr="008233A5" w:rsidRDefault="00B757F7">
      <w:pPr>
        <w:pStyle w:val="ListParagraph"/>
        <w:widowControl w:val="0"/>
        <w:numPr>
          <w:ilvl w:val="0"/>
          <w:numId w:val="4"/>
        </w:numPr>
        <w:autoSpaceDE w:val="0"/>
        <w:autoSpaceDN w:val="0"/>
        <w:adjustRightInd w:val="0"/>
        <w:spacing w:after="0" w:line="240" w:lineRule="auto"/>
        <w:ind w:left="567" w:hanging="567"/>
        <w:contextualSpacing w:val="0"/>
        <w:jc w:val="both"/>
        <w:rPr>
          <w:rFonts w:cs="Arial"/>
          <w:lang w:val="fr-FR"/>
        </w:rPr>
      </w:pPr>
      <w:r w:rsidRPr="008233A5">
        <w:rPr>
          <w:rFonts w:cs="Arial"/>
          <w:lang w:val="fr-FR"/>
        </w:rPr>
        <w:t>Comme indiqué dans la décision 14.72 (f), le Conseiller pour les mammifères aquatiques nommé par la COP et le Secrétariat ont examiné les recommandations pour une action future potentielle du Conseil scientifique telles qu’elles sont contenues dans le document </w:t>
      </w:r>
      <w:hyperlink r:id="rId24" w:tgtFrame="_blank" w:tooltip="Originele URL: https://www.cms.int/en/document/compilation-recommendations-could-be-directed-scientific-council-cop14-and-future-cops. Klik of tik als u deze koppeling vertrouwt." w:history="1">
        <w:r w:rsidRPr="008233A5">
          <w:rPr>
            <w:rStyle w:val="Hyperlink"/>
            <w:rFonts w:cs="Arial"/>
            <w:lang w:val="fr-FR"/>
          </w:rPr>
          <w:t>UNEP/CMS/COP14/Inf.27.5.1b</w:t>
        </w:r>
      </w:hyperlink>
      <w:r w:rsidRPr="008233A5">
        <w:rPr>
          <w:rFonts w:cs="Arial"/>
          <w:lang w:val="fr-FR"/>
        </w:rPr>
        <w:t>, et ont identifié des actions prioritaires, qui ont été incluses en tant que projet de Décisions dans l’Annexe </w:t>
      </w:r>
      <w:r w:rsidR="002E6459">
        <w:rPr>
          <w:rFonts w:cs="Arial"/>
          <w:lang w:val="fr-FR"/>
        </w:rPr>
        <w:t>6</w:t>
      </w:r>
      <w:r w:rsidRPr="008233A5">
        <w:rPr>
          <w:rFonts w:cs="Arial"/>
          <w:lang w:val="fr-FR"/>
        </w:rPr>
        <w:t>. La liste mise à jour des recommandations pour une action future potentielle du Conseil scientifique est contenue dans l</w:t>
      </w:r>
      <w:r w:rsidR="00B74CB3">
        <w:rPr>
          <w:rFonts w:cs="Arial"/>
          <w:lang w:val="fr-FR"/>
        </w:rPr>
        <w:t>’Annexe 4.</w:t>
      </w:r>
    </w:p>
    <w:p w14:paraId="5D373600" w14:textId="77777777" w:rsidR="00BE5E9B" w:rsidRPr="008233A5" w:rsidRDefault="00BE5E9B">
      <w:pPr>
        <w:widowControl w:val="0"/>
        <w:autoSpaceDE w:val="0"/>
        <w:autoSpaceDN w:val="0"/>
        <w:adjustRightInd w:val="0"/>
        <w:spacing w:after="0" w:line="240" w:lineRule="auto"/>
        <w:jc w:val="both"/>
        <w:rPr>
          <w:rFonts w:cs="Arial"/>
          <w:u w:val="single"/>
          <w:lang w:val="fr-FR"/>
        </w:rPr>
      </w:pPr>
    </w:p>
    <w:p w14:paraId="2A1F743E" w14:textId="77777777" w:rsidR="00BE5E9B" w:rsidRPr="008233A5" w:rsidRDefault="00B757F7">
      <w:pPr>
        <w:pStyle w:val="ListParagraph"/>
        <w:numPr>
          <w:ilvl w:val="0"/>
          <w:numId w:val="46"/>
        </w:numPr>
        <w:spacing w:after="0" w:line="240" w:lineRule="auto"/>
        <w:ind w:left="567" w:hanging="567"/>
        <w:rPr>
          <w:bCs/>
          <w:u w:val="single"/>
          <w:lang w:val="fr-FR"/>
        </w:rPr>
      </w:pPr>
      <w:bookmarkStart w:id="16" w:name="_Toc201154087"/>
      <w:bookmarkStart w:id="17" w:name="_Toc201243932"/>
      <w:bookmarkStart w:id="18" w:name="_Toc201244173"/>
      <w:bookmarkStart w:id="19" w:name="_Hlk205207375"/>
      <w:r w:rsidRPr="008233A5">
        <w:rPr>
          <w:bCs/>
          <w:u w:val="single"/>
          <w:lang w:val="fr-FR"/>
        </w:rPr>
        <w:t>Rôle des cétacés dans le fonctionnement des écosystèmes</w:t>
      </w:r>
      <w:bookmarkEnd w:id="16"/>
      <w:bookmarkEnd w:id="17"/>
      <w:bookmarkEnd w:id="18"/>
      <w:bookmarkEnd w:id="19"/>
    </w:p>
    <w:p w14:paraId="13BB4AFD" w14:textId="77777777" w:rsidR="00BE5E9B" w:rsidRPr="008233A5" w:rsidRDefault="00BE5E9B">
      <w:pPr>
        <w:spacing w:after="0" w:line="240" w:lineRule="auto"/>
        <w:rPr>
          <w:lang w:val="fr-FR"/>
        </w:rPr>
      </w:pPr>
    </w:p>
    <w:p w14:paraId="133884EF" w14:textId="77777777" w:rsidR="00BE5E9B" w:rsidRPr="008233A5" w:rsidRDefault="00B757F7">
      <w:pPr>
        <w:widowControl w:val="0"/>
        <w:numPr>
          <w:ilvl w:val="0"/>
          <w:numId w:val="4"/>
        </w:numPr>
        <w:autoSpaceDE w:val="0"/>
        <w:autoSpaceDN w:val="0"/>
        <w:adjustRightInd w:val="0"/>
        <w:spacing w:after="0" w:line="240" w:lineRule="auto"/>
        <w:ind w:left="567" w:hanging="567"/>
        <w:jc w:val="both"/>
        <w:rPr>
          <w:rFonts w:cs="Arial"/>
          <w:lang w:val="fr-FR"/>
        </w:rPr>
      </w:pPr>
      <w:r w:rsidRPr="008233A5">
        <w:rPr>
          <w:rFonts w:cs="Arial"/>
          <w:lang w:val="fr-FR"/>
        </w:rPr>
        <w:t>La décision suivante a été adoptée par la COP14 à cet égard :</w:t>
      </w:r>
    </w:p>
    <w:p w14:paraId="7A508110" w14:textId="77777777" w:rsidR="00BE5E9B" w:rsidRPr="008233A5" w:rsidRDefault="00BE5E9B">
      <w:pPr>
        <w:widowControl w:val="0"/>
        <w:autoSpaceDE w:val="0"/>
        <w:autoSpaceDN w:val="0"/>
        <w:adjustRightInd w:val="0"/>
        <w:spacing w:after="0" w:line="240" w:lineRule="auto"/>
        <w:jc w:val="both"/>
        <w:rPr>
          <w:rFonts w:cs="Arial"/>
          <w:lang w:val="fr-FR"/>
        </w:rPr>
      </w:pPr>
    </w:p>
    <w:p w14:paraId="7D744483" w14:textId="77777777" w:rsidR="00BE5E9B" w:rsidRPr="005A0447" w:rsidRDefault="00B757F7" w:rsidP="00C02BA0">
      <w:pPr>
        <w:spacing w:after="0" w:line="240" w:lineRule="auto"/>
        <w:ind w:left="851"/>
        <w:jc w:val="both"/>
        <w:rPr>
          <w:rFonts w:cs="Arial"/>
          <w:b/>
          <w:bCs/>
          <w:i/>
          <w:iCs/>
          <w:sz w:val="20"/>
          <w:szCs w:val="20"/>
          <w:lang w:val="fr-FR"/>
        </w:rPr>
      </w:pPr>
      <w:r w:rsidRPr="005A0447">
        <w:rPr>
          <w:rFonts w:cs="Arial"/>
          <w:b/>
          <w:bCs/>
          <w:i/>
          <w:iCs/>
          <w:sz w:val="20"/>
          <w:szCs w:val="20"/>
          <w:lang w:val="fr-FR"/>
        </w:rPr>
        <w:t>D</w:t>
      </w:r>
      <w:r w:rsidR="008C55E3" w:rsidRPr="005A0447">
        <w:rPr>
          <w:rFonts w:cs="Arial"/>
          <w:b/>
          <w:bCs/>
          <w:i/>
          <w:iCs/>
          <w:sz w:val="20"/>
          <w:szCs w:val="20"/>
          <w:lang w:val="fr-FR"/>
        </w:rPr>
        <w:t>écision </w:t>
      </w:r>
      <w:r w:rsidRPr="005A0447">
        <w:rPr>
          <w:rFonts w:cs="Arial"/>
          <w:b/>
          <w:bCs/>
          <w:i/>
          <w:iCs/>
          <w:sz w:val="20"/>
          <w:szCs w:val="20"/>
          <w:lang w:val="fr-FR"/>
        </w:rPr>
        <w:t xml:space="preserve">14.74 </w:t>
      </w:r>
      <w:r w:rsidR="008C55E3" w:rsidRPr="005A0447">
        <w:rPr>
          <w:rFonts w:cs="Arial"/>
          <w:b/>
          <w:bCs/>
          <w:i/>
          <w:iCs/>
          <w:sz w:val="20"/>
          <w:szCs w:val="20"/>
          <w:lang w:val="fr-FR"/>
        </w:rPr>
        <w:t>Adressée au Conseil scientifique</w:t>
      </w:r>
    </w:p>
    <w:p w14:paraId="70753F9C" w14:textId="77777777" w:rsidR="00BE5E9B" w:rsidRPr="005A0447" w:rsidRDefault="00BE5E9B" w:rsidP="00C02BA0">
      <w:pPr>
        <w:spacing w:after="0" w:line="240" w:lineRule="auto"/>
        <w:ind w:left="851"/>
        <w:jc w:val="both"/>
        <w:rPr>
          <w:rFonts w:cs="Arial"/>
          <w:i/>
          <w:iCs/>
          <w:sz w:val="20"/>
          <w:szCs w:val="20"/>
          <w:lang w:val="fr-FR"/>
        </w:rPr>
      </w:pPr>
    </w:p>
    <w:p w14:paraId="5D1644C6" w14:textId="77777777" w:rsidR="00BE5E9B" w:rsidRPr="005A0447" w:rsidRDefault="008C55E3" w:rsidP="00C02BA0">
      <w:pPr>
        <w:spacing w:after="0" w:line="240" w:lineRule="auto"/>
        <w:ind w:left="851"/>
        <w:jc w:val="both"/>
        <w:rPr>
          <w:rFonts w:cs="Arial"/>
          <w:i/>
          <w:iCs/>
          <w:sz w:val="20"/>
          <w:szCs w:val="20"/>
          <w:lang w:val="fr-FR"/>
        </w:rPr>
      </w:pPr>
      <w:r w:rsidRPr="005A0447">
        <w:rPr>
          <w:rFonts w:cs="Arial"/>
          <w:i/>
          <w:iCs/>
          <w:sz w:val="20"/>
          <w:szCs w:val="20"/>
          <w:lang w:val="fr-FR"/>
        </w:rPr>
        <w:t>Le Conseil scientifique, par l’intermédiaire de son Groupe de travail sur les mammifères aquatiques, est prié de fournir des conseils et des contributions en ce qui concerne l'extension des travaux sur le rôle des cétacés dans le fonctionnement des écosystèmes, en étroite collaboration avec la CBI</w:t>
      </w:r>
      <w:r w:rsidR="00B757F7" w:rsidRPr="005A0447">
        <w:rPr>
          <w:rFonts w:cs="Arial"/>
          <w:i/>
          <w:iCs/>
          <w:sz w:val="20"/>
          <w:szCs w:val="20"/>
          <w:lang w:val="fr-FR"/>
        </w:rPr>
        <w:t>.</w:t>
      </w:r>
    </w:p>
    <w:p w14:paraId="3A593892" w14:textId="77777777" w:rsidR="00BE5E9B" w:rsidRPr="005A0447" w:rsidRDefault="00BE5E9B" w:rsidP="00C02BA0">
      <w:pPr>
        <w:spacing w:after="0" w:line="240" w:lineRule="auto"/>
        <w:ind w:left="851"/>
        <w:jc w:val="both"/>
        <w:rPr>
          <w:rFonts w:cs="Arial"/>
          <w:b/>
          <w:bCs/>
          <w:i/>
          <w:iCs/>
          <w:sz w:val="20"/>
          <w:szCs w:val="20"/>
          <w:lang w:val="fr-FR"/>
        </w:rPr>
      </w:pPr>
    </w:p>
    <w:p w14:paraId="0BDC0E50" w14:textId="77777777" w:rsidR="00BE5E9B" w:rsidRPr="005A0447" w:rsidRDefault="008C55E3" w:rsidP="00C02BA0">
      <w:pPr>
        <w:spacing w:after="0" w:line="240" w:lineRule="auto"/>
        <w:ind w:left="851"/>
        <w:jc w:val="both"/>
        <w:rPr>
          <w:rFonts w:cs="Arial"/>
          <w:b/>
          <w:bCs/>
          <w:i/>
          <w:iCs/>
          <w:sz w:val="20"/>
          <w:szCs w:val="20"/>
          <w:lang w:val="fr-FR"/>
        </w:rPr>
      </w:pPr>
      <w:r w:rsidRPr="005A0447">
        <w:rPr>
          <w:rFonts w:cs="Arial"/>
          <w:b/>
          <w:bCs/>
          <w:i/>
          <w:iCs/>
          <w:sz w:val="20"/>
          <w:szCs w:val="20"/>
          <w:lang w:val="fr-FR"/>
        </w:rPr>
        <w:t>Dé</w:t>
      </w:r>
      <w:r w:rsidR="00B757F7" w:rsidRPr="005A0447">
        <w:rPr>
          <w:rFonts w:cs="Arial"/>
          <w:b/>
          <w:bCs/>
          <w:i/>
          <w:iCs/>
          <w:sz w:val="20"/>
          <w:szCs w:val="20"/>
          <w:lang w:val="fr-FR"/>
        </w:rPr>
        <w:t>cision</w:t>
      </w:r>
      <w:r w:rsidRPr="005A0447">
        <w:rPr>
          <w:rFonts w:cs="Arial"/>
          <w:b/>
          <w:bCs/>
          <w:i/>
          <w:iCs/>
          <w:sz w:val="20"/>
          <w:szCs w:val="20"/>
          <w:lang w:val="fr-FR"/>
        </w:rPr>
        <w:t> </w:t>
      </w:r>
      <w:r w:rsidR="00B757F7" w:rsidRPr="005A0447">
        <w:rPr>
          <w:rFonts w:cs="Arial"/>
          <w:b/>
          <w:bCs/>
          <w:i/>
          <w:iCs/>
          <w:sz w:val="20"/>
          <w:szCs w:val="20"/>
          <w:lang w:val="fr-FR"/>
        </w:rPr>
        <w:t xml:space="preserve">14.75 </w:t>
      </w:r>
      <w:r w:rsidRPr="005A0447">
        <w:rPr>
          <w:rFonts w:cs="Arial"/>
          <w:b/>
          <w:bCs/>
          <w:i/>
          <w:iCs/>
          <w:sz w:val="20"/>
          <w:szCs w:val="20"/>
          <w:lang w:val="fr-FR"/>
        </w:rPr>
        <w:t>À l’adresse du Secrétariat</w:t>
      </w:r>
      <w:r w:rsidR="00B757F7" w:rsidRPr="005A0447">
        <w:rPr>
          <w:rFonts w:cs="Arial"/>
          <w:b/>
          <w:bCs/>
          <w:i/>
          <w:iCs/>
          <w:sz w:val="20"/>
          <w:szCs w:val="20"/>
          <w:lang w:val="fr-FR"/>
        </w:rPr>
        <w:t xml:space="preserve"> </w:t>
      </w:r>
    </w:p>
    <w:p w14:paraId="141DBB4D" w14:textId="77777777" w:rsidR="00BE5E9B" w:rsidRPr="005A0447" w:rsidRDefault="00BE5E9B" w:rsidP="00C02BA0">
      <w:pPr>
        <w:spacing w:after="0" w:line="240" w:lineRule="auto"/>
        <w:ind w:left="851"/>
        <w:jc w:val="both"/>
        <w:rPr>
          <w:rFonts w:cs="Arial"/>
          <w:i/>
          <w:iCs/>
          <w:sz w:val="20"/>
          <w:szCs w:val="20"/>
          <w:lang w:val="fr-FR"/>
        </w:rPr>
      </w:pPr>
    </w:p>
    <w:p w14:paraId="53A74134" w14:textId="77777777" w:rsidR="00BE5E9B" w:rsidRPr="005A0447" w:rsidRDefault="008C55E3" w:rsidP="00C02BA0">
      <w:pPr>
        <w:spacing w:after="0" w:line="240" w:lineRule="auto"/>
        <w:ind w:left="851"/>
        <w:jc w:val="both"/>
        <w:rPr>
          <w:rFonts w:cs="Arial"/>
          <w:i/>
          <w:iCs/>
          <w:sz w:val="20"/>
          <w:szCs w:val="20"/>
          <w:lang w:val="fr-FR"/>
        </w:rPr>
      </w:pPr>
      <w:r w:rsidRPr="005A0447">
        <w:rPr>
          <w:rFonts w:cs="Arial"/>
          <w:i/>
          <w:iCs/>
          <w:sz w:val="20"/>
          <w:szCs w:val="20"/>
          <w:lang w:val="fr-FR"/>
        </w:rPr>
        <w:t>Le Secrétariat est invité à </w:t>
      </w:r>
      <w:r w:rsidR="00B757F7" w:rsidRPr="005A0447">
        <w:rPr>
          <w:rFonts w:cs="Arial"/>
          <w:i/>
          <w:iCs/>
          <w:sz w:val="20"/>
          <w:szCs w:val="20"/>
          <w:lang w:val="fr-FR"/>
        </w:rPr>
        <w:t xml:space="preserve"> </w:t>
      </w:r>
    </w:p>
    <w:p w14:paraId="527D45A0" w14:textId="77777777" w:rsidR="00BE5E9B" w:rsidRPr="005A0447" w:rsidRDefault="00BE5E9B" w:rsidP="00C02BA0">
      <w:pPr>
        <w:spacing w:after="0" w:line="240" w:lineRule="auto"/>
        <w:ind w:left="851"/>
        <w:jc w:val="both"/>
        <w:rPr>
          <w:rFonts w:cs="Arial"/>
          <w:i/>
          <w:iCs/>
          <w:sz w:val="20"/>
          <w:szCs w:val="20"/>
          <w:lang w:val="fr-FR"/>
        </w:rPr>
      </w:pPr>
    </w:p>
    <w:p w14:paraId="2B86BA04" w14:textId="7A85A81B" w:rsidR="00BE5E9B" w:rsidRPr="00C02BA0" w:rsidRDefault="008C55E3" w:rsidP="00C02BA0">
      <w:pPr>
        <w:pStyle w:val="ListParagraph"/>
        <w:numPr>
          <w:ilvl w:val="0"/>
          <w:numId w:val="12"/>
        </w:numPr>
        <w:spacing w:after="80" w:line="240" w:lineRule="auto"/>
        <w:ind w:left="1276" w:hanging="425"/>
        <w:contextualSpacing w:val="0"/>
        <w:jc w:val="both"/>
        <w:rPr>
          <w:rFonts w:cs="Arial"/>
          <w:i/>
          <w:iCs/>
          <w:sz w:val="20"/>
          <w:szCs w:val="20"/>
          <w:lang w:val="fr-FR"/>
        </w:rPr>
      </w:pPr>
      <w:r w:rsidRPr="00C02BA0">
        <w:rPr>
          <w:rFonts w:cs="Arial"/>
          <w:i/>
          <w:iCs/>
          <w:sz w:val="20"/>
          <w:szCs w:val="20"/>
          <w:lang w:val="fr-FR"/>
        </w:rPr>
        <w:t>continuer à assurer la liaison avec le Secrétariat de la CBI en ce qui concerne les travaux sur le rôle des cétacés dans le fonctionnement des écosystèmes ; et</w:t>
      </w:r>
    </w:p>
    <w:p w14:paraId="6A9AE6CB" w14:textId="34AAABC7" w:rsidR="00BE5E9B" w:rsidRPr="00C02BA0" w:rsidRDefault="008C55E3" w:rsidP="00C02BA0">
      <w:pPr>
        <w:pStyle w:val="ListParagraph"/>
        <w:numPr>
          <w:ilvl w:val="0"/>
          <w:numId w:val="12"/>
        </w:numPr>
        <w:spacing w:after="0" w:line="240" w:lineRule="auto"/>
        <w:ind w:left="1276" w:hanging="425"/>
        <w:contextualSpacing w:val="0"/>
        <w:jc w:val="both"/>
        <w:rPr>
          <w:rFonts w:cs="Arial"/>
          <w:i/>
          <w:iCs/>
          <w:sz w:val="20"/>
          <w:szCs w:val="20"/>
          <w:lang w:val="fr-FR"/>
        </w:rPr>
      </w:pPr>
      <w:r w:rsidRPr="00C02BA0">
        <w:rPr>
          <w:rFonts w:cs="Arial"/>
          <w:i/>
          <w:iCs/>
          <w:sz w:val="20"/>
          <w:szCs w:val="20"/>
          <w:lang w:val="fr-FR"/>
        </w:rPr>
        <w:t>rendre compte des résultats du deuxième atelier conjoint CBI-CMS sur le fonctionnement des écosystèmes de cétacés à la prochaine réunion du Comité de session du Conseil scientifique.</w:t>
      </w:r>
    </w:p>
    <w:p w14:paraId="5394F48D" w14:textId="77777777" w:rsidR="00BE5E9B" w:rsidRPr="008233A5" w:rsidRDefault="00BE5E9B" w:rsidP="00C02BA0">
      <w:pPr>
        <w:spacing w:after="0" w:line="240" w:lineRule="auto"/>
        <w:ind w:left="1276"/>
        <w:rPr>
          <w:rFonts w:cs="Arial"/>
          <w:u w:val="single"/>
          <w:lang w:val="fr-FR"/>
        </w:rPr>
      </w:pPr>
    </w:p>
    <w:p w14:paraId="1476BA43" w14:textId="77777777" w:rsidR="00BE5E9B" w:rsidRPr="008233A5" w:rsidRDefault="00B757F7">
      <w:pPr>
        <w:spacing w:after="0" w:line="240" w:lineRule="auto"/>
        <w:rPr>
          <w:rFonts w:cs="Arial"/>
          <w:u w:val="single"/>
          <w:lang w:val="fr-FR"/>
        </w:rPr>
      </w:pPr>
      <w:r w:rsidRPr="008233A5">
        <w:rPr>
          <w:rFonts w:cs="Arial"/>
          <w:u w:val="single"/>
          <w:lang w:val="fr-FR"/>
        </w:rPr>
        <w:t xml:space="preserve">Mise en œuvre des décisions relatives au </w:t>
      </w:r>
      <w:r w:rsidRPr="008233A5">
        <w:rPr>
          <w:rFonts w:cs="Arial"/>
          <w:bCs/>
          <w:u w:val="single"/>
          <w:lang w:val="fr-FR"/>
        </w:rPr>
        <w:t>rôle des cétacés dans le fonctionnement des écosystèmes</w:t>
      </w:r>
    </w:p>
    <w:p w14:paraId="29D46B8A" w14:textId="77777777" w:rsidR="00BE5E9B" w:rsidRPr="008233A5" w:rsidRDefault="00BE5E9B">
      <w:pPr>
        <w:spacing w:after="0" w:line="240" w:lineRule="auto"/>
        <w:rPr>
          <w:rFonts w:cs="Arial"/>
          <w:u w:val="single"/>
          <w:lang w:val="fr-FR"/>
        </w:rPr>
      </w:pPr>
    </w:p>
    <w:p w14:paraId="552E66BF" w14:textId="77777777" w:rsidR="00BE5E9B" w:rsidRPr="008233A5" w:rsidRDefault="00B757F7">
      <w:pPr>
        <w:widowControl w:val="0"/>
        <w:numPr>
          <w:ilvl w:val="0"/>
          <w:numId w:val="4"/>
        </w:numPr>
        <w:autoSpaceDE w:val="0"/>
        <w:autoSpaceDN w:val="0"/>
        <w:adjustRightInd w:val="0"/>
        <w:spacing w:after="0" w:line="240" w:lineRule="auto"/>
        <w:ind w:left="567" w:hanging="567"/>
        <w:jc w:val="both"/>
        <w:rPr>
          <w:rFonts w:cs="Arial"/>
          <w:lang w:val="fr-FR"/>
        </w:rPr>
      </w:pPr>
      <w:r w:rsidRPr="008233A5">
        <w:rPr>
          <w:rFonts w:cs="Arial"/>
          <w:lang w:val="fr-FR"/>
        </w:rPr>
        <w:t xml:space="preserve">Les travaux sur le rôle des cétacés dans le fonctionnement des écosystèmes sont menés par la CBI, qui dispose de deux groupes de travail sur le sujet : l’un dirigé par le Comité scientifique, qui étudie les résultats des recherches actuelles et les lacunes dans les connaissances et dans lequel la CMS est directement impliquée ; et l’autre mené </w:t>
      </w:r>
      <w:r w:rsidRPr="008233A5">
        <w:rPr>
          <w:rFonts w:cs="Arial"/>
          <w:lang w:val="fr-FR"/>
        </w:rPr>
        <w:lastRenderedPageBreak/>
        <w:t xml:space="preserve">par le Comité de conservation, qui étudie la valeur économique des cétacés dans le fonctionnement des écosystèmes. </w:t>
      </w:r>
    </w:p>
    <w:p w14:paraId="70289084" w14:textId="77777777" w:rsidR="00BE5E9B" w:rsidRPr="008233A5" w:rsidRDefault="00BE5E9B">
      <w:pPr>
        <w:widowControl w:val="0"/>
        <w:autoSpaceDE w:val="0"/>
        <w:autoSpaceDN w:val="0"/>
        <w:adjustRightInd w:val="0"/>
        <w:spacing w:after="0" w:line="240" w:lineRule="auto"/>
        <w:jc w:val="both"/>
        <w:rPr>
          <w:rFonts w:cs="Arial"/>
          <w:highlight w:val="yellow"/>
          <w:lang w:val="fr-FR"/>
        </w:rPr>
      </w:pPr>
    </w:p>
    <w:p w14:paraId="5F3CFDB4" w14:textId="77777777" w:rsidR="00BE5E9B" w:rsidRPr="008233A5" w:rsidRDefault="00B757F7">
      <w:pPr>
        <w:widowControl w:val="0"/>
        <w:numPr>
          <w:ilvl w:val="0"/>
          <w:numId w:val="4"/>
        </w:numPr>
        <w:autoSpaceDE w:val="0"/>
        <w:autoSpaceDN w:val="0"/>
        <w:adjustRightInd w:val="0"/>
        <w:spacing w:after="80" w:line="240" w:lineRule="auto"/>
        <w:ind w:left="567" w:hanging="567"/>
        <w:jc w:val="both"/>
        <w:rPr>
          <w:rFonts w:cs="Arial"/>
          <w:lang w:val="fr-FR"/>
        </w:rPr>
      </w:pPr>
      <w:r w:rsidRPr="008233A5">
        <w:rPr>
          <w:rFonts w:cs="Arial"/>
          <w:lang w:val="fr-FR"/>
        </w:rPr>
        <w:t xml:space="preserve">Le deuxième atelier conjoint de la CBI et de la CMS s’est tenu du 14 au 16 novembre 2023 dans les locaux du Secrétariat de la CMS à Bonn, en Allemagne. Les recommandations générales de l’atelier sont les suivantes : </w:t>
      </w:r>
    </w:p>
    <w:p w14:paraId="41DDD601" w14:textId="77777777" w:rsidR="00BE5E9B" w:rsidRPr="008233A5" w:rsidRDefault="00B757F7">
      <w:pPr>
        <w:widowControl w:val="0"/>
        <w:numPr>
          <w:ilvl w:val="1"/>
          <w:numId w:val="4"/>
        </w:numPr>
        <w:autoSpaceDE w:val="0"/>
        <w:autoSpaceDN w:val="0"/>
        <w:adjustRightInd w:val="0"/>
        <w:spacing w:after="80" w:line="240" w:lineRule="auto"/>
        <w:ind w:left="993" w:hanging="426"/>
        <w:jc w:val="both"/>
        <w:rPr>
          <w:rFonts w:cs="Arial"/>
          <w:lang w:val="fr-FR"/>
        </w:rPr>
      </w:pPr>
      <w:r w:rsidRPr="008233A5">
        <w:rPr>
          <w:rFonts w:cs="Arial"/>
          <w:lang w:val="fr-FR"/>
        </w:rPr>
        <w:t xml:space="preserve">Aborder la question du fonctionnement des voies du carbone à travers les échelles spatiales verticales et horizontales, en s’intéressant particulièrement à la contribution des baleines, par rapport aux autres composants de l’écosystème, au fonctionnement des mécanismes associés (cycle des nutriments, fixation du carbone, exportation et séquestration) ; </w:t>
      </w:r>
    </w:p>
    <w:p w14:paraId="7667C89D" w14:textId="77777777" w:rsidR="00BE5E9B" w:rsidRPr="008233A5" w:rsidRDefault="00B757F7">
      <w:pPr>
        <w:widowControl w:val="0"/>
        <w:numPr>
          <w:ilvl w:val="1"/>
          <w:numId w:val="4"/>
        </w:numPr>
        <w:autoSpaceDE w:val="0"/>
        <w:autoSpaceDN w:val="0"/>
        <w:adjustRightInd w:val="0"/>
        <w:spacing w:after="0" w:line="240" w:lineRule="auto"/>
        <w:ind w:left="993" w:hanging="426"/>
        <w:jc w:val="both"/>
        <w:rPr>
          <w:rFonts w:cs="Arial"/>
          <w:lang w:val="fr-FR"/>
        </w:rPr>
      </w:pPr>
      <w:r w:rsidRPr="008233A5">
        <w:rPr>
          <w:rFonts w:cs="Arial"/>
          <w:lang w:val="fr-FR"/>
        </w:rPr>
        <w:t xml:space="preserve">Développer un cadre permettant d’illustrer la contribution des cétacés aux services écosystémiques (par exemple, la régulation du climat, le recyclage des nutriments, la création d’habitats) ainsi que la valeur potentielle que ces services peuvent offrir. </w:t>
      </w:r>
    </w:p>
    <w:p w14:paraId="06883097" w14:textId="77777777" w:rsidR="00BE5E9B" w:rsidRPr="008233A5" w:rsidRDefault="00BE5E9B">
      <w:pPr>
        <w:pStyle w:val="ListParagraph"/>
        <w:rPr>
          <w:rFonts w:cs="Arial"/>
          <w:lang w:val="fr-FR"/>
        </w:rPr>
      </w:pPr>
    </w:p>
    <w:p w14:paraId="31BCC695" w14:textId="77777777" w:rsidR="00BE5E9B" w:rsidRPr="008233A5" w:rsidRDefault="00B757F7">
      <w:pPr>
        <w:pStyle w:val="ListParagraph"/>
        <w:widowControl w:val="0"/>
        <w:numPr>
          <w:ilvl w:val="0"/>
          <w:numId w:val="4"/>
        </w:numPr>
        <w:autoSpaceDE w:val="0"/>
        <w:autoSpaceDN w:val="0"/>
        <w:adjustRightInd w:val="0"/>
        <w:spacing w:after="0" w:line="240" w:lineRule="auto"/>
        <w:ind w:left="567" w:hanging="567"/>
        <w:contextualSpacing w:val="0"/>
        <w:jc w:val="both"/>
        <w:rPr>
          <w:rFonts w:cs="Arial"/>
          <w:lang w:val="fr-FR"/>
        </w:rPr>
      </w:pPr>
      <w:r w:rsidRPr="008233A5">
        <w:rPr>
          <w:rFonts w:cs="Arial"/>
          <w:lang w:val="fr-FR"/>
        </w:rPr>
        <w:t xml:space="preserve">Le mandat d’un projet pilote visant à évaluer la valorisation socio-économique des fonctions écosystémiques des cétacés a également été examiné. </w:t>
      </w:r>
    </w:p>
    <w:p w14:paraId="321AFEAC" w14:textId="77777777" w:rsidR="00BE5E9B" w:rsidRPr="008233A5" w:rsidRDefault="00BE5E9B">
      <w:pPr>
        <w:widowControl w:val="0"/>
        <w:autoSpaceDE w:val="0"/>
        <w:autoSpaceDN w:val="0"/>
        <w:adjustRightInd w:val="0"/>
        <w:spacing w:after="0" w:line="240" w:lineRule="auto"/>
        <w:jc w:val="both"/>
        <w:rPr>
          <w:rFonts w:cs="Arial"/>
          <w:lang w:val="fr-FR"/>
        </w:rPr>
      </w:pPr>
    </w:p>
    <w:p w14:paraId="50A8DD55" w14:textId="3A9159B9" w:rsidR="00BE5E9B" w:rsidRPr="00644194" w:rsidRDefault="00B757F7">
      <w:pPr>
        <w:widowControl w:val="0"/>
        <w:numPr>
          <w:ilvl w:val="0"/>
          <w:numId w:val="4"/>
        </w:numPr>
        <w:autoSpaceDE w:val="0"/>
        <w:autoSpaceDN w:val="0"/>
        <w:adjustRightInd w:val="0"/>
        <w:spacing w:after="0" w:line="240" w:lineRule="auto"/>
        <w:ind w:left="567" w:hanging="567"/>
        <w:jc w:val="both"/>
        <w:rPr>
          <w:rFonts w:cs="Arial"/>
          <w:u w:val="single"/>
          <w:lang w:val="fr-FR"/>
        </w:rPr>
      </w:pPr>
      <w:r w:rsidRPr="008233A5">
        <w:rPr>
          <w:rFonts w:cs="Arial"/>
          <w:lang w:val="fr-FR"/>
        </w:rPr>
        <w:t>Les résultats du deuxième atelier conjoint de la CBI et de la CMS sur le fonctionnement des écosystèmes de cétacés ont été présentés au 7</w:t>
      </w:r>
      <w:r w:rsidRPr="008233A5">
        <w:rPr>
          <w:rFonts w:cs="Arial"/>
          <w:vertAlign w:val="superscript"/>
          <w:lang w:val="fr-FR"/>
        </w:rPr>
        <w:t>e</w:t>
      </w:r>
      <w:r w:rsidRPr="008233A5">
        <w:rPr>
          <w:rFonts w:cs="Arial"/>
          <w:lang w:val="fr-FR"/>
        </w:rPr>
        <w:t> Comité de session du Conseil scientifique dans le document </w:t>
      </w:r>
      <w:hyperlink r:id="rId25" w:history="1">
        <w:r w:rsidRPr="008233A5">
          <w:rPr>
            <w:rStyle w:val="Hyperlink"/>
            <w:rFonts w:cs="Arial"/>
            <w:lang w:val="fr-FR"/>
          </w:rPr>
          <w:t>UNEP/CMS/ScC-SC7/Doc.6.2.1</w:t>
        </w:r>
      </w:hyperlink>
      <w:r w:rsidRPr="008233A5">
        <w:rPr>
          <w:rFonts w:cs="Arial"/>
          <w:lang w:val="fr-FR"/>
        </w:rPr>
        <w:t>. Le rapport de l’atelier de la CBI a été présenté sous la cote </w:t>
      </w:r>
      <w:hyperlink r:id="rId26" w:history="1">
        <w:r w:rsidRPr="008233A5">
          <w:rPr>
            <w:rStyle w:val="Hyperlink"/>
            <w:rFonts w:cs="Arial"/>
            <w:lang w:val="fr-FR"/>
          </w:rPr>
          <w:t>UNEP/CMS/ScC-SC7/Inf.6.2.1</w:t>
        </w:r>
      </w:hyperlink>
      <w:r w:rsidRPr="008233A5">
        <w:rPr>
          <w:rFonts w:cs="Arial"/>
          <w:lang w:val="fr-FR"/>
        </w:rPr>
        <w:t xml:space="preserve">. </w:t>
      </w:r>
    </w:p>
    <w:p w14:paraId="4333BD87" w14:textId="77777777" w:rsidR="00644194" w:rsidRPr="008233A5" w:rsidRDefault="00644194" w:rsidP="00644194">
      <w:pPr>
        <w:widowControl w:val="0"/>
        <w:autoSpaceDE w:val="0"/>
        <w:autoSpaceDN w:val="0"/>
        <w:adjustRightInd w:val="0"/>
        <w:spacing w:after="0" w:line="240" w:lineRule="auto"/>
        <w:ind w:left="567"/>
        <w:jc w:val="both"/>
        <w:rPr>
          <w:rFonts w:cs="Arial"/>
          <w:u w:val="single"/>
          <w:lang w:val="fr-FR"/>
        </w:rPr>
      </w:pPr>
    </w:p>
    <w:p w14:paraId="793FDF57" w14:textId="77777777" w:rsidR="00BE5E9B" w:rsidRPr="008233A5" w:rsidRDefault="00B757F7">
      <w:pPr>
        <w:widowControl w:val="0"/>
        <w:numPr>
          <w:ilvl w:val="0"/>
          <w:numId w:val="4"/>
        </w:numPr>
        <w:autoSpaceDE w:val="0"/>
        <w:autoSpaceDN w:val="0"/>
        <w:adjustRightInd w:val="0"/>
        <w:spacing w:after="0" w:line="240" w:lineRule="auto"/>
        <w:ind w:left="567" w:hanging="567"/>
        <w:jc w:val="both"/>
        <w:rPr>
          <w:rFonts w:cs="Arial"/>
          <w:lang w:val="fr-FR"/>
        </w:rPr>
      </w:pPr>
      <w:r w:rsidRPr="008233A5">
        <w:rPr>
          <w:rFonts w:cs="Arial"/>
          <w:lang w:val="fr-FR"/>
        </w:rPr>
        <w:t>La dernière réunion du Comité scientifique de la CBI (SB69B) en avril-mai 2024 a reconnu les progrès réalisés lors des ateliers précédents sur le fonctionnement des écosystèmes des cétacés et a recommandé que le Secrétariat de la CBI continue à collaborer avec le Secrétariat de la CMS afin de partager les informations visant à combler les lacunes recensées en matière de connaissances et de données. En outre, si des ateliers ou symposiums futurs sont organisés sur ce sujet, il a été suggéré d’envisager d’inviter le Secrétariat de la CMS ainsi que d’autres organisations internationales (par exemple, la Convention pour la conservation de la faune et de la flore marines de l’Antarctique) à collaborer.</w:t>
      </w:r>
    </w:p>
    <w:p w14:paraId="2268082A" w14:textId="77777777" w:rsidR="00BE5E9B" w:rsidRPr="008233A5" w:rsidRDefault="00BE5E9B">
      <w:pPr>
        <w:pStyle w:val="ListParagraph"/>
        <w:spacing w:after="0" w:line="240" w:lineRule="auto"/>
        <w:contextualSpacing w:val="0"/>
        <w:rPr>
          <w:rFonts w:cs="Arial"/>
          <w:lang w:val="fr-FR"/>
        </w:rPr>
      </w:pPr>
    </w:p>
    <w:p w14:paraId="0C0DFAF8" w14:textId="77777777" w:rsidR="00BE5E9B" w:rsidRPr="008233A5" w:rsidRDefault="00B757F7">
      <w:pPr>
        <w:widowControl w:val="0"/>
        <w:numPr>
          <w:ilvl w:val="0"/>
          <w:numId w:val="4"/>
        </w:numPr>
        <w:autoSpaceDE w:val="0"/>
        <w:autoSpaceDN w:val="0"/>
        <w:adjustRightInd w:val="0"/>
        <w:spacing w:after="0" w:line="240" w:lineRule="auto"/>
        <w:ind w:left="567" w:hanging="567"/>
        <w:jc w:val="both"/>
        <w:rPr>
          <w:rFonts w:cs="Arial"/>
          <w:lang w:val="fr-FR"/>
        </w:rPr>
      </w:pPr>
      <w:r w:rsidRPr="008233A5">
        <w:rPr>
          <w:rFonts w:cs="Arial"/>
          <w:lang w:val="fr-FR"/>
        </w:rPr>
        <w:t>Lors de la dernière réunion biennale de la CBI (IWC69), en septembre 2024, la Commission a approuvé la recommandation du Comité de conservation de la CBI pour un projet pilote visant à évaluer la valeur socio-économique des services écosystémiques fournis par les cétacés. Le projet a maintenant été sélectionné dans le cadre d’une procédure d’appel d’offres. Il s’agira de développer un modèle écologique et économique, en se concentrant sur la baleine à bosse du Pacifique Nord en raison de l’abondance d’informations précises déjà disponibles pour cette espèce particulière. Les résultats seront présentés au Comité scientifique de la CBI en avril 2026.</w:t>
      </w:r>
    </w:p>
    <w:p w14:paraId="0F61A90E" w14:textId="77777777" w:rsidR="00BE5E9B" w:rsidRPr="008233A5" w:rsidRDefault="00BE5E9B">
      <w:pPr>
        <w:spacing w:after="0" w:line="240" w:lineRule="auto"/>
        <w:rPr>
          <w:rFonts w:cs="Arial"/>
          <w:lang w:val="fr-FR"/>
        </w:rPr>
      </w:pPr>
    </w:p>
    <w:p w14:paraId="309F30F7" w14:textId="77777777" w:rsidR="00BE5E9B" w:rsidRPr="008233A5" w:rsidRDefault="00B757F7">
      <w:pPr>
        <w:pStyle w:val="ListParagraph"/>
        <w:numPr>
          <w:ilvl w:val="0"/>
          <w:numId w:val="46"/>
        </w:numPr>
        <w:spacing w:after="0" w:line="240" w:lineRule="auto"/>
        <w:ind w:left="567" w:hanging="567"/>
        <w:contextualSpacing w:val="0"/>
        <w:rPr>
          <w:rFonts w:cs="Arial"/>
          <w:bCs/>
          <w:u w:val="single"/>
          <w:lang w:val="fr-FR"/>
        </w:rPr>
      </w:pPr>
      <w:r w:rsidRPr="008233A5">
        <w:rPr>
          <w:rFonts w:cs="Arial"/>
          <w:bCs/>
          <w:u w:val="single"/>
          <w:lang w:val="fr-FR"/>
        </w:rPr>
        <w:t>Mandat pour le Groupe de travail sur les mammifères aquatiques</w:t>
      </w:r>
    </w:p>
    <w:p w14:paraId="66263404" w14:textId="77777777" w:rsidR="00BE5E9B" w:rsidRPr="008233A5" w:rsidRDefault="00BE5E9B">
      <w:pPr>
        <w:widowControl w:val="0"/>
        <w:autoSpaceDE w:val="0"/>
        <w:autoSpaceDN w:val="0"/>
        <w:adjustRightInd w:val="0"/>
        <w:spacing w:after="0" w:line="240" w:lineRule="auto"/>
        <w:jc w:val="both"/>
        <w:rPr>
          <w:rFonts w:cs="Arial"/>
          <w:u w:val="single"/>
          <w:lang w:val="fr-FR"/>
        </w:rPr>
      </w:pPr>
    </w:p>
    <w:p w14:paraId="62A677CF" w14:textId="241BA41E" w:rsidR="00BE5E9B" w:rsidRPr="008233A5" w:rsidRDefault="00B757F7">
      <w:pPr>
        <w:widowControl w:val="0"/>
        <w:numPr>
          <w:ilvl w:val="0"/>
          <w:numId w:val="4"/>
        </w:numPr>
        <w:autoSpaceDE w:val="0"/>
        <w:autoSpaceDN w:val="0"/>
        <w:adjustRightInd w:val="0"/>
        <w:spacing w:after="0" w:line="240" w:lineRule="auto"/>
        <w:ind w:left="567" w:hanging="567"/>
        <w:jc w:val="both"/>
        <w:rPr>
          <w:rFonts w:cs="Arial"/>
          <w:lang w:val="fr-FR"/>
        </w:rPr>
      </w:pPr>
      <w:r w:rsidRPr="008233A5">
        <w:rPr>
          <w:rFonts w:cs="Arial"/>
          <w:lang w:val="fr-FR"/>
        </w:rPr>
        <w:t xml:space="preserve">Le Groupe de travail sur les mammifères aquatiques (AMWG), un groupe intersessions impliquant des experts externes, a été créé en 2011 par la Résolution 10.15 </w:t>
      </w:r>
      <w:r w:rsidRPr="008233A5">
        <w:rPr>
          <w:rFonts w:cs="Arial"/>
          <w:i/>
          <w:iCs/>
          <w:lang w:val="fr-FR"/>
        </w:rPr>
        <w:t>Programme de travail mondial pour les cétacés.</w:t>
      </w:r>
      <w:r w:rsidRPr="008233A5">
        <w:rPr>
          <w:rFonts w:cs="Arial"/>
          <w:lang w:val="fr-FR"/>
        </w:rPr>
        <w:t xml:space="preserve"> Aucun mandat spécifique n’avait été convenu à l’époque</w:t>
      </w:r>
      <w:r w:rsidRPr="008233A5">
        <w:rPr>
          <w:rFonts w:cs="Arial"/>
          <w:i/>
          <w:iCs/>
          <w:lang w:val="fr-FR"/>
        </w:rPr>
        <w:t xml:space="preserve">. </w:t>
      </w:r>
      <w:r w:rsidRPr="008233A5">
        <w:rPr>
          <w:rFonts w:cs="Arial"/>
          <w:lang w:val="fr-FR"/>
        </w:rPr>
        <w:t>Afin de promouvoir la transparence et de maintenir la cohérence avec les activités d’autres groupes de travail dont les mandats ont été approuvés publiquement, le projet de mandat pour l’AMWG est présenté à l’Annexe </w:t>
      </w:r>
      <w:r w:rsidR="00F23370">
        <w:rPr>
          <w:rFonts w:cs="Arial"/>
          <w:lang w:val="fr-FR"/>
        </w:rPr>
        <w:t>5</w:t>
      </w:r>
      <w:r w:rsidRPr="008233A5">
        <w:rPr>
          <w:rFonts w:cs="Arial"/>
          <w:lang w:val="fr-FR"/>
        </w:rPr>
        <w:t xml:space="preserve"> en vue de son adoption par la COP15. </w:t>
      </w:r>
    </w:p>
    <w:p w14:paraId="274F31CB" w14:textId="576A833F" w:rsidR="00644194" w:rsidRDefault="00644194">
      <w:pPr>
        <w:widowControl w:val="0"/>
        <w:autoSpaceDE w:val="0"/>
        <w:autoSpaceDN w:val="0"/>
        <w:adjustRightInd w:val="0"/>
        <w:spacing w:after="0" w:line="240" w:lineRule="auto"/>
        <w:jc w:val="both"/>
        <w:rPr>
          <w:rFonts w:cs="Arial"/>
          <w:u w:val="single"/>
          <w:lang w:val="fr-FR"/>
        </w:rPr>
      </w:pPr>
      <w:r>
        <w:rPr>
          <w:rFonts w:cs="Arial"/>
          <w:u w:val="single"/>
          <w:lang w:val="fr-FR"/>
        </w:rPr>
        <w:br w:type="page"/>
      </w:r>
    </w:p>
    <w:p w14:paraId="2435FA4F" w14:textId="77777777" w:rsidR="00BE5E9B" w:rsidRPr="008233A5" w:rsidRDefault="00B757F7">
      <w:pPr>
        <w:spacing w:after="0" w:line="240" w:lineRule="auto"/>
        <w:jc w:val="both"/>
        <w:rPr>
          <w:rFonts w:cs="Arial"/>
          <w:u w:val="single"/>
          <w:lang w:val="fr-FR"/>
        </w:rPr>
      </w:pPr>
      <w:r w:rsidRPr="008233A5">
        <w:rPr>
          <w:rFonts w:cs="Arial"/>
          <w:u w:val="single"/>
          <w:lang w:val="fr-FR"/>
        </w:rPr>
        <w:lastRenderedPageBreak/>
        <w:t xml:space="preserve">Discussion et analyse </w:t>
      </w:r>
    </w:p>
    <w:p w14:paraId="45D08011" w14:textId="77777777" w:rsidR="00BE5E9B" w:rsidRPr="008233A5" w:rsidRDefault="00BE5E9B">
      <w:pPr>
        <w:spacing w:after="0" w:line="240" w:lineRule="auto"/>
        <w:jc w:val="both"/>
        <w:rPr>
          <w:rFonts w:cs="Arial"/>
          <w:u w:val="single"/>
          <w:lang w:val="fr-FR"/>
        </w:rPr>
      </w:pPr>
    </w:p>
    <w:p w14:paraId="6ACDDE12" w14:textId="77777777" w:rsidR="00BE5E9B" w:rsidRPr="008233A5" w:rsidRDefault="00B757F7">
      <w:pPr>
        <w:pStyle w:val="ListParagraph"/>
        <w:numPr>
          <w:ilvl w:val="0"/>
          <w:numId w:val="4"/>
        </w:numPr>
        <w:spacing w:after="0" w:line="240" w:lineRule="auto"/>
        <w:ind w:left="567" w:hanging="567"/>
        <w:contextualSpacing w:val="0"/>
        <w:jc w:val="both"/>
        <w:rPr>
          <w:rFonts w:cs="Arial"/>
          <w:u w:val="single"/>
          <w:lang w:val="fr-FR"/>
        </w:rPr>
      </w:pPr>
      <w:r w:rsidRPr="008233A5">
        <w:rPr>
          <w:rFonts w:cs="Arial"/>
          <w:lang w:val="fr-FR"/>
        </w:rPr>
        <w:t xml:space="preserve">Les cétacés jouent un rôle essentiel dans le fonctionnement des écosystèmes, mais continuent de subir de nombreuses pressions et menaces. Au niveau régional, l’état de conservation et les pressions varient selon les espèces et les populations, ce qui souligne la nécessité d’adopter des approches adaptées qui intègrent à la fois les parties prenantes internationales et locales. En raison de cette diversité, la CMS maintient plusieurs axes de travail différents relatifs à la conservation des cétacés. </w:t>
      </w:r>
    </w:p>
    <w:p w14:paraId="76CD46D5" w14:textId="77777777" w:rsidR="00BE5E9B" w:rsidRPr="008233A5" w:rsidRDefault="00BE5E9B">
      <w:pPr>
        <w:pStyle w:val="ListParagraph"/>
        <w:spacing w:after="0" w:line="240" w:lineRule="auto"/>
        <w:ind w:left="567"/>
        <w:jc w:val="both"/>
        <w:rPr>
          <w:rFonts w:cs="Arial"/>
          <w:u w:val="single"/>
          <w:lang w:val="fr-FR"/>
        </w:rPr>
      </w:pPr>
    </w:p>
    <w:p w14:paraId="3C23419B" w14:textId="21FA8D47" w:rsidR="00BE5E9B" w:rsidRPr="008233A5" w:rsidRDefault="00B757F7">
      <w:pPr>
        <w:pStyle w:val="ListParagraph"/>
        <w:numPr>
          <w:ilvl w:val="0"/>
          <w:numId w:val="4"/>
        </w:numPr>
        <w:spacing w:after="0" w:line="240" w:lineRule="auto"/>
        <w:ind w:left="567" w:hanging="567"/>
        <w:contextualSpacing w:val="0"/>
        <w:jc w:val="both"/>
        <w:rPr>
          <w:rFonts w:cs="Arial"/>
          <w:u w:val="single"/>
          <w:lang w:val="fr-FR"/>
        </w:rPr>
      </w:pPr>
      <w:r w:rsidRPr="008233A5">
        <w:rPr>
          <w:rFonts w:cs="Arial"/>
          <w:lang w:val="fr-FR"/>
        </w:rPr>
        <w:t>Il est essentiel que les Parties reconnaissent et mettent à jour les priorités pour la conservation des cétacés indiquées dans l’Annexe 2 du document </w:t>
      </w:r>
      <w:hyperlink r:id="rId27" w:history="1">
        <w:r w:rsidRPr="008233A5">
          <w:rPr>
            <w:rStyle w:val="Hyperlink"/>
            <w:rFonts w:cs="Arial"/>
            <w:lang w:val="fr-FR"/>
          </w:rPr>
          <w:t>UNEP/CMS/COP14/Inf.27.5.1a</w:t>
        </w:r>
      </w:hyperlink>
      <w:r w:rsidRPr="008233A5">
        <w:rPr>
          <w:rFonts w:cs="Arial"/>
          <w:lang w:val="fr-FR"/>
        </w:rPr>
        <w:t xml:space="preserve"> pour leur région, ainsi que les recommandations détaillées formulées pour chacune des menaces prioritaires dans la </w:t>
      </w:r>
      <w:hyperlink r:id="rId28" w:history="1">
        <w:r w:rsidRPr="008233A5">
          <w:rPr>
            <w:rStyle w:val="Hyperlink"/>
            <w:rFonts w:cs="Arial"/>
            <w:lang w:val="fr-FR"/>
          </w:rPr>
          <w:t>Résolution 14.9</w:t>
        </w:r>
      </w:hyperlink>
      <w:r w:rsidRPr="008233A5">
        <w:rPr>
          <w:rFonts w:cs="Arial"/>
          <w:lang w:val="fr-FR"/>
        </w:rPr>
        <w:t xml:space="preserve"> </w:t>
      </w:r>
      <w:r w:rsidRPr="008233A5">
        <w:rPr>
          <w:rFonts w:cs="Arial"/>
          <w:i/>
          <w:iCs/>
          <w:lang w:val="fr-FR"/>
        </w:rPr>
        <w:t>Priorités de conservation pour les cétacés</w:t>
      </w:r>
      <w:r w:rsidRPr="008233A5">
        <w:rPr>
          <w:rFonts w:cs="Arial"/>
          <w:lang w:val="fr-FR"/>
        </w:rPr>
        <w:t>, et qu’elles s’attaquent aux plus urgentes, en coordination, le cas échéant, avec d’autres pays de leur région.</w:t>
      </w:r>
    </w:p>
    <w:p w14:paraId="3A2029EF" w14:textId="77777777" w:rsidR="00644194" w:rsidRDefault="00644194">
      <w:pPr>
        <w:pStyle w:val="Secondnumbering"/>
        <w:numPr>
          <w:ilvl w:val="0"/>
          <w:numId w:val="0"/>
        </w:numPr>
        <w:ind w:left="360" w:hanging="360"/>
        <w:rPr>
          <w:u w:val="single"/>
          <w:lang w:val="fr-FR"/>
        </w:rPr>
      </w:pPr>
    </w:p>
    <w:p w14:paraId="0DE266B9" w14:textId="4C24C82C" w:rsidR="00BE5E9B" w:rsidRPr="008233A5" w:rsidRDefault="00B757F7">
      <w:pPr>
        <w:pStyle w:val="Secondnumbering"/>
        <w:numPr>
          <w:ilvl w:val="0"/>
          <w:numId w:val="0"/>
        </w:numPr>
        <w:ind w:left="360" w:hanging="360"/>
        <w:rPr>
          <w:u w:val="single"/>
          <w:lang w:val="fr-FR"/>
        </w:rPr>
      </w:pPr>
      <w:r w:rsidRPr="008233A5">
        <w:rPr>
          <w:u w:val="single"/>
          <w:lang w:val="fr-FR"/>
        </w:rPr>
        <w:t>Actions recommandées</w:t>
      </w:r>
    </w:p>
    <w:p w14:paraId="418B8C84" w14:textId="77777777" w:rsidR="00BE5E9B" w:rsidRPr="008233A5" w:rsidRDefault="00BE5E9B">
      <w:pPr>
        <w:spacing w:after="0" w:line="240" w:lineRule="auto"/>
        <w:rPr>
          <w:rFonts w:cs="Arial"/>
          <w:lang w:val="fr-FR"/>
        </w:rPr>
      </w:pPr>
    </w:p>
    <w:p w14:paraId="219A7E78" w14:textId="77777777" w:rsidR="00BE5E9B" w:rsidRPr="008233A5" w:rsidRDefault="00B757F7">
      <w:pPr>
        <w:widowControl w:val="0"/>
        <w:numPr>
          <w:ilvl w:val="0"/>
          <w:numId w:val="4"/>
        </w:numPr>
        <w:autoSpaceDE w:val="0"/>
        <w:autoSpaceDN w:val="0"/>
        <w:adjustRightInd w:val="0"/>
        <w:spacing w:after="0" w:line="240" w:lineRule="auto"/>
        <w:ind w:left="567" w:hanging="567"/>
        <w:jc w:val="both"/>
        <w:rPr>
          <w:rFonts w:cs="Arial"/>
          <w:lang w:val="fr-FR"/>
        </w:rPr>
      </w:pPr>
      <w:r w:rsidRPr="008233A5">
        <w:rPr>
          <w:rFonts w:cs="Arial"/>
          <w:lang w:val="fr-FR" w:eastAsia="en-GB"/>
        </w:rPr>
        <w:t>Il est recommandé à la Conférence des Parties </w:t>
      </w:r>
      <w:r w:rsidRPr="008233A5">
        <w:rPr>
          <w:rFonts w:cs="Arial"/>
          <w:lang w:val="fr-FR"/>
        </w:rPr>
        <w:t>:</w:t>
      </w:r>
    </w:p>
    <w:p w14:paraId="3EF28541" w14:textId="77777777" w:rsidR="00BE5E9B" w:rsidRPr="008233A5" w:rsidRDefault="00BE5E9B">
      <w:pPr>
        <w:pStyle w:val="Secondnumbering"/>
        <w:numPr>
          <w:ilvl w:val="0"/>
          <w:numId w:val="0"/>
        </w:numPr>
        <w:rPr>
          <w:lang w:val="fr-FR"/>
        </w:rPr>
      </w:pPr>
    </w:p>
    <w:p w14:paraId="78EEE946" w14:textId="5B430F6E" w:rsidR="00BE5E9B" w:rsidRPr="008233A5" w:rsidRDefault="00B757F7">
      <w:pPr>
        <w:pStyle w:val="Secondnumbering"/>
        <w:ind w:left="993" w:hanging="426"/>
        <w:jc w:val="both"/>
        <w:rPr>
          <w:lang w:val="fr-FR"/>
        </w:rPr>
      </w:pPr>
      <w:r w:rsidRPr="008233A5">
        <w:rPr>
          <w:rFonts w:cs="Arial"/>
          <w:lang w:val="fr-FR"/>
        </w:rPr>
        <w:t xml:space="preserve">de prendre note du </w:t>
      </w:r>
      <w:r w:rsidR="002D5142">
        <w:rPr>
          <w:rFonts w:cs="Arial"/>
          <w:lang w:val="fr-FR"/>
        </w:rPr>
        <w:t xml:space="preserve">résumé et des recommandations du </w:t>
      </w:r>
      <w:r w:rsidRPr="008233A5">
        <w:rPr>
          <w:rFonts w:cs="Arial"/>
          <w:lang w:val="fr-FR"/>
        </w:rPr>
        <w:t xml:space="preserve">rapport sur </w:t>
      </w:r>
      <w:r w:rsidRPr="008233A5">
        <w:rPr>
          <w:rFonts w:cs="Arial"/>
          <w:i/>
          <w:iCs/>
          <w:lang w:val="fr-FR"/>
        </w:rPr>
        <w:t xml:space="preserve">La chasse à la baleine contemporaine et le prélèvement de viande d’animaux sauvages aquatiques de tous les cétacés inscrits à l’Annexe I de la CMS </w:t>
      </w:r>
      <w:r w:rsidRPr="008233A5">
        <w:rPr>
          <w:rFonts w:cs="Arial"/>
          <w:lang w:val="fr-FR"/>
        </w:rPr>
        <w:t>figurant à l’Annexe 1 du présent document ;</w:t>
      </w:r>
    </w:p>
    <w:p w14:paraId="00781A65" w14:textId="77777777" w:rsidR="00BE5E9B" w:rsidRPr="008233A5" w:rsidRDefault="00BE5E9B">
      <w:pPr>
        <w:pStyle w:val="Secondnumbering"/>
        <w:numPr>
          <w:ilvl w:val="0"/>
          <w:numId w:val="0"/>
        </w:numPr>
        <w:ind w:left="993" w:hanging="426"/>
        <w:jc w:val="both"/>
        <w:rPr>
          <w:lang w:val="fr-FR"/>
        </w:rPr>
      </w:pPr>
    </w:p>
    <w:p w14:paraId="1A9940D4" w14:textId="1DE302EE" w:rsidR="00BE5E9B" w:rsidRPr="008233A5" w:rsidRDefault="00B757F7">
      <w:pPr>
        <w:pStyle w:val="Secondnumbering"/>
        <w:ind w:left="993" w:hanging="426"/>
        <w:jc w:val="both"/>
        <w:rPr>
          <w:lang w:val="fr-FR"/>
        </w:rPr>
      </w:pPr>
      <w:r w:rsidRPr="008233A5">
        <w:rPr>
          <w:rFonts w:cs="Arial"/>
          <w:lang w:val="fr-FR"/>
        </w:rPr>
        <w:t xml:space="preserve">de prendre note du </w:t>
      </w:r>
      <w:r w:rsidR="00AC78FA">
        <w:rPr>
          <w:rFonts w:cs="Arial"/>
          <w:lang w:val="fr-FR"/>
        </w:rPr>
        <w:t>résumé et des recommandations</w:t>
      </w:r>
      <w:r w:rsidRPr="008233A5">
        <w:rPr>
          <w:rFonts w:cs="Arial"/>
          <w:lang w:val="fr-FR"/>
        </w:rPr>
        <w:t xml:space="preserve"> </w:t>
      </w:r>
      <w:r w:rsidR="00BE3422">
        <w:rPr>
          <w:rFonts w:cs="Arial"/>
          <w:lang w:val="fr-FR"/>
        </w:rPr>
        <w:t xml:space="preserve">du rapport </w:t>
      </w:r>
      <w:r w:rsidRPr="008233A5">
        <w:rPr>
          <w:rFonts w:cs="Arial"/>
          <w:lang w:val="fr-FR"/>
        </w:rPr>
        <w:t xml:space="preserve">sur les </w:t>
      </w:r>
      <w:r w:rsidRPr="008233A5">
        <w:rPr>
          <w:rFonts w:cs="Arial"/>
          <w:i/>
          <w:iCs/>
          <w:lang w:val="fr-FR"/>
        </w:rPr>
        <w:t>Impacts du changement climatique sur le bien-être et la conservation des cétacés</w:t>
      </w:r>
      <w:r w:rsidRPr="008233A5">
        <w:rPr>
          <w:rFonts w:cs="Arial"/>
          <w:lang w:val="fr-FR"/>
        </w:rPr>
        <w:t xml:space="preserve"> figurant à l’Annexe 2 du présent document ;</w:t>
      </w:r>
    </w:p>
    <w:p w14:paraId="0458B7F9" w14:textId="77777777" w:rsidR="00BE5E9B" w:rsidRPr="008233A5" w:rsidRDefault="00BE5E9B">
      <w:pPr>
        <w:pStyle w:val="Secondnumbering"/>
        <w:numPr>
          <w:ilvl w:val="0"/>
          <w:numId w:val="0"/>
        </w:numPr>
        <w:ind w:left="993" w:hanging="426"/>
        <w:jc w:val="both"/>
        <w:rPr>
          <w:lang w:val="fr-FR"/>
        </w:rPr>
      </w:pPr>
    </w:p>
    <w:p w14:paraId="5A9677DA" w14:textId="55631F28" w:rsidR="00BE5E9B" w:rsidRPr="008233A5" w:rsidRDefault="00B757F7">
      <w:pPr>
        <w:pStyle w:val="Secondnumbering"/>
        <w:ind w:left="993" w:hanging="426"/>
        <w:jc w:val="both"/>
        <w:rPr>
          <w:lang w:val="fr-FR"/>
        </w:rPr>
      </w:pPr>
      <w:r w:rsidRPr="008233A5">
        <w:rPr>
          <w:rFonts w:cs="Arial"/>
          <w:lang w:val="fr-FR"/>
        </w:rPr>
        <w:t xml:space="preserve">de prendre note du </w:t>
      </w:r>
      <w:r w:rsidR="00BE3422">
        <w:rPr>
          <w:rFonts w:cs="Arial"/>
          <w:lang w:val="fr-FR"/>
        </w:rPr>
        <w:t>résumé et des recommandations</w:t>
      </w:r>
      <w:r w:rsidR="00BE3422" w:rsidRPr="008233A5">
        <w:rPr>
          <w:rFonts w:cs="Arial"/>
          <w:lang w:val="fr-FR"/>
        </w:rPr>
        <w:t xml:space="preserve"> </w:t>
      </w:r>
      <w:r w:rsidR="00BE3422">
        <w:rPr>
          <w:rFonts w:cs="Arial"/>
          <w:lang w:val="fr-FR"/>
        </w:rPr>
        <w:t xml:space="preserve">du </w:t>
      </w:r>
      <w:r w:rsidRPr="008233A5">
        <w:rPr>
          <w:rFonts w:cs="Arial"/>
          <w:lang w:val="fr-FR"/>
        </w:rPr>
        <w:t xml:space="preserve">rapport sur </w:t>
      </w:r>
      <w:r w:rsidRPr="008233A5">
        <w:rPr>
          <w:rFonts w:cs="Arial"/>
          <w:i/>
          <w:iCs/>
          <w:lang w:val="fr-FR"/>
        </w:rPr>
        <w:t>Les cétacés hors habitat</w:t>
      </w:r>
      <w:r w:rsidRPr="008233A5">
        <w:rPr>
          <w:rFonts w:cs="Arial"/>
          <w:lang w:val="fr-FR"/>
        </w:rPr>
        <w:t xml:space="preserve"> figurant à l’Annexe 3 du présent document ; </w:t>
      </w:r>
    </w:p>
    <w:p w14:paraId="5980C4B7" w14:textId="77777777" w:rsidR="00BE5E9B" w:rsidRPr="008233A5" w:rsidRDefault="00BE5E9B">
      <w:pPr>
        <w:pStyle w:val="Secondnumbering"/>
        <w:numPr>
          <w:ilvl w:val="0"/>
          <w:numId w:val="0"/>
        </w:numPr>
        <w:ind w:left="993" w:hanging="426"/>
        <w:jc w:val="both"/>
        <w:rPr>
          <w:lang w:val="fr-FR"/>
        </w:rPr>
      </w:pPr>
    </w:p>
    <w:p w14:paraId="3C0792D2" w14:textId="46F68E02" w:rsidR="00BE5E9B" w:rsidRPr="008233A5" w:rsidRDefault="00B757F7">
      <w:pPr>
        <w:pStyle w:val="Secondnumbering"/>
        <w:ind w:left="993" w:hanging="426"/>
        <w:jc w:val="both"/>
        <w:rPr>
          <w:lang w:val="fr-FR"/>
        </w:rPr>
      </w:pPr>
      <w:r w:rsidRPr="008233A5">
        <w:rPr>
          <w:lang w:val="fr-FR"/>
        </w:rPr>
        <w:t xml:space="preserve">de prendre note de la </w:t>
      </w:r>
      <w:r w:rsidRPr="008233A5">
        <w:rPr>
          <w:i/>
          <w:iCs/>
          <w:lang w:val="fr-FR"/>
        </w:rPr>
        <w:t>Compilation des recommandations qui pourraient être adressées au Conseil scientifique lors de la COP15 et des futures COP</w:t>
      </w:r>
      <w:r w:rsidRPr="008233A5">
        <w:rPr>
          <w:lang w:val="fr-FR"/>
        </w:rPr>
        <w:t xml:space="preserve"> </w:t>
      </w:r>
      <w:r w:rsidR="00372EC4">
        <w:rPr>
          <w:lang w:val="fr-FR"/>
        </w:rPr>
        <w:t>figurant à l’Ann</w:t>
      </w:r>
      <w:r w:rsidR="001D5F99">
        <w:rPr>
          <w:lang w:val="fr-FR"/>
        </w:rPr>
        <w:t>e</w:t>
      </w:r>
      <w:r w:rsidR="00372EC4">
        <w:rPr>
          <w:lang w:val="fr-FR"/>
        </w:rPr>
        <w:t>xe 4</w:t>
      </w:r>
      <w:r w:rsidR="001D5F99">
        <w:rPr>
          <w:lang w:val="fr-FR"/>
        </w:rPr>
        <w:t xml:space="preserve"> du présent document</w:t>
      </w:r>
      <w:r w:rsidRPr="008233A5">
        <w:rPr>
          <w:rFonts w:cs="Arial"/>
          <w:lang w:val="fr-FR"/>
        </w:rPr>
        <w:t> ;</w:t>
      </w:r>
    </w:p>
    <w:p w14:paraId="0998632D" w14:textId="77777777" w:rsidR="00BE5E9B" w:rsidRPr="008233A5" w:rsidRDefault="00BE5E9B">
      <w:pPr>
        <w:pStyle w:val="Secondnumbering"/>
        <w:numPr>
          <w:ilvl w:val="0"/>
          <w:numId w:val="0"/>
        </w:numPr>
        <w:ind w:left="993" w:hanging="426"/>
        <w:jc w:val="both"/>
        <w:rPr>
          <w:lang w:val="fr-FR"/>
        </w:rPr>
      </w:pPr>
    </w:p>
    <w:p w14:paraId="36216381" w14:textId="138891E2" w:rsidR="00BE5E9B" w:rsidRPr="008233A5" w:rsidRDefault="00B757F7">
      <w:pPr>
        <w:pStyle w:val="Secondnumbering"/>
        <w:ind w:left="993" w:hanging="426"/>
        <w:jc w:val="both"/>
        <w:rPr>
          <w:lang w:val="fr-FR"/>
        </w:rPr>
      </w:pPr>
      <w:r w:rsidRPr="008233A5">
        <w:rPr>
          <w:lang w:val="fr-FR"/>
        </w:rPr>
        <w:t>d’adopter le mandat du groupe de travail sur les mammifères aquatiques figurant à l’Annexe </w:t>
      </w:r>
      <w:r w:rsidR="001D5F99">
        <w:rPr>
          <w:lang w:val="fr-FR"/>
        </w:rPr>
        <w:t>5</w:t>
      </w:r>
      <w:r w:rsidRPr="008233A5">
        <w:rPr>
          <w:lang w:val="fr-FR"/>
        </w:rPr>
        <w:t xml:space="preserve"> du présent document ;</w:t>
      </w:r>
    </w:p>
    <w:p w14:paraId="39F32182" w14:textId="77777777" w:rsidR="00BE5E9B" w:rsidRPr="008233A5" w:rsidRDefault="00BE5E9B">
      <w:pPr>
        <w:pStyle w:val="Secondnumbering"/>
        <w:numPr>
          <w:ilvl w:val="0"/>
          <w:numId w:val="0"/>
        </w:numPr>
        <w:ind w:left="993" w:hanging="426"/>
        <w:jc w:val="both"/>
        <w:rPr>
          <w:lang w:val="fr-FR"/>
        </w:rPr>
      </w:pPr>
    </w:p>
    <w:p w14:paraId="3F59434E" w14:textId="4066DC92" w:rsidR="00BE5E9B" w:rsidRPr="008233A5" w:rsidRDefault="00B757F7">
      <w:pPr>
        <w:pStyle w:val="Secondnumbering"/>
        <w:ind w:left="993" w:hanging="426"/>
        <w:jc w:val="both"/>
        <w:rPr>
          <w:lang w:val="fr-FR"/>
        </w:rPr>
      </w:pPr>
      <w:r w:rsidRPr="008233A5">
        <w:rPr>
          <w:rFonts w:cs="Arial"/>
          <w:lang w:val="fr-FR"/>
        </w:rPr>
        <w:t>d’adopter le projet de Décisions figurant à l’Annexe </w:t>
      </w:r>
      <w:r w:rsidR="001D5F99">
        <w:rPr>
          <w:rFonts w:cs="Arial"/>
          <w:lang w:val="fr-FR"/>
        </w:rPr>
        <w:t>6</w:t>
      </w:r>
      <w:r w:rsidRPr="008233A5">
        <w:rPr>
          <w:rFonts w:cs="Arial"/>
          <w:lang w:val="fr-FR"/>
        </w:rPr>
        <w:t xml:space="preserve"> du présent document ;</w:t>
      </w:r>
    </w:p>
    <w:p w14:paraId="5E77E153" w14:textId="77777777" w:rsidR="00BE5E9B" w:rsidRPr="008233A5" w:rsidRDefault="00B757F7">
      <w:pPr>
        <w:spacing w:after="0" w:line="240" w:lineRule="auto"/>
        <w:ind w:left="993" w:hanging="426"/>
        <w:jc w:val="both"/>
        <w:rPr>
          <w:rFonts w:cs="Arial"/>
          <w:lang w:val="fr-FR"/>
        </w:rPr>
      </w:pPr>
      <w:r w:rsidRPr="008233A5">
        <w:rPr>
          <w:lang w:val="fr-FR"/>
        </w:rPr>
        <w:t xml:space="preserve"> </w:t>
      </w:r>
    </w:p>
    <w:p w14:paraId="380C0CC3" w14:textId="77777777" w:rsidR="00BE5E9B" w:rsidRPr="008233A5" w:rsidRDefault="00B757F7">
      <w:pPr>
        <w:pStyle w:val="Secondnumbering"/>
        <w:ind w:left="993" w:hanging="426"/>
        <w:jc w:val="both"/>
        <w:rPr>
          <w:lang w:val="fr-FR"/>
        </w:rPr>
      </w:pPr>
      <w:r w:rsidRPr="008233A5">
        <w:rPr>
          <w:rFonts w:cs="Arial"/>
          <w:lang w:val="fr-FR"/>
        </w:rPr>
        <w:t>de supprimer les Décisions 14.69</w:t>
      </w:r>
      <w:r w:rsidRPr="008233A5">
        <w:rPr>
          <w:rFonts w:cs="Arial"/>
          <w:iCs/>
          <w:sz w:val="21"/>
          <w:szCs w:val="21"/>
          <w:lang w:val="fr-FR"/>
        </w:rPr>
        <w:t>–</w:t>
      </w:r>
      <w:r w:rsidRPr="008233A5">
        <w:rPr>
          <w:rFonts w:cs="Arial"/>
          <w:lang w:val="fr-FR"/>
        </w:rPr>
        <w:t>14.73 et 14.74</w:t>
      </w:r>
      <w:r w:rsidRPr="008233A5">
        <w:rPr>
          <w:rFonts w:cs="Arial"/>
          <w:iCs/>
          <w:sz w:val="21"/>
          <w:szCs w:val="21"/>
          <w:lang w:val="fr-FR"/>
        </w:rPr>
        <w:t>–</w:t>
      </w:r>
      <w:r w:rsidRPr="008233A5">
        <w:rPr>
          <w:rFonts w:cs="Arial"/>
          <w:lang w:val="fr-FR"/>
        </w:rPr>
        <w:t>14.75.</w:t>
      </w:r>
    </w:p>
    <w:p w14:paraId="415265FD" w14:textId="77777777" w:rsidR="00BE5E9B" w:rsidRPr="008233A5" w:rsidRDefault="00BE5E9B">
      <w:pPr>
        <w:spacing w:after="0" w:line="240" w:lineRule="auto"/>
        <w:rPr>
          <w:rFonts w:cs="Arial"/>
          <w:lang w:val="fr-FR"/>
        </w:rPr>
      </w:pPr>
    </w:p>
    <w:p w14:paraId="111F69E3" w14:textId="77777777" w:rsidR="00BE5E9B" w:rsidRPr="008233A5" w:rsidRDefault="00BE5E9B">
      <w:pPr>
        <w:spacing w:after="0" w:line="240" w:lineRule="auto"/>
        <w:rPr>
          <w:rFonts w:cs="Arial"/>
          <w:caps/>
          <w:lang w:val="fr-FR"/>
        </w:rPr>
        <w:sectPr w:rsidR="00BE5E9B" w:rsidRPr="008233A5">
          <w:headerReference w:type="even" r:id="rId29"/>
          <w:headerReference w:type="default" r:id="rId30"/>
          <w:footerReference w:type="default" r:id="rId31"/>
          <w:headerReference w:type="first" r:id="rId32"/>
          <w:footerReference w:type="first" r:id="rId33"/>
          <w:pgSz w:w="11906" w:h="16838" w:code="9"/>
          <w:pgMar w:top="1440" w:right="1440" w:bottom="1440" w:left="1440" w:header="720" w:footer="720" w:gutter="0"/>
          <w:cols w:space="720"/>
          <w:titlePg/>
          <w:docGrid w:linePitch="360"/>
        </w:sectPr>
      </w:pPr>
    </w:p>
    <w:p w14:paraId="7D2DEE2C" w14:textId="77777777" w:rsidR="00BE5E9B" w:rsidRPr="008233A5" w:rsidRDefault="00B757F7">
      <w:pPr>
        <w:spacing w:after="0" w:line="240" w:lineRule="auto"/>
        <w:jc w:val="right"/>
        <w:rPr>
          <w:rFonts w:cs="Arial"/>
          <w:b/>
          <w:bCs/>
          <w:iCs/>
          <w:lang w:val="fr-FR"/>
        </w:rPr>
      </w:pPr>
      <w:r w:rsidRPr="008233A5">
        <w:rPr>
          <w:rFonts w:cs="Arial"/>
          <w:b/>
          <w:bCs/>
          <w:iCs/>
          <w:lang w:val="fr-FR"/>
        </w:rPr>
        <w:lastRenderedPageBreak/>
        <w:t>ANNEXE 1</w:t>
      </w:r>
    </w:p>
    <w:p w14:paraId="6616FD7A" w14:textId="77777777" w:rsidR="00BE5E9B" w:rsidRPr="008233A5" w:rsidRDefault="00BE5E9B">
      <w:pPr>
        <w:spacing w:after="0" w:line="240" w:lineRule="auto"/>
        <w:jc w:val="both"/>
        <w:rPr>
          <w:rFonts w:cs="Arial"/>
          <w:iCs/>
          <w:lang w:val="fr-FR"/>
        </w:rPr>
      </w:pPr>
    </w:p>
    <w:p w14:paraId="1B0715F4" w14:textId="77777777" w:rsidR="00BE5E9B" w:rsidRPr="008233A5" w:rsidRDefault="00BE5E9B">
      <w:pPr>
        <w:spacing w:after="0" w:line="240" w:lineRule="auto"/>
        <w:jc w:val="both"/>
        <w:rPr>
          <w:rFonts w:cs="Arial"/>
          <w:b/>
          <w:bCs/>
          <w:iCs/>
          <w:lang w:val="fr-FR"/>
        </w:rPr>
      </w:pPr>
    </w:p>
    <w:p w14:paraId="79E1E2F1" w14:textId="77777777" w:rsidR="00BE5E9B" w:rsidRPr="008233A5" w:rsidRDefault="00B757F7">
      <w:pPr>
        <w:spacing w:after="0" w:line="240" w:lineRule="auto"/>
        <w:jc w:val="center"/>
        <w:rPr>
          <w:rFonts w:cs="Arial"/>
          <w:b/>
          <w:bCs/>
          <w:iCs/>
          <w:lang w:val="fr-FR"/>
        </w:rPr>
      </w:pPr>
      <w:r w:rsidRPr="008233A5">
        <w:rPr>
          <w:rFonts w:cs="Arial"/>
          <w:b/>
          <w:bCs/>
          <w:iCs/>
          <w:lang w:val="fr-FR"/>
        </w:rPr>
        <w:t xml:space="preserve">QUANTIFICATION DE LA CHASSE À LA BALEINE CONTEMPORAINE ET DU PRÉLÈVEMENT DE VIANDE D’ANIMAUX SAUVAGES AQUATIQUES DE TOUS LES CÉTACÉS INSCRITS À L’ANNEXE I DE LA CMS : RÉSUMÉ ET </w:t>
      </w:r>
      <w:r w:rsidRPr="008233A5">
        <w:rPr>
          <w:rFonts w:cs="Arial"/>
          <w:b/>
          <w:bCs/>
          <w:lang w:val="fr-FR"/>
        </w:rPr>
        <w:t>RECOMMANDATIONS</w:t>
      </w:r>
    </w:p>
    <w:p w14:paraId="69CC2552" w14:textId="77777777" w:rsidR="00BE5E9B" w:rsidRPr="008233A5" w:rsidRDefault="00BE5E9B">
      <w:pPr>
        <w:spacing w:after="0" w:line="240" w:lineRule="auto"/>
        <w:jc w:val="both"/>
        <w:rPr>
          <w:rFonts w:cs="Arial"/>
          <w:b/>
          <w:bCs/>
          <w:iCs/>
          <w:lang w:val="fr-FR"/>
        </w:rPr>
      </w:pPr>
    </w:p>
    <w:p w14:paraId="57C098AC" w14:textId="362098BB" w:rsidR="00BE5E9B" w:rsidRPr="008233A5" w:rsidRDefault="00B757F7">
      <w:pPr>
        <w:pStyle w:val="Secondnumbering"/>
        <w:numPr>
          <w:ilvl w:val="0"/>
          <w:numId w:val="0"/>
        </w:numPr>
        <w:jc w:val="center"/>
        <w:rPr>
          <w:rFonts w:cs="Arial"/>
          <w:i/>
          <w:iCs/>
          <w:lang w:val="fr-FR"/>
        </w:rPr>
      </w:pPr>
      <w:r w:rsidRPr="008233A5">
        <w:rPr>
          <w:rFonts w:cs="Arial"/>
          <w:i/>
          <w:iCs/>
          <w:lang w:val="fr-FR"/>
        </w:rPr>
        <w:t>(Le rapport complet est disponible sous la cote </w:t>
      </w:r>
      <w:hyperlink r:id="rId34" w:history="1">
        <w:r w:rsidR="00041E17" w:rsidRPr="00041E17">
          <w:rPr>
            <w:rStyle w:val="Hyperlink"/>
            <w:rFonts w:cs="Arial"/>
            <w:i/>
            <w:iCs/>
            <w:lang w:val="fr-FR"/>
          </w:rPr>
          <w:t>UNEP/C</w:t>
        </w:r>
        <w:r w:rsidR="00041E17" w:rsidRPr="00041E17">
          <w:rPr>
            <w:rStyle w:val="Hyperlink"/>
            <w:rFonts w:cs="Arial"/>
            <w:i/>
            <w:iCs/>
            <w:lang w:val="fr-FR"/>
          </w:rPr>
          <w:t>M</w:t>
        </w:r>
        <w:r w:rsidR="00041E17" w:rsidRPr="00041E17">
          <w:rPr>
            <w:rStyle w:val="Hyperlink"/>
            <w:rFonts w:cs="Arial"/>
            <w:i/>
            <w:iCs/>
            <w:lang w:val="fr-FR"/>
          </w:rPr>
          <w:t>S/COP15/Inf.25.4.1a</w:t>
        </w:r>
      </w:hyperlink>
      <w:r w:rsidRPr="008233A5">
        <w:rPr>
          <w:rFonts w:cs="Arial"/>
          <w:i/>
          <w:iCs/>
          <w:lang w:val="fr-FR"/>
        </w:rPr>
        <w:t>)</w:t>
      </w:r>
    </w:p>
    <w:p w14:paraId="12ADEF2E" w14:textId="77777777" w:rsidR="00BE5E9B" w:rsidRPr="008233A5" w:rsidRDefault="00BE5E9B">
      <w:pPr>
        <w:spacing w:after="0" w:line="240" w:lineRule="auto"/>
        <w:jc w:val="both"/>
        <w:rPr>
          <w:rFonts w:cs="Arial"/>
          <w:b/>
          <w:bCs/>
          <w:lang w:val="fr-FR"/>
        </w:rPr>
      </w:pPr>
    </w:p>
    <w:p w14:paraId="35BD7261" w14:textId="77777777" w:rsidR="00BE5E9B" w:rsidRPr="008233A5" w:rsidRDefault="00B757F7">
      <w:pPr>
        <w:spacing w:after="0" w:line="240" w:lineRule="auto"/>
        <w:jc w:val="both"/>
        <w:rPr>
          <w:rFonts w:cs="Arial"/>
          <w:b/>
          <w:bCs/>
          <w:lang w:val="fr-FR"/>
        </w:rPr>
      </w:pPr>
      <w:r w:rsidRPr="008233A5">
        <w:rPr>
          <w:rFonts w:cs="Arial"/>
          <w:b/>
          <w:bCs/>
          <w:lang w:val="fr-FR"/>
        </w:rPr>
        <w:t>Résumé</w:t>
      </w:r>
    </w:p>
    <w:p w14:paraId="3FD9D5B2" w14:textId="77777777" w:rsidR="00BE5E9B" w:rsidRPr="008233A5" w:rsidRDefault="00BE5E9B">
      <w:pPr>
        <w:spacing w:after="0" w:line="240" w:lineRule="auto"/>
        <w:jc w:val="both"/>
        <w:rPr>
          <w:rFonts w:cs="Arial"/>
          <w:lang w:val="fr-FR"/>
        </w:rPr>
      </w:pPr>
    </w:p>
    <w:p w14:paraId="22E7DB11" w14:textId="77777777" w:rsidR="00BE5E9B" w:rsidRPr="008233A5" w:rsidRDefault="00B757F7">
      <w:pPr>
        <w:spacing w:after="80" w:line="240" w:lineRule="auto"/>
        <w:jc w:val="both"/>
        <w:rPr>
          <w:rFonts w:cs="Arial"/>
          <w:lang w:val="fr-FR"/>
        </w:rPr>
      </w:pPr>
      <w:r w:rsidRPr="008233A5">
        <w:rPr>
          <w:rFonts w:cs="Arial"/>
          <w:lang w:val="fr-FR"/>
        </w:rPr>
        <w:t xml:space="preserve">Environ 45 % des espèces de cétacés inscrites à l’Annexe I de la CMS sont soumises à la chasse à la baleine contemporaine et au prélèvement de viande d’animaux sauvages aquatiques. Sur les 18 espèces de cétacés actuellement inscrites à l’Annexe I de la CMS, </w:t>
      </w:r>
    </w:p>
    <w:p w14:paraId="33CBE701" w14:textId="77777777" w:rsidR="00BE5E9B" w:rsidRPr="008233A5" w:rsidRDefault="00B757F7">
      <w:pPr>
        <w:pStyle w:val="ListParagraph"/>
        <w:numPr>
          <w:ilvl w:val="0"/>
          <w:numId w:val="23"/>
        </w:numPr>
        <w:spacing w:after="80" w:line="240" w:lineRule="auto"/>
        <w:contextualSpacing w:val="0"/>
        <w:jc w:val="both"/>
        <w:rPr>
          <w:rFonts w:cs="Arial"/>
          <w:lang w:val="fr-FR"/>
        </w:rPr>
      </w:pPr>
      <w:r w:rsidRPr="008233A5">
        <w:rPr>
          <w:rFonts w:cs="Arial"/>
          <w:b/>
          <w:bCs/>
          <w:lang w:val="fr-FR"/>
        </w:rPr>
        <w:t>Huit espèces</w:t>
      </w:r>
      <w:r w:rsidRPr="008233A5">
        <w:rPr>
          <w:rFonts w:cs="Arial"/>
          <w:b/>
          <w:lang w:val="fr-FR"/>
        </w:rPr>
        <w:t xml:space="preserve"> </w:t>
      </w:r>
      <w:r w:rsidRPr="008233A5">
        <w:rPr>
          <w:rFonts w:cs="Arial"/>
          <w:lang w:val="fr-FR"/>
        </w:rPr>
        <w:t xml:space="preserve">ne sont pas soumises à la chasse : les baleines de Biscaye, les baleines franches du Pacifique Nord, les baleines australes, les baleines bleues, la sous-population méditerranéenne de dauphins communs, la sous-population méditerranéenne de baleines à bec de Cuvier, le grand dauphin de Lahille et la sous-population de marsouins communs de la Baltique centrale ; </w:t>
      </w:r>
    </w:p>
    <w:p w14:paraId="3069E44F" w14:textId="77777777" w:rsidR="00BE5E9B" w:rsidRPr="008233A5" w:rsidRDefault="00B757F7">
      <w:pPr>
        <w:pStyle w:val="ListParagraph"/>
        <w:numPr>
          <w:ilvl w:val="0"/>
          <w:numId w:val="23"/>
        </w:numPr>
        <w:spacing w:after="80" w:line="240" w:lineRule="auto"/>
        <w:contextualSpacing w:val="0"/>
        <w:jc w:val="both"/>
        <w:rPr>
          <w:rFonts w:cs="Arial"/>
          <w:lang w:val="fr-FR"/>
        </w:rPr>
      </w:pPr>
      <w:r w:rsidRPr="008233A5">
        <w:rPr>
          <w:rFonts w:cs="Arial"/>
          <w:b/>
          <w:lang w:val="fr-FR"/>
        </w:rPr>
        <w:t xml:space="preserve">Trois espèces </w:t>
      </w:r>
      <w:r w:rsidRPr="008233A5">
        <w:rPr>
          <w:rFonts w:cs="Arial"/>
          <w:lang w:val="fr-FR"/>
        </w:rPr>
        <w:t xml:space="preserve">sont chassées dans le cadre de la Procédure de gestion de la chasse autochtone de subsistance de la CBI : la baleine du Groenland, le rorqual commun et la baleine à bosse ; </w:t>
      </w:r>
    </w:p>
    <w:p w14:paraId="69688775" w14:textId="77777777" w:rsidR="00BE5E9B" w:rsidRPr="008233A5" w:rsidRDefault="00B757F7">
      <w:pPr>
        <w:pStyle w:val="ListParagraph"/>
        <w:numPr>
          <w:ilvl w:val="0"/>
          <w:numId w:val="23"/>
        </w:numPr>
        <w:spacing w:after="80" w:line="240" w:lineRule="auto"/>
        <w:contextualSpacing w:val="0"/>
        <w:jc w:val="both"/>
        <w:rPr>
          <w:rFonts w:cs="Arial"/>
          <w:lang w:val="fr-FR"/>
        </w:rPr>
      </w:pPr>
      <w:r w:rsidRPr="008233A5">
        <w:rPr>
          <w:rFonts w:cs="Arial"/>
          <w:b/>
          <w:lang w:val="fr-FR"/>
        </w:rPr>
        <w:t xml:space="preserve">Deux espèces </w:t>
      </w:r>
      <w:r w:rsidRPr="008233A5">
        <w:rPr>
          <w:rFonts w:cs="Arial"/>
          <w:lang w:val="fr-FR"/>
        </w:rPr>
        <w:t>sont chassées à des fins commerciales : le rorqual commun et le rorqual boréal. Les deux espèces sont chassées au Japon, tandis que les rorquals communs sont chassés en Islande ;</w:t>
      </w:r>
    </w:p>
    <w:p w14:paraId="6A218EC2" w14:textId="77777777" w:rsidR="00BE5E9B" w:rsidRPr="008233A5" w:rsidRDefault="00B757F7">
      <w:pPr>
        <w:pStyle w:val="ListParagraph"/>
        <w:numPr>
          <w:ilvl w:val="0"/>
          <w:numId w:val="23"/>
        </w:numPr>
        <w:spacing w:after="80" w:line="240" w:lineRule="auto"/>
        <w:contextualSpacing w:val="0"/>
        <w:jc w:val="both"/>
        <w:rPr>
          <w:rFonts w:cs="Arial"/>
          <w:lang w:val="fr-FR"/>
        </w:rPr>
      </w:pPr>
      <w:r w:rsidRPr="008233A5">
        <w:rPr>
          <w:rFonts w:cs="Arial"/>
          <w:b/>
          <w:lang w:val="fr-FR"/>
        </w:rPr>
        <w:t xml:space="preserve">Cinq espèces </w:t>
      </w:r>
      <w:r w:rsidRPr="008233A5">
        <w:rPr>
          <w:rFonts w:cs="Arial"/>
          <w:lang w:val="fr-FR"/>
        </w:rPr>
        <w:t xml:space="preserve">sont chassées illégalement : le grand dauphin de la mer Noire, le dauphin de l’Irrawaddy, le dauphin à bosse de l’Atlantique, le dauphin de La Plata et le dauphin du Gange ; </w:t>
      </w:r>
    </w:p>
    <w:p w14:paraId="246EA0F7" w14:textId="77777777" w:rsidR="00BE5E9B" w:rsidRPr="008233A5" w:rsidRDefault="00B757F7">
      <w:pPr>
        <w:pStyle w:val="ListParagraph"/>
        <w:numPr>
          <w:ilvl w:val="0"/>
          <w:numId w:val="23"/>
        </w:numPr>
        <w:spacing w:after="0" w:line="240" w:lineRule="auto"/>
        <w:contextualSpacing w:val="0"/>
        <w:jc w:val="both"/>
        <w:rPr>
          <w:rFonts w:cs="Arial"/>
          <w:lang w:val="fr-FR"/>
        </w:rPr>
      </w:pPr>
      <w:r w:rsidRPr="008233A5">
        <w:rPr>
          <w:rFonts w:cs="Arial"/>
          <w:b/>
          <w:bCs/>
          <w:lang w:val="fr-FR"/>
        </w:rPr>
        <w:t xml:space="preserve">Deux espèces </w:t>
      </w:r>
      <w:r w:rsidRPr="008233A5">
        <w:rPr>
          <w:rFonts w:cs="Arial"/>
          <w:lang w:val="fr-FR"/>
        </w:rPr>
        <w:t>sont capturées lors de chasses non réglementées : le cachalot et la baleine à bosse.</w:t>
      </w:r>
    </w:p>
    <w:p w14:paraId="4321DA34" w14:textId="77777777" w:rsidR="00BE5E9B" w:rsidRPr="008233A5" w:rsidRDefault="00B757F7">
      <w:pPr>
        <w:spacing w:after="0" w:line="240" w:lineRule="auto"/>
        <w:jc w:val="both"/>
        <w:rPr>
          <w:rFonts w:cs="Arial"/>
          <w:lang w:val="fr-FR"/>
        </w:rPr>
      </w:pPr>
      <w:r w:rsidRPr="008233A5">
        <w:rPr>
          <w:rFonts w:cs="Arial"/>
          <w:lang w:val="fr-FR"/>
        </w:rPr>
        <w:br w:type="page"/>
      </w:r>
    </w:p>
    <w:p w14:paraId="04BCD8C2" w14:textId="77777777" w:rsidR="00BE5E9B" w:rsidRPr="008233A5" w:rsidRDefault="00B757F7">
      <w:pPr>
        <w:spacing w:after="0" w:line="240" w:lineRule="auto"/>
        <w:jc w:val="both"/>
        <w:rPr>
          <w:rFonts w:cs="Arial"/>
          <w:i/>
          <w:sz w:val="20"/>
          <w:szCs w:val="20"/>
          <w:lang w:val="fr-FR"/>
        </w:rPr>
      </w:pPr>
      <w:r w:rsidRPr="008233A5">
        <w:rPr>
          <w:rFonts w:cs="Arial"/>
          <w:i/>
          <w:iCs/>
          <w:sz w:val="20"/>
          <w:szCs w:val="20"/>
          <w:lang w:val="fr-FR"/>
        </w:rPr>
        <w:lastRenderedPageBreak/>
        <w:t>Tableau 1. Cétacés inscrits à l’Annexe I de la CMS soumis à la chasse à la baleine contemporaine.</w:t>
      </w:r>
    </w:p>
    <w:p w14:paraId="5BD4321D" w14:textId="77777777" w:rsidR="00BE5E9B" w:rsidRPr="008233A5" w:rsidRDefault="00BE5E9B">
      <w:pPr>
        <w:spacing w:after="0" w:line="240" w:lineRule="auto"/>
        <w:jc w:val="both"/>
        <w:rPr>
          <w:rFonts w:cs="Arial"/>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8"/>
        <w:gridCol w:w="2582"/>
        <w:gridCol w:w="1410"/>
        <w:gridCol w:w="3246"/>
      </w:tblGrid>
      <w:tr w:rsidR="00BE5E9B" w:rsidRPr="00006560" w14:paraId="0D599E92" w14:textId="77777777">
        <w:trPr>
          <w:trHeight w:val="300"/>
          <w:tblHeader/>
        </w:trPr>
        <w:tc>
          <w:tcPr>
            <w:tcW w:w="0" w:type="auto"/>
            <w:tcBorders>
              <w:top w:val="double" w:sz="4" w:space="0" w:color="auto"/>
              <w:left w:val="single" w:sz="4" w:space="0" w:color="auto"/>
              <w:bottom w:val="single" w:sz="4" w:space="0" w:color="auto"/>
              <w:right w:val="single" w:sz="4" w:space="0" w:color="auto"/>
            </w:tcBorders>
            <w:vAlign w:val="center"/>
          </w:tcPr>
          <w:p w14:paraId="76935FBE" w14:textId="77777777" w:rsidR="00BE5E9B" w:rsidRPr="008233A5" w:rsidRDefault="00B757F7">
            <w:pPr>
              <w:jc w:val="center"/>
              <w:rPr>
                <w:rFonts w:ascii="Arial" w:hAnsi="Arial" w:cs="Arial"/>
                <w:b/>
                <w:bCs/>
                <w:sz w:val="20"/>
                <w:szCs w:val="20"/>
                <w:lang w:val="fr-FR"/>
              </w:rPr>
            </w:pPr>
            <w:r w:rsidRPr="008233A5">
              <w:rPr>
                <w:rFonts w:ascii="Arial" w:hAnsi="Arial" w:cs="Arial"/>
                <w:b/>
                <w:bCs/>
                <w:sz w:val="20"/>
                <w:szCs w:val="20"/>
                <w:lang w:val="fr-FR"/>
              </w:rPr>
              <w:t>Nom commun</w:t>
            </w:r>
          </w:p>
        </w:tc>
        <w:tc>
          <w:tcPr>
            <w:tcW w:w="0" w:type="auto"/>
            <w:tcBorders>
              <w:top w:val="double" w:sz="4" w:space="0" w:color="auto"/>
              <w:left w:val="single" w:sz="4" w:space="0" w:color="auto"/>
              <w:bottom w:val="single" w:sz="4" w:space="0" w:color="auto"/>
              <w:right w:val="single" w:sz="4" w:space="0" w:color="auto"/>
            </w:tcBorders>
            <w:vAlign w:val="center"/>
          </w:tcPr>
          <w:p w14:paraId="0ECCFABB" w14:textId="77777777" w:rsidR="00BE5E9B" w:rsidRPr="008233A5" w:rsidRDefault="00B757F7">
            <w:pPr>
              <w:jc w:val="center"/>
              <w:rPr>
                <w:rFonts w:ascii="Arial" w:hAnsi="Arial" w:cs="Arial"/>
                <w:b/>
                <w:bCs/>
                <w:sz w:val="20"/>
                <w:szCs w:val="20"/>
                <w:lang w:val="fr-FR"/>
              </w:rPr>
            </w:pPr>
            <w:r w:rsidRPr="008233A5">
              <w:rPr>
                <w:rFonts w:ascii="Arial" w:hAnsi="Arial" w:cs="Arial"/>
                <w:b/>
                <w:bCs/>
                <w:sz w:val="20"/>
                <w:szCs w:val="20"/>
                <w:lang w:val="fr-FR"/>
              </w:rPr>
              <w:t>Nom de l’espèce</w:t>
            </w:r>
          </w:p>
        </w:tc>
        <w:tc>
          <w:tcPr>
            <w:tcW w:w="1410" w:type="dxa"/>
            <w:tcBorders>
              <w:top w:val="double" w:sz="4" w:space="0" w:color="auto"/>
              <w:left w:val="single" w:sz="4" w:space="0" w:color="auto"/>
              <w:bottom w:val="single" w:sz="4" w:space="0" w:color="auto"/>
              <w:right w:val="single" w:sz="4" w:space="0" w:color="auto"/>
            </w:tcBorders>
            <w:vAlign w:val="center"/>
          </w:tcPr>
          <w:p w14:paraId="68BB9167" w14:textId="77777777" w:rsidR="00BE5E9B" w:rsidRPr="008233A5" w:rsidRDefault="00B757F7">
            <w:pPr>
              <w:jc w:val="center"/>
              <w:rPr>
                <w:rFonts w:ascii="Arial" w:hAnsi="Arial" w:cs="Arial"/>
                <w:b/>
                <w:bCs/>
                <w:sz w:val="20"/>
                <w:szCs w:val="20"/>
                <w:lang w:val="fr-FR"/>
              </w:rPr>
            </w:pPr>
            <w:r w:rsidRPr="008233A5">
              <w:rPr>
                <w:rFonts w:ascii="Arial" w:hAnsi="Arial" w:cs="Arial"/>
                <w:b/>
                <w:bCs/>
                <w:sz w:val="20"/>
                <w:szCs w:val="20"/>
                <w:lang w:val="fr-FR"/>
              </w:rPr>
              <w:t>Annexe I ou II de la CMS</w:t>
            </w:r>
          </w:p>
        </w:tc>
        <w:tc>
          <w:tcPr>
            <w:tcW w:w="3246" w:type="dxa"/>
            <w:tcBorders>
              <w:top w:val="double" w:sz="4" w:space="0" w:color="auto"/>
              <w:left w:val="single" w:sz="4" w:space="0" w:color="auto"/>
              <w:bottom w:val="single" w:sz="4" w:space="0" w:color="auto"/>
              <w:right w:val="single" w:sz="4" w:space="0" w:color="auto"/>
            </w:tcBorders>
            <w:vAlign w:val="center"/>
          </w:tcPr>
          <w:p w14:paraId="7EC60277" w14:textId="77777777" w:rsidR="00BE5E9B" w:rsidRPr="008233A5" w:rsidRDefault="00B757F7">
            <w:pPr>
              <w:jc w:val="center"/>
              <w:rPr>
                <w:rFonts w:ascii="Arial" w:hAnsi="Arial" w:cs="Arial"/>
                <w:b/>
                <w:bCs/>
                <w:sz w:val="20"/>
                <w:szCs w:val="20"/>
                <w:lang w:val="fr-FR"/>
              </w:rPr>
            </w:pPr>
            <w:r w:rsidRPr="008233A5">
              <w:rPr>
                <w:rFonts w:ascii="Arial" w:hAnsi="Arial" w:cs="Arial"/>
                <w:b/>
                <w:bCs/>
                <w:sz w:val="20"/>
                <w:szCs w:val="20"/>
                <w:lang w:val="fr-FR"/>
              </w:rPr>
              <w:t>Soumis à la chasse à la baleine</w:t>
            </w:r>
          </w:p>
        </w:tc>
      </w:tr>
      <w:tr w:rsidR="00BE5E9B" w:rsidRPr="00006560" w14:paraId="525EE53C" w14:textId="77777777">
        <w:trPr>
          <w:tblHeader/>
        </w:trPr>
        <w:tc>
          <w:tcPr>
            <w:tcW w:w="0" w:type="auto"/>
            <w:tcBorders>
              <w:top w:val="single" w:sz="4" w:space="0" w:color="auto"/>
              <w:left w:val="single" w:sz="4" w:space="0" w:color="auto"/>
              <w:bottom w:val="single" w:sz="4" w:space="0" w:color="auto"/>
              <w:right w:val="single" w:sz="4" w:space="0" w:color="auto"/>
            </w:tcBorders>
            <w:vAlign w:val="center"/>
          </w:tcPr>
          <w:p w14:paraId="42250CF3" w14:textId="77777777" w:rsidR="00BE5E9B" w:rsidRPr="008233A5" w:rsidRDefault="00B757F7">
            <w:pPr>
              <w:rPr>
                <w:rFonts w:ascii="Arial" w:hAnsi="Arial" w:cs="Arial"/>
                <w:sz w:val="20"/>
                <w:szCs w:val="20"/>
                <w:lang w:val="fr-FR"/>
              </w:rPr>
            </w:pPr>
            <w:r w:rsidRPr="008233A5">
              <w:rPr>
                <w:rFonts w:ascii="Arial" w:hAnsi="Arial" w:cs="Arial"/>
                <w:sz w:val="20"/>
                <w:szCs w:val="20"/>
                <w:lang w:val="fr-FR"/>
              </w:rPr>
              <w:t>Baleine du Groenland</w:t>
            </w:r>
          </w:p>
        </w:tc>
        <w:tc>
          <w:tcPr>
            <w:tcW w:w="0" w:type="auto"/>
            <w:tcBorders>
              <w:top w:val="single" w:sz="4" w:space="0" w:color="auto"/>
              <w:left w:val="single" w:sz="4" w:space="0" w:color="auto"/>
              <w:bottom w:val="single" w:sz="4" w:space="0" w:color="auto"/>
              <w:right w:val="single" w:sz="4" w:space="0" w:color="auto"/>
            </w:tcBorders>
            <w:vAlign w:val="center"/>
          </w:tcPr>
          <w:p w14:paraId="226E8BD0" w14:textId="77777777" w:rsidR="00BE5E9B" w:rsidRPr="008233A5" w:rsidRDefault="00B757F7">
            <w:pPr>
              <w:rPr>
                <w:rFonts w:ascii="Arial" w:hAnsi="Arial" w:cs="Arial"/>
                <w:i/>
                <w:iCs/>
                <w:sz w:val="20"/>
                <w:szCs w:val="20"/>
                <w:lang w:val="fr-FR"/>
              </w:rPr>
            </w:pPr>
            <w:r w:rsidRPr="008233A5">
              <w:rPr>
                <w:rFonts w:ascii="Arial" w:hAnsi="Arial" w:cs="Arial"/>
                <w:i/>
                <w:iCs/>
                <w:color w:val="000000"/>
                <w:sz w:val="20"/>
                <w:szCs w:val="20"/>
                <w:lang w:val="fr-FR"/>
              </w:rPr>
              <w:t>Balaena mysticetus</w:t>
            </w:r>
          </w:p>
        </w:tc>
        <w:tc>
          <w:tcPr>
            <w:tcW w:w="1410" w:type="dxa"/>
            <w:tcBorders>
              <w:top w:val="single" w:sz="4" w:space="0" w:color="auto"/>
              <w:left w:val="single" w:sz="4" w:space="0" w:color="auto"/>
              <w:bottom w:val="single" w:sz="4" w:space="0" w:color="auto"/>
              <w:right w:val="single" w:sz="4" w:space="0" w:color="auto"/>
            </w:tcBorders>
            <w:vAlign w:val="center"/>
          </w:tcPr>
          <w:p w14:paraId="05F6739F"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sz w:val="20"/>
                <w:szCs w:val="20"/>
                <w:lang w:val="fr-FR"/>
              </w:rPr>
              <w:t>I</w:t>
            </w:r>
          </w:p>
        </w:tc>
        <w:tc>
          <w:tcPr>
            <w:tcW w:w="3246" w:type="dxa"/>
            <w:tcBorders>
              <w:top w:val="single" w:sz="4" w:space="0" w:color="auto"/>
              <w:left w:val="single" w:sz="4" w:space="0" w:color="auto"/>
              <w:bottom w:val="single" w:sz="4" w:space="0" w:color="auto"/>
              <w:right w:val="single" w:sz="4" w:space="0" w:color="auto"/>
            </w:tcBorders>
            <w:vAlign w:val="center"/>
          </w:tcPr>
          <w:p w14:paraId="5ABE520F"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sz w:val="20"/>
                <w:szCs w:val="20"/>
                <w:lang w:val="fr-FR"/>
              </w:rPr>
              <w:t>Chasse autochtone de subsistance (ASW)</w:t>
            </w:r>
          </w:p>
        </w:tc>
      </w:tr>
      <w:tr w:rsidR="00BE5E9B" w:rsidRPr="008233A5" w14:paraId="6ECD8414" w14:textId="77777777">
        <w:trPr>
          <w:tblHeader/>
        </w:trPr>
        <w:tc>
          <w:tcPr>
            <w:tcW w:w="0" w:type="auto"/>
            <w:tcBorders>
              <w:top w:val="single" w:sz="4" w:space="0" w:color="auto"/>
              <w:left w:val="single" w:sz="4" w:space="0" w:color="auto"/>
              <w:bottom w:val="single" w:sz="4" w:space="0" w:color="auto"/>
              <w:right w:val="single" w:sz="4" w:space="0" w:color="auto"/>
            </w:tcBorders>
            <w:vAlign w:val="center"/>
          </w:tcPr>
          <w:p w14:paraId="1D8D1C32" w14:textId="77777777" w:rsidR="00BE5E9B" w:rsidRPr="008233A5" w:rsidRDefault="00B757F7">
            <w:pPr>
              <w:rPr>
                <w:rFonts w:ascii="Arial" w:hAnsi="Arial" w:cs="Arial"/>
                <w:sz w:val="20"/>
                <w:szCs w:val="20"/>
                <w:lang w:val="fr-FR"/>
              </w:rPr>
            </w:pPr>
            <w:r w:rsidRPr="008233A5">
              <w:rPr>
                <w:rFonts w:ascii="Arial" w:hAnsi="Arial" w:cs="Arial"/>
                <w:sz w:val="20"/>
                <w:szCs w:val="20"/>
                <w:lang w:val="fr-FR"/>
              </w:rPr>
              <w:t>Baleine franche de l’Atlantique Nord</w:t>
            </w:r>
          </w:p>
        </w:tc>
        <w:tc>
          <w:tcPr>
            <w:tcW w:w="0" w:type="auto"/>
            <w:tcBorders>
              <w:top w:val="single" w:sz="4" w:space="0" w:color="auto"/>
              <w:left w:val="single" w:sz="4" w:space="0" w:color="auto"/>
              <w:bottom w:val="single" w:sz="4" w:space="0" w:color="auto"/>
              <w:right w:val="single" w:sz="4" w:space="0" w:color="auto"/>
            </w:tcBorders>
            <w:vAlign w:val="center"/>
          </w:tcPr>
          <w:p w14:paraId="497F6522" w14:textId="77777777" w:rsidR="00BE5E9B" w:rsidRPr="008233A5" w:rsidRDefault="00B757F7">
            <w:pPr>
              <w:rPr>
                <w:rFonts w:ascii="Arial" w:hAnsi="Arial" w:cs="Arial"/>
                <w:i/>
                <w:iCs/>
                <w:sz w:val="20"/>
                <w:szCs w:val="20"/>
                <w:lang w:val="fr-FR"/>
              </w:rPr>
            </w:pPr>
            <w:r w:rsidRPr="008233A5">
              <w:rPr>
                <w:rFonts w:ascii="Arial" w:hAnsi="Arial" w:cs="Arial"/>
                <w:i/>
                <w:iCs/>
                <w:color w:val="000000"/>
                <w:sz w:val="20"/>
                <w:szCs w:val="20"/>
                <w:lang w:val="fr-FR"/>
              </w:rPr>
              <w:t>Eubalaena glacialis (Atlantique Nord)</w:t>
            </w:r>
          </w:p>
        </w:tc>
        <w:tc>
          <w:tcPr>
            <w:tcW w:w="1410" w:type="dxa"/>
            <w:tcBorders>
              <w:top w:val="single" w:sz="4" w:space="0" w:color="auto"/>
              <w:left w:val="single" w:sz="4" w:space="0" w:color="auto"/>
              <w:bottom w:val="single" w:sz="4" w:space="0" w:color="auto"/>
              <w:right w:val="single" w:sz="4" w:space="0" w:color="auto"/>
            </w:tcBorders>
            <w:vAlign w:val="center"/>
          </w:tcPr>
          <w:p w14:paraId="3757A151" w14:textId="77777777" w:rsidR="00BE5E9B" w:rsidRPr="008233A5" w:rsidRDefault="00B757F7">
            <w:pPr>
              <w:jc w:val="center"/>
              <w:rPr>
                <w:rFonts w:ascii="Arial" w:hAnsi="Arial" w:cs="Arial"/>
                <w:i/>
                <w:iCs/>
                <w:color w:val="000000"/>
                <w:sz w:val="20"/>
                <w:szCs w:val="20"/>
                <w:lang w:val="fr-FR"/>
              </w:rPr>
            </w:pPr>
            <w:r w:rsidRPr="008233A5">
              <w:rPr>
                <w:rFonts w:ascii="Arial" w:hAnsi="Arial" w:cs="Arial"/>
                <w:color w:val="000000"/>
                <w:sz w:val="20"/>
                <w:szCs w:val="20"/>
                <w:lang w:val="fr-FR"/>
              </w:rPr>
              <w:t>I</w:t>
            </w:r>
          </w:p>
        </w:tc>
        <w:tc>
          <w:tcPr>
            <w:tcW w:w="3246" w:type="dxa"/>
            <w:tcBorders>
              <w:top w:val="single" w:sz="4" w:space="0" w:color="auto"/>
              <w:left w:val="single" w:sz="4" w:space="0" w:color="auto"/>
              <w:bottom w:val="single" w:sz="4" w:space="0" w:color="auto"/>
              <w:right w:val="single" w:sz="4" w:space="0" w:color="auto"/>
            </w:tcBorders>
            <w:vAlign w:val="center"/>
          </w:tcPr>
          <w:p w14:paraId="37D483B5"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themeColor="text1"/>
                <w:sz w:val="20"/>
                <w:szCs w:val="20"/>
                <w:lang w:val="fr-FR"/>
              </w:rPr>
              <w:t>Aucun signalement connu</w:t>
            </w:r>
          </w:p>
        </w:tc>
      </w:tr>
      <w:tr w:rsidR="00BE5E9B" w:rsidRPr="008233A5" w14:paraId="0FC1338F" w14:textId="77777777">
        <w:trPr>
          <w:tblHeader/>
        </w:trPr>
        <w:tc>
          <w:tcPr>
            <w:tcW w:w="0" w:type="auto"/>
            <w:tcBorders>
              <w:top w:val="single" w:sz="4" w:space="0" w:color="auto"/>
              <w:left w:val="single" w:sz="4" w:space="0" w:color="auto"/>
              <w:bottom w:val="single" w:sz="4" w:space="0" w:color="auto"/>
              <w:right w:val="single" w:sz="4" w:space="0" w:color="auto"/>
            </w:tcBorders>
            <w:vAlign w:val="center"/>
          </w:tcPr>
          <w:p w14:paraId="5D50DE7D" w14:textId="77777777" w:rsidR="00BE5E9B" w:rsidRPr="008233A5" w:rsidRDefault="00B757F7">
            <w:pPr>
              <w:rPr>
                <w:rFonts w:ascii="Arial" w:hAnsi="Arial" w:cs="Arial"/>
                <w:sz w:val="20"/>
                <w:szCs w:val="20"/>
                <w:lang w:val="fr-FR"/>
              </w:rPr>
            </w:pPr>
            <w:r w:rsidRPr="008233A5">
              <w:rPr>
                <w:rFonts w:ascii="Arial" w:hAnsi="Arial" w:cs="Arial"/>
                <w:color w:val="000000"/>
                <w:sz w:val="20"/>
                <w:szCs w:val="20"/>
                <w:lang w:val="fr-FR"/>
              </w:rPr>
              <w:t>Baleine franche du Pacifique Nord</w:t>
            </w:r>
          </w:p>
        </w:tc>
        <w:tc>
          <w:tcPr>
            <w:tcW w:w="0" w:type="auto"/>
            <w:tcBorders>
              <w:top w:val="single" w:sz="4" w:space="0" w:color="auto"/>
              <w:left w:val="single" w:sz="4" w:space="0" w:color="auto"/>
              <w:bottom w:val="single" w:sz="4" w:space="0" w:color="auto"/>
              <w:right w:val="single" w:sz="4" w:space="0" w:color="auto"/>
            </w:tcBorders>
            <w:vAlign w:val="center"/>
          </w:tcPr>
          <w:p w14:paraId="0274388E" w14:textId="77777777" w:rsidR="00BE5E9B" w:rsidRPr="008233A5" w:rsidRDefault="00B757F7">
            <w:pPr>
              <w:rPr>
                <w:rFonts w:ascii="Arial" w:hAnsi="Arial" w:cs="Arial"/>
                <w:i/>
                <w:iCs/>
                <w:sz w:val="20"/>
                <w:szCs w:val="20"/>
                <w:lang w:val="fr-FR"/>
              </w:rPr>
            </w:pPr>
            <w:r w:rsidRPr="008233A5">
              <w:rPr>
                <w:rFonts w:ascii="Arial" w:hAnsi="Arial" w:cs="Arial"/>
                <w:i/>
                <w:iCs/>
                <w:color w:val="000000"/>
                <w:sz w:val="20"/>
                <w:szCs w:val="20"/>
                <w:lang w:val="fr-FR"/>
              </w:rPr>
              <w:t>Eubalaena japonica (Pacifique Nord)</w:t>
            </w:r>
          </w:p>
        </w:tc>
        <w:tc>
          <w:tcPr>
            <w:tcW w:w="1410" w:type="dxa"/>
            <w:tcBorders>
              <w:top w:val="single" w:sz="4" w:space="0" w:color="auto"/>
              <w:left w:val="single" w:sz="4" w:space="0" w:color="auto"/>
              <w:bottom w:val="single" w:sz="4" w:space="0" w:color="auto"/>
              <w:right w:val="single" w:sz="4" w:space="0" w:color="auto"/>
            </w:tcBorders>
            <w:vAlign w:val="center"/>
          </w:tcPr>
          <w:p w14:paraId="3FAA5C94" w14:textId="77777777" w:rsidR="00BE5E9B" w:rsidRPr="008233A5" w:rsidRDefault="00B757F7">
            <w:pPr>
              <w:jc w:val="center"/>
              <w:rPr>
                <w:rFonts w:ascii="Arial" w:hAnsi="Arial" w:cs="Arial"/>
                <w:i/>
                <w:iCs/>
                <w:color w:val="000000"/>
                <w:sz w:val="20"/>
                <w:szCs w:val="20"/>
                <w:lang w:val="fr-FR"/>
              </w:rPr>
            </w:pPr>
            <w:r w:rsidRPr="008233A5">
              <w:rPr>
                <w:rFonts w:ascii="Arial" w:hAnsi="Arial" w:cs="Arial"/>
                <w:color w:val="000000"/>
                <w:sz w:val="20"/>
                <w:szCs w:val="20"/>
                <w:lang w:val="fr-FR"/>
              </w:rPr>
              <w:t>I</w:t>
            </w:r>
          </w:p>
        </w:tc>
        <w:tc>
          <w:tcPr>
            <w:tcW w:w="3246" w:type="dxa"/>
            <w:tcBorders>
              <w:top w:val="single" w:sz="4" w:space="0" w:color="auto"/>
              <w:left w:val="single" w:sz="4" w:space="0" w:color="auto"/>
              <w:bottom w:val="single" w:sz="4" w:space="0" w:color="auto"/>
              <w:right w:val="single" w:sz="4" w:space="0" w:color="auto"/>
            </w:tcBorders>
            <w:vAlign w:val="center"/>
          </w:tcPr>
          <w:p w14:paraId="05AE6E11"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sz w:val="20"/>
                <w:szCs w:val="20"/>
                <w:lang w:val="fr-FR"/>
              </w:rPr>
              <w:t xml:space="preserve">Aucun </w:t>
            </w:r>
            <w:r w:rsidRPr="008233A5">
              <w:rPr>
                <w:rFonts w:ascii="Arial" w:hAnsi="Arial" w:cs="Arial"/>
                <w:color w:val="000000" w:themeColor="text1"/>
                <w:sz w:val="20"/>
                <w:szCs w:val="20"/>
                <w:lang w:val="fr-FR"/>
              </w:rPr>
              <w:t>signalement connu</w:t>
            </w:r>
          </w:p>
        </w:tc>
      </w:tr>
      <w:tr w:rsidR="00BE5E9B" w:rsidRPr="008233A5" w14:paraId="4D666B87" w14:textId="77777777">
        <w:trPr>
          <w:tblHeader/>
        </w:trPr>
        <w:tc>
          <w:tcPr>
            <w:tcW w:w="0" w:type="auto"/>
            <w:tcBorders>
              <w:top w:val="single" w:sz="4" w:space="0" w:color="auto"/>
              <w:left w:val="single" w:sz="4" w:space="0" w:color="auto"/>
              <w:bottom w:val="single" w:sz="4" w:space="0" w:color="auto"/>
              <w:right w:val="single" w:sz="4" w:space="0" w:color="auto"/>
            </w:tcBorders>
            <w:vAlign w:val="center"/>
          </w:tcPr>
          <w:p w14:paraId="01E39CF7" w14:textId="77777777" w:rsidR="00BE5E9B" w:rsidRPr="008233A5" w:rsidRDefault="00B757F7">
            <w:pPr>
              <w:rPr>
                <w:rFonts w:ascii="Arial" w:hAnsi="Arial" w:cs="Arial"/>
                <w:sz w:val="20"/>
                <w:szCs w:val="20"/>
                <w:lang w:val="fr-FR"/>
              </w:rPr>
            </w:pPr>
            <w:r w:rsidRPr="008233A5">
              <w:rPr>
                <w:rFonts w:ascii="Arial" w:hAnsi="Arial" w:cs="Arial"/>
                <w:color w:val="000000"/>
                <w:sz w:val="20"/>
                <w:szCs w:val="20"/>
                <w:lang w:val="fr-FR"/>
              </w:rPr>
              <w:t>Baleine australe</w:t>
            </w:r>
          </w:p>
        </w:tc>
        <w:tc>
          <w:tcPr>
            <w:tcW w:w="0" w:type="auto"/>
            <w:tcBorders>
              <w:top w:val="single" w:sz="4" w:space="0" w:color="auto"/>
              <w:left w:val="single" w:sz="4" w:space="0" w:color="auto"/>
              <w:bottom w:val="single" w:sz="4" w:space="0" w:color="auto"/>
              <w:right w:val="single" w:sz="4" w:space="0" w:color="auto"/>
            </w:tcBorders>
            <w:vAlign w:val="center"/>
          </w:tcPr>
          <w:p w14:paraId="1409630F" w14:textId="77777777" w:rsidR="00BE5E9B" w:rsidRPr="008233A5" w:rsidRDefault="00B757F7">
            <w:pPr>
              <w:rPr>
                <w:rFonts w:ascii="Arial" w:hAnsi="Arial" w:cs="Arial"/>
                <w:i/>
                <w:iCs/>
                <w:sz w:val="20"/>
                <w:szCs w:val="20"/>
                <w:lang w:val="fr-FR"/>
              </w:rPr>
            </w:pPr>
            <w:r w:rsidRPr="008233A5">
              <w:rPr>
                <w:rFonts w:ascii="Arial" w:hAnsi="Arial" w:cs="Arial"/>
                <w:i/>
                <w:iCs/>
                <w:color w:val="000000"/>
                <w:sz w:val="20"/>
                <w:szCs w:val="20"/>
                <w:lang w:val="fr-FR"/>
              </w:rPr>
              <w:t>Eubalaena australis</w:t>
            </w:r>
          </w:p>
        </w:tc>
        <w:tc>
          <w:tcPr>
            <w:tcW w:w="1410" w:type="dxa"/>
            <w:tcBorders>
              <w:top w:val="single" w:sz="4" w:space="0" w:color="auto"/>
              <w:left w:val="single" w:sz="4" w:space="0" w:color="auto"/>
              <w:bottom w:val="single" w:sz="4" w:space="0" w:color="auto"/>
              <w:right w:val="single" w:sz="4" w:space="0" w:color="auto"/>
            </w:tcBorders>
            <w:vAlign w:val="center"/>
          </w:tcPr>
          <w:p w14:paraId="4729FA30" w14:textId="77777777" w:rsidR="00BE5E9B" w:rsidRPr="008233A5" w:rsidRDefault="00B757F7">
            <w:pPr>
              <w:jc w:val="center"/>
              <w:rPr>
                <w:rFonts w:ascii="Arial" w:hAnsi="Arial" w:cs="Arial"/>
                <w:i/>
                <w:iCs/>
                <w:color w:val="000000"/>
                <w:sz w:val="20"/>
                <w:szCs w:val="20"/>
                <w:lang w:val="fr-FR"/>
              </w:rPr>
            </w:pPr>
            <w:r w:rsidRPr="008233A5">
              <w:rPr>
                <w:rFonts w:ascii="Arial" w:hAnsi="Arial" w:cs="Arial"/>
                <w:color w:val="000000"/>
                <w:sz w:val="20"/>
                <w:szCs w:val="20"/>
                <w:lang w:val="fr-FR"/>
              </w:rPr>
              <w:t>I</w:t>
            </w:r>
          </w:p>
        </w:tc>
        <w:tc>
          <w:tcPr>
            <w:tcW w:w="3246" w:type="dxa"/>
            <w:tcBorders>
              <w:top w:val="single" w:sz="4" w:space="0" w:color="auto"/>
              <w:left w:val="single" w:sz="4" w:space="0" w:color="auto"/>
              <w:bottom w:val="single" w:sz="4" w:space="0" w:color="auto"/>
              <w:right w:val="single" w:sz="4" w:space="0" w:color="auto"/>
            </w:tcBorders>
            <w:vAlign w:val="center"/>
          </w:tcPr>
          <w:p w14:paraId="306FD5B6"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sz w:val="20"/>
                <w:szCs w:val="20"/>
                <w:lang w:val="fr-FR"/>
              </w:rPr>
              <w:t xml:space="preserve">Aucun </w:t>
            </w:r>
            <w:r w:rsidRPr="008233A5">
              <w:rPr>
                <w:rFonts w:ascii="Arial" w:hAnsi="Arial" w:cs="Arial"/>
                <w:color w:val="000000" w:themeColor="text1"/>
                <w:sz w:val="20"/>
                <w:szCs w:val="20"/>
                <w:lang w:val="fr-FR"/>
              </w:rPr>
              <w:t>signalement connu</w:t>
            </w:r>
          </w:p>
        </w:tc>
      </w:tr>
      <w:tr w:rsidR="00BE5E9B" w:rsidRPr="008233A5" w14:paraId="3382EE79" w14:textId="77777777">
        <w:trPr>
          <w:tblHeader/>
        </w:trPr>
        <w:tc>
          <w:tcPr>
            <w:tcW w:w="0" w:type="auto"/>
            <w:tcBorders>
              <w:top w:val="single" w:sz="4" w:space="0" w:color="auto"/>
              <w:left w:val="single" w:sz="4" w:space="0" w:color="auto"/>
              <w:bottom w:val="single" w:sz="4" w:space="0" w:color="auto"/>
              <w:right w:val="single" w:sz="4" w:space="0" w:color="auto"/>
            </w:tcBorders>
            <w:vAlign w:val="center"/>
          </w:tcPr>
          <w:p w14:paraId="6D37EDA9" w14:textId="77777777" w:rsidR="00BE5E9B" w:rsidRPr="008233A5" w:rsidRDefault="00B757F7">
            <w:pPr>
              <w:rPr>
                <w:rFonts w:ascii="Arial" w:hAnsi="Arial" w:cs="Arial"/>
                <w:sz w:val="20"/>
                <w:szCs w:val="20"/>
                <w:lang w:val="fr-FR"/>
              </w:rPr>
            </w:pPr>
            <w:r w:rsidRPr="008233A5">
              <w:rPr>
                <w:rFonts w:ascii="Arial" w:hAnsi="Arial" w:cs="Arial"/>
                <w:color w:val="000000"/>
                <w:sz w:val="20"/>
                <w:szCs w:val="20"/>
                <w:lang w:val="fr-FR"/>
              </w:rPr>
              <w:t>Rorqual boréal</w:t>
            </w:r>
          </w:p>
        </w:tc>
        <w:tc>
          <w:tcPr>
            <w:tcW w:w="0" w:type="auto"/>
            <w:tcBorders>
              <w:top w:val="single" w:sz="4" w:space="0" w:color="auto"/>
              <w:left w:val="single" w:sz="4" w:space="0" w:color="auto"/>
              <w:bottom w:val="single" w:sz="4" w:space="0" w:color="auto"/>
              <w:right w:val="single" w:sz="4" w:space="0" w:color="auto"/>
            </w:tcBorders>
            <w:vAlign w:val="center"/>
          </w:tcPr>
          <w:p w14:paraId="15A56183" w14:textId="77777777" w:rsidR="00BE5E9B" w:rsidRPr="008233A5" w:rsidRDefault="00B757F7">
            <w:pPr>
              <w:rPr>
                <w:rFonts w:ascii="Arial" w:hAnsi="Arial" w:cs="Arial"/>
                <w:i/>
                <w:iCs/>
                <w:sz w:val="20"/>
                <w:szCs w:val="20"/>
                <w:lang w:val="fr-FR"/>
              </w:rPr>
            </w:pPr>
            <w:r w:rsidRPr="008233A5">
              <w:rPr>
                <w:rFonts w:ascii="Arial" w:hAnsi="Arial" w:cs="Arial"/>
                <w:i/>
                <w:iCs/>
                <w:color w:val="000000"/>
                <w:sz w:val="20"/>
                <w:szCs w:val="20"/>
                <w:lang w:val="fr-FR"/>
              </w:rPr>
              <w:t>Balaenoptera borealis</w:t>
            </w:r>
          </w:p>
        </w:tc>
        <w:tc>
          <w:tcPr>
            <w:tcW w:w="1410" w:type="dxa"/>
            <w:tcBorders>
              <w:top w:val="single" w:sz="4" w:space="0" w:color="auto"/>
              <w:left w:val="single" w:sz="4" w:space="0" w:color="auto"/>
              <w:bottom w:val="single" w:sz="4" w:space="0" w:color="auto"/>
              <w:right w:val="single" w:sz="4" w:space="0" w:color="auto"/>
            </w:tcBorders>
            <w:vAlign w:val="center"/>
          </w:tcPr>
          <w:p w14:paraId="049A8E79" w14:textId="77777777" w:rsidR="00BE5E9B" w:rsidRPr="008233A5" w:rsidRDefault="00B757F7">
            <w:pPr>
              <w:jc w:val="center"/>
              <w:rPr>
                <w:rFonts w:ascii="Arial" w:hAnsi="Arial" w:cs="Arial"/>
                <w:i/>
                <w:iCs/>
                <w:color w:val="000000"/>
                <w:sz w:val="20"/>
                <w:szCs w:val="20"/>
                <w:lang w:val="fr-FR"/>
              </w:rPr>
            </w:pPr>
            <w:r w:rsidRPr="008233A5">
              <w:rPr>
                <w:rFonts w:ascii="Arial" w:hAnsi="Arial" w:cs="Arial"/>
                <w:color w:val="000000"/>
                <w:sz w:val="20"/>
                <w:szCs w:val="20"/>
                <w:lang w:val="fr-FR"/>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38586E0E"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sz w:val="20"/>
                <w:szCs w:val="20"/>
                <w:lang w:val="fr-FR"/>
              </w:rPr>
              <w:t>Commercial</w:t>
            </w:r>
          </w:p>
        </w:tc>
      </w:tr>
      <w:tr w:rsidR="00BE5E9B" w:rsidRPr="008233A5" w14:paraId="1C40FB7E" w14:textId="77777777">
        <w:trPr>
          <w:tblHeader/>
        </w:trPr>
        <w:tc>
          <w:tcPr>
            <w:tcW w:w="0" w:type="auto"/>
            <w:tcBorders>
              <w:top w:val="single" w:sz="4" w:space="0" w:color="auto"/>
              <w:left w:val="single" w:sz="4" w:space="0" w:color="auto"/>
              <w:bottom w:val="single" w:sz="4" w:space="0" w:color="auto"/>
              <w:right w:val="single" w:sz="4" w:space="0" w:color="auto"/>
            </w:tcBorders>
            <w:vAlign w:val="center"/>
          </w:tcPr>
          <w:p w14:paraId="41035433" w14:textId="77777777" w:rsidR="00BE5E9B" w:rsidRPr="008233A5" w:rsidRDefault="00B757F7">
            <w:pPr>
              <w:rPr>
                <w:rFonts w:ascii="Arial" w:hAnsi="Arial" w:cs="Arial"/>
                <w:sz w:val="20"/>
                <w:szCs w:val="20"/>
                <w:lang w:val="fr-FR"/>
              </w:rPr>
            </w:pPr>
            <w:r w:rsidRPr="008233A5">
              <w:rPr>
                <w:rFonts w:ascii="Arial" w:hAnsi="Arial" w:cs="Arial"/>
                <w:color w:val="000000"/>
                <w:sz w:val="20"/>
                <w:szCs w:val="20"/>
                <w:lang w:val="fr-FR"/>
              </w:rPr>
              <w:t>Rorqual commun</w:t>
            </w:r>
          </w:p>
        </w:tc>
        <w:tc>
          <w:tcPr>
            <w:tcW w:w="0" w:type="auto"/>
            <w:tcBorders>
              <w:top w:val="single" w:sz="4" w:space="0" w:color="auto"/>
              <w:left w:val="single" w:sz="4" w:space="0" w:color="auto"/>
              <w:bottom w:val="single" w:sz="4" w:space="0" w:color="auto"/>
              <w:right w:val="single" w:sz="4" w:space="0" w:color="auto"/>
            </w:tcBorders>
            <w:vAlign w:val="center"/>
          </w:tcPr>
          <w:p w14:paraId="37C203DE" w14:textId="77777777" w:rsidR="00BE5E9B" w:rsidRPr="008233A5" w:rsidRDefault="00B757F7">
            <w:pPr>
              <w:rPr>
                <w:rFonts w:ascii="Arial" w:hAnsi="Arial" w:cs="Arial"/>
                <w:i/>
                <w:iCs/>
                <w:sz w:val="20"/>
                <w:szCs w:val="20"/>
                <w:lang w:val="fr-FR"/>
              </w:rPr>
            </w:pPr>
            <w:r w:rsidRPr="008233A5">
              <w:rPr>
                <w:rFonts w:ascii="Arial" w:hAnsi="Arial" w:cs="Arial"/>
                <w:i/>
                <w:iCs/>
                <w:color w:val="000000"/>
                <w:sz w:val="20"/>
                <w:szCs w:val="20"/>
                <w:lang w:val="fr-FR"/>
              </w:rPr>
              <w:t>Balaenoptera physalus</w:t>
            </w:r>
          </w:p>
        </w:tc>
        <w:tc>
          <w:tcPr>
            <w:tcW w:w="1410" w:type="dxa"/>
            <w:tcBorders>
              <w:top w:val="single" w:sz="4" w:space="0" w:color="auto"/>
              <w:left w:val="single" w:sz="4" w:space="0" w:color="auto"/>
              <w:bottom w:val="single" w:sz="4" w:space="0" w:color="auto"/>
              <w:right w:val="single" w:sz="4" w:space="0" w:color="auto"/>
            </w:tcBorders>
            <w:vAlign w:val="center"/>
          </w:tcPr>
          <w:p w14:paraId="291B1F3C" w14:textId="77777777" w:rsidR="00BE5E9B" w:rsidRPr="008233A5" w:rsidRDefault="00B757F7">
            <w:pPr>
              <w:jc w:val="center"/>
              <w:rPr>
                <w:rFonts w:ascii="Arial" w:hAnsi="Arial" w:cs="Arial"/>
                <w:i/>
                <w:iCs/>
                <w:color w:val="000000"/>
                <w:sz w:val="20"/>
                <w:szCs w:val="20"/>
                <w:lang w:val="fr-FR"/>
              </w:rPr>
            </w:pPr>
            <w:r w:rsidRPr="008233A5">
              <w:rPr>
                <w:rFonts w:ascii="Arial" w:hAnsi="Arial" w:cs="Arial"/>
                <w:color w:val="000000"/>
                <w:sz w:val="20"/>
                <w:szCs w:val="20"/>
                <w:lang w:val="fr-FR"/>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108A147F"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sz w:val="20"/>
                <w:szCs w:val="20"/>
                <w:lang w:val="fr-FR"/>
              </w:rPr>
              <w:t>ASW et commercial</w:t>
            </w:r>
          </w:p>
        </w:tc>
      </w:tr>
      <w:tr w:rsidR="00BE5E9B" w:rsidRPr="008233A5" w14:paraId="4CFD8580" w14:textId="77777777">
        <w:trPr>
          <w:tblHeader/>
        </w:trPr>
        <w:tc>
          <w:tcPr>
            <w:tcW w:w="0" w:type="auto"/>
            <w:tcBorders>
              <w:top w:val="single" w:sz="4" w:space="0" w:color="auto"/>
              <w:left w:val="single" w:sz="4" w:space="0" w:color="auto"/>
              <w:bottom w:val="single" w:sz="4" w:space="0" w:color="auto"/>
              <w:right w:val="single" w:sz="4" w:space="0" w:color="auto"/>
            </w:tcBorders>
            <w:vAlign w:val="center"/>
          </w:tcPr>
          <w:p w14:paraId="03FCE2D3" w14:textId="77777777" w:rsidR="00BE5E9B" w:rsidRPr="008233A5" w:rsidRDefault="00B757F7">
            <w:pPr>
              <w:rPr>
                <w:rFonts w:ascii="Arial" w:hAnsi="Arial" w:cs="Arial"/>
                <w:color w:val="000000"/>
                <w:sz w:val="20"/>
                <w:szCs w:val="20"/>
                <w:lang w:val="fr-FR"/>
              </w:rPr>
            </w:pPr>
            <w:r w:rsidRPr="008233A5">
              <w:rPr>
                <w:rFonts w:ascii="Arial" w:hAnsi="Arial" w:cs="Arial"/>
                <w:color w:val="000000"/>
                <w:sz w:val="20"/>
                <w:szCs w:val="20"/>
                <w:lang w:val="fr-FR"/>
              </w:rPr>
              <w:t>Baleine bleue</w:t>
            </w:r>
          </w:p>
        </w:tc>
        <w:tc>
          <w:tcPr>
            <w:tcW w:w="0" w:type="auto"/>
            <w:tcBorders>
              <w:top w:val="single" w:sz="4" w:space="0" w:color="auto"/>
              <w:left w:val="single" w:sz="4" w:space="0" w:color="auto"/>
              <w:bottom w:val="single" w:sz="4" w:space="0" w:color="auto"/>
              <w:right w:val="single" w:sz="4" w:space="0" w:color="auto"/>
            </w:tcBorders>
            <w:vAlign w:val="center"/>
          </w:tcPr>
          <w:p w14:paraId="17966829" w14:textId="77777777" w:rsidR="00BE5E9B" w:rsidRPr="008233A5" w:rsidRDefault="00B757F7">
            <w:pPr>
              <w:rPr>
                <w:rFonts w:ascii="Arial" w:hAnsi="Arial" w:cs="Arial"/>
                <w:i/>
                <w:iCs/>
                <w:sz w:val="20"/>
                <w:szCs w:val="20"/>
                <w:lang w:val="fr-FR"/>
              </w:rPr>
            </w:pPr>
            <w:r w:rsidRPr="008233A5">
              <w:rPr>
                <w:rFonts w:ascii="Arial" w:hAnsi="Arial" w:cs="Arial"/>
                <w:i/>
                <w:iCs/>
                <w:color w:val="000000"/>
                <w:sz w:val="20"/>
                <w:szCs w:val="20"/>
                <w:lang w:val="fr-FR"/>
              </w:rPr>
              <w:t>Balaenoptera musculus</w:t>
            </w:r>
          </w:p>
        </w:tc>
        <w:tc>
          <w:tcPr>
            <w:tcW w:w="1410" w:type="dxa"/>
            <w:tcBorders>
              <w:top w:val="single" w:sz="4" w:space="0" w:color="auto"/>
              <w:left w:val="single" w:sz="4" w:space="0" w:color="auto"/>
              <w:bottom w:val="single" w:sz="4" w:space="0" w:color="auto"/>
              <w:right w:val="single" w:sz="4" w:space="0" w:color="auto"/>
            </w:tcBorders>
          </w:tcPr>
          <w:p w14:paraId="0026A685" w14:textId="77777777" w:rsidR="00BE5E9B" w:rsidRPr="008233A5" w:rsidRDefault="00B757F7">
            <w:pPr>
              <w:jc w:val="center"/>
              <w:rPr>
                <w:rFonts w:ascii="Arial" w:hAnsi="Arial" w:cs="Arial"/>
                <w:i/>
                <w:iCs/>
                <w:color w:val="000000"/>
                <w:sz w:val="20"/>
                <w:szCs w:val="20"/>
                <w:lang w:val="fr-FR"/>
              </w:rPr>
            </w:pPr>
            <w:r w:rsidRPr="008233A5">
              <w:rPr>
                <w:rFonts w:ascii="Arial" w:hAnsi="Arial" w:cs="Arial"/>
                <w:color w:val="000000"/>
                <w:sz w:val="20"/>
                <w:szCs w:val="20"/>
                <w:lang w:val="fr-FR"/>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65CEE394"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sz w:val="20"/>
                <w:szCs w:val="20"/>
                <w:lang w:val="fr-FR"/>
              </w:rPr>
              <w:t xml:space="preserve">Aucun </w:t>
            </w:r>
            <w:r w:rsidRPr="008233A5">
              <w:rPr>
                <w:rFonts w:ascii="Arial" w:hAnsi="Arial" w:cs="Arial"/>
                <w:color w:val="000000" w:themeColor="text1"/>
                <w:sz w:val="20"/>
                <w:szCs w:val="20"/>
                <w:lang w:val="fr-FR"/>
              </w:rPr>
              <w:t>signalement connu</w:t>
            </w:r>
          </w:p>
        </w:tc>
      </w:tr>
      <w:tr w:rsidR="00BE5E9B" w:rsidRPr="00006560" w14:paraId="32BF90BE" w14:textId="77777777">
        <w:trPr>
          <w:tblHeader/>
        </w:trPr>
        <w:tc>
          <w:tcPr>
            <w:tcW w:w="0" w:type="auto"/>
            <w:tcBorders>
              <w:top w:val="single" w:sz="4" w:space="0" w:color="auto"/>
              <w:left w:val="single" w:sz="4" w:space="0" w:color="auto"/>
              <w:bottom w:val="single" w:sz="4" w:space="0" w:color="auto"/>
              <w:right w:val="single" w:sz="4" w:space="0" w:color="auto"/>
            </w:tcBorders>
            <w:vAlign w:val="center"/>
          </w:tcPr>
          <w:p w14:paraId="34F75478" w14:textId="77777777" w:rsidR="00BE5E9B" w:rsidRPr="008233A5" w:rsidRDefault="00B757F7">
            <w:pPr>
              <w:rPr>
                <w:rFonts w:ascii="Arial" w:hAnsi="Arial" w:cs="Arial"/>
                <w:color w:val="000000"/>
                <w:sz w:val="20"/>
                <w:szCs w:val="20"/>
                <w:lang w:val="fr-FR"/>
              </w:rPr>
            </w:pPr>
            <w:r w:rsidRPr="008233A5">
              <w:rPr>
                <w:rFonts w:ascii="Arial" w:hAnsi="Arial" w:cs="Arial"/>
                <w:color w:val="000000"/>
                <w:sz w:val="20"/>
                <w:szCs w:val="20"/>
                <w:lang w:val="fr-FR"/>
              </w:rPr>
              <w:t>Baleine à bosse</w:t>
            </w:r>
          </w:p>
        </w:tc>
        <w:tc>
          <w:tcPr>
            <w:tcW w:w="0" w:type="auto"/>
            <w:tcBorders>
              <w:top w:val="single" w:sz="4" w:space="0" w:color="auto"/>
              <w:left w:val="single" w:sz="4" w:space="0" w:color="auto"/>
              <w:bottom w:val="single" w:sz="4" w:space="0" w:color="auto"/>
              <w:right w:val="single" w:sz="4" w:space="0" w:color="auto"/>
            </w:tcBorders>
            <w:vAlign w:val="center"/>
          </w:tcPr>
          <w:p w14:paraId="0F7058B0" w14:textId="77777777" w:rsidR="00BE5E9B" w:rsidRPr="008233A5" w:rsidRDefault="00B757F7">
            <w:pPr>
              <w:rPr>
                <w:rFonts w:ascii="Arial" w:hAnsi="Arial" w:cs="Arial"/>
                <w:i/>
                <w:iCs/>
                <w:sz w:val="20"/>
                <w:szCs w:val="20"/>
                <w:lang w:val="fr-FR"/>
              </w:rPr>
            </w:pPr>
            <w:r w:rsidRPr="008233A5">
              <w:rPr>
                <w:rFonts w:ascii="Arial" w:hAnsi="Arial" w:cs="Arial"/>
                <w:i/>
                <w:iCs/>
                <w:color w:val="000000"/>
                <w:sz w:val="20"/>
                <w:szCs w:val="20"/>
                <w:lang w:val="fr-FR"/>
              </w:rPr>
              <w:t>Megaptera novaeangliae</w:t>
            </w:r>
          </w:p>
        </w:tc>
        <w:tc>
          <w:tcPr>
            <w:tcW w:w="1410" w:type="dxa"/>
            <w:tcBorders>
              <w:top w:val="single" w:sz="4" w:space="0" w:color="auto"/>
              <w:left w:val="single" w:sz="4" w:space="0" w:color="auto"/>
              <w:bottom w:val="single" w:sz="4" w:space="0" w:color="auto"/>
              <w:right w:val="single" w:sz="4" w:space="0" w:color="auto"/>
            </w:tcBorders>
          </w:tcPr>
          <w:p w14:paraId="64070A4A" w14:textId="77777777" w:rsidR="00BE5E9B" w:rsidRPr="008233A5" w:rsidRDefault="00B757F7">
            <w:pPr>
              <w:jc w:val="center"/>
              <w:rPr>
                <w:rFonts w:ascii="Arial" w:hAnsi="Arial" w:cs="Arial"/>
                <w:i/>
                <w:iCs/>
                <w:color w:val="000000"/>
                <w:sz w:val="20"/>
                <w:szCs w:val="20"/>
                <w:lang w:val="fr-FR"/>
              </w:rPr>
            </w:pPr>
            <w:r w:rsidRPr="008233A5">
              <w:rPr>
                <w:rFonts w:ascii="Arial" w:hAnsi="Arial" w:cs="Arial"/>
                <w:color w:val="000000"/>
                <w:sz w:val="20"/>
                <w:szCs w:val="20"/>
                <w:lang w:val="fr-FR"/>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7D22951E"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themeColor="text1"/>
                <w:sz w:val="20"/>
                <w:szCs w:val="20"/>
                <w:lang w:val="fr-FR"/>
              </w:rPr>
              <w:t>ASW et chasses locales autochtones</w:t>
            </w:r>
          </w:p>
        </w:tc>
      </w:tr>
      <w:tr w:rsidR="00BE5E9B" w:rsidRPr="008233A5" w14:paraId="6DED33EC" w14:textId="77777777">
        <w:trPr>
          <w:tblHeader/>
        </w:trPr>
        <w:tc>
          <w:tcPr>
            <w:tcW w:w="0" w:type="auto"/>
            <w:tcBorders>
              <w:top w:val="single" w:sz="4" w:space="0" w:color="auto"/>
              <w:left w:val="single" w:sz="4" w:space="0" w:color="auto"/>
              <w:bottom w:val="single" w:sz="4" w:space="0" w:color="auto"/>
              <w:right w:val="single" w:sz="4" w:space="0" w:color="auto"/>
            </w:tcBorders>
            <w:vAlign w:val="center"/>
          </w:tcPr>
          <w:p w14:paraId="7A2091C7" w14:textId="77777777" w:rsidR="00BE5E9B" w:rsidRPr="008233A5" w:rsidRDefault="00B757F7">
            <w:pPr>
              <w:rPr>
                <w:rFonts w:ascii="Arial" w:hAnsi="Arial" w:cs="Arial"/>
                <w:color w:val="000000"/>
                <w:sz w:val="20"/>
                <w:szCs w:val="20"/>
                <w:lang w:val="fr-FR"/>
              </w:rPr>
            </w:pPr>
            <w:r w:rsidRPr="008233A5">
              <w:rPr>
                <w:rFonts w:ascii="Arial" w:hAnsi="Arial" w:cs="Arial"/>
                <w:color w:val="000000"/>
                <w:sz w:val="20"/>
                <w:szCs w:val="20"/>
                <w:lang w:val="fr-FR"/>
              </w:rPr>
              <w:t>Dauphin commun</w:t>
            </w:r>
          </w:p>
        </w:tc>
        <w:tc>
          <w:tcPr>
            <w:tcW w:w="0" w:type="auto"/>
            <w:tcBorders>
              <w:top w:val="single" w:sz="4" w:space="0" w:color="auto"/>
              <w:left w:val="single" w:sz="4" w:space="0" w:color="auto"/>
              <w:bottom w:val="single" w:sz="4" w:space="0" w:color="auto"/>
              <w:right w:val="single" w:sz="4" w:space="0" w:color="auto"/>
            </w:tcBorders>
            <w:vAlign w:val="center"/>
          </w:tcPr>
          <w:p w14:paraId="4E856771" w14:textId="77777777" w:rsidR="00BE5E9B" w:rsidRPr="008233A5" w:rsidRDefault="00B757F7">
            <w:pPr>
              <w:rPr>
                <w:rFonts w:ascii="Arial" w:hAnsi="Arial" w:cs="Arial"/>
                <w:i/>
                <w:iCs/>
                <w:sz w:val="20"/>
                <w:szCs w:val="20"/>
                <w:lang w:val="fr-FR"/>
              </w:rPr>
            </w:pPr>
            <w:r w:rsidRPr="008233A5">
              <w:rPr>
                <w:rFonts w:ascii="Arial" w:hAnsi="Arial" w:cs="Arial"/>
                <w:i/>
                <w:iCs/>
                <w:color w:val="000000"/>
                <w:sz w:val="20"/>
                <w:szCs w:val="20"/>
                <w:lang w:val="fr-FR"/>
              </w:rPr>
              <w:t xml:space="preserve">Delphinus delphis </w:t>
            </w:r>
            <w:r w:rsidRPr="008233A5">
              <w:rPr>
                <w:rFonts w:ascii="Arial" w:hAnsi="Arial" w:cs="Arial"/>
                <w:color w:val="000000"/>
                <w:sz w:val="20"/>
                <w:szCs w:val="20"/>
                <w:lang w:val="fr-FR"/>
              </w:rPr>
              <w:t>(Méditerranée uniquement)</w:t>
            </w:r>
          </w:p>
        </w:tc>
        <w:tc>
          <w:tcPr>
            <w:tcW w:w="1410" w:type="dxa"/>
            <w:tcBorders>
              <w:top w:val="single" w:sz="4" w:space="0" w:color="auto"/>
              <w:left w:val="single" w:sz="4" w:space="0" w:color="auto"/>
              <w:bottom w:val="single" w:sz="4" w:space="0" w:color="auto"/>
              <w:right w:val="single" w:sz="4" w:space="0" w:color="auto"/>
            </w:tcBorders>
            <w:vAlign w:val="center"/>
          </w:tcPr>
          <w:p w14:paraId="6EDE4678" w14:textId="77777777" w:rsidR="00BE5E9B" w:rsidRPr="008233A5" w:rsidRDefault="00B757F7">
            <w:pPr>
              <w:jc w:val="center"/>
              <w:rPr>
                <w:rFonts w:ascii="Arial" w:hAnsi="Arial" w:cs="Arial"/>
                <w:i/>
                <w:iCs/>
                <w:color w:val="000000"/>
                <w:sz w:val="20"/>
                <w:szCs w:val="20"/>
                <w:lang w:val="fr-FR"/>
              </w:rPr>
            </w:pPr>
            <w:r w:rsidRPr="008233A5">
              <w:rPr>
                <w:rFonts w:ascii="Arial" w:hAnsi="Arial" w:cs="Arial"/>
                <w:color w:val="000000"/>
                <w:sz w:val="20"/>
                <w:szCs w:val="20"/>
                <w:lang w:val="fr-FR"/>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6042636D"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sz w:val="20"/>
                <w:szCs w:val="20"/>
                <w:lang w:val="fr-FR"/>
              </w:rPr>
              <w:t xml:space="preserve">Aucun </w:t>
            </w:r>
            <w:r w:rsidRPr="008233A5">
              <w:rPr>
                <w:rFonts w:ascii="Arial" w:hAnsi="Arial" w:cs="Arial"/>
                <w:color w:val="000000" w:themeColor="text1"/>
                <w:sz w:val="20"/>
                <w:szCs w:val="20"/>
                <w:lang w:val="fr-FR"/>
              </w:rPr>
              <w:t>signalement connu</w:t>
            </w:r>
          </w:p>
        </w:tc>
      </w:tr>
      <w:tr w:rsidR="00BE5E9B" w:rsidRPr="008233A5" w14:paraId="48C27642" w14:textId="77777777">
        <w:trPr>
          <w:tblHeader/>
        </w:trPr>
        <w:tc>
          <w:tcPr>
            <w:tcW w:w="0" w:type="auto"/>
            <w:tcBorders>
              <w:top w:val="single" w:sz="4" w:space="0" w:color="auto"/>
              <w:left w:val="single" w:sz="4" w:space="0" w:color="auto"/>
              <w:right w:val="single" w:sz="4" w:space="0" w:color="auto"/>
            </w:tcBorders>
            <w:vAlign w:val="center"/>
          </w:tcPr>
          <w:p w14:paraId="3FEDD115" w14:textId="77777777" w:rsidR="00BE5E9B" w:rsidRPr="008233A5" w:rsidRDefault="00B757F7">
            <w:pPr>
              <w:rPr>
                <w:rFonts w:ascii="Arial" w:hAnsi="Arial" w:cs="Arial"/>
                <w:color w:val="000000"/>
                <w:sz w:val="20"/>
                <w:szCs w:val="20"/>
                <w:lang w:val="fr-FR"/>
              </w:rPr>
            </w:pPr>
            <w:r w:rsidRPr="008233A5">
              <w:rPr>
                <w:rFonts w:ascii="Arial" w:hAnsi="Arial" w:cs="Arial"/>
                <w:color w:val="000000"/>
                <w:sz w:val="20"/>
                <w:szCs w:val="20"/>
                <w:lang w:val="fr-FR"/>
              </w:rPr>
              <w:t>Grand dauphin de Lahille</w:t>
            </w:r>
          </w:p>
        </w:tc>
        <w:tc>
          <w:tcPr>
            <w:tcW w:w="0" w:type="auto"/>
            <w:tcBorders>
              <w:top w:val="single" w:sz="4" w:space="0" w:color="auto"/>
              <w:left w:val="single" w:sz="4" w:space="0" w:color="auto"/>
              <w:right w:val="single" w:sz="4" w:space="0" w:color="auto"/>
            </w:tcBorders>
            <w:vAlign w:val="center"/>
          </w:tcPr>
          <w:p w14:paraId="217ADF48" w14:textId="77777777" w:rsidR="00BE5E9B" w:rsidRPr="008233A5" w:rsidRDefault="00B757F7">
            <w:pPr>
              <w:rPr>
                <w:rFonts w:ascii="Arial" w:hAnsi="Arial" w:cs="Arial"/>
                <w:i/>
                <w:iCs/>
                <w:sz w:val="20"/>
                <w:szCs w:val="20"/>
                <w:lang w:val="fr-FR"/>
              </w:rPr>
            </w:pPr>
            <w:r w:rsidRPr="008233A5">
              <w:rPr>
                <w:rFonts w:ascii="Arial" w:hAnsi="Arial" w:cs="Arial"/>
                <w:i/>
                <w:iCs/>
                <w:color w:val="000000"/>
                <w:sz w:val="20"/>
                <w:szCs w:val="20"/>
                <w:lang w:val="fr-FR"/>
              </w:rPr>
              <w:t>Tursiops truncatus gephyreus</w:t>
            </w:r>
          </w:p>
        </w:tc>
        <w:tc>
          <w:tcPr>
            <w:tcW w:w="1410" w:type="dxa"/>
            <w:tcBorders>
              <w:top w:val="single" w:sz="4" w:space="0" w:color="auto"/>
              <w:left w:val="single" w:sz="4" w:space="0" w:color="auto"/>
              <w:right w:val="single" w:sz="4" w:space="0" w:color="auto"/>
            </w:tcBorders>
          </w:tcPr>
          <w:p w14:paraId="01D4A008" w14:textId="77777777" w:rsidR="00BE5E9B" w:rsidRPr="008233A5" w:rsidRDefault="00B757F7">
            <w:pPr>
              <w:jc w:val="center"/>
              <w:rPr>
                <w:rFonts w:ascii="Arial" w:hAnsi="Arial" w:cs="Arial"/>
                <w:i/>
                <w:iCs/>
                <w:color w:val="000000"/>
                <w:sz w:val="20"/>
                <w:szCs w:val="20"/>
                <w:lang w:val="fr-FR"/>
              </w:rPr>
            </w:pPr>
            <w:r w:rsidRPr="008233A5">
              <w:rPr>
                <w:rFonts w:ascii="Arial" w:hAnsi="Arial" w:cs="Arial"/>
                <w:color w:val="000000"/>
                <w:sz w:val="20"/>
                <w:szCs w:val="20"/>
                <w:lang w:val="fr-FR"/>
              </w:rPr>
              <w:t>I &amp; II</w:t>
            </w:r>
          </w:p>
        </w:tc>
        <w:tc>
          <w:tcPr>
            <w:tcW w:w="3246" w:type="dxa"/>
            <w:tcBorders>
              <w:top w:val="single" w:sz="4" w:space="0" w:color="auto"/>
              <w:left w:val="single" w:sz="4" w:space="0" w:color="auto"/>
              <w:right w:val="single" w:sz="4" w:space="0" w:color="auto"/>
            </w:tcBorders>
            <w:vAlign w:val="center"/>
          </w:tcPr>
          <w:p w14:paraId="550C0256"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sz w:val="20"/>
                <w:szCs w:val="20"/>
                <w:lang w:val="fr-FR"/>
              </w:rPr>
              <w:t xml:space="preserve">Aucun </w:t>
            </w:r>
            <w:r w:rsidRPr="008233A5">
              <w:rPr>
                <w:rFonts w:ascii="Arial" w:hAnsi="Arial" w:cs="Arial"/>
                <w:color w:val="000000" w:themeColor="text1"/>
                <w:sz w:val="20"/>
                <w:szCs w:val="20"/>
                <w:lang w:val="fr-FR"/>
              </w:rPr>
              <w:t>signalement connu</w:t>
            </w:r>
          </w:p>
        </w:tc>
      </w:tr>
      <w:tr w:rsidR="00BE5E9B" w:rsidRPr="008233A5" w14:paraId="249B05D5" w14:textId="77777777">
        <w:trPr>
          <w:tblHeader/>
        </w:trPr>
        <w:tc>
          <w:tcPr>
            <w:tcW w:w="0" w:type="auto"/>
            <w:tcBorders>
              <w:top w:val="single" w:sz="4" w:space="0" w:color="auto"/>
              <w:left w:val="single" w:sz="4" w:space="0" w:color="auto"/>
              <w:bottom w:val="single" w:sz="4" w:space="0" w:color="auto"/>
              <w:right w:val="single" w:sz="4" w:space="0" w:color="auto"/>
            </w:tcBorders>
            <w:vAlign w:val="center"/>
          </w:tcPr>
          <w:p w14:paraId="673FAAB9" w14:textId="77777777" w:rsidR="00BE5E9B" w:rsidRPr="008233A5" w:rsidRDefault="00B757F7">
            <w:pPr>
              <w:rPr>
                <w:rFonts w:ascii="Arial" w:hAnsi="Arial" w:cs="Arial"/>
                <w:color w:val="000000"/>
                <w:sz w:val="20"/>
                <w:szCs w:val="20"/>
                <w:lang w:val="fr-FR"/>
              </w:rPr>
            </w:pPr>
            <w:r w:rsidRPr="008233A5">
              <w:rPr>
                <w:rFonts w:ascii="Arial" w:hAnsi="Arial" w:cs="Arial"/>
                <w:color w:val="000000"/>
                <w:sz w:val="20"/>
                <w:szCs w:val="20"/>
                <w:lang w:val="fr-FR"/>
              </w:rPr>
              <w:t>Grand dauphin de la mer Noire</w:t>
            </w:r>
          </w:p>
        </w:tc>
        <w:tc>
          <w:tcPr>
            <w:tcW w:w="0" w:type="auto"/>
            <w:tcBorders>
              <w:top w:val="single" w:sz="4" w:space="0" w:color="auto"/>
              <w:left w:val="single" w:sz="4" w:space="0" w:color="auto"/>
              <w:bottom w:val="single" w:sz="4" w:space="0" w:color="auto"/>
              <w:right w:val="single" w:sz="4" w:space="0" w:color="auto"/>
            </w:tcBorders>
            <w:vAlign w:val="center"/>
          </w:tcPr>
          <w:p w14:paraId="108578DD" w14:textId="77777777" w:rsidR="00BE5E9B" w:rsidRPr="008233A5" w:rsidRDefault="00B757F7">
            <w:pPr>
              <w:rPr>
                <w:rFonts w:ascii="Arial" w:hAnsi="Arial" w:cs="Arial"/>
                <w:i/>
                <w:iCs/>
                <w:sz w:val="20"/>
                <w:szCs w:val="20"/>
                <w:lang w:val="fr-FR"/>
              </w:rPr>
            </w:pPr>
            <w:r w:rsidRPr="008233A5">
              <w:rPr>
                <w:rFonts w:ascii="Arial" w:hAnsi="Arial" w:cs="Arial"/>
                <w:i/>
                <w:iCs/>
                <w:color w:val="000000"/>
                <w:sz w:val="20"/>
                <w:szCs w:val="20"/>
                <w:lang w:val="fr-FR"/>
              </w:rPr>
              <w:t>Tursiops truncatus ponticus</w:t>
            </w:r>
          </w:p>
        </w:tc>
        <w:tc>
          <w:tcPr>
            <w:tcW w:w="1410" w:type="dxa"/>
            <w:tcBorders>
              <w:top w:val="single" w:sz="4" w:space="0" w:color="auto"/>
              <w:left w:val="single" w:sz="4" w:space="0" w:color="auto"/>
              <w:bottom w:val="single" w:sz="4" w:space="0" w:color="auto"/>
              <w:right w:val="single" w:sz="4" w:space="0" w:color="auto"/>
            </w:tcBorders>
            <w:vAlign w:val="center"/>
          </w:tcPr>
          <w:p w14:paraId="6B7A8136" w14:textId="77777777" w:rsidR="00BE5E9B" w:rsidRPr="008233A5" w:rsidRDefault="00B757F7">
            <w:pPr>
              <w:jc w:val="center"/>
              <w:rPr>
                <w:rFonts w:ascii="Arial" w:hAnsi="Arial" w:cs="Arial"/>
                <w:i/>
                <w:iCs/>
                <w:color w:val="000000"/>
                <w:sz w:val="20"/>
                <w:szCs w:val="20"/>
                <w:lang w:val="fr-FR"/>
              </w:rPr>
            </w:pPr>
            <w:r w:rsidRPr="008233A5">
              <w:rPr>
                <w:rFonts w:ascii="Arial" w:hAnsi="Arial" w:cs="Arial"/>
                <w:color w:val="000000"/>
                <w:sz w:val="20"/>
                <w:szCs w:val="20"/>
                <w:lang w:val="fr-FR"/>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55BBE708"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sz w:val="20"/>
                <w:szCs w:val="20"/>
                <w:lang w:val="fr-FR"/>
              </w:rPr>
              <w:t>Illégalement</w:t>
            </w:r>
          </w:p>
        </w:tc>
      </w:tr>
      <w:tr w:rsidR="00BE5E9B" w:rsidRPr="008233A5" w14:paraId="1CAEB73E" w14:textId="77777777">
        <w:trPr>
          <w:tblHeader/>
        </w:trPr>
        <w:tc>
          <w:tcPr>
            <w:tcW w:w="0" w:type="auto"/>
            <w:tcBorders>
              <w:top w:val="single" w:sz="4" w:space="0" w:color="auto"/>
              <w:left w:val="single" w:sz="4" w:space="0" w:color="auto"/>
              <w:bottom w:val="single" w:sz="4" w:space="0" w:color="auto"/>
              <w:right w:val="single" w:sz="4" w:space="0" w:color="auto"/>
            </w:tcBorders>
            <w:vAlign w:val="center"/>
          </w:tcPr>
          <w:p w14:paraId="6A3B93BE" w14:textId="77777777" w:rsidR="00BE5E9B" w:rsidRPr="008233A5" w:rsidRDefault="00B757F7">
            <w:pPr>
              <w:rPr>
                <w:rFonts w:ascii="Arial" w:hAnsi="Arial" w:cs="Arial"/>
                <w:color w:val="000000"/>
                <w:sz w:val="20"/>
                <w:szCs w:val="20"/>
                <w:lang w:val="fr-FR"/>
              </w:rPr>
            </w:pPr>
            <w:r w:rsidRPr="008233A5">
              <w:rPr>
                <w:rFonts w:ascii="Arial" w:hAnsi="Arial" w:cs="Arial"/>
                <w:color w:val="000000"/>
                <w:sz w:val="20"/>
                <w:szCs w:val="20"/>
                <w:lang w:val="fr-FR"/>
              </w:rPr>
              <w:t>Dauphin de l’Irrawaddy</w:t>
            </w:r>
          </w:p>
        </w:tc>
        <w:tc>
          <w:tcPr>
            <w:tcW w:w="0" w:type="auto"/>
            <w:tcBorders>
              <w:top w:val="single" w:sz="4" w:space="0" w:color="auto"/>
              <w:left w:val="single" w:sz="4" w:space="0" w:color="auto"/>
              <w:bottom w:val="single" w:sz="4" w:space="0" w:color="auto"/>
              <w:right w:val="single" w:sz="4" w:space="0" w:color="auto"/>
            </w:tcBorders>
            <w:vAlign w:val="center"/>
          </w:tcPr>
          <w:p w14:paraId="0A9FD849" w14:textId="77777777" w:rsidR="00BE5E9B" w:rsidRPr="008233A5" w:rsidRDefault="00B757F7">
            <w:pPr>
              <w:rPr>
                <w:rFonts w:ascii="Arial" w:hAnsi="Arial" w:cs="Arial"/>
                <w:i/>
                <w:iCs/>
                <w:sz w:val="20"/>
                <w:szCs w:val="20"/>
                <w:lang w:val="fr-FR"/>
              </w:rPr>
            </w:pPr>
            <w:r w:rsidRPr="008233A5">
              <w:rPr>
                <w:rFonts w:ascii="Arial" w:hAnsi="Arial" w:cs="Arial"/>
                <w:i/>
                <w:iCs/>
                <w:sz w:val="20"/>
                <w:szCs w:val="20"/>
                <w:lang w:val="fr-FR"/>
              </w:rPr>
              <w:t>Orcaella brevirostris</w:t>
            </w:r>
          </w:p>
        </w:tc>
        <w:tc>
          <w:tcPr>
            <w:tcW w:w="1410" w:type="dxa"/>
            <w:tcBorders>
              <w:top w:val="single" w:sz="4" w:space="0" w:color="auto"/>
              <w:left w:val="single" w:sz="4" w:space="0" w:color="auto"/>
              <w:bottom w:val="single" w:sz="4" w:space="0" w:color="auto"/>
              <w:right w:val="single" w:sz="4" w:space="0" w:color="auto"/>
            </w:tcBorders>
          </w:tcPr>
          <w:p w14:paraId="31393074" w14:textId="77777777" w:rsidR="00BE5E9B" w:rsidRPr="008233A5" w:rsidRDefault="00B757F7">
            <w:pPr>
              <w:jc w:val="center"/>
              <w:rPr>
                <w:rFonts w:ascii="Arial" w:hAnsi="Arial" w:cs="Arial"/>
                <w:i/>
                <w:iCs/>
                <w:sz w:val="20"/>
                <w:szCs w:val="20"/>
                <w:lang w:val="fr-FR"/>
              </w:rPr>
            </w:pPr>
            <w:r w:rsidRPr="008233A5">
              <w:rPr>
                <w:rFonts w:ascii="Arial" w:hAnsi="Arial" w:cs="Arial"/>
                <w:color w:val="000000"/>
                <w:sz w:val="20"/>
                <w:szCs w:val="20"/>
                <w:lang w:val="fr-FR"/>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7A049400" w14:textId="77777777" w:rsidR="00BE5E9B" w:rsidRPr="008233A5" w:rsidRDefault="00B757F7">
            <w:pPr>
              <w:jc w:val="center"/>
              <w:rPr>
                <w:rFonts w:ascii="Arial" w:hAnsi="Arial" w:cs="Arial"/>
                <w:sz w:val="20"/>
                <w:szCs w:val="20"/>
                <w:lang w:val="fr-FR"/>
              </w:rPr>
            </w:pPr>
            <w:r w:rsidRPr="008233A5">
              <w:rPr>
                <w:rFonts w:ascii="Arial" w:hAnsi="Arial" w:cs="Arial"/>
                <w:sz w:val="20"/>
                <w:szCs w:val="20"/>
                <w:lang w:val="fr-FR"/>
              </w:rPr>
              <w:t>Illégalement</w:t>
            </w:r>
          </w:p>
        </w:tc>
      </w:tr>
      <w:tr w:rsidR="00BE5E9B" w:rsidRPr="008233A5" w14:paraId="4F4914DA" w14:textId="77777777">
        <w:trPr>
          <w:tblHeader/>
        </w:trPr>
        <w:tc>
          <w:tcPr>
            <w:tcW w:w="0" w:type="auto"/>
            <w:tcBorders>
              <w:top w:val="single" w:sz="4" w:space="0" w:color="auto"/>
              <w:left w:val="single" w:sz="4" w:space="0" w:color="auto"/>
              <w:bottom w:val="single" w:sz="4" w:space="0" w:color="auto"/>
              <w:right w:val="single" w:sz="4" w:space="0" w:color="auto"/>
            </w:tcBorders>
            <w:vAlign w:val="center"/>
          </w:tcPr>
          <w:p w14:paraId="75B88715" w14:textId="77777777" w:rsidR="00BE5E9B" w:rsidRPr="008233A5" w:rsidRDefault="00B757F7">
            <w:pPr>
              <w:rPr>
                <w:rFonts w:ascii="Arial" w:hAnsi="Arial" w:cs="Arial"/>
                <w:color w:val="000000"/>
                <w:sz w:val="20"/>
                <w:szCs w:val="20"/>
                <w:highlight w:val="yellow"/>
                <w:lang w:val="fr-FR"/>
              </w:rPr>
            </w:pPr>
            <w:r w:rsidRPr="008233A5">
              <w:rPr>
                <w:rFonts w:ascii="Arial" w:hAnsi="Arial" w:cs="Arial"/>
                <w:color w:val="000000" w:themeColor="text1"/>
                <w:sz w:val="20"/>
                <w:szCs w:val="20"/>
                <w:lang w:val="fr-FR"/>
              </w:rPr>
              <w:t>Dauphin à bosse de l’Atlantique</w:t>
            </w:r>
          </w:p>
        </w:tc>
        <w:tc>
          <w:tcPr>
            <w:tcW w:w="0" w:type="auto"/>
            <w:tcBorders>
              <w:top w:val="single" w:sz="4" w:space="0" w:color="auto"/>
              <w:left w:val="single" w:sz="4" w:space="0" w:color="auto"/>
              <w:bottom w:val="single" w:sz="4" w:space="0" w:color="auto"/>
              <w:right w:val="single" w:sz="4" w:space="0" w:color="auto"/>
            </w:tcBorders>
            <w:vAlign w:val="center"/>
          </w:tcPr>
          <w:p w14:paraId="43232E5C" w14:textId="77777777" w:rsidR="00BE5E9B" w:rsidRPr="008233A5" w:rsidRDefault="00B757F7">
            <w:pPr>
              <w:rPr>
                <w:rFonts w:ascii="Arial" w:hAnsi="Arial" w:cs="Arial"/>
                <w:i/>
                <w:iCs/>
                <w:sz w:val="20"/>
                <w:szCs w:val="20"/>
                <w:lang w:val="fr-FR"/>
              </w:rPr>
            </w:pPr>
            <w:r w:rsidRPr="008233A5">
              <w:rPr>
                <w:rFonts w:ascii="Arial" w:hAnsi="Arial" w:cs="Arial"/>
                <w:i/>
                <w:iCs/>
                <w:color w:val="000000"/>
                <w:sz w:val="20"/>
                <w:szCs w:val="20"/>
                <w:lang w:val="fr-FR"/>
              </w:rPr>
              <w:t>Sousa teuszii</w:t>
            </w:r>
          </w:p>
        </w:tc>
        <w:tc>
          <w:tcPr>
            <w:tcW w:w="1410" w:type="dxa"/>
            <w:tcBorders>
              <w:top w:val="single" w:sz="4" w:space="0" w:color="auto"/>
              <w:left w:val="single" w:sz="4" w:space="0" w:color="auto"/>
              <w:bottom w:val="single" w:sz="4" w:space="0" w:color="auto"/>
              <w:right w:val="single" w:sz="4" w:space="0" w:color="auto"/>
            </w:tcBorders>
            <w:vAlign w:val="center"/>
          </w:tcPr>
          <w:p w14:paraId="37B65178" w14:textId="77777777" w:rsidR="00BE5E9B" w:rsidRPr="008233A5" w:rsidRDefault="00B757F7">
            <w:pPr>
              <w:jc w:val="center"/>
              <w:rPr>
                <w:rFonts w:ascii="Arial" w:hAnsi="Arial" w:cs="Arial"/>
                <w:i/>
                <w:iCs/>
                <w:color w:val="000000"/>
                <w:sz w:val="20"/>
                <w:szCs w:val="20"/>
                <w:lang w:val="fr-FR"/>
              </w:rPr>
            </w:pPr>
            <w:r w:rsidRPr="008233A5">
              <w:rPr>
                <w:rFonts w:ascii="Arial" w:hAnsi="Arial" w:cs="Arial"/>
                <w:color w:val="000000"/>
                <w:sz w:val="20"/>
                <w:szCs w:val="20"/>
                <w:lang w:val="fr-FR"/>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68603E76"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sz w:val="20"/>
                <w:szCs w:val="20"/>
                <w:lang w:val="fr-FR"/>
              </w:rPr>
              <w:t>Illégalement</w:t>
            </w:r>
          </w:p>
        </w:tc>
      </w:tr>
      <w:tr w:rsidR="00BE5E9B" w:rsidRPr="008233A5" w14:paraId="0F92ECE7" w14:textId="77777777">
        <w:trPr>
          <w:tblHeader/>
        </w:trPr>
        <w:tc>
          <w:tcPr>
            <w:tcW w:w="0" w:type="auto"/>
            <w:tcBorders>
              <w:top w:val="single" w:sz="4" w:space="0" w:color="auto"/>
              <w:left w:val="single" w:sz="4" w:space="0" w:color="auto"/>
              <w:bottom w:val="single" w:sz="4" w:space="0" w:color="auto"/>
              <w:right w:val="single" w:sz="4" w:space="0" w:color="auto"/>
            </w:tcBorders>
            <w:vAlign w:val="center"/>
          </w:tcPr>
          <w:p w14:paraId="41B1BCD2" w14:textId="77777777" w:rsidR="00BE5E9B" w:rsidRPr="008233A5" w:rsidRDefault="00B757F7">
            <w:pPr>
              <w:rPr>
                <w:rFonts w:ascii="Arial" w:hAnsi="Arial" w:cs="Arial"/>
                <w:color w:val="000000"/>
                <w:sz w:val="20"/>
                <w:szCs w:val="20"/>
                <w:lang w:val="fr-FR"/>
              </w:rPr>
            </w:pPr>
            <w:r w:rsidRPr="008233A5">
              <w:rPr>
                <w:rFonts w:ascii="Arial" w:hAnsi="Arial" w:cs="Arial"/>
                <w:color w:val="000000"/>
                <w:sz w:val="20"/>
                <w:szCs w:val="20"/>
                <w:lang w:val="fr-FR"/>
              </w:rPr>
              <w:t>Marsouin commun de la Baltique centrale</w:t>
            </w:r>
          </w:p>
        </w:tc>
        <w:tc>
          <w:tcPr>
            <w:tcW w:w="0" w:type="auto"/>
            <w:tcBorders>
              <w:top w:val="single" w:sz="4" w:space="0" w:color="auto"/>
              <w:left w:val="single" w:sz="4" w:space="0" w:color="auto"/>
              <w:bottom w:val="single" w:sz="4" w:space="0" w:color="auto"/>
              <w:right w:val="single" w:sz="4" w:space="0" w:color="auto"/>
            </w:tcBorders>
            <w:vAlign w:val="center"/>
          </w:tcPr>
          <w:p w14:paraId="5AA5A505" w14:textId="77777777" w:rsidR="00BE5E9B" w:rsidRPr="008233A5" w:rsidRDefault="00B757F7">
            <w:pPr>
              <w:rPr>
                <w:rFonts w:ascii="Arial" w:hAnsi="Arial" w:cs="Arial"/>
                <w:i/>
                <w:iCs/>
                <w:sz w:val="20"/>
                <w:szCs w:val="20"/>
                <w:lang w:val="fr-FR"/>
              </w:rPr>
            </w:pPr>
            <w:r w:rsidRPr="008233A5">
              <w:rPr>
                <w:rFonts w:ascii="Arial" w:hAnsi="Arial" w:cs="Arial"/>
                <w:i/>
                <w:iCs/>
                <w:color w:val="000000"/>
                <w:sz w:val="20"/>
                <w:szCs w:val="20"/>
                <w:lang w:val="fr-FR"/>
              </w:rPr>
              <w:t xml:space="preserve">Phocoena phocoena </w:t>
            </w:r>
            <w:r w:rsidRPr="008233A5">
              <w:rPr>
                <w:rFonts w:ascii="Arial" w:hAnsi="Arial" w:cs="Arial"/>
                <w:color w:val="000000"/>
                <w:sz w:val="20"/>
                <w:szCs w:val="20"/>
                <w:lang w:val="fr-FR"/>
              </w:rPr>
              <w:t>(population de la Baltique centrale)</w:t>
            </w:r>
          </w:p>
        </w:tc>
        <w:tc>
          <w:tcPr>
            <w:tcW w:w="1410" w:type="dxa"/>
            <w:tcBorders>
              <w:top w:val="single" w:sz="4" w:space="0" w:color="auto"/>
              <w:left w:val="single" w:sz="4" w:space="0" w:color="auto"/>
              <w:bottom w:val="single" w:sz="4" w:space="0" w:color="auto"/>
              <w:right w:val="single" w:sz="4" w:space="0" w:color="auto"/>
            </w:tcBorders>
            <w:vAlign w:val="center"/>
          </w:tcPr>
          <w:p w14:paraId="1FB89DC4" w14:textId="77777777" w:rsidR="00BE5E9B" w:rsidRPr="008233A5" w:rsidRDefault="00B757F7">
            <w:pPr>
              <w:jc w:val="center"/>
              <w:rPr>
                <w:rFonts w:ascii="Arial" w:hAnsi="Arial" w:cs="Arial"/>
                <w:i/>
                <w:iCs/>
                <w:color w:val="000000"/>
                <w:sz w:val="20"/>
                <w:szCs w:val="20"/>
                <w:lang w:val="fr-FR"/>
              </w:rPr>
            </w:pPr>
            <w:r w:rsidRPr="008233A5">
              <w:rPr>
                <w:rFonts w:ascii="Arial" w:hAnsi="Arial" w:cs="Arial"/>
                <w:color w:val="000000"/>
                <w:sz w:val="20"/>
                <w:szCs w:val="20"/>
                <w:lang w:val="fr-FR"/>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08891FBB"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themeColor="text1"/>
                <w:sz w:val="20"/>
                <w:szCs w:val="20"/>
                <w:lang w:val="fr-FR"/>
              </w:rPr>
              <w:t>Aucun signalement connu</w:t>
            </w:r>
          </w:p>
        </w:tc>
      </w:tr>
      <w:tr w:rsidR="00BE5E9B" w:rsidRPr="008233A5" w14:paraId="677AA494" w14:textId="77777777">
        <w:trPr>
          <w:tblHeader/>
        </w:trPr>
        <w:tc>
          <w:tcPr>
            <w:tcW w:w="0" w:type="auto"/>
            <w:tcBorders>
              <w:top w:val="single" w:sz="4" w:space="0" w:color="auto"/>
              <w:left w:val="single" w:sz="4" w:space="0" w:color="auto"/>
              <w:bottom w:val="single" w:sz="4" w:space="0" w:color="auto"/>
              <w:right w:val="single" w:sz="4" w:space="0" w:color="auto"/>
            </w:tcBorders>
            <w:vAlign w:val="center"/>
          </w:tcPr>
          <w:p w14:paraId="12971497" w14:textId="77777777" w:rsidR="00BE5E9B" w:rsidRPr="008233A5" w:rsidRDefault="00B757F7">
            <w:pPr>
              <w:rPr>
                <w:rFonts w:ascii="Arial" w:hAnsi="Arial" w:cs="Arial"/>
                <w:color w:val="000000"/>
                <w:sz w:val="20"/>
                <w:szCs w:val="20"/>
                <w:lang w:val="fr-FR"/>
              </w:rPr>
            </w:pPr>
            <w:r w:rsidRPr="008233A5">
              <w:rPr>
                <w:rFonts w:ascii="Arial" w:hAnsi="Arial" w:cs="Arial"/>
                <w:color w:val="000000"/>
                <w:sz w:val="20"/>
                <w:szCs w:val="20"/>
                <w:lang w:val="fr-FR"/>
              </w:rPr>
              <w:t>Cachalot</w:t>
            </w:r>
          </w:p>
        </w:tc>
        <w:tc>
          <w:tcPr>
            <w:tcW w:w="0" w:type="auto"/>
            <w:tcBorders>
              <w:top w:val="single" w:sz="4" w:space="0" w:color="auto"/>
              <w:left w:val="single" w:sz="4" w:space="0" w:color="auto"/>
              <w:bottom w:val="single" w:sz="4" w:space="0" w:color="auto"/>
              <w:right w:val="single" w:sz="4" w:space="0" w:color="auto"/>
            </w:tcBorders>
            <w:vAlign w:val="center"/>
          </w:tcPr>
          <w:p w14:paraId="48FDA0F3" w14:textId="77777777" w:rsidR="00BE5E9B" w:rsidRPr="008233A5" w:rsidRDefault="00B757F7">
            <w:pPr>
              <w:rPr>
                <w:rFonts w:ascii="Arial" w:hAnsi="Arial" w:cs="Arial"/>
                <w:i/>
                <w:iCs/>
                <w:sz w:val="20"/>
                <w:szCs w:val="20"/>
                <w:lang w:val="fr-FR"/>
              </w:rPr>
            </w:pPr>
            <w:r w:rsidRPr="008233A5">
              <w:rPr>
                <w:rFonts w:ascii="Arial" w:hAnsi="Arial" w:cs="Arial"/>
                <w:i/>
                <w:iCs/>
                <w:color w:val="000000"/>
                <w:sz w:val="20"/>
                <w:szCs w:val="20"/>
                <w:lang w:val="fr-FR"/>
              </w:rPr>
              <w:t>Physeter macrocephalus</w:t>
            </w:r>
          </w:p>
        </w:tc>
        <w:tc>
          <w:tcPr>
            <w:tcW w:w="1410" w:type="dxa"/>
            <w:tcBorders>
              <w:top w:val="single" w:sz="4" w:space="0" w:color="auto"/>
              <w:left w:val="single" w:sz="4" w:space="0" w:color="auto"/>
              <w:bottom w:val="single" w:sz="4" w:space="0" w:color="auto"/>
              <w:right w:val="single" w:sz="4" w:space="0" w:color="auto"/>
            </w:tcBorders>
          </w:tcPr>
          <w:p w14:paraId="451457AE" w14:textId="77777777" w:rsidR="00BE5E9B" w:rsidRPr="008233A5" w:rsidRDefault="00B757F7">
            <w:pPr>
              <w:jc w:val="center"/>
              <w:rPr>
                <w:rFonts w:ascii="Arial" w:hAnsi="Arial" w:cs="Arial"/>
                <w:i/>
                <w:iCs/>
                <w:color w:val="000000"/>
                <w:sz w:val="20"/>
                <w:szCs w:val="20"/>
                <w:lang w:val="fr-FR"/>
              </w:rPr>
            </w:pPr>
            <w:r w:rsidRPr="008233A5">
              <w:rPr>
                <w:rFonts w:ascii="Arial" w:hAnsi="Arial" w:cs="Arial"/>
                <w:color w:val="000000"/>
                <w:sz w:val="20"/>
                <w:szCs w:val="20"/>
                <w:lang w:val="fr-FR"/>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38747A0A"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themeColor="text1"/>
                <w:sz w:val="20"/>
                <w:szCs w:val="20"/>
                <w:lang w:val="fr-FR"/>
              </w:rPr>
              <w:t>Chasses locales autochtones</w:t>
            </w:r>
          </w:p>
        </w:tc>
      </w:tr>
      <w:tr w:rsidR="00BE5E9B" w:rsidRPr="008233A5" w14:paraId="005784A3" w14:textId="77777777">
        <w:trPr>
          <w:tblHeader/>
        </w:trPr>
        <w:tc>
          <w:tcPr>
            <w:tcW w:w="0" w:type="auto"/>
            <w:tcBorders>
              <w:top w:val="single" w:sz="4" w:space="0" w:color="auto"/>
              <w:left w:val="single" w:sz="4" w:space="0" w:color="auto"/>
              <w:bottom w:val="single" w:sz="4" w:space="0" w:color="auto"/>
              <w:right w:val="single" w:sz="4" w:space="0" w:color="auto"/>
            </w:tcBorders>
            <w:vAlign w:val="center"/>
          </w:tcPr>
          <w:p w14:paraId="67089E86" w14:textId="77777777" w:rsidR="00BE5E9B" w:rsidRPr="008233A5" w:rsidRDefault="00B757F7">
            <w:pPr>
              <w:rPr>
                <w:rFonts w:ascii="Arial" w:hAnsi="Arial" w:cs="Arial"/>
                <w:color w:val="000000"/>
                <w:sz w:val="20"/>
                <w:szCs w:val="20"/>
                <w:lang w:val="fr-FR"/>
              </w:rPr>
            </w:pPr>
            <w:r w:rsidRPr="008233A5">
              <w:rPr>
                <w:rFonts w:ascii="Arial" w:hAnsi="Arial" w:cs="Arial"/>
                <w:color w:val="000000"/>
                <w:sz w:val="20"/>
                <w:szCs w:val="20"/>
                <w:lang w:val="fr-FR"/>
              </w:rPr>
              <w:t>Dauphin du Gange</w:t>
            </w:r>
          </w:p>
        </w:tc>
        <w:tc>
          <w:tcPr>
            <w:tcW w:w="0" w:type="auto"/>
            <w:tcBorders>
              <w:top w:val="single" w:sz="4" w:space="0" w:color="auto"/>
              <w:left w:val="single" w:sz="4" w:space="0" w:color="auto"/>
              <w:bottom w:val="single" w:sz="4" w:space="0" w:color="auto"/>
              <w:right w:val="single" w:sz="4" w:space="0" w:color="auto"/>
            </w:tcBorders>
            <w:vAlign w:val="center"/>
          </w:tcPr>
          <w:p w14:paraId="50B675F0" w14:textId="77777777" w:rsidR="00BE5E9B" w:rsidRPr="008233A5" w:rsidRDefault="00B757F7">
            <w:pPr>
              <w:rPr>
                <w:rFonts w:ascii="Arial" w:hAnsi="Arial" w:cs="Arial"/>
                <w:i/>
                <w:iCs/>
                <w:sz w:val="20"/>
                <w:szCs w:val="20"/>
                <w:lang w:val="fr-FR"/>
              </w:rPr>
            </w:pPr>
            <w:r w:rsidRPr="008233A5">
              <w:rPr>
                <w:rFonts w:ascii="Arial" w:hAnsi="Arial" w:cs="Arial"/>
                <w:i/>
                <w:iCs/>
                <w:color w:val="000000"/>
                <w:sz w:val="20"/>
                <w:szCs w:val="20"/>
                <w:lang w:val="fr-FR"/>
              </w:rPr>
              <w:t>Platanista gangetica</w:t>
            </w:r>
          </w:p>
        </w:tc>
        <w:tc>
          <w:tcPr>
            <w:tcW w:w="1410" w:type="dxa"/>
            <w:tcBorders>
              <w:top w:val="single" w:sz="4" w:space="0" w:color="auto"/>
              <w:left w:val="single" w:sz="4" w:space="0" w:color="auto"/>
              <w:bottom w:val="single" w:sz="4" w:space="0" w:color="auto"/>
              <w:right w:val="single" w:sz="4" w:space="0" w:color="auto"/>
            </w:tcBorders>
          </w:tcPr>
          <w:p w14:paraId="02D74A50" w14:textId="77777777" w:rsidR="00BE5E9B" w:rsidRPr="008233A5" w:rsidRDefault="00B757F7">
            <w:pPr>
              <w:jc w:val="center"/>
              <w:rPr>
                <w:rFonts w:ascii="Arial" w:hAnsi="Arial" w:cs="Arial"/>
                <w:i/>
                <w:iCs/>
                <w:color w:val="000000"/>
                <w:sz w:val="20"/>
                <w:szCs w:val="20"/>
                <w:lang w:val="fr-FR"/>
              </w:rPr>
            </w:pPr>
            <w:r w:rsidRPr="008233A5">
              <w:rPr>
                <w:rFonts w:ascii="Arial" w:hAnsi="Arial" w:cs="Arial"/>
                <w:color w:val="000000"/>
                <w:sz w:val="20"/>
                <w:szCs w:val="20"/>
                <w:lang w:val="fr-FR"/>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184A958A"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sz w:val="20"/>
                <w:szCs w:val="20"/>
                <w:lang w:val="fr-FR"/>
              </w:rPr>
              <w:t>Illégalement</w:t>
            </w:r>
          </w:p>
        </w:tc>
      </w:tr>
      <w:tr w:rsidR="00BE5E9B" w:rsidRPr="008233A5" w14:paraId="1ECD2F31" w14:textId="77777777">
        <w:trPr>
          <w:tblHeader/>
        </w:trPr>
        <w:tc>
          <w:tcPr>
            <w:tcW w:w="0" w:type="auto"/>
            <w:tcBorders>
              <w:top w:val="single" w:sz="4" w:space="0" w:color="auto"/>
              <w:left w:val="single" w:sz="4" w:space="0" w:color="auto"/>
              <w:bottom w:val="single" w:sz="4" w:space="0" w:color="auto"/>
              <w:right w:val="single" w:sz="4" w:space="0" w:color="auto"/>
            </w:tcBorders>
            <w:vAlign w:val="center"/>
          </w:tcPr>
          <w:p w14:paraId="38881FDB" w14:textId="77777777" w:rsidR="00BE5E9B" w:rsidRPr="008233A5" w:rsidRDefault="00B757F7">
            <w:pPr>
              <w:rPr>
                <w:rFonts w:ascii="Arial" w:hAnsi="Arial" w:cs="Arial"/>
                <w:color w:val="000000"/>
                <w:sz w:val="20"/>
                <w:szCs w:val="20"/>
                <w:lang w:val="fr-FR"/>
              </w:rPr>
            </w:pPr>
            <w:r w:rsidRPr="008233A5">
              <w:rPr>
                <w:rFonts w:ascii="Arial" w:hAnsi="Arial" w:cs="Arial"/>
                <w:color w:val="000000"/>
                <w:sz w:val="20"/>
                <w:szCs w:val="20"/>
                <w:lang w:val="fr-FR"/>
              </w:rPr>
              <w:t>Dauphin de la Plata</w:t>
            </w:r>
          </w:p>
        </w:tc>
        <w:tc>
          <w:tcPr>
            <w:tcW w:w="0" w:type="auto"/>
            <w:tcBorders>
              <w:top w:val="single" w:sz="4" w:space="0" w:color="auto"/>
              <w:left w:val="single" w:sz="4" w:space="0" w:color="auto"/>
              <w:bottom w:val="single" w:sz="4" w:space="0" w:color="auto"/>
              <w:right w:val="single" w:sz="4" w:space="0" w:color="auto"/>
            </w:tcBorders>
            <w:vAlign w:val="center"/>
          </w:tcPr>
          <w:p w14:paraId="593AE8B4" w14:textId="77777777" w:rsidR="00BE5E9B" w:rsidRPr="008233A5" w:rsidRDefault="00B757F7">
            <w:pPr>
              <w:rPr>
                <w:rFonts w:ascii="Arial" w:hAnsi="Arial" w:cs="Arial"/>
                <w:i/>
                <w:iCs/>
                <w:sz w:val="20"/>
                <w:szCs w:val="20"/>
                <w:lang w:val="fr-FR"/>
              </w:rPr>
            </w:pPr>
            <w:r w:rsidRPr="008233A5">
              <w:rPr>
                <w:rFonts w:ascii="Arial" w:hAnsi="Arial" w:cs="Arial"/>
                <w:i/>
                <w:iCs/>
                <w:color w:val="000000"/>
                <w:sz w:val="20"/>
                <w:szCs w:val="20"/>
                <w:lang w:val="fr-FR"/>
              </w:rPr>
              <w:t>Pontoporia blainvillei</w:t>
            </w:r>
          </w:p>
        </w:tc>
        <w:tc>
          <w:tcPr>
            <w:tcW w:w="1410" w:type="dxa"/>
            <w:tcBorders>
              <w:top w:val="single" w:sz="4" w:space="0" w:color="auto"/>
              <w:left w:val="single" w:sz="4" w:space="0" w:color="auto"/>
              <w:bottom w:val="single" w:sz="4" w:space="0" w:color="auto"/>
              <w:right w:val="single" w:sz="4" w:space="0" w:color="auto"/>
            </w:tcBorders>
            <w:vAlign w:val="center"/>
          </w:tcPr>
          <w:p w14:paraId="43FE28F1" w14:textId="77777777" w:rsidR="00BE5E9B" w:rsidRPr="008233A5" w:rsidRDefault="00B757F7">
            <w:pPr>
              <w:jc w:val="center"/>
              <w:rPr>
                <w:rFonts w:ascii="Arial" w:hAnsi="Arial" w:cs="Arial"/>
                <w:i/>
                <w:iCs/>
                <w:color w:val="000000"/>
                <w:sz w:val="20"/>
                <w:szCs w:val="20"/>
                <w:lang w:val="fr-FR"/>
              </w:rPr>
            </w:pPr>
            <w:r w:rsidRPr="008233A5">
              <w:rPr>
                <w:rFonts w:ascii="Arial" w:hAnsi="Arial" w:cs="Arial"/>
                <w:color w:val="000000"/>
                <w:sz w:val="20"/>
                <w:szCs w:val="20"/>
                <w:lang w:val="fr-FR"/>
              </w:rPr>
              <w:t>I &amp; II</w:t>
            </w:r>
          </w:p>
        </w:tc>
        <w:tc>
          <w:tcPr>
            <w:tcW w:w="3246" w:type="dxa"/>
            <w:tcBorders>
              <w:top w:val="single" w:sz="4" w:space="0" w:color="auto"/>
              <w:left w:val="single" w:sz="4" w:space="0" w:color="auto"/>
              <w:bottom w:val="single" w:sz="4" w:space="0" w:color="auto"/>
              <w:right w:val="single" w:sz="4" w:space="0" w:color="auto"/>
            </w:tcBorders>
            <w:vAlign w:val="center"/>
          </w:tcPr>
          <w:p w14:paraId="08758071"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sz w:val="20"/>
                <w:szCs w:val="20"/>
                <w:lang w:val="fr-FR"/>
              </w:rPr>
              <w:t>Illégalement</w:t>
            </w:r>
          </w:p>
        </w:tc>
      </w:tr>
      <w:tr w:rsidR="00BE5E9B" w:rsidRPr="008233A5" w14:paraId="10E43B2D" w14:textId="77777777">
        <w:trPr>
          <w:tblHeader/>
        </w:trPr>
        <w:tc>
          <w:tcPr>
            <w:tcW w:w="0" w:type="auto"/>
            <w:tcBorders>
              <w:top w:val="single" w:sz="4" w:space="0" w:color="auto"/>
              <w:left w:val="single" w:sz="4" w:space="0" w:color="auto"/>
              <w:bottom w:val="double" w:sz="4" w:space="0" w:color="auto"/>
              <w:right w:val="single" w:sz="4" w:space="0" w:color="auto"/>
            </w:tcBorders>
            <w:vAlign w:val="center"/>
          </w:tcPr>
          <w:p w14:paraId="409830DC" w14:textId="77777777" w:rsidR="00BE5E9B" w:rsidRPr="008233A5" w:rsidRDefault="00B757F7">
            <w:pPr>
              <w:rPr>
                <w:rFonts w:ascii="Arial" w:hAnsi="Arial" w:cs="Arial"/>
                <w:color w:val="000000"/>
                <w:sz w:val="20"/>
                <w:szCs w:val="20"/>
                <w:lang w:val="fr-FR"/>
              </w:rPr>
            </w:pPr>
            <w:r w:rsidRPr="008233A5">
              <w:rPr>
                <w:rFonts w:ascii="Arial" w:hAnsi="Arial" w:cs="Arial"/>
                <w:color w:val="000000"/>
                <w:sz w:val="20"/>
                <w:szCs w:val="20"/>
                <w:lang w:val="fr-FR"/>
              </w:rPr>
              <w:t>Baleine à bec de Cuvier</w:t>
            </w:r>
          </w:p>
        </w:tc>
        <w:tc>
          <w:tcPr>
            <w:tcW w:w="0" w:type="auto"/>
            <w:tcBorders>
              <w:top w:val="single" w:sz="4" w:space="0" w:color="auto"/>
              <w:left w:val="single" w:sz="4" w:space="0" w:color="auto"/>
              <w:bottom w:val="double" w:sz="4" w:space="0" w:color="auto"/>
              <w:right w:val="single" w:sz="4" w:space="0" w:color="auto"/>
            </w:tcBorders>
            <w:vAlign w:val="center"/>
          </w:tcPr>
          <w:p w14:paraId="29973B65" w14:textId="77777777" w:rsidR="00BE5E9B" w:rsidRPr="008233A5" w:rsidRDefault="00B757F7">
            <w:pPr>
              <w:rPr>
                <w:rFonts w:ascii="Arial" w:hAnsi="Arial" w:cs="Arial"/>
                <w:i/>
                <w:iCs/>
                <w:sz w:val="20"/>
                <w:szCs w:val="20"/>
                <w:lang w:val="fr-FR"/>
              </w:rPr>
            </w:pPr>
            <w:r w:rsidRPr="008233A5">
              <w:rPr>
                <w:rFonts w:ascii="Arial" w:hAnsi="Arial" w:cs="Arial"/>
                <w:i/>
                <w:iCs/>
                <w:color w:val="000000"/>
                <w:sz w:val="20"/>
                <w:szCs w:val="20"/>
                <w:lang w:val="fr-FR"/>
              </w:rPr>
              <w:t xml:space="preserve">Ziphius cavirostris </w:t>
            </w:r>
            <w:r w:rsidRPr="008233A5">
              <w:rPr>
                <w:rFonts w:ascii="Arial" w:hAnsi="Arial" w:cs="Arial"/>
                <w:color w:val="000000"/>
                <w:sz w:val="20"/>
                <w:szCs w:val="20"/>
                <w:lang w:val="fr-FR"/>
              </w:rPr>
              <w:t>(sous-population de la Méditerranée uniquement)</w:t>
            </w:r>
          </w:p>
        </w:tc>
        <w:tc>
          <w:tcPr>
            <w:tcW w:w="1410" w:type="dxa"/>
            <w:tcBorders>
              <w:top w:val="single" w:sz="4" w:space="0" w:color="auto"/>
              <w:left w:val="single" w:sz="4" w:space="0" w:color="auto"/>
              <w:bottom w:val="double" w:sz="4" w:space="0" w:color="auto"/>
              <w:right w:val="single" w:sz="4" w:space="0" w:color="auto"/>
            </w:tcBorders>
            <w:vAlign w:val="center"/>
          </w:tcPr>
          <w:p w14:paraId="29CE5282" w14:textId="77777777" w:rsidR="00BE5E9B" w:rsidRPr="008233A5" w:rsidRDefault="00B757F7">
            <w:pPr>
              <w:jc w:val="center"/>
              <w:rPr>
                <w:rFonts w:ascii="Arial" w:hAnsi="Arial" w:cs="Arial"/>
                <w:i/>
                <w:iCs/>
                <w:color w:val="000000"/>
                <w:sz w:val="20"/>
                <w:szCs w:val="20"/>
                <w:lang w:val="fr-FR"/>
              </w:rPr>
            </w:pPr>
            <w:r w:rsidRPr="008233A5">
              <w:rPr>
                <w:rFonts w:ascii="Arial" w:hAnsi="Arial" w:cs="Arial"/>
                <w:color w:val="000000"/>
                <w:sz w:val="20"/>
                <w:szCs w:val="20"/>
                <w:lang w:val="fr-FR"/>
              </w:rPr>
              <w:t>I</w:t>
            </w:r>
          </w:p>
        </w:tc>
        <w:tc>
          <w:tcPr>
            <w:tcW w:w="3246" w:type="dxa"/>
            <w:tcBorders>
              <w:top w:val="single" w:sz="4" w:space="0" w:color="auto"/>
              <w:left w:val="single" w:sz="4" w:space="0" w:color="auto"/>
              <w:bottom w:val="double" w:sz="4" w:space="0" w:color="auto"/>
              <w:right w:val="single" w:sz="4" w:space="0" w:color="auto"/>
            </w:tcBorders>
            <w:vAlign w:val="center"/>
          </w:tcPr>
          <w:p w14:paraId="6B3FFD45" w14:textId="77777777" w:rsidR="00BE5E9B" w:rsidRPr="008233A5" w:rsidRDefault="00B757F7">
            <w:pPr>
              <w:jc w:val="center"/>
              <w:rPr>
                <w:rFonts w:ascii="Arial" w:hAnsi="Arial" w:cs="Arial"/>
                <w:color w:val="000000"/>
                <w:sz w:val="20"/>
                <w:szCs w:val="20"/>
                <w:lang w:val="fr-FR"/>
              </w:rPr>
            </w:pPr>
            <w:r w:rsidRPr="008233A5">
              <w:rPr>
                <w:rFonts w:ascii="Arial" w:hAnsi="Arial" w:cs="Arial"/>
                <w:color w:val="000000"/>
                <w:sz w:val="20"/>
                <w:szCs w:val="20"/>
                <w:lang w:val="fr-FR"/>
              </w:rPr>
              <w:t xml:space="preserve">Aucun </w:t>
            </w:r>
            <w:r w:rsidRPr="008233A5">
              <w:rPr>
                <w:rFonts w:ascii="Arial" w:hAnsi="Arial" w:cs="Arial"/>
                <w:color w:val="000000" w:themeColor="text1"/>
                <w:sz w:val="20"/>
                <w:szCs w:val="20"/>
                <w:lang w:val="fr-FR"/>
              </w:rPr>
              <w:t>signalement connu</w:t>
            </w:r>
          </w:p>
        </w:tc>
      </w:tr>
    </w:tbl>
    <w:p w14:paraId="1EBEF19C" w14:textId="77777777" w:rsidR="00BE5E9B" w:rsidRPr="008233A5" w:rsidRDefault="00BE5E9B">
      <w:pPr>
        <w:spacing w:after="0" w:line="240" w:lineRule="auto"/>
        <w:jc w:val="both"/>
        <w:rPr>
          <w:rFonts w:cs="Arial"/>
          <w:b/>
          <w:bCs/>
          <w:lang w:val="fr-FR"/>
        </w:rPr>
      </w:pPr>
    </w:p>
    <w:p w14:paraId="1E47B35C" w14:textId="77777777" w:rsidR="00BE5E9B" w:rsidRPr="008233A5" w:rsidRDefault="00B757F7">
      <w:pPr>
        <w:spacing w:after="0" w:line="240" w:lineRule="auto"/>
        <w:jc w:val="both"/>
        <w:rPr>
          <w:rFonts w:cs="Arial"/>
          <w:b/>
          <w:bCs/>
          <w:lang w:val="fr-FR"/>
        </w:rPr>
      </w:pPr>
      <w:r w:rsidRPr="008233A5">
        <w:rPr>
          <w:rFonts w:cs="Arial"/>
          <w:b/>
          <w:bCs/>
          <w:lang w:val="fr-FR"/>
        </w:rPr>
        <w:t>Recommandations</w:t>
      </w:r>
    </w:p>
    <w:p w14:paraId="3FB8810D" w14:textId="77777777" w:rsidR="00BE5E9B" w:rsidRPr="008233A5" w:rsidRDefault="00BE5E9B">
      <w:pPr>
        <w:spacing w:after="0" w:line="240" w:lineRule="auto"/>
        <w:jc w:val="both"/>
        <w:rPr>
          <w:rFonts w:cs="Arial"/>
          <w:b/>
          <w:bCs/>
          <w:lang w:val="fr-FR"/>
        </w:rPr>
      </w:pPr>
    </w:p>
    <w:p w14:paraId="243BA525" w14:textId="77777777" w:rsidR="00BE5E9B" w:rsidRPr="008233A5" w:rsidRDefault="00B757F7">
      <w:pPr>
        <w:pStyle w:val="ListParagraph"/>
        <w:numPr>
          <w:ilvl w:val="0"/>
          <w:numId w:val="22"/>
        </w:numPr>
        <w:spacing w:after="0" w:line="240" w:lineRule="auto"/>
        <w:contextualSpacing w:val="0"/>
        <w:jc w:val="both"/>
        <w:rPr>
          <w:rFonts w:cs="Arial"/>
          <w:b/>
          <w:bCs/>
          <w:lang w:val="fr-FR"/>
        </w:rPr>
      </w:pPr>
      <w:r w:rsidRPr="008233A5">
        <w:rPr>
          <w:rFonts w:cs="Arial"/>
          <w:b/>
          <w:bCs/>
          <w:lang w:val="fr-FR"/>
        </w:rPr>
        <w:t>Chasse à la baleine et prélèvement de viande d’animaux sauvages aquatiques</w:t>
      </w:r>
    </w:p>
    <w:p w14:paraId="1F3B329E" w14:textId="77777777" w:rsidR="00BE5E9B" w:rsidRPr="008233A5" w:rsidRDefault="00BE5E9B">
      <w:pPr>
        <w:spacing w:after="0" w:line="240" w:lineRule="auto"/>
        <w:jc w:val="both"/>
        <w:rPr>
          <w:rFonts w:cs="Arial"/>
          <w:b/>
          <w:bCs/>
          <w:lang w:val="fr-FR"/>
        </w:rPr>
      </w:pPr>
    </w:p>
    <w:p w14:paraId="3D119763" w14:textId="77777777" w:rsidR="00BE5E9B" w:rsidRPr="008233A5" w:rsidRDefault="00B757F7" w:rsidP="008B622F">
      <w:pPr>
        <w:numPr>
          <w:ilvl w:val="0"/>
          <w:numId w:val="21"/>
        </w:numPr>
        <w:spacing w:after="80" w:line="240" w:lineRule="auto"/>
        <w:jc w:val="both"/>
        <w:rPr>
          <w:rFonts w:cs="Arial"/>
          <w:lang w:val="fr-FR"/>
        </w:rPr>
      </w:pPr>
      <w:r w:rsidRPr="008233A5">
        <w:rPr>
          <w:rFonts w:cs="Arial"/>
          <w:lang w:val="fr-FR"/>
        </w:rPr>
        <w:t>En cas de chasse autochtone, les quotas ne devraient être fixés qu’après un conseil scientifique et en collaboration avec les communautés autochtones locales, en appliquant toujours le principe de précaution. La composition des captures en fonction de l’âge et du sexe doit également être prise en considération lors de la fixation des quotas et doit faire l’objet d’une surveillance.</w:t>
      </w:r>
    </w:p>
    <w:p w14:paraId="66E98F73" w14:textId="77777777" w:rsidR="00BE5E9B" w:rsidRPr="008233A5" w:rsidRDefault="00B757F7">
      <w:pPr>
        <w:pStyle w:val="ListParagraph"/>
        <w:numPr>
          <w:ilvl w:val="0"/>
          <w:numId w:val="21"/>
        </w:numPr>
        <w:spacing w:after="0" w:line="240" w:lineRule="auto"/>
        <w:contextualSpacing w:val="0"/>
        <w:jc w:val="both"/>
        <w:rPr>
          <w:rFonts w:cs="Arial"/>
          <w:lang w:val="fr-FR"/>
        </w:rPr>
      </w:pPr>
      <w:r w:rsidRPr="008233A5">
        <w:rPr>
          <w:rFonts w:cs="Arial"/>
          <w:lang w:val="fr-FR"/>
        </w:rPr>
        <w:t xml:space="preserve">Dans les États de l’aire de répartition où les cétacés sont légalement consommés, les Parties doivent tenir compte des préoccupations liées à la santé humaine et assurer le bien-être de leurs citoyens. Les Parties devraient également introduire des tests obligatoires pour les produits de cétacés, un étiquetage obligatoire de ces produits et des lignes directrices nationales en matière de santé et de sécurité, notamment des niveaux maximaux de sécurité concernant le mercure. </w:t>
      </w:r>
    </w:p>
    <w:p w14:paraId="29310A7E" w14:textId="77777777" w:rsidR="00BE5E9B" w:rsidRPr="008233A5" w:rsidRDefault="00B757F7" w:rsidP="008B622F">
      <w:pPr>
        <w:pStyle w:val="ListParagraph"/>
        <w:numPr>
          <w:ilvl w:val="0"/>
          <w:numId w:val="21"/>
        </w:numPr>
        <w:spacing w:after="80" w:line="240" w:lineRule="auto"/>
        <w:ind w:left="714" w:hanging="357"/>
        <w:contextualSpacing w:val="0"/>
        <w:jc w:val="both"/>
        <w:rPr>
          <w:rFonts w:cs="Arial"/>
          <w:lang w:val="fr-FR"/>
        </w:rPr>
      </w:pPr>
      <w:r w:rsidRPr="008233A5">
        <w:rPr>
          <w:rFonts w:cs="Arial"/>
          <w:lang w:val="fr-FR"/>
        </w:rPr>
        <w:lastRenderedPageBreak/>
        <w:t xml:space="preserve">Les États de l’aire de répartition où ont lieu les prélèvements (et le commerce) illégaux devraient accroître la sensibilisation et l’éducation des communautés locales concernant la législation de protection pertinente et les sanctions qui y sont associées. </w:t>
      </w:r>
    </w:p>
    <w:p w14:paraId="596C43D6" w14:textId="77777777" w:rsidR="00BE5E9B" w:rsidRDefault="00B757F7">
      <w:pPr>
        <w:pStyle w:val="ListParagraph"/>
        <w:numPr>
          <w:ilvl w:val="0"/>
          <w:numId w:val="21"/>
        </w:numPr>
        <w:spacing w:after="0" w:line="240" w:lineRule="auto"/>
        <w:contextualSpacing w:val="0"/>
        <w:jc w:val="both"/>
        <w:rPr>
          <w:rFonts w:cs="Arial"/>
          <w:lang w:val="fr-FR"/>
        </w:rPr>
      </w:pPr>
      <w:r w:rsidRPr="008233A5">
        <w:rPr>
          <w:rFonts w:cs="Arial"/>
          <w:lang w:val="fr-FR"/>
        </w:rPr>
        <w:t xml:space="preserve">Les États de l’aire de répartition qui mettent en œuvre des stratégies de gestion doivent tenir compte du grand nombre de facteurs de stress cumulatifs et synergiques potentiels, y compris les impacts du changement climatique et de la pollution chimique, qui peuvent nuire aux populations ciblées d’espèces inscrites à l’Annexe I de la CMS. </w:t>
      </w:r>
    </w:p>
    <w:p w14:paraId="7725101E" w14:textId="77777777" w:rsidR="008B622F" w:rsidRPr="008B622F" w:rsidRDefault="008B622F" w:rsidP="008B622F">
      <w:pPr>
        <w:spacing w:after="0" w:line="240" w:lineRule="auto"/>
        <w:jc w:val="both"/>
        <w:rPr>
          <w:rFonts w:cs="Arial"/>
          <w:lang w:val="fr-FR"/>
        </w:rPr>
      </w:pPr>
    </w:p>
    <w:p w14:paraId="29734E32" w14:textId="77777777" w:rsidR="00BE5E9B" w:rsidRPr="008233A5" w:rsidRDefault="00B757F7">
      <w:pPr>
        <w:pStyle w:val="ListParagraph"/>
        <w:numPr>
          <w:ilvl w:val="0"/>
          <w:numId w:val="22"/>
        </w:numPr>
        <w:spacing w:after="0" w:line="240" w:lineRule="auto"/>
        <w:contextualSpacing w:val="0"/>
        <w:jc w:val="both"/>
        <w:rPr>
          <w:rFonts w:cs="Arial"/>
          <w:b/>
          <w:lang w:val="fr-FR"/>
        </w:rPr>
      </w:pPr>
      <w:r w:rsidRPr="008233A5">
        <w:rPr>
          <w:rFonts w:cs="Arial"/>
          <w:b/>
          <w:lang w:val="fr-FR"/>
        </w:rPr>
        <w:t>Application de la loi</w:t>
      </w:r>
    </w:p>
    <w:p w14:paraId="478BABC1" w14:textId="77777777" w:rsidR="00BE5E9B" w:rsidRPr="008233A5" w:rsidRDefault="00BE5E9B">
      <w:pPr>
        <w:spacing w:after="0" w:line="240" w:lineRule="auto"/>
        <w:jc w:val="both"/>
        <w:rPr>
          <w:rFonts w:cs="Arial"/>
          <w:b/>
          <w:lang w:val="fr-FR"/>
        </w:rPr>
      </w:pPr>
    </w:p>
    <w:p w14:paraId="5448F1EA" w14:textId="77777777" w:rsidR="00BE5E9B" w:rsidRPr="008233A5" w:rsidRDefault="00B757F7" w:rsidP="008B622F">
      <w:pPr>
        <w:pStyle w:val="ListParagraph"/>
        <w:numPr>
          <w:ilvl w:val="0"/>
          <w:numId w:val="21"/>
        </w:numPr>
        <w:spacing w:after="80" w:line="240" w:lineRule="auto"/>
        <w:ind w:left="714" w:hanging="357"/>
        <w:contextualSpacing w:val="0"/>
        <w:jc w:val="both"/>
        <w:rPr>
          <w:rFonts w:cs="Arial"/>
          <w:lang w:val="fr-FR"/>
        </w:rPr>
      </w:pPr>
      <w:r w:rsidRPr="008233A5">
        <w:rPr>
          <w:rFonts w:cs="Arial"/>
          <w:lang w:val="fr-FR"/>
        </w:rPr>
        <w:t xml:space="preserve">Les Parties doivent appliquer la législation nationale interdisant la capture et le commerce des espèces inscrites à l’Annexe I et procéder à des inspections régulières pour déterminer l’identité des espèces. </w:t>
      </w:r>
    </w:p>
    <w:p w14:paraId="0D757FF1" w14:textId="77777777" w:rsidR="00BE5E9B" w:rsidRPr="008233A5" w:rsidRDefault="00B757F7">
      <w:pPr>
        <w:pStyle w:val="ListParagraph"/>
        <w:numPr>
          <w:ilvl w:val="0"/>
          <w:numId w:val="21"/>
        </w:numPr>
        <w:spacing w:after="0" w:line="240" w:lineRule="auto"/>
        <w:contextualSpacing w:val="0"/>
        <w:jc w:val="both"/>
        <w:rPr>
          <w:rFonts w:cs="Arial"/>
          <w:lang w:val="fr-FR"/>
        </w:rPr>
      </w:pPr>
      <w:r w:rsidRPr="008233A5">
        <w:rPr>
          <w:rFonts w:cs="Arial"/>
          <w:lang w:val="fr-FR"/>
        </w:rPr>
        <w:t xml:space="preserve">Le cas échéant, les Parties devraient mettre en œuvre une interdiction de l’utilisation des petits cétacés comme appâts pour la pêche, promouvoir des alternatives et fournir une formation sur la manipulation et la remise en liberté en douceur des dauphins capturés accidentellement. </w:t>
      </w:r>
    </w:p>
    <w:p w14:paraId="6FBA0389" w14:textId="77777777" w:rsidR="00BE5E9B" w:rsidRPr="008233A5" w:rsidRDefault="00BE5E9B">
      <w:pPr>
        <w:spacing w:after="0" w:line="240" w:lineRule="auto"/>
        <w:jc w:val="both"/>
        <w:rPr>
          <w:rFonts w:cs="Arial"/>
          <w:b/>
          <w:lang w:val="fr-FR"/>
        </w:rPr>
      </w:pPr>
    </w:p>
    <w:p w14:paraId="4E268772" w14:textId="77777777" w:rsidR="00BE5E9B" w:rsidRPr="008233A5" w:rsidRDefault="00B757F7">
      <w:pPr>
        <w:pStyle w:val="ListParagraph"/>
        <w:numPr>
          <w:ilvl w:val="0"/>
          <w:numId w:val="22"/>
        </w:numPr>
        <w:spacing w:after="0" w:line="240" w:lineRule="auto"/>
        <w:contextualSpacing w:val="0"/>
        <w:jc w:val="both"/>
        <w:rPr>
          <w:rFonts w:cs="Arial"/>
          <w:b/>
          <w:lang w:val="fr-FR"/>
        </w:rPr>
      </w:pPr>
      <w:r w:rsidRPr="008233A5">
        <w:rPr>
          <w:rFonts w:cs="Arial"/>
          <w:b/>
          <w:lang w:val="fr-FR"/>
        </w:rPr>
        <w:t>Recherche</w:t>
      </w:r>
    </w:p>
    <w:p w14:paraId="3726F0D0" w14:textId="77777777" w:rsidR="00BE5E9B" w:rsidRPr="008233A5" w:rsidRDefault="00BE5E9B">
      <w:pPr>
        <w:spacing w:after="0" w:line="240" w:lineRule="auto"/>
        <w:jc w:val="both"/>
        <w:rPr>
          <w:rFonts w:cs="Arial"/>
          <w:b/>
          <w:lang w:val="fr-FR"/>
        </w:rPr>
      </w:pPr>
    </w:p>
    <w:p w14:paraId="6BF13194" w14:textId="77777777" w:rsidR="00BE5E9B" w:rsidRPr="008233A5" w:rsidRDefault="00B757F7" w:rsidP="008B622F">
      <w:pPr>
        <w:pStyle w:val="ListParagraph"/>
        <w:numPr>
          <w:ilvl w:val="0"/>
          <w:numId w:val="21"/>
        </w:numPr>
        <w:spacing w:after="80" w:line="240" w:lineRule="auto"/>
        <w:ind w:left="714" w:hanging="357"/>
        <w:contextualSpacing w:val="0"/>
        <w:jc w:val="both"/>
        <w:rPr>
          <w:rFonts w:cs="Arial"/>
          <w:lang w:val="fr-FR"/>
        </w:rPr>
      </w:pPr>
      <w:r w:rsidRPr="008233A5">
        <w:rPr>
          <w:rFonts w:cs="Arial"/>
          <w:lang w:val="fr-FR"/>
        </w:rPr>
        <w:t xml:space="preserve">Les Parties devraient entreprendre des évaluations complètes de toutes les espèces inscrites à l’Annexe I de la CMS évoluant dans leurs eaux, en fournissant des estimations de l’abondance de la population et, si possible, des tendances. </w:t>
      </w:r>
    </w:p>
    <w:p w14:paraId="1F07E8B0" w14:textId="77777777" w:rsidR="00BE5E9B" w:rsidRPr="008233A5" w:rsidRDefault="00B757F7" w:rsidP="008B622F">
      <w:pPr>
        <w:pStyle w:val="ListParagraph"/>
        <w:numPr>
          <w:ilvl w:val="0"/>
          <w:numId w:val="21"/>
        </w:numPr>
        <w:spacing w:after="80" w:line="240" w:lineRule="auto"/>
        <w:ind w:left="714" w:hanging="357"/>
        <w:contextualSpacing w:val="0"/>
        <w:jc w:val="both"/>
        <w:rPr>
          <w:rFonts w:cs="Arial"/>
          <w:lang w:val="fr-FR"/>
        </w:rPr>
      </w:pPr>
      <w:r w:rsidRPr="008233A5">
        <w:rPr>
          <w:rFonts w:cs="Arial"/>
          <w:lang w:val="fr-FR"/>
        </w:rPr>
        <w:t>Les Parties devraient surveiller l’effet de la pression continue, renouvelée ou accrue de la chasse à la baleine exercée par les non-Parties à la CMS (Islande et Japon) sur le rorqual commun.</w:t>
      </w:r>
    </w:p>
    <w:p w14:paraId="0D766D66" w14:textId="77777777" w:rsidR="00BE5E9B" w:rsidRPr="008233A5" w:rsidRDefault="00B757F7" w:rsidP="008B622F">
      <w:pPr>
        <w:pStyle w:val="ListParagraph"/>
        <w:numPr>
          <w:ilvl w:val="0"/>
          <w:numId w:val="21"/>
        </w:numPr>
        <w:spacing w:after="80" w:line="240" w:lineRule="auto"/>
        <w:ind w:left="714" w:hanging="357"/>
        <w:contextualSpacing w:val="0"/>
        <w:jc w:val="both"/>
        <w:rPr>
          <w:rFonts w:cs="Arial"/>
          <w:lang w:val="fr-FR"/>
        </w:rPr>
      </w:pPr>
      <w:r w:rsidRPr="008233A5">
        <w:rPr>
          <w:rFonts w:cs="Arial"/>
          <w:lang w:val="fr-FR"/>
        </w:rPr>
        <w:t>Les Parties devraient surveiller/augmenter le recueil et la communication de données</w:t>
      </w:r>
      <w:r w:rsidRPr="008233A5">
        <w:rPr>
          <w:rFonts w:cs="Arial"/>
          <w:color w:val="EE0000"/>
          <w:lang w:val="fr-FR"/>
        </w:rPr>
        <w:t xml:space="preserve"> </w:t>
      </w:r>
      <w:r w:rsidRPr="008233A5">
        <w:rPr>
          <w:rFonts w:cs="Arial"/>
          <w:lang w:val="fr-FR"/>
        </w:rPr>
        <w:t xml:space="preserve">sur l’étendue de l’hybridation avec les baleines bleues. </w:t>
      </w:r>
    </w:p>
    <w:p w14:paraId="134FA425" w14:textId="77777777" w:rsidR="00BE5E9B" w:rsidRPr="008233A5" w:rsidRDefault="00B757F7">
      <w:pPr>
        <w:pStyle w:val="ListParagraph"/>
        <w:numPr>
          <w:ilvl w:val="0"/>
          <w:numId w:val="21"/>
        </w:numPr>
        <w:spacing w:after="0" w:line="240" w:lineRule="auto"/>
        <w:contextualSpacing w:val="0"/>
        <w:jc w:val="both"/>
        <w:rPr>
          <w:rFonts w:cs="Arial"/>
          <w:lang w:val="fr-FR"/>
        </w:rPr>
      </w:pPr>
      <w:r w:rsidRPr="008233A5">
        <w:rPr>
          <w:rFonts w:cs="Arial"/>
          <w:lang w:val="fr-FR"/>
        </w:rPr>
        <w:t xml:space="preserve">Les Parties devraient accroître la collecte de données et la compréhension des schémas migratoires des espèces inscrites à l’Annexe I de la CMS, afin de mieux comprendre et quantifier la mesure dans laquelle les populations sont soumises à la pression de la chasse contemporaine ainsi qu’à d’autres menaces. </w:t>
      </w:r>
    </w:p>
    <w:p w14:paraId="7158DADB" w14:textId="77777777" w:rsidR="00BE5E9B" w:rsidRPr="008233A5" w:rsidRDefault="00BE5E9B">
      <w:pPr>
        <w:spacing w:after="0" w:line="240" w:lineRule="auto"/>
        <w:jc w:val="both"/>
        <w:rPr>
          <w:rFonts w:cs="Arial"/>
          <w:lang w:val="fr-FR"/>
        </w:rPr>
      </w:pPr>
    </w:p>
    <w:p w14:paraId="78D10555" w14:textId="77777777" w:rsidR="00BE5E9B" w:rsidRPr="008233A5" w:rsidRDefault="00B757F7">
      <w:pPr>
        <w:pStyle w:val="ListParagraph"/>
        <w:numPr>
          <w:ilvl w:val="0"/>
          <w:numId w:val="22"/>
        </w:numPr>
        <w:spacing w:after="0" w:line="240" w:lineRule="auto"/>
        <w:contextualSpacing w:val="0"/>
        <w:jc w:val="both"/>
        <w:rPr>
          <w:rFonts w:cs="Arial"/>
          <w:b/>
          <w:lang w:val="fr-FR"/>
        </w:rPr>
      </w:pPr>
      <w:r w:rsidRPr="008233A5">
        <w:rPr>
          <w:rFonts w:cs="Arial"/>
          <w:b/>
          <w:lang w:val="fr-FR"/>
        </w:rPr>
        <w:t>Commerce</w:t>
      </w:r>
    </w:p>
    <w:p w14:paraId="05C67ECD" w14:textId="77777777" w:rsidR="00BE5E9B" w:rsidRPr="008233A5" w:rsidRDefault="00BE5E9B">
      <w:pPr>
        <w:spacing w:after="0" w:line="240" w:lineRule="auto"/>
        <w:jc w:val="both"/>
        <w:rPr>
          <w:rFonts w:cs="Arial"/>
          <w:b/>
          <w:lang w:val="fr-FR"/>
        </w:rPr>
      </w:pPr>
    </w:p>
    <w:p w14:paraId="2AFB27C2" w14:textId="77777777" w:rsidR="00BE5E9B" w:rsidRPr="008233A5" w:rsidRDefault="00B757F7">
      <w:pPr>
        <w:pStyle w:val="ListParagraph"/>
        <w:numPr>
          <w:ilvl w:val="0"/>
          <w:numId w:val="21"/>
        </w:numPr>
        <w:spacing w:after="0" w:line="240" w:lineRule="auto"/>
        <w:contextualSpacing w:val="0"/>
        <w:jc w:val="both"/>
        <w:rPr>
          <w:rFonts w:cs="Arial"/>
          <w:lang w:val="fr-FR"/>
        </w:rPr>
      </w:pPr>
      <w:r w:rsidRPr="008233A5">
        <w:rPr>
          <w:rFonts w:cs="Arial"/>
          <w:lang w:val="fr-FR"/>
        </w:rPr>
        <w:t xml:space="preserve">La Résolution 12.15 de la CMS reconnaît explicitement que la demande accrue de viande d’animaux sauvages aquatiques représente une menace pour la faune aquatique dans de nombreuses régions du monde. Les Parties devraient développer des méthodes permettant d’évaluer l’impact du commerce de la viande d’animaux sauvages aquatiques sur les populations de faune sauvage. </w:t>
      </w:r>
    </w:p>
    <w:p w14:paraId="00311A8B" w14:textId="77777777" w:rsidR="00BE5E9B" w:rsidRPr="008233A5" w:rsidRDefault="00BE5E9B">
      <w:pPr>
        <w:spacing w:after="0" w:line="240" w:lineRule="auto"/>
        <w:jc w:val="both"/>
        <w:rPr>
          <w:rFonts w:cs="Arial"/>
          <w:lang w:val="fr-FR"/>
        </w:rPr>
      </w:pPr>
    </w:p>
    <w:p w14:paraId="76D3EA89" w14:textId="77777777" w:rsidR="00BE5E9B" w:rsidRPr="008233A5" w:rsidRDefault="00B757F7">
      <w:pPr>
        <w:pStyle w:val="ListParagraph"/>
        <w:numPr>
          <w:ilvl w:val="0"/>
          <w:numId w:val="22"/>
        </w:numPr>
        <w:spacing w:after="0" w:line="240" w:lineRule="auto"/>
        <w:contextualSpacing w:val="0"/>
        <w:jc w:val="both"/>
        <w:rPr>
          <w:rFonts w:cs="Arial"/>
          <w:b/>
          <w:lang w:val="fr-FR"/>
        </w:rPr>
      </w:pPr>
      <w:r w:rsidRPr="008233A5">
        <w:rPr>
          <w:rFonts w:cs="Arial"/>
          <w:b/>
          <w:lang w:val="fr-FR"/>
        </w:rPr>
        <w:t>Rapports</w:t>
      </w:r>
    </w:p>
    <w:p w14:paraId="3AD971C6" w14:textId="77777777" w:rsidR="00BE5E9B" w:rsidRPr="008233A5" w:rsidRDefault="00BE5E9B">
      <w:pPr>
        <w:spacing w:after="0" w:line="240" w:lineRule="auto"/>
        <w:jc w:val="both"/>
        <w:rPr>
          <w:rFonts w:cs="Arial"/>
          <w:b/>
          <w:lang w:val="fr-FR"/>
        </w:rPr>
      </w:pPr>
    </w:p>
    <w:p w14:paraId="42EE7F4A" w14:textId="77777777" w:rsidR="00BE5E9B" w:rsidRPr="008233A5" w:rsidRDefault="00B757F7" w:rsidP="008B622F">
      <w:pPr>
        <w:pStyle w:val="ListParagraph"/>
        <w:numPr>
          <w:ilvl w:val="0"/>
          <w:numId w:val="21"/>
        </w:numPr>
        <w:spacing w:after="80" w:line="240" w:lineRule="auto"/>
        <w:ind w:left="714" w:hanging="357"/>
        <w:contextualSpacing w:val="0"/>
        <w:jc w:val="both"/>
        <w:rPr>
          <w:rFonts w:cs="Arial"/>
          <w:lang w:val="fr-FR"/>
        </w:rPr>
      </w:pPr>
      <w:r w:rsidRPr="008233A5">
        <w:rPr>
          <w:rFonts w:cs="Arial"/>
          <w:lang w:val="fr-FR"/>
        </w:rPr>
        <w:t xml:space="preserve">Le cas échéant, les Parties devraient inclure dans leurs rapports nationaux à la CMS des données sur les captures (légales et, si elles sont connues, illégales) de petits cétacés et fournir ces données à la CBI. </w:t>
      </w:r>
    </w:p>
    <w:p w14:paraId="529602DD" w14:textId="77777777" w:rsidR="00BE5E9B" w:rsidRPr="008233A5" w:rsidRDefault="00B757F7" w:rsidP="008B622F">
      <w:pPr>
        <w:numPr>
          <w:ilvl w:val="0"/>
          <w:numId w:val="21"/>
        </w:numPr>
        <w:spacing w:after="80" w:line="240" w:lineRule="auto"/>
        <w:ind w:left="714" w:hanging="357"/>
        <w:jc w:val="both"/>
        <w:rPr>
          <w:rFonts w:cs="Arial"/>
          <w:lang w:val="fr-FR"/>
        </w:rPr>
      </w:pPr>
      <w:r w:rsidRPr="008233A5">
        <w:rPr>
          <w:rFonts w:cs="Arial"/>
          <w:lang w:val="fr-FR"/>
        </w:rPr>
        <w:t>Les Parties devraient accroître la collecte et la communication de données sur le commerce national et régional des espèces inscrites à l’annexe I.</w:t>
      </w:r>
    </w:p>
    <w:p w14:paraId="5FF8AEFA" w14:textId="77777777" w:rsidR="00BE5E9B" w:rsidRPr="008233A5" w:rsidRDefault="00B757F7">
      <w:pPr>
        <w:pStyle w:val="ListParagraph"/>
        <w:numPr>
          <w:ilvl w:val="0"/>
          <w:numId w:val="21"/>
        </w:numPr>
        <w:spacing w:after="0" w:line="240" w:lineRule="auto"/>
        <w:contextualSpacing w:val="0"/>
        <w:jc w:val="both"/>
        <w:rPr>
          <w:rFonts w:cs="Arial"/>
          <w:lang w:val="fr-FR"/>
        </w:rPr>
      </w:pPr>
      <w:r w:rsidRPr="008233A5">
        <w:rPr>
          <w:rFonts w:cs="Arial"/>
          <w:lang w:val="fr-FR"/>
        </w:rPr>
        <w:t xml:space="preserve">Les Parties devraient envisager d’entreprendre une quantification similaire de la chasse à la baleine contemporaine et du prélèvement de viande d’animaux sauvages aquatiques des espèces de cétacés inscrites à l’Annexe II de la CMS. </w:t>
      </w:r>
    </w:p>
    <w:p w14:paraId="625D8CBA" w14:textId="77777777" w:rsidR="00BE5E9B" w:rsidRPr="008233A5" w:rsidRDefault="00BE5E9B">
      <w:pPr>
        <w:spacing w:after="0" w:line="240" w:lineRule="auto"/>
        <w:jc w:val="both"/>
        <w:rPr>
          <w:rFonts w:cs="Arial"/>
          <w:lang w:val="fr-FR"/>
        </w:rPr>
      </w:pPr>
    </w:p>
    <w:p w14:paraId="39ECA897" w14:textId="77777777" w:rsidR="00BE5E9B" w:rsidRPr="008233A5" w:rsidRDefault="00B757F7">
      <w:pPr>
        <w:pStyle w:val="ListParagraph"/>
        <w:numPr>
          <w:ilvl w:val="0"/>
          <w:numId w:val="22"/>
        </w:numPr>
        <w:spacing w:after="0" w:line="240" w:lineRule="auto"/>
        <w:contextualSpacing w:val="0"/>
        <w:jc w:val="both"/>
        <w:rPr>
          <w:rFonts w:cs="Arial"/>
          <w:b/>
          <w:lang w:val="fr-FR"/>
        </w:rPr>
      </w:pPr>
      <w:r w:rsidRPr="008233A5">
        <w:rPr>
          <w:rFonts w:cs="Arial"/>
          <w:b/>
          <w:lang w:val="fr-FR"/>
        </w:rPr>
        <w:lastRenderedPageBreak/>
        <w:t>Collaboration</w:t>
      </w:r>
    </w:p>
    <w:p w14:paraId="470C8DB5" w14:textId="77777777" w:rsidR="00BE5E9B" w:rsidRPr="008233A5" w:rsidRDefault="00BE5E9B">
      <w:pPr>
        <w:spacing w:after="0" w:line="240" w:lineRule="auto"/>
        <w:jc w:val="both"/>
        <w:rPr>
          <w:rFonts w:cs="Arial"/>
          <w:b/>
          <w:lang w:val="fr-FR"/>
        </w:rPr>
      </w:pPr>
    </w:p>
    <w:p w14:paraId="47A54553" w14:textId="77777777" w:rsidR="00BE5E9B" w:rsidRPr="008233A5" w:rsidRDefault="00B757F7">
      <w:pPr>
        <w:pStyle w:val="ListParagraph"/>
        <w:numPr>
          <w:ilvl w:val="0"/>
          <w:numId w:val="21"/>
        </w:numPr>
        <w:spacing w:after="0" w:line="240" w:lineRule="auto"/>
        <w:contextualSpacing w:val="0"/>
        <w:jc w:val="both"/>
        <w:rPr>
          <w:rFonts w:cs="Arial"/>
          <w:lang w:val="fr-FR"/>
        </w:rPr>
      </w:pPr>
      <w:r w:rsidRPr="008233A5">
        <w:rPr>
          <w:rFonts w:cs="Arial"/>
          <w:lang w:val="fr-FR"/>
        </w:rPr>
        <w:t>Les Parties devraient encourager l’adhésion à la CMS par les non-Parties qui sont des États de l’aire de répartition des cétacés inscrits à l’Annexe I soumis à la chasse à la baleine contemporaine ou à des chasses illégales ;</w:t>
      </w:r>
    </w:p>
    <w:p w14:paraId="2E96243D" w14:textId="77777777" w:rsidR="008B622F" w:rsidRDefault="008B622F">
      <w:pPr>
        <w:spacing w:after="0" w:line="240" w:lineRule="auto"/>
        <w:jc w:val="both"/>
        <w:rPr>
          <w:rFonts w:cs="Arial"/>
          <w:b/>
          <w:bCs/>
          <w:lang w:val="fr-FR"/>
        </w:rPr>
      </w:pPr>
    </w:p>
    <w:p w14:paraId="750EE6E1" w14:textId="74F32317" w:rsidR="00BE5E9B" w:rsidRPr="008233A5" w:rsidRDefault="00B757F7">
      <w:pPr>
        <w:spacing w:after="0" w:line="240" w:lineRule="auto"/>
        <w:jc w:val="both"/>
        <w:rPr>
          <w:rFonts w:cs="Arial"/>
          <w:b/>
          <w:bCs/>
          <w:lang w:val="fr-FR"/>
        </w:rPr>
      </w:pPr>
      <w:r w:rsidRPr="008233A5">
        <w:rPr>
          <w:rFonts w:cs="Arial"/>
          <w:b/>
          <w:bCs/>
          <w:lang w:val="fr-FR"/>
        </w:rPr>
        <w:t>Actions pour répondre à d’autres menaces</w:t>
      </w:r>
    </w:p>
    <w:p w14:paraId="57BC4B42" w14:textId="77777777" w:rsidR="00BE5E9B" w:rsidRPr="008233A5" w:rsidRDefault="00BE5E9B">
      <w:pPr>
        <w:spacing w:after="0" w:line="240" w:lineRule="auto"/>
        <w:jc w:val="both"/>
        <w:rPr>
          <w:rFonts w:cs="Arial"/>
          <w:b/>
          <w:bCs/>
          <w:lang w:val="fr-FR"/>
        </w:rPr>
      </w:pPr>
    </w:p>
    <w:p w14:paraId="6DA01730" w14:textId="66697B7F" w:rsidR="00BE5E9B" w:rsidRPr="008233A5" w:rsidRDefault="00B757F7">
      <w:pPr>
        <w:spacing w:after="80" w:line="240" w:lineRule="auto"/>
        <w:jc w:val="both"/>
        <w:rPr>
          <w:rFonts w:cs="Arial"/>
          <w:lang w:val="fr-FR"/>
        </w:rPr>
      </w:pPr>
      <w:r w:rsidRPr="008233A5">
        <w:rPr>
          <w:rFonts w:cs="Arial"/>
          <w:lang w:val="fr-FR"/>
        </w:rPr>
        <w:t xml:space="preserve">Les cétacés inscrits à l’Annexe I de la CMS qui font l’objet d’une chasse à la baleine contemporaine ou de prélèvements de viande d’animaux aquatiques sont également menacés par d’autres dangers, que les recommandations ci-dessous visent à aborder. Elles s’appuient sur les priorités définies dans la </w:t>
      </w:r>
      <w:hyperlink r:id="rId35" w:history="1">
        <w:r w:rsidR="00895B91" w:rsidRPr="008233A5">
          <w:rPr>
            <w:rStyle w:val="Hyperlink"/>
            <w:rFonts w:cs="Arial"/>
            <w:lang w:val="fr-FR"/>
          </w:rPr>
          <w:t>Résolution 14.9</w:t>
        </w:r>
      </w:hyperlink>
      <w:r w:rsidRPr="008233A5">
        <w:rPr>
          <w:rFonts w:cs="Arial"/>
          <w:lang w:val="fr-FR"/>
        </w:rPr>
        <w:t xml:space="preserve"> </w:t>
      </w:r>
      <w:r w:rsidRPr="008233A5">
        <w:rPr>
          <w:rFonts w:cs="Arial"/>
          <w:i/>
          <w:iCs/>
          <w:lang w:val="fr-FR"/>
        </w:rPr>
        <w:t>Priorités de conservation pour les cétacés</w:t>
      </w:r>
      <w:r w:rsidRPr="008233A5">
        <w:rPr>
          <w:rFonts w:cs="Arial"/>
          <w:lang w:val="fr-FR"/>
        </w:rPr>
        <w:t>.</w:t>
      </w:r>
    </w:p>
    <w:p w14:paraId="31A68213" w14:textId="77777777" w:rsidR="00BE5E9B" w:rsidRPr="008233A5" w:rsidRDefault="00B757F7">
      <w:pPr>
        <w:pStyle w:val="ListParagraph"/>
        <w:numPr>
          <w:ilvl w:val="0"/>
          <w:numId w:val="21"/>
        </w:numPr>
        <w:spacing w:after="80" w:line="240" w:lineRule="auto"/>
        <w:contextualSpacing w:val="0"/>
        <w:jc w:val="both"/>
        <w:rPr>
          <w:rFonts w:cs="Arial"/>
          <w:lang w:val="fr-FR"/>
        </w:rPr>
      </w:pPr>
      <w:r w:rsidRPr="008233A5">
        <w:rPr>
          <w:rFonts w:cs="Arial"/>
          <w:lang w:val="fr-FR"/>
        </w:rPr>
        <w:t>Mettre en œuvre une réduction/modification urgente et drastique de l’effort de pêche et de sa pratique, notamment en appliquant des méthodes d’atténuation (par exemple, changement de type d’engin, utilisation d’émetteurs acoustiques, etc.) afin d’éviter l’effondrement des populations de dauphins de La Plata et de marsouins communs de la Baltique centrale.</w:t>
      </w:r>
    </w:p>
    <w:p w14:paraId="5BD8F3A2" w14:textId="77777777" w:rsidR="00BE5E9B" w:rsidRPr="008233A5" w:rsidRDefault="00B757F7">
      <w:pPr>
        <w:pStyle w:val="ListParagraph"/>
        <w:numPr>
          <w:ilvl w:val="0"/>
          <w:numId w:val="21"/>
        </w:numPr>
        <w:spacing w:after="80" w:line="240" w:lineRule="auto"/>
        <w:contextualSpacing w:val="0"/>
        <w:jc w:val="both"/>
        <w:rPr>
          <w:rFonts w:cs="Arial"/>
          <w:lang w:val="fr-FR"/>
        </w:rPr>
      </w:pPr>
      <w:r w:rsidRPr="008233A5">
        <w:rPr>
          <w:rFonts w:cs="Arial"/>
          <w:lang w:val="fr-FR"/>
        </w:rPr>
        <w:t xml:space="preserve">Identifier les zones à haut risque de collision entre navires et baleines, et mettre en œuvre des stratégies de gestion afin de réduire les collisions dans ces zones et ailleurs. </w:t>
      </w:r>
    </w:p>
    <w:p w14:paraId="2D077ACC" w14:textId="77777777" w:rsidR="00BE5E9B" w:rsidRPr="008233A5" w:rsidRDefault="00B757F7">
      <w:pPr>
        <w:pStyle w:val="ListParagraph"/>
        <w:numPr>
          <w:ilvl w:val="0"/>
          <w:numId w:val="21"/>
        </w:numPr>
        <w:spacing w:after="80" w:line="240" w:lineRule="auto"/>
        <w:contextualSpacing w:val="0"/>
        <w:jc w:val="both"/>
        <w:rPr>
          <w:rFonts w:cs="Arial"/>
          <w:lang w:val="fr-FR"/>
        </w:rPr>
      </w:pPr>
      <w:r w:rsidRPr="008233A5">
        <w:rPr>
          <w:rFonts w:cs="Arial"/>
          <w:lang w:val="fr-FR"/>
        </w:rPr>
        <w:t>Accroître la collecte et la communication de données sur les menaces actuelles pesant sur toutes les espèces inscrites à l’Annexe I dans les eaux de la zone économique exclusive (ZEE), telles que les collisions avec les navires, les prises accessoires, etc.</w:t>
      </w:r>
    </w:p>
    <w:p w14:paraId="12FEC1FF" w14:textId="77777777" w:rsidR="00BE5E9B" w:rsidRPr="008233A5" w:rsidRDefault="00B757F7">
      <w:pPr>
        <w:pStyle w:val="ListParagraph"/>
        <w:numPr>
          <w:ilvl w:val="0"/>
          <w:numId w:val="21"/>
        </w:numPr>
        <w:spacing w:after="80" w:line="240" w:lineRule="auto"/>
        <w:contextualSpacing w:val="0"/>
        <w:jc w:val="both"/>
        <w:rPr>
          <w:rFonts w:cs="Arial"/>
          <w:lang w:val="fr-FR"/>
        </w:rPr>
      </w:pPr>
      <w:r w:rsidRPr="008233A5">
        <w:rPr>
          <w:rFonts w:cs="Arial"/>
          <w:lang w:val="fr-FR"/>
        </w:rPr>
        <w:t>Entreprendre des évaluations spécifiques aux espèces concernant leurs préférences en matière d’habitat dans les eaux de la ZEE, afin d’identifier les habitats critiques et de mettre en œuvre des stratégies de gestion adaptées aux activités humaines.</w:t>
      </w:r>
    </w:p>
    <w:p w14:paraId="52651DF7" w14:textId="77777777" w:rsidR="00BE5E9B" w:rsidRPr="008233A5" w:rsidRDefault="00B757F7">
      <w:pPr>
        <w:pStyle w:val="ListParagraph"/>
        <w:numPr>
          <w:ilvl w:val="0"/>
          <w:numId w:val="21"/>
        </w:numPr>
        <w:spacing w:after="0" w:line="240" w:lineRule="auto"/>
        <w:contextualSpacing w:val="0"/>
        <w:jc w:val="both"/>
        <w:rPr>
          <w:rFonts w:cs="Arial"/>
          <w:lang w:val="fr-FR"/>
        </w:rPr>
      </w:pPr>
      <w:r w:rsidRPr="008233A5">
        <w:rPr>
          <w:rFonts w:cs="Arial"/>
          <w:lang w:val="fr-FR"/>
        </w:rPr>
        <w:t>Soutenir les actions concertées et les plans d’action par espèce existants de la CMS, ainsi que d’autres initiatives visant à inverser le déclin des espèces, populations et sous-populations inscrites à l’Annexe I de la CMS, et/ou mettre en œuvre des plans similaires pour les espèces qui ne sont pas actuellement couvertes par de telles initiatives.</w:t>
      </w:r>
    </w:p>
    <w:p w14:paraId="0C3B6DC4" w14:textId="77777777" w:rsidR="00BE5E9B" w:rsidRPr="008233A5" w:rsidRDefault="00BE5E9B">
      <w:pPr>
        <w:spacing w:after="0" w:line="240" w:lineRule="auto"/>
        <w:rPr>
          <w:rFonts w:cs="Arial"/>
          <w:lang w:val="fr-FR"/>
        </w:rPr>
      </w:pPr>
    </w:p>
    <w:p w14:paraId="5EEEB44B" w14:textId="77777777" w:rsidR="00BE5E9B" w:rsidRPr="008233A5" w:rsidRDefault="00BE5E9B">
      <w:pPr>
        <w:spacing w:after="0" w:line="240" w:lineRule="auto"/>
        <w:rPr>
          <w:rFonts w:cs="Arial"/>
          <w:lang w:val="fr-FR"/>
        </w:rPr>
      </w:pPr>
    </w:p>
    <w:p w14:paraId="06879504" w14:textId="77777777" w:rsidR="00BE5E9B" w:rsidRPr="008233A5" w:rsidRDefault="00BE5E9B">
      <w:pPr>
        <w:spacing w:after="0" w:line="240" w:lineRule="auto"/>
        <w:rPr>
          <w:rFonts w:cs="Arial"/>
          <w:lang w:val="fr-FR"/>
        </w:rPr>
        <w:sectPr w:rsidR="00BE5E9B" w:rsidRPr="008233A5">
          <w:headerReference w:type="even" r:id="rId36"/>
          <w:headerReference w:type="default" r:id="rId37"/>
          <w:headerReference w:type="first" r:id="rId38"/>
          <w:pgSz w:w="11906" w:h="16838" w:code="9"/>
          <w:pgMar w:top="1440" w:right="1440" w:bottom="1440" w:left="1440" w:header="720" w:footer="720" w:gutter="0"/>
          <w:cols w:space="720"/>
          <w:titlePg/>
          <w:docGrid w:linePitch="360"/>
        </w:sectPr>
      </w:pPr>
    </w:p>
    <w:p w14:paraId="1A6C5FEB" w14:textId="77777777" w:rsidR="00BE5E9B" w:rsidRPr="008233A5" w:rsidRDefault="00B757F7">
      <w:pPr>
        <w:spacing w:after="0" w:line="240" w:lineRule="auto"/>
        <w:jc w:val="right"/>
        <w:rPr>
          <w:rFonts w:cs="Arial"/>
          <w:b/>
          <w:bCs/>
          <w:lang w:val="fr-FR"/>
        </w:rPr>
      </w:pPr>
      <w:r w:rsidRPr="008233A5">
        <w:rPr>
          <w:rFonts w:cs="Arial"/>
          <w:b/>
          <w:bCs/>
          <w:lang w:val="fr-FR"/>
        </w:rPr>
        <w:lastRenderedPageBreak/>
        <w:t>ANNEXE 2</w:t>
      </w:r>
    </w:p>
    <w:p w14:paraId="4AA88D51" w14:textId="77777777" w:rsidR="00BE5E9B" w:rsidRPr="008233A5" w:rsidRDefault="00BE5E9B">
      <w:pPr>
        <w:widowControl w:val="0"/>
        <w:autoSpaceDE w:val="0"/>
        <w:autoSpaceDN w:val="0"/>
        <w:adjustRightInd w:val="0"/>
        <w:spacing w:after="0" w:line="240" w:lineRule="auto"/>
        <w:jc w:val="center"/>
        <w:rPr>
          <w:rFonts w:cs="Arial"/>
          <w:b/>
          <w:bCs/>
          <w:lang w:val="fr-FR"/>
        </w:rPr>
      </w:pPr>
    </w:p>
    <w:p w14:paraId="3F423930" w14:textId="77777777" w:rsidR="00BE5E9B" w:rsidRPr="008233A5" w:rsidRDefault="00BE5E9B">
      <w:pPr>
        <w:widowControl w:val="0"/>
        <w:autoSpaceDE w:val="0"/>
        <w:autoSpaceDN w:val="0"/>
        <w:adjustRightInd w:val="0"/>
        <w:spacing w:after="0" w:line="240" w:lineRule="auto"/>
        <w:jc w:val="center"/>
        <w:rPr>
          <w:rFonts w:cs="Arial"/>
          <w:b/>
          <w:bCs/>
          <w:lang w:val="fr-FR"/>
        </w:rPr>
      </w:pPr>
    </w:p>
    <w:p w14:paraId="6A98BB54" w14:textId="77777777" w:rsidR="00BE5E9B" w:rsidRPr="008233A5" w:rsidRDefault="00B757F7">
      <w:pPr>
        <w:widowControl w:val="0"/>
        <w:autoSpaceDE w:val="0"/>
        <w:autoSpaceDN w:val="0"/>
        <w:adjustRightInd w:val="0"/>
        <w:spacing w:after="0" w:line="240" w:lineRule="auto"/>
        <w:jc w:val="center"/>
        <w:rPr>
          <w:rFonts w:cs="Arial"/>
          <w:b/>
          <w:lang w:val="fr-FR"/>
        </w:rPr>
      </w:pPr>
      <w:r w:rsidRPr="008233A5">
        <w:rPr>
          <w:rFonts w:cs="Arial"/>
          <w:b/>
          <w:lang w:val="fr-FR"/>
        </w:rPr>
        <w:t>RAPPORT SUR LES IMPACTS DU</w:t>
      </w:r>
      <w:r w:rsidRPr="008233A5">
        <w:rPr>
          <w:rFonts w:cs="Arial"/>
          <w:b/>
          <w:bCs/>
          <w:lang w:val="fr-FR"/>
        </w:rPr>
        <w:t xml:space="preserve"> CHANGEMENT</w:t>
      </w:r>
      <w:r w:rsidRPr="008233A5">
        <w:rPr>
          <w:rFonts w:cs="Arial"/>
          <w:b/>
          <w:lang w:val="fr-FR"/>
        </w:rPr>
        <w:t xml:space="preserve"> CLIMATIQUE SUR LE </w:t>
      </w:r>
      <w:r w:rsidRPr="008233A5">
        <w:rPr>
          <w:rFonts w:cs="Arial"/>
          <w:b/>
          <w:bCs/>
          <w:lang w:val="fr-FR"/>
        </w:rPr>
        <w:t>BIEN-ÊTRE ET LA CONSERVATION DES CÉTACÉS : RÉSUMÉ ET RECOMMANDATIONS</w:t>
      </w:r>
    </w:p>
    <w:p w14:paraId="00577E01" w14:textId="77777777" w:rsidR="00BE5E9B" w:rsidRPr="008233A5" w:rsidRDefault="00BE5E9B">
      <w:pPr>
        <w:spacing w:after="0" w:line="240" w:lineRule="auto"/>
        <w:rPr>
          <w:rFonts w:cs="Arial"/>
          <w:lang w:val="fr-FR"/>
        </w:rPr>
      </w:pPr>
    </w:p>
    <w:p w14:paraId="3789A2D6" w14:textId="21A88F2F" w:rsidR="00BE5E9B" w:rsidRPr="008233A5" w:rsidRDefault="00B757F7">
      <w:pPr>
        <w:pStyle w:val="Secondnumbering"/>
        <w:numPr>
          <w:ilvl w:val="0"/>
          <w:numId w:val="0"/>
        </w:numPr>
        <w:jc w:val="center"/>
        <w:rPr>
          <w:rFonts w:cs="Arial"/>
          <w:i/>
          <w:iCs/>
          <w:lang w:val="fr-FR"/>
        </w:rPr>
      </w:pPr>
      <w:r w:rsidRPr="008233A5">
        <w:rPr>
          <w:rFonts w:cs="Arial"/>
          <w:i/>
          <w:iCs/>
          <w:lang w:val="fr-FR"/>
        </w:rPr>
        <w:t>(Le rapport complet est disponible sous la cote</w:t>
      </w:r>
      <w:r w:rsidR="004D35C2">
        <w:rPr>
          <w:rFonts w:cs="Arial"/>
          <w:i/>
          <w:iCs/>
          <w:lang w:val="fr-FR"/>
        </w:rPr>
        <w:t xml:space="preserve"> </w:t>
      </w:r>
      <w:hyperlink r:id="rId39" w:history="1">
        <w:r w:rsidR="004D35C2" w:rsidRPr="004D35C2">
          <w:rPr>
            <w:rStyle w:val="Hyperlink"/>
            <w:rFonts w:cs="Arial"/>
            <w:i/>
            <w:iCs/>
            <w:lang w:val="fr-FR"/>
          </w:rPr>
          <w:t>UNEP/CMS/CO</w:t>
        </w:r>
        <w:r w:rsidR="004D35C2" w:rsidRPr="004D35C2">
          <w:rPr>
            <w:rStyle w:val="Hyperlink"/>
            <w:rFonts w:cs="Arial"/>
            <w:i/>
            <w:iCs/>
            <w:lang w:val="fr-FR"/>
          </w:rPr>
          <w:t>P</w:t>
        </w:r>
        <w:r w:rsidR="004D35C2" w:rsidRPr="004D35C2">
          <w:rPr>
            <w:rStyle w:val="Hyperlink"/>
            <w:rFonts w:cs="Arial"/>
            <w:i/>
            <w:iCs/>
            <w:lang w:val="fr-FR"/>
          </w:rPr>
          <w:t>15/Inf.25.4.1b</w:t>
        </w:r>
      </w:hyperlink>
      <w:r w:rsidRPr="008233A5">
        <w:rPr>
          <w:rFonts w:cs="Arial"/>
          <w:i/>
          <w:iCs/>
          <w:lang w:val="fr-FR"/>
        </w:rPr>
        <w:t>)</w:t>
      </w:r>
    </w:p>
    <w:p w14:paraId="3638C79B" w14:textId="77777777" w:rsidR="00BE5E9B" w:rsidRPr="008233A5" w:rsidRDefault="00BE5E9B">
      <w:pPr>
        <w:spacing w:after="0" w:line="240" w:lineRule="auto"/>
        <w:rPr>
          <w:rFonts w:cs="Arial"/>
          <w:lang w:val="fr-FR"/>
        </w:rPr>
      </w:pPr>
    </w:p>
    <w:p w14:paraId="3B4E61B2" w14:textId="77777777" w:rsidR="00BE5E9B" w:rsidRPr="008233A5" w:rsidRDefault="00B757F7">
      <w:pPr>
        <w:spacing w:after="0" w:line="240" w:lineRule="auto"/>
        <w:jc w:val="both"/>
        <w:rPr>
          <w:rFonts w:eastAsia="Arial" w:cs="Arial"/>
          <w:lang w:val="fr-FR"/>
        </w:rPr>
      </w:pPr>
      <w:r w:rsidRPr="008233A5">
        <w:rPr>
          <w:rFonts w:eastAsia="Arial" w:cs="Arial"/>
          <w:b/>
          <w:lang w:val="fr-FR"/>
        </w:rPr>
        <w:t>Résumé</w:t>
      </w:r>
    </w:p>
    <w:p w14:paraId="4906C214" w14:textId="77777777" w:rsidR="00BE5E9B" w:rsidRPr="008233A5" w:rsidRDefault="00BE5E9B">
      <w:pPr>
        <w:spacing w:after="0" w:line="240" w:lineRule="auto"/>
        <w:jc w:val="both"/>
        <w:rPr>
          <w:rFonts w:eastAsia="Arial" w:cs="Arial"/>
          <w:lang w:val="fr-FR"/>
        </w:rPr>
      </w:pPr>
    </w:p>
    <w:p w14:paraId="23505FFF" w14:textId="77777777" w:rsidR="00BE5E9B" w:rsidRPr="008233A5" w:rsidRDefault="00B757F7">
      <w:pPr>
        <w:spacing w:after="0" w:line="240" w:lineRule="auto"/>
        <w:jc w:val="both"/>
        <w:rPr>
          <w:rFonts w:eastAsia="Arial" w:cs="Arial"/>
          <w:lang w:val="fr-FR"/>
        </w:rPr>
      </w:pPr>
      <w:r w:rsidRPr="008233A5">
        <w:rPr>
          <w:rFonts w:eastAsia="Arial" w:cs="Arial"/>
          <w:lang w:val="fr-FR"/>
        </w:rPr>
        <w:t xml:space="preserve">Les cétacés (baleines, dauphins et marsouins) sont présents dans tous les océans du monde, et certains d’entre eux sont très migrateurs. La répartition des cétacés est avant tout déterminée par les limites thermiques propres à chaque espèce, tandis que la migration des cétacés est principalement motivée par leurs besoins en matière de reproduction et d’énergie. Le changement climatique, principalement dû aux émissions de gaz à effet de serre (GES) provenant des activités humaines, a considérablement modifié les températures mondiales et les conditions océaniques. L’impact du changement climatique est l’une des dix principales menaces pesant sur tous les mammifères marins, les modifications de l’environnement marin ayant des conséquences directes et indirectes sur les cétacés du monde entier. Les impacts directs comprennent de vastes déplacements de la répartition des cétacés (vers les pôles), une modification des migrations et une réduction des habitats appropriés (notamment dans les régions polaires et les bassins hydrographiques restreints). Les impacts indirects comprennent les changements dans la disponibilité et la répartition des proies, l’augmentation de la prédation et de la pression concurrentielle, l’exposition accrue aux polluants et aux efflorescences algales nuisibles, ainsi que l’intensification de la pression exercée par les activités humaines. </w:t>
      </w:r>
    </w:p>
    <w:p w14:paraId="5D7F6E3C" w14:textId="77777777" w:rsidR="00BE5E9B" w:rsidRPr="008233A5" w:rsidRDefault="00BE5E9B">
      <w:pPr>
        <w:spacing w:after="0" w:line="240" w:lineRule="auto"/>
        <w:jc w:val="both"/>
        <w:rPr>
          <w:rFonts w:eastAsia="Arial" w:cs="Arial"/>
          <w:lang w:val="fr-FR"/>
        </w:rPr>
      </w:pPr>
    </w:p>
    <w:p w14:paraId="7CB4E144" w14:textId="77777777" w:rsidR="00BE5E9B" w:rsidRPr="008233A5" w:rsidRDefault="00B757F7">
      <w:pPr>
        <w:spacing w:after="0" w:line="240" w:lineRule="auto"/>
        <w:jc w:val="both"/>
        <w:rPr>
          <w:rFonts w:eastAsia="Arial" w:cs="Arial"/>
          <w:lang w:val="fr-FR"/>
        </w:rPr>
      </w:pPr>
      <w:r w:rsidRPr="008233A5">
        <w:rPr>
          <w:rFonts w:eastAsia="Arial" w:cs="Arial"/>
          <w:lang w:val="fr-FR"/>
        </w:rPr>
        <w:t>Alors que les recherches démontrent que le changement climatique a des effets négatifs significatifs sur l’écologie des cétacés, peu d’attention a été accordée à leur bien-être, qui se réfère à la santé et au bien-être global d’une espèce, englobant à la fois les aspects physiques et psychologiques. Le bien-être étant étroitement lié à la survie et aux résultats de conservation, il existe un intérêt croissant pour l’élaboration de politiques qui non seulement soutiennent les stratégies de conservation visant à lutter contre les menaces écologiques, mais qui tiennent également compte de manière explicite du bien-être des cétacés. Cela correspond directement aux objectifs de la CMS s’agissant de garantir un état de conservation favorable des espèces migratrices.</w:t>
      </w:r>
    </w:p>
    <w:p w14:paraId="4232D601" w14:textId="77777777" w:rsidR="00BE5E9B" w:rsidRPr="008233A5" w:rsidRDefault="00BE5E9B">
      <w:pPr>
        <w:spacing w:after="0" w:line="240" w:lineRule="auto"/>
        <w:jc w:val="both"/>
        <w:rPr>
          <w:rFonts w:eastAsia="Arial" w:cs="Arial"/>
          <w:lang w:val="fr-FR"/>
        </w:rPr>
      </w:pPr>
    </w:p>
    <w:p w14:paraId="3348B836" w14:textId="77777777" w:rsidR="00BE5E9B" w:rsidRPr="008233A5" w:rsidRDefault="00B757F7">
      <w:pPr>
        <w:spacing w:after="0" w:line="240" w:lineRule="auto"/>
        <w:jc w:val="both"/>
        <w:rPr>
          <w:rFonts w:eastAsia="Arial" w:cs="Arial"/>
          <w:lang w:val="fr-FR"/>
        </w:rPr>
      </w:pPr>
      <w:r w:rsidRPr="008233A5">
        <w:rPr>
          <w:rFonts w:eastAsia="Arial" w:cs="Arial"/>
          <w:lang w:val="fr-FR"/>
        </w:rPr>
        <w:t>Sur la base d’un examen de la littérature et d’entretiens avec des experts des espèces, quatre espèces étudiées dans le cadre de cas pratiques sont analysées, représentant des cétacés issus des principaux groupes écologiques : les dauphins de l’Amazone, les grands dauphins, les baleines à bec de Cuvier et les baleines grises. Les principaux impacts du changement climatique sur l’écologie et le bien-être des cétacés sont présentés, ainsi que ce qu’ils impliquent pour la conservation, les stratégies d’atténuation, les actions envisageables, et les lacunes qui subsistent dans la gestion de la conservation. L’impact du changement climatique sur chacune des espèces étudiées est décrit selon cinq catégories (nutrition, environnement, santé, comportement et état mental) sur la base de l’outil d’évaluation du bien-être des cétacés sauvages</w:t>
      </w:r>
      <w:r w:rsidRPr="008233A5">
        <w:rPr>
          <w:rStyle w:val="FootnoteReference"/>
          <w:rFonts w:eastAsia="Arial" w:cs="Arial"/>
          <w:lang w:val="fr-FR"/>
        </w:rPr>
        <w:footnoteReference w:id="5"/>
      </w:r>
      <w:r w:rsidRPr="008233A5">
        <w:rPr>
          <w:rFonts w:eastAsia="Arial" w:cs="Arial"/>
          <w:lang w:val="fr-FR"/>
        </w:rPr>
        <w:t xml:space="preserve"> développé par Nicol et al. (2020)</w:t>
      </w:r>
      <w:r w:rsidRPr="008233A5">
        <w:rPr>
          <w:rStyle w:val="FootnoteReference"/>
          <w:rFonts w:eastAsia="Arial" w:cs="Arial"/>
          <w:lang w:val="fr-FR"/>
        </w:rPr>
        <w:footnoteReference w:id="6"/>
      </w:r>
      <w:r w:rsidRPr="008233A5">
        <w:rPr>
          <w:rFonts w:eastAsia="Arial" w:cs="Arial"/>
          <w:lang w:val="fr-FR"/>
        </w:rPr>
        <w:t>.</w:t>
      </w:r>
    </w:p>
    <w:p w14:paraId="07CFACEA" w14:textId="77777777" w:rsidR="00BE5E9B" w:rsidRPr="008233A5" w:rsidRDefault="00BE5E9B">
      <w:pPr>
        <w:spacing w:after="0" w:line="240" w:lineRule="auto"/>
        <w:jc w:val="both"/>
        <w:rPr>
          <w:rFonts w:eastAsia="Arial" w:cs="Arial"/>
          <w:lang w:val="fr-FR"/>
        </w:rPr>
      </w:pPr>
    </w:p>
    <w:p w14:paraId="45293073" w14:textId="77777777" w:rsidR="00BE5E9B" w:rsidRPr="008233A5" w:rsidRDefault="00B757F7">
      <w:pPr>
        <w:spacing w:after="0" w:line="240" w:lineRule="auto"/>
        <w:jc w:val="both"/>
        <w:rPr>
          <w:rFonts w:eastAsia="Arial" w:cs="Arial"/>
          <w:lang w:val="fr-FR"/>
        </w:rPr>
      </w:pPr>
      <w:r w:rsidRPr="008233A5">
        <w:rPr>
          <w:rFonts w:eastAsia="Arial" w:cs="Arial"/>
          <w:lang w:val="fr-FR"/>
        </w:rPr>
        <w:lastRenderedPageBreak/>
        <w:t xml:space="preserve">Le rapport fournit des preuves évidentes des impacts écologiques du changement climatique sur les quatre espèces étudiées dans la littérature scientifique. Cependant, les différentes espèces et populations de cétacés présentent des niveaux variables de vulnérabilité face aux changements induits par le climat. Les répercussions sur le bien-être des animaux sont moins bien documentées, mais elles devraient également être intégrées aux décisions de gestion en réponse au changement climatique, en raison de leur lien avec les résultats en matière de conservation. Les répercussions sur le bien-être n’affectent pas seulement les animaux individuellement, mais peuvent également avoir des effets en cascade sur la viabilité des populations et l’efficacité des efforts de conservation actuels. </w:t>
      </w:r>
    </w:p>
    <w:p w14:paraId="58348265" w14:textId="77777777" w:rsidR="00BE5E9B" w:rsidRPr="008233A5" w:rsidRDefault="00BE5E9B">
      <w:pPr>
        <w:spacing w:after="0" w:line="240" w:lineRule="auto"/>
        <w:jc w:val="both"/>
        <w:rPr>
          <w:rFonts w:eastAsia="Arial" w:cs="Arial"/>
          <w:lang w:val="fr-FR"/>
        </w:rPr>
      </w:pPr>
    </w:p>
    <w:p w14:paraId="717B35A1" w14:textId="77777777" w:rsidR="00BE5E9B" w:rsidRPr="008233A5" w:rsidRDefault="00B757F7">
      <w:pPr>
        <w:spacing w:after="0" w:line="240" w:lineRule="auto"/>
        <w:jc w:val="both"/>
        <w:rPr>
          <w:rFonts w:eastAsia="Arial" w:cs="Arial"/>
          <w:lang w:val="fr-FR"/>
        </w:rPr>
      </w:pPr>
      <w:r w:rsidRPr="008233A5">
        <w:rPr>
          <w:rFonts w:eastAsia="Arial" w:cs="Arial"/>
          <w:lang w:val="fr-FR"/>
        </w:rPr>
        <w:t>Dauphins de l’Amazone</w:t>
      </w:r>
    </w:p>
    <w:p w14:paraId="1EC552A2" w14:textId="77777777" w:rsidR="00BE5E9B" w:rsidRPr="008233A5" w:rsidRDefault="00BE5E9B">
      <w:pPr>
        <w:spacing w:after="0" w:line="240" w:lineRule="auto"/>
        <w:jc w:val="both"/>
        <w:rPr>
          <w:rFonts w:eastAsia="Arial" w:cs="Arial"/>
          <w:lang w:val="fr-FR"/>
        </w:rPr>
      </w:pPr>
    </w:p>
    <w:p w14:paraId="12FFCF1F" w14:textId="77777777" w:rsidR="00BE5E9B" w:rsidRPr="008233A5" w:rsidRDefault="00B757F7">
      <w:pPr>
        <w:keepNext/>
        <w:spacing w:after="120" w:line="240" w:lineRule="auto"/>
        <w:jc w:val="both"/>
        <w:rPr>
          <w:rFonts w:eastAsia="Arial" w:cs="Arial"/>
          <w:i/>
          <w:iCs/>
          <w:lang w:val="fr-FR"/>
        </w:rPr>
      </w:pPr>
      <w:r w:rsidRPr="008233A5">
        <w:rPr>
          <w:rFonts w:eastAsia="Arial" w:cs="Arial"/>
          <w:lang w:val="fr-FR"/>
        </w:rPr>
        <w:t>Tableau 1. Impacts du changement climatique sur le bien-être et la conservation des dauphins de l’Amazone, et stratégies potentielles d’atténuation.</w:t>
      </w:r>
    </w:p>
    <w:tbl>
      <w:tblPr>
        <w:tblStyle w:val="TableGrid"/>
        <w:tblW w:w="927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0"/>
        <w:gridCol w:w="1755"/>
        <w:gridCol w:w="1635"/>
        <w:gridCol w:w="2325"/>
        <w:gridCol w:w="2145"/>
      </w:tblGrid>
      <w:tr w:rsidR="00BE5E9B" w:rsidRPr="008233A5" w14:paraId="04EDDAE6" w14:textId="77777777" w:rsidTr="004D35C2">
        <w:trPr>
          <w:trHeight w:val="840"/>
        </w:trPr>
        <w:tc>
          <w:tcPr>
            <w:tcW w:w="1410" w:type="dxa"/>
            <w:tcMar>
              <w:left w:w="105" w:type="dxa"/>
              <w:right w:w="105" w:type="dxa"/>
            </w:tcMar>
          </w:tcPr>
          <w:p w14:paraId="7AB98990"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b/>
                <w:bCs/>
                <w:sz w:val="18"/>
                <w:szCs w:val="18"/>
                <w:lang w:val="fr-FR"/>
              </w:rPr>
              <w:t xml:space="preserve">Impact du changement climatique </w:t>
            </w:r>
          </w:p>
        </w:tc>
        <w:tc>
          <w:tcPr>
            <w:tcW w:w="1755" w:type="dxa"/>
            <w:tcMar>
              <w:left w:w="105" w:type="dxa"/>
              <w:right w:w="105" w:type="dxa"/>
            </w:tcMar>
          </w:tcPr>
          <w:p w14:paraId="3ADF4715"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b/>
                <w:bCs/>
                <w:sz w:val="18"/>
                <w:szCs w:val="18"/>
                <w:lang w:val="fr-FR"/>
              </w:rPr>
              <w:t>Effet sur le dauphin de l’Amazone</w:t>
            </w:r>
          </w:p>
        </w:tc>
        <w:tc>
          <w:tcPr>
            <w:tcW w:w="1635" w:type="dxa"/>
            <w:tcMar>
              <w:left w:w="105" w:type="dxa"/>
              <w:right w:w="105" w:type="dxa"/>
            </w:tcMar>
          </w:tcPr>
          <w:p w14:paraId="22B6CE84"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b/>
                <w:bCs/>
                <w:sz w:val="18"/>
                <w:szCs w:val="18"/>
                <w:lang w:val="fr-FR"/>
              </w:rPr>
              <w:t>Conséquences sur le bien-être</w:t>
            </w:r>
          </w:p>
        </w:tc>
        <w:tc>
          <w:tcPr>
            <w:tcW w:w="2325" w:type="dxa"/>
            <w:tcMar>
              <w:left w:w="105" w:type="dxa"/>
              <w:right w:w="105" w:type="dxa"/>
            </w:tcMar>
          </w:tcPr>
          <w:p w14:paraId="5A1D6848"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b/>
                <w:bCs/>
                <w:sz w:val="18"/>
                <w:szCs w:val="18"/>
                <w:lang w:val="fr-FR"/>
              </w:rPr>
              <w:t>Conséquences sur la conservation</w:t>
            </w:r>
          </w:p>
        </w:tc>
        <w:tc>
          <w:tcPr>
            <w:tcW w:w="2145" w:type="dxa"/>
            <w:tcMar>
              <w:left w:w="105" w:type="dxa"/>
              <w:right w:w="105" w:type="dxa"/>
            </w:tcMar>
          </w:tcPr>
          <w:p w14:paraId="35367330"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b/>
                <w:bCs/>
                <w:sz w:val="18"/>
                <w:szCs w:val="18"/>
                <w:lang w:val="fr-FR"/>
              </w:rPr>
              <w:t>Stratégies d’atténuation</w:t>
            </w:r>
          </w:p>
        </w:tc>
      </w:tr>
      <w:tr w:rsidR="00BE5E9B" w:rsidRPr="00006560" w14:paraId="5FE10463" w14:textId="77777777" w:rsidTr="004D35C2">
        <w:trPr>
          <w:trHeight w:val="405"/>
        </w:trPr>
        <w:tc>
          <w:tcPr>
            <w:tcW w:w="1410" w:type="dxa"/>
            <w:vMerge w:val="restart"/>
            <w:tcMar>
              <w:left w:w="105" w:type="dxa"/>
              <w:right w:w="105" w:type="dxa"/>
            </w:tcMar>
          </w:tcPr>
          <w:p w14:paraId="33F35098"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Augmentation de la température de l’eau</w:t>
            </w:r>
          </w:p>
        </w:tc>
        <w:tc>
          <w:tcPr>
            <w:tcW w:w="1755" w:type="dxa"/>
            <w:tcMar>
              <w:left w:w="105" w:type="dxa"/>
              <w:right w:w="105" w:type="dxa"/>
            </w:tcMar>
          </w:tcPr>
          <w:p w14:paraId="1867A30D"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Changements physiologiques chez les dauphins</w:t>
            </w:r>
          </w:p>
        </w:tc>
        <w:tc>
          <w:tcPr>
            <w:tcW w:w="1635" w:type="dxa"/>
            <w:vMerge w:val="restart"/>
            <w:tcMar>
              <w:left w:w="105" w:type="dxa"/>
              <w:right w:w="105" w:type="dxa"/>
            </w:tcMar>
          </w:tcPr>
          <w:p w14:paraId="5AE6D64E"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Choc thermique, lésions internes, pathologies, douleur, inconfort, stress, augmentation de la dépense énergétique, faim</w:t>
            </w:r>
          </w:p>
        </w:tc>
        <w:tc>
          <w:tcPr>
            <w:tcW w:w="2325" w:type="dxa"/>
            <w:vMerge w:val="restart"/>
            <w:tcMar>
              <w:left w:w="105" w:type="dxa"/>
              <w:right w:w="105" w:type="dxa"/>
            </w:tcMar>
          </w:tcPr>
          <w:p w14:paraId="64B84B18"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Augmentation de la mortalité, détérioration de l’état corporel,</w:t>
            </w:r>
          </w:p>
          <w:p w14:paraId="0D25D2FB"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baisse des taux de reproduction</w:t>
            </w:r>
          </w:p>
        </w:tc>
        <w:tc>
          <w:tcPr>
            <w:tcW w:w="2145" w:type="dxa"/>
            <w:vMerge w:val="restart"/>
            <w:tcMar>
              <w:left w:w="105" w:type="dxa"/>
              <w:right w:w="105" w:type="dxa"/>
            </w:tcMar>
          </w:tcPr>
          <w:p w14:paraId="7F1B92F0"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Systèmes d’alerte précoce, transfert, utilisation de modèles climatiques pour prévoir les événements afin de mieux se préparer, gestion des pêches, gestion de l’eau</w:t>
            </w:r>
          </w:p>
        </w:tc>
      </w:tr>
      <w:tr w:rsidR="00BE5E9B" w:rsidRPr="008233A5" w14:paraId="34CC1DFD" w14:textId="77777777" w:rsidTr="004D35C2">
        <w:trPr>
          <w:trHeight w:val="405"/>
        </w:trPr>
        <w:tc>
          <w:tcPr>
            <w:tcW w:w="1410" w:type="dxa"/>
            <w:vMerge/>
            <w:vAlign w:val="center"/>
          </w:tcPr>
          <w:p w14:paraId="567225E7" w14:textId="77777777" w:rsidR="00BE5E9B" w:rsidRPr="008233A5" w:rsidRDefault="00BE5E9B" w:rsidP="00EF35B7">
            <w:pPr>
              <w:rPr>
                <w:lang w:val="fr-FR"/>
              </w:rPr>
            </w:pPr>
          </w:p>
        </w:tc>
        <w:tc>
          <w:tcPr>
            <w:tcW w:w="1755" w:type="dxa"/>
            <w:tcMar>
              <w:left w:w="105" w:type="dxa"/>
              <w:right w:w="105" w:type="dxa"/>
            </w:tcMar>
          </w:tcPr>
          <w:p w14:paraId="7424E3E2"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Déplacement/diminution des proies</w:t>
            </w:r>
          </w:p>
        </w:tc>
        <w:tc>
          <w:tcPr>
            <w:tcW w:w="1635" w:type="dxa"/>
            <w:vMerge/>
            <w:vAlign w:val="center"/>
          </w:tcPr>
          <w:p w14:paraId="4647548E" w14:textId="77777777" w:rsidR="00BE5E9B" w:rsidRPr="008233A5" w:rsidRDefault="00BE5E9B" w:rsidP="00EF35B7">
            <w:pPr>
              <w:rPr>
                <w:lang w:val="fr-FR"/>
              </w:rPr>
            </w:pPr>
          </w:p>
        </w:tc>
        <w:tc>
          <w:tcPr>
            <w:tcW w:w="2325" w:type="dxa"/>
            <w:vMerge/>
            <w:vAlign w:val="center"/>
          </w:tcPr>
          <w:p w14:paraId="3983A460" w14:textId="77777777" w:rsidR="00BE5E9B" w:rsidRPr="008233A5" w:rsidRDefault="00BE5E9B" w:rsidP="00EF35B7">
            <w:pPr>
              <w:rPr>
                <w:lang w:val="fr-FR"/>
              </w:rPr>
            </w:pPr>
          </w:p>
        </w:tc>
        <w:tc>
          <w:tcPr>
            <w:tcW w:w="2145" w:type="dxa"/>
            <w:vMerge/>
            <w:vAlign w:val="center"/>
          </w:tcPr>
          <w:p w14:paraId="0A45DA15" w14:textId="77777777" w:rsidR="00BE5E9B" w:rsidRPr="008233A5" w:rsidRDefault="00BE5E9B" w:rsidP="00EF35B7">
            <w:pPr>
              <w:rPr>
                <w:lang w:val="fr-FR"/>
              </w:rPr>
            </w:pPr>
          </w:p>
        </w:tc>
      </w:tr>
      <w:tr w:rsidR="00BE5E9B" w:rsidRPr="00006560" w14:paraId="0E3D14AE" w14:textId="77777777" w:rsidTr="004D35C2">
        <w:trPr>
          <w:trHeight w:val="975"/>
        </w:trPr>
        <w:tc>
          <w:tcPr>
            <w:tcW w:w="1410" w:type="dxa"/>
            <w:vMerge/>
            <w:vAlign w:val="center"/>
          </w:tcPr>
          <w:p w14:paraId="15A73BE5" w14:textId="77777777" w:rsidR="00BE5E9B" w:rsidRPr="008233A5" w:rsidRDefault="00BE5E9B" w:rsidP="00EF35B7">
            <w:pPr>
              <w:rPr>
                <w:lang w:val="fr-FR"/>
              </w:rPr>
            </w:pPr>
          </w:p>
        </w:tc>
        <w:tc>
          <w:tcPr>
            <w:tcW w:w="1755" w:type="dxa"/>
            <w:tcMar>
              <w:left w:w="105" w:type="dxa"/>
              <w:right w:w="105" w:type="dxa"/>
            </w:tcMar>
          </w:tcPr>
          <w:p w14:paraId="4BB17085"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 xml:space="preserve">Détérioration de la qualité de l’eau (pollution, contaminants, cyanobactéries) </w:t>
            </w:r>
          </w:p>
        </w:tc>
        <w:tc>
          <w:tcPr>
            <w:tcW w:w="1635" w:type="dxa"/>
            <w:vMerge/>
            <w:vAlign w:val="center"/>
          </w:tcPr>
          <w:p w14:paraId="71367E39" w14:textId="77777777" w:rsidR="00BE5E9B" w:rsidRPr="008233A5" w:rsidRDefault="00BE5E9B" w:rsidP="00EF35B7">
            <w:pPr>
              <w:rPr>
                <w:lang w:val="fr-FR"/>
              </w:rPr>
            </w:pPr>
          </w:p>
        </w:tc>
        <w:tc>
          <w:tcPr>
            <w:tcW w:w="2325" w:type="dxa"/>
            <w:vMerge/>
            <w:vAlign w:val="center"/>
          </w:tcPr>
          <w:p w14:paraId="52953DBA" w14:textId="77777777" w:rsidR="00BE5E9B" w:rsidRPr="008233A5" w:rsidRDefault="00BE5E9B" w:rsidP="00EF35B7">
            <w:pPr>
              <w:rPr>
                <w:lang w:val="fr-FR"/>
              </w:rPr>
            </w:pPr>
          </w:p>
        </w:tc>
        <w:tc>
          <w:tcPr>
            <w:tcW w:w="2145" w:type="dxa"/>
            <w:vMerge/>
            <w:vAlign w:val="center"/>
          </w:tcPr>
          <w:p w14:paraId="426DED80" w14:textId="77777777" w:rsidR="00BE5E9B" w:rsidRPr="008233A5" w:rsidRDefault="00BE5E9B" w:rsidP="00EF35B7">
            <w:pPr>
              <w:rPr>
                <w:lang w:val="fr-FR"/>
              </w:rPr>
            </w:pPr>
          </w:p>
        </w:tc>
      </w:tr>
      <w:tr w:rsidR="00BE5E9B" w:rsidRPr="00006560" w14:paraId="0EA889AF" w14:textId="77777777" w:rsidTr="004D35C2">
        <w:trPr>
          <w:trHeight w:val="1170"/>
        </w:trPr>
        <w:tc>
          <w:tcPr>
            <w:tcW w:w="1410" w:type="dxa"/>
            <w:vMerge w:val="restart"/>
            <w:tcMar>
              <w:left w:w="105" w:type="dxa"/>
              <w:right w:w="105" w:type="dxa"/>
            </w:tcMar>
          </w:tcPr>
          <w:p w14:paraId="584F0E22"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 xml:space="preserve">Changements dans les crues </w:t>
            </w:r>
          </w:p>
        </w:tc>
        <w:tc>
          <w:tcPr>
            <w:tcW w:w="1755" w:type="dxa"/>
            <w:tcMar>
              <w:left w:w="105" w:type="dxa"/>
              <w:right w:w="105" w:type="dxa"/>
            </w:tcMar>
          </w:tcPr>
          <w:p w14:paraId="6BDE0DA8"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Isolement dans les eaux peu profondes</w:t>
            </w:r>
          </w:p>
        </w:tc>
        <w:tc>
          <w:tcPr>
            <w:tcW w:w="1635" w:type="dxa"/>
            <w:tcMar>
              <w:left w:w="105" w:type="dxa"/>
              <w:right w:w="105" w:type="dxa"/>
            </w:tcMar>
          </w:tcPr>
          <w:p w14:paraId="40BEE808"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Choc thermique, douleur, brûlures, lésions internes, stress, inconfort, déshydratation, faim</w:t>
            </w:r>
          </w:p>
        </w:tc>
        <w:tc>
          <w:tcPr>
            <w:tcW w:w="2325" w:type="dxa"/>
            <w:tcMar>
              <w:left w:w="105" w:type="dxa"/>
              <w:right w:w="105" w:type="dxa"/>
            </w:tcMar>
          </w:tcPr>
          <w:p w14:paraId="76D85A70"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Augmentation de la mortalité, vulnérabilité accrue à la prédation et à l’activité humaine</w:t>
            </w:r>
          </w:p>
        </w:tc>
        <w:tc>
          <w:tcPr>
            <w:tcW w:w="2145" w:type="dxa"/>
            <w:tcMar>
              <w:left w:w="105" w:type="dxa"/>
              <w:right w:w="105" w:type="dxa"/>
            </w:tcMar>
          </w:tcPr>
          <w:p w14:paraId="65126B3A"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Transfert, identification et protection des zones de réfugiés, utilisation de modèles climatiques pour prévoir les événements</w:t>
            </w:r>
          </w:p>
        </w:tc>
      </w:tr>
      <w:tr w:rsidR="00BE5E9B" w:rsidRPr="00006560" w14:paraId="000A41B2" w14:textId="77777777" w:rsidTr="004D35C2">
        <w:trPr>
          <w:trHeight w:val="1170"/>
        </w:trPr>
        <w:tc>
          <w:tcPr>
            <w:tcW w:w="1410" w:type="dxa"/>
            <w:vMerge/>
            <w:vAlign w:val="center"/>
          </w:tcPr>
          <w:p w14:paraId="72B6AA7B" w14:textId="77777777" w:rsidR="00BE5E9B" w:rsidRPr="008233A5" w:rsidRDefault="00BE5E9B" w:rsidP="00EF35B7">
            <w:pPr>
              <w:rPr>
                <w:lang w:val="fr-FR"/>
              </w:rPr>
            </w:pPr>
          </w:p>
        </w:tc>
        <w:tc>
          <w:tcPr>
            <w:tcW w:w="1755" w:type="dxa"/>
            <w:tcMar>
              <w:left w:w="105" w:type="dxa"/>
              <w:right w:w="105" w:type="dxa"/>
            </w:tcMar>
          </w:tcPr>
          <w:p w14:paraId="64B71B74"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Perte d’habitat dans les plaines inondables et les lagunes</w:t>
            </w:r>
          </w:p>
        </w:tc>
        <w:tc>
          <w:tcPr>
            <w:tcW w:w="1635" w:type="dxa"/>
            <w:tcMar>
              <w:left w:w="105" w:type="dxa"/>
              <w:right w:w="105" w:type="dxa"/>
            </w:tcMar>
          </w:tcPr>
          <w:p w14:paraId="5FA52B32"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Perturbation des activités sociales (accouplement et mise-bas)</w:t>
            </w:r>
          </w:p>
        </w:tc>
        <w:tc>
          <w:tcPr>
            <w:tcW w:w="2325" w:type="dxa"/>
            <w:tcMar>
              <w:left w:w="105" w:type="dxa"/>
              <w:right w:w="105" w:type="dxa"/>
            </w:tcMar>
          </w:tcPr>
          <w:p w14:paraId="5E77193E"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Baisse des taux de reproduction, baisse du nombre de mises-bas réussies</w:t>
            </w:r>
          </w:p>
        </w:tc>
        <w:tc>
          <w:tcPr>
            <w:tcW w:w="2145" w:type="dxa"/>
            <w:tcMar>
              <w:left w:w="105" w:type="dxa"/>
              <w:right w:w="105" w:type="dxa"/>
            </w:tcMar>
          </w:tcPr>
          <w:p w14:paraId="1A1057F0"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 xml:space="preserve">Protéger, restaurer et/ou développer les habitats d’eau douce essentiels, réguler la gestion de l’eau (barrages) </w:t>
            </w:r>
          </w:p>
        </w:tc>
      </w:tr>
      <w:tr w:rsidR="00BE5E9B" w:rsidRPr="00006560" w14:paraId="0BB53291" w14:textId="77777777" w:rsidTr="004D35C2">
        <w:trPr>
          <w:trHeight w:val="75"/>
        </w:trPr>
        <w:tc>
          <w:tcPr>
            <w:tcW w:w="1410" w:type="dxa"/>
            <w:vMerge/>
            <w:vAlign w:val="center"/>
          </w:tcPr>
          <w:p w14:paraId="24870349" w14:textId="77777777" w:rsidR="00BE5E9B" w:rsidRPr="008233A5" w:rsidRDefault="00BE5E9B" w:rsidP="00EF35B7">
            <w:pPr>
              <w:rPr>
                <w:lang w:val="fr-FR"/>
              </w:rPr>
            </w:pPr>
          </w:p>
        </w:tc>
        <w:tc>
          <w:tcPr>
            <w:tcW w:w="1755" w:type="dxa"/>
            <w:tcMar>
              <w:left w:w="105" w:type="dxa"/>
              <w:right w:w="105" w:type="dxa"/>
            </w:tcMar>
          </w:tcPr>
          <w:p w14:paraId="6A95D525"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Modification de l’habitat due à la construction de barrages et à la déforestation</w:t>
            </w:r>
          </w:p>
        </w:tc>
        <w:tc>
          <w:tcPr>
            <w:tcW w:w="1635" w:type="dxa"/>
            <w:tcMar>
              <w:left w:w="105" w:type="dxa"/>
              <w:right w:w="105" w:type="dxa"/>
            </w:tcMar>
          </w:tcPr>
          <w:p w14:paraId="111EDAD0"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Perturbation des activités sociales (accouplement, mise-bas), des migrations et des déplacements</w:t>
            </w:r>
          </w:p>
        </w:tc>
        <w:tc>
          <w:tcPr>
            <w:tcW w:w="2325" w:type="dxa"/>
            <w:tcMar>
              <w:left w:w="105" w:type="dxa"/>
              <w:right w:w="105" w:type="dxa"/>
            </w:tcMar>
          </w:tcPr>
          <w:p w14:paraId="67BD2664"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Baisse des taux de reproduction, baisse du nombre de mises-bas réussies, vulnérabilité accrue à l’activité humaine, fragmentation accrue de l’habitat</w:t>
            </w:r>
          </w:p>
        </w:tc>
        <w:tc>
          <w:tcPr>
            <w:tcW w:w="2145" w:type="dxa"/>
            <w:tcMar>
              <w:left w:w="105" w:type="dxa"/>
              <w:right w:w="105" w:type="dxa"/>
            </w:tcMar>
          </w:tcPr>
          <w:p w14:paraId="5E76B972" w14:textId="77777777" w:rsidR="00BE5E9B" w:rsidRPr="008233A5" w:rsidRDefault="00B757F7" w:rsidP="00EF35B7">
            <w:pPr>
              <w:rPr>
                <w:rFonts w:ascii="Arial" w:eastAsia="Arial" w:hAnsi="Arial" w:cs="Arial"/>
                <w:sz w:val="18"/>
                <w:szCs w:val="18"/>
                <w:lang w:val="fr-FR"/>
              </w:rPr>
            </w:pPr>
            <w:r w:rsidRPr="008233A5">
              <w:rPr>
                <w:rFonts w:ascii="Arial" w:eastAsia="Arial" w:hAnsi="Arial" w:cs="Arial"/>
                <w:sz w:val="18"/>
                <w:szCs w:val="18"/>
                <w:lang w:val="fr-FR"/>
              </w:rPr>
              <w:t>Améliorer et réguler la planification des barrages et de la déforestation</w:t>
            </w:r>
          </w:p>
        </w:tc>
      </w:tr>
    </w:tbl>
    <w:p w14:paraId="4161AA96" w14:textId="77777777" w:rsidR="00BE5E9B" w:rsidRPr="008233A5" w:rsidRDefault="00B757F7">
      <w:pPr>
        <w:spacing w:after="0" w:line="240" w:lineRule="auto"/>
        <w:jc w:val="both"/>
        <w:rPr>
          <w:rFonts w:eastAsia="Arial" w:cs="Arial"/>
          <w:lang w:val="fr-FR"/>
        </w:rPr>
      </w:pPr>
      <w:r w:rsidRPr="008233A5">
        <w:rPr>
          <w:rFonts w:eastAsia="Arial" w:cs="Arial"/>
          <w:lang w:val="fr-FR"/>
        </w:rPr>
        <w:br w:type="page"/>
      </w:r>
    </w:p>
    <w:p w14:paraId="5ADA0206" w14:textId="77777777" w:rsidR="00BE5E9B" w:rsidRPr="008233A5" w:rsidRDefault="00B757F7">
      <w:pPr>
        <w:spacing w:after="0" w:line="240" w:lineRule="auto"/>
        <w:jc w:val="both"/>
        <w:rPr>
          <w:rFonts w:eastAsia="Arial" w:cs="Arial"/>
          <w:lang w:val="fr-FR"/>
        </w:rPr>
      </w:pPr>
      <w:r w:rsidRPr="008233A5">
        <w:rPr>
          <w:rFonts w:eastAsia="Arial" w:cs="Arial"/>
          <w:lang w:val="fr-FR"/>
        </w:rPr>
        <w:lastRenderedPageBreak/>
        <w:t>Grands dauphins</w:t>
      </w:r>
    </w:p>
    <w:p w14:paraId="788C8F98" w14:textId="77777777" w:rsidR="00BE5E9B" w:rsidRPr="008233A5" w:rsidRDefault="00BE5E9B">
      <w:pPr>
        <w:spacing w:after="0" w:line="240" w:lineRule="auto"/>
        <w:jc w:val="both"/>
        <w:rPr>
          <w:rFonts w:eastAsia="Arial" w:cs="Arial"/>
          <w:lang w:val="fr-FR"/>
        </w:rPr>
      </w:pPr>
    </w:p>
    <w:p w14:paraId="436DBE3E" w14:textId="77777777" w:rsidR="00BE5E9B" w:rsidRPr="008233A5" w:rsidRDefault="00B757F7">
      <w:pPr>
        <w:keepNext/>
        <w:spacing w:after="120" w:line="240" w:lineRule="auto"/>
        <w:jc w:val="both"/>
        <w:rPr>
          <w:rFonts w:eastAsia="Arial" w:cs="Arial"/>
          <w:i/>
          <w:iCs/>
          <w:lang w:val="fr-FR"/>
        </w:rPr>
      </w:pPr>
      <w:r w:rsidRPr="008233A5">
        <w:rPr>
          <w:rFonts w:eastAsia="Arial" w:cs="Arial"/>
          <w:lang w:val="fr-FR"/>
        </w:rPr>
        <w:t>Tableau 2. Impacts du changement climatique sur le bien-être et la conservation du grand dauphin, et stratégies potentielles d’atténuation.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1950"/>
        <w:gridCol w:w="1830"/>
        <w:gridCol w:w="1770"/>
        <w:gridCol w:w="1830"/>
      </w:tblGrid>
      <w:tr w:rsidR="00BE5E9B" w:rsidRPr="008233A5" w14:paraId="5753345F" w14:textId="77777777">
        <w:trPr>
          <w:trHeight w:val="450"/>
        </w:trPr>
        <w:tc>
          <w:tcPr>
            <w:tcW w:w="1695" w:type="dxa"/>
            <w:tcMar>
              <w:left w:w="105" w:type="dxa"/>
              <w:right w:w="105" w:type="dxa"/>
            </w:tcMar>
          </w:tcPr>
          <w:p w14:paraId="64282C75"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b/>
                <w:bCs/>
                <w:sz w:val="18"/>
                <w:szCs w:val="18"/>
                <w:lang w:val="fr-FR"/>
              </w:rPr>
              <w:t>Impact du changement climatique</w:t>
            </w:r>
          </w:p>
        </w:tc>
        <w:tc>
          <w:tcPr>
            <w:tcW w:w="1950" w:type="dxa"/>
            <w:tcMar>
              <w:left w:w="105" w:type="dxa"/>
              <w:right w:w="105" w:type="dxa"/>
            </w:tcMar>
          </w:tcPr>
          <w:p w14:paraId="743E7FD5"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b/>
                <w:bCs/>
                <w:sz w:val="18"/>
                <w:szCs w:val="18"/>
                <w:lang w:val="fr-FR"/>
              </w:rPr>
              <w:t>Effet sur le grand dauphin</w:t>
            </w:r>
          </w:p>
        </w:tc>
        <w:tc>
          <w:tcPr>
            <w:tcW w:w="1830" w:type="dxa"/>
            <w:tcMar>
              <w:left w:w="105" w:type="dxa"/>
              <w:right w:w="105" w:type="dxa"/>
            </w:tcMar>
          </w:tcPr>
          <w:p w14:paraId="1CBB0DD6"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b/>
                <w:bCs/>
                <w:sz w:val="18"/>
                <w:szCs w:val="18"/>
                <w:lang w:val="fr-FR"/>
              </w:rPr>
              <w:t>Conséquences sur le bien-être</w:t>
            </w:r>
          </w:p>
        </w:tc>
        <w:tc>
          <w:tcPr>
            <w:tcW w:w="1770" w:type="dxa"/>
            <w:tcMar>
              <w:left w:w="105" w:type="dxa"/>
              <w:right w:w="105" w:type="dxa"/>
            </w:tcMar>
          </w:tcPr>
          <w:p w14:paraId="4F0E7D2B"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b/>
                <w:bCs/>
                <w:sz w:val="18"/>
                <w:szCs w:val="18"/>
                <w:lang w:val="fr-FR"/>
              </w:rPr>
              <w:t>Conséquences sur la conservation</w:t>
            </w:r>
          </w:p>
        </w:tc>
        <w:tc>
          <w:tcPr>
            <w:tcW w:w="1830" w:type="dxa"/>
            <w:tcMar>
              <w:left w:w="105" w:type="dxa"/>
              <w:right w:w="105" w:type="dxa"/>
            </w:tcMar>
          </w:tcPr>
          <w:p w14:paraId="79E4BDD3"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b/>
                <w:bCs/>
                <w:sz w:val="18"/>
                <w:szCs w:val="18"/>
                <w:lang w:val="fr-FR"/>
              </w:rPr>
              <w:t xml:space="preserve">Stratégies d’atténuation </w:t>
            </w:r>
          </w:p>
        </w:tc>
      </w:tr>
      <w:tr w:rsidR="00BE5E9B" w:rsidRPr="00006560" w14:paraId="0F0185F0" w14:textId="77777777">
        <w:trPr>
          <w:trHeight w:val="2760"/>
        </w:trPr>
        <w:tc>
          <w:tcPr>
            <w:tcW w:w="1695" w:type="dxa"/>
            <w:tcMar>
              <w:left w:w="105" w:type="dxa"/>
              <w:right w:w="105" w:type="dxa"/>
            </w:tcMar>
          </w:tcPr>
          <w:p w14:paraId="2E0D0FEE"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Augmentation des températures</w:t>
            </w:r>
          </w:p>
        </w:tc>
        <w:tc>
          <w:tcPr>
            <w:tcW w:w="1950" w:type="dxa"/>
            <w:vMerge w:val="restart"/>
            <w:tcMar>
              <w:left w:w="105" w:type="dxa"/>
              <w:right w:w="105" w:type="dxa"/>
            </w:tcMar>
          </w:tcPr>
          <w:p w14:paraId="4628FB1F"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 xml:space="preserve">Modifications de la répartition </w:t>
            </w:r>
          </w:p>
          <w:p w14:paraId="2D36B00D" w14:textId="77777777" w:rsidR="00BE5E9B" w:rsidRPr="008233A5" w:rsidRDefault="00BE5E9B" w:rsidP="00CD3A43">
            <w:pPr>
              <w:spacing w:before="40" w:after="40"/>
              <w:rPr>
                <w:rFonts w:ascii="Arial" w:eastAsia="Arial" w:hAnsi="Arial" w:cs="Arial"/>
                <w:sz w:val="18"/>
                <w:szCs w:val="18"/>
                <w:lang w:val="fr-FR"/>
              </w:rPr>
            </w:pPr>
          </w:p>
          <w:p w14:paraId="260CA9C2"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Disponibilité/fluctuations des proies</w:t>
            </w:r>
          </w:p>
          <w:p w14:paraId="4ED93272" w14:textId="77777777" w:rsidR="00BE5E9B" w:rsidRPr="008233A5" w:rsidRDefault="00BE5E9B" w:rsidP="00CD3A43">
            <w:pPr>
              <w:spacing w:before="40" w:after="40"/>
              <w:rPr>
                <w:rFonts w:ascii="Arial" w:eastAsia="Arial" w:hAnsi="Arial" w:cs="Arial"/>
                <w:sz w:val="18"/>
                <w:szCs w:val="18"/>
                <w:lang w:val="fr-FR"/>
              </w:rPr>
            </w:pPr>
          </w:p>
          <w:p w14:paraId="7D711760"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Diminution de l’abondance</w:t>
            </w:r>
          </w:p>
          <w:p w14:paraId="769AC784"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 xml:space="preserve"> </w:t>
            </w:r>
          </w:p>
        </w:tc>
        <w:tc>
          <w:tcPr>
            <w:tcW w:w="1830" w:type="dxa"/>
            <w:vMerge w:val="restart"/>
            <w:tcMar>
              <w:left w:w="105" w:type="dxa"/>
              <w:right w:w="105" w:type="dxa"/>
            </w:tcMar>
          </w:tcPr>
          <w:p w14:paraId="2AE506B8"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Stress thermique, stress, augmentation de la dépense énergétique, faim, perturbation du comportement social</w:t>
            </w:r>
          </w:p>
          <w:p w14:paraId="2F3F8CBF" w14:textId="77777777" w:rsidR="00BE5E9B" w:rsidRPr="008233A5" w:rsidRDefault="00BE5E9B" w:rsidP="00CD3A43">
            <w:pPr>
              <w:spacing w:before="40" w:after="40"/>
              <w:rPr>
                <w:rFonts w:ascii="Arial" w:eastAsia="Arial" w:hAnsi="Arial" w:cs="Arial"/>
                <w:sz w:val="18"/>
                <w:szCs w:val="18"/>
                <w:lang w:val="fr-FR"/>
              </w:rPr>
            </w:pPr>
          </w:p>
        </w:tc>
        <w:tc>
          <w:tcPr>
            <w:tcW w:w="1770" w:type="dxa"/>
            <w:vMerge w:val="restart"/>
            <w:tcMar>
              <w:left w:w="105" w:type="dxa"/>
              <w:right w:w="105" w:type="dxa"/>
            </w:tcMar>
          </w:tcPr>
          <w:p w14:paraId="3407554D"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Augmentation de la mortalité, détérioration de l’état corporel,</w:t>
            </w:r>
          </w:p>
          <w:p w14:paraId="1860439E"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baisse des taux de reproduction</w:t>
            </w:r>
          </w:p>
        </w:tc>
        <w:tc>
          <w:tcPr>
            <w:tcW w:w="1830" w:type="dxa"/>
            <w:vMerge w:val="restart"/>
            <w:tcMar>
              <w:left w:w="105" w:type="dxa"/>
              <w:right w:w="105" w:type="dxa"/>
            </w:tcMar>
          </w:tcPr>
          <w:p w14:paraId="400EB34E"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Zones protégées et des plans de gestion nouveaux ou actualisés qui englobent le déplacement des zones critiques, gestion des activités anthropiques (pêche, navires), utilisation de modèles climatiques pour prévoir les événements afin de mieux soutenir les déplacements des aires de répartition</w:t>
            </w:r>
          </w:p>
        </w:tc>
      </w:tr>
      <w:tr w:rsidR="00BE5E9B" w:rsidRPr="00006560" w14:paraId="13272E79" w14:textId="77777777">
        <w:trPr>
          <w:trHeight w:val="330"/>
        </w:trPr>
        <w:tc>
          <w:tcPr>
            <w:tcW w:w="1695" w:type="dxa"/>
            <w:tcMar>
              <w:left w:w="105" w:type="dxa"/>
              <w:right w:w="105" w:type="dxa"/>
            </w:tcMar>
          </w:tcPr>
          <w:p w14:paraId="487C106B"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Fréquence accrue des événements El Niño et La Niña</w:t>
            </w:r>
          </w:p>
        </w:tc>
        <w:tc>
          <w:tcPr>
            <w:tcW w:w="1950" w:type="dxa"/>
            <w:vMerge/>
            <w:vAlign w:val="center"/>
          </w:tcPr>
          <w:p w14:paraId="5A8EB69B" w14:textId="77777777" w:rsidR="00BE5E9B" w:rsidRPr="008233A5" w:rsidRDefault="00BE5E9B" w:rsidP="00CD3A43">
            <w:pPr>
              <w:spacing w:before="40" w:after="40"/>
              <w:rPr>
                <w:lang w:val="fr-FR"/>
              </w:rPr>
            </w:pPr>
          </w:p>
        </w:tc>
        <w:tc>
          <w:tcPr>
            <w:tcW w:w="1830" w:type="dxa"/>
            <w:vMerge/>
            <w:vAlign w:val="center"/>
          </w:tcPr>
          <w:p w14:paraId="30003B11" w14:textId="77777777" w:rsidR="00BE5E9B" w:rsidRPr="008233A5" w:rsidRDefault="00BE5E9B" w:rsidP="00CD3A43">
            <w:pPr>
              <w:spacing w:before="40" w:after="40"/>
              <w:rPr>
                <w:lang w:val="fr-FR"/>
              </w:rPr>
            </w:pPr>
          </w:p>
        </w:tc>
        <w:tc>
          <w:tcPr>
            <w:tcW w:w="1770" w:type="dxa"/>
            <w:vMerge/>
            <w:vAlign w:val="center"/>
          </w:tcPr>
          <w:p w14:paraId="13E6BE17" w14:textId="77777777" w:rsidR="00BE5E9B" w:rsidRPr="008233A5" w:rsidRDefault="00BE5E9B" w:rsidP="00CD3A43">
            <w:pPr>
              <w:spacing w:before="40" w:after="40"/>
              <w:rPr>
                <w:lang w:val="fr-FR"/>
              </w:rPr>
            </w:pPr>
          </w:p>
        </w:tc>
        <w:tc>
          <w:tcPr>
            <w:tcW w:w="1830" w:type="dxa"/>
            <w:vMerge/>
            <w:vAlign w:val="center"/>
          </w:tcPr>
          <w:p w14:paraId="161733B4" w14:textId="77777777" w:rsidR="00BE5E9B" w:rsidRPr="008233A5" w:rsidRDefault="00BE5E9B" w:rsidP="00CD3A43">
            <w:pPr>
              <w:spacing w:before="40" w:after="40"/>
              <w:rPr>
                <w:lang w:val="fr-FR"/>
              </w:rPr>
            </w:pPr>
          </w:p>
        </w:tc>
      </w:tr>
      <w:tr w:rsidR="00BE5E9B" w:rsidRPr="00006560" w14:paraId="214B6DCE" w14:textId="77777777">
        <w:trPr>
          <w:trHeight w:val="1110"/>
        </w:trPr>
        <w:tc>
          <w:tcPr>
            <w:tcW w:w="1695" w:type="dxa"/>
            <w:vMerge w:val="restart"/>
            <w:tcMar>
              <w:left w:w="105" w:type="dxa"/>
              <w:right w:w="105" w:type="dxa"/>
            </w:tcMar>
          </w:tcPr>
          <w:p w14:paraId="612EA6A1"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 xml:space="preserve">Phénomènes météorologiques extrêmes (sécheresse et précipitations) </w:t>
            </w:r>
          </w:p>
        </w:tc>
        <w:tc>
          <w:tcPr>
            <w:tcW w:w="1950" w:type="dxa"/>
            <w:tcMar>
              <w:left w:w="105" w:type="dxa"/>
              <w:right w:w="105" w:type="dxa"/>
            </w:tcMar>
          </w:tcPr>
          <w:p w14:paraId="55BB640D"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Dermatite due à l’eau douce</w:t>
            </w:r>
          </w:p>
        </w:tc>
        <w:tc>
          <w:tcPr>
            <w:tcW w:w="1830" w:type="dxa"/>
            <w:vMerge w:val="restart"/>
            <w:tcMar>
              <w:left w:w="105" w:type="dxa"/>
              <w:right w:w="105" w:type="dxa"/>
            </w:tcMar>
          </w:tcPr>
          <w:p w14:paraId="10FA2057"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Augmentation des maladies et des lésions, douleur, inconfort, stress, mortalité massive</w:t>
            </w:r>
          </w:p>
        </w:tc>
        <w:tc>
          <w:tcPr>
            <w:tcW w:w="1770" w:type="dxa"/>
            <w:vMerge w:val="restart"/>
            <w:tcMar>
              <w:left w:w="105" w:type="dxa"/>
              <w:right w:w="105" w:type="dxa"/>
            </w:tcMar>
          </w:tcPr>
          <w:p w14:paraId="66B7665F"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Santé diminuée et augmentation de la mortalité</w:t>
            </w:r>
          </w:p>
        </w:tc>
        <w:tc>
          <w:tcPr>
            <w:tcW w:w="1830" w:type="dxa"/>
            <w:vMerge w:val="restart"/>
            <w:tcMar>
              <w:left w:w="105" w:type="dxa"/>
              <w:right w:w="105" w:type="dxa"/>
            </w:tcMar>
          </w:tcPr>
          <w:p w14:paraId="24DF3044"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Utilisation de modèles climatiques pour prévoir les événements afin de mieux soutenir les changements de répartition et améliorer la qualité de l’eau</w:t>
            </w:r>
          </w:p>
        </w:tc>
      </w:tr>
      <w:tr w:rsidR="00BE5E9B" w:rsidRPr="008233A5" w14:paraId="7232558F" w14:textId="77777777">
        <w:trPr>
          <w:trHeight w:val="330"/>
        </w:trPr>
        <w:tc>
          <w:tcPr>
            <w:tcW w:w="1695" w:type="dxa"/>
            <w:vMerge/>
            <w:vAlign w:val="center"/>
          </w:tcPr>
          <w:p w14:paraId="65C04E27" w14:textId="77777777" w:rsidR="00BE5E9B" w:rsidRPr="008233A5" w:rsidRDefault="00BE5E9B" w:rsidP="00CD3A43">
            <w:pPr>
              <w:spacing w:before="40" w:after="40"/>
              <w:rPr>
                <w:lang w:val="fr-FR"/>
              </w:rPr>
            </w:pPr>
          </w:p>
        </w:tc>
        <w:tc>
          <w:tcPr>
            <w:tcW w:w="1950" w:type="dxa"/>
            <w:tcMar>
              <w:left w:w="105" w:type="dxa"/>
              <w:right w:w="105" w:type="dxa"/>
            </w:tcMar>
          </w:tcPr>
          <w:p w14:paraId="1D83119A"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Prolifération d’algues toxiques</w:t>
            </w:r>
          </w:p>
        </w:tc>
        <w:tc>
          <w:tcPr>
            <w:tcW w:w="1830" w:type="dxa"/>
            <w:vMerge/>
            <w:vAlign w:val="center"/>
          </w:tcPr>
          <w:p w14:paraId="4846F5D8" w14:textId="77777777" w:rsidR="00BE5E9B" w:rsidRPr="008233A5" w:rsidRDefault="00BE5E9B" w:rsidP="00CD3A43">
            <w:pPr>
              <w:spacing w:before="40" w:after="40"/>
              <w:rPr>
                <w:lang w:val="fr-FR"/>
              </w:rPr>
            </w:pPr>
          </w:p>
        </w:tc>
        <w:tc>
          <w:tcPr>
            <w:tcW w:w="1770" w:type="dxa"/>
            <w:vMerge/>
            <w:vAlign w:val="center"/>
          </w:tcPr>
          <w:p w14:paraId="65524272" w14:textId="77777777" w:rsidR="00BE5E9B" w:rsidRPr="008233A5" w:rsidRDefault="00BE5E9B" w:rsidP="00CD3A43">
            <w:pPr>
              <w:spacing w:before="40" w:after="40"/>
              <w:rPr>
                <w:lang w:val="fr-FR"/>
              </w:rPr>
            </w:pPr>
          </w:p>
        </w:tc>
        <w:tc>
          <w:tcPr>
            <w:tcW w:w="1830" w:type="dxa"/>
            <w:vMerge/>
            <w:vAlign w:val="center"/>
          </w:tcPr>
          <w:p w14:paraId="1FCC0D98" w14:textId="77777777" w:rsidR="00BE5E9B" w:rsidRPr="008233A5" w:rsidRDefault="00BE5E9B" w:rsidP="00CD3A43">
            <w:pPr>
              <w:spacing w:before="40" w:after="40"/>
              <w:rPr>
                <w:lang w:val="fr-FR"/>
              </w:rPr>
            </w:pPr>
          </w:p>
        </w:tc>
      </w:tr>
    </w:tbl>
    <w:p w14:paraId="10094AE2" w14:textId="41DBAE03" w:rsidR="00C37CCD" w:rsidRDefault="00C37CCD">
      <w:pPr>
        <w:spacing w:after="0" w:line="240" w:lineRule="auto"/>
        <w:jc w:val="both"/>
        <w:rPr>
          <w:rFonts w:eastAsia="Arial" w:cs="Arial"/>
          <w:lang w:val="fr-FR"/>
        </w:rPr>
      </w:pPr>
      <w:r>
        <w:rPr>
          <w:rFonts w:eastAsia="Arial" w:cs="Arial"/>
          <w:lang w:val="fr-FR"/>
        </w:rPr>
        <w:br w:type="page"/>
      </w:r>
    </w:p>
    <w:p w14:paraId="4F8A845C" w14:textId="77777777" w:rsidR="00BE5E9B" w:rsidRPr="008233A5" w:rsidRDefault="00B757F7">
      <w:pPr>
        <w:spacing w:after="0" w:line="240" w:lineRule="auto"/>
        <w:jc w:val="both"/>
        <w:rPr>
          <w:rFonts w:eastAsia="Arial" w:cs="Arial"/>
          <w:lang w:val="fr-FR"/>
        </w:rPr>
      </w:pPr>
      <w:r w:rsidRPr="008233A5">
        <w:rPr>
          <w:rFonts w:eastAsia="Arial" w:cs="Arial"/>
          <w:lang w:val="fr-FR"/>
        </w:rPr>
        <w:lastRenderedPageBreak/>
        <w:t>Baleines à bec de Cuvier</w:t>
      </w:r>
    </w:p>
    <w:p w14:paraId="1004A979" w14:textId="77777777" w:rsidR="00BE5E9B" w:rsidRPr="008233A5" w:rsidRDefault="00BE5E9B">
      <w:pPr>
        <w:spacing w:after="0" w:line="240" w:lineRule="auto"/>
        <w:jc w:val="both"/>
        <w:rPr>
          <w:rFonts w:eastAsia="Arial" w:cs="Arial"/>
          <w:lang w:val="fr-FR"/>
        </w:rPr>
      </w:pPr>
    </w:p>
    <w:p w14:paraId="1DE63797" w14:textId="77777777" w:rsidR="00BE5E9B" w:rsidRPr="008233A5" w:rsidRDefault="00B757F7">
      <w:pPr>
        <w:keepNext/>
        <w:spacing w:after="120" w:line="240" w:lineRule="auto"/>
        <w:jc w:val="both"/>
        <w:rPr>
          <w:rFonts w:eastAsia="Arial" w:cs="Arial"/>
          <w:i/>
          <w:iCs/>
          <w:lang w:val="fr-FR"/>
        </w:rPr>
      </w:pPr>
      <w:r w:rsidRPr="008233A5">
        <w:rPr>
          <w:rFonts w:eastAsia="Arial" w:cs="Arial"/>
          <w:lang w:val="fr-FR"/>
        </w:rPr>
        <w:t>Tableau 3. Impacts du changement climatique sur le bien-être et la conservation de la baleine à bec de Cuvier, et stratégies potentielles d’atténuation.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10"/>
        <w:gridCol w:w="1920"/>
        <w:gridCol w:w="1575"/>
        <w:gridCol w:w="1860"/>
        <w:gridCol w:w="1920"/>
      </w:tblGrid>
      <w:tr w:rsidR="00BE5E9B" w:rsidRPr="008233A5" w14:paraId="315F6738" w14:textId="77777777">
        <w:trPr>
          <w:trHeight w:val="270"/>
        </w:trPr>
        <w:tc>
          <w:tcPr>
            <w:tcW w:w="1710" w:type="dxa"/>
            <w:tcMar>
              <w:left w:w="105" w:type="dxa"/>
              <w:right w:w="105" w:type="dxa"/>
            </w:tcMar>
          </w:tcPr>
          <w:p w14:paraId="23EF4AEA"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b/>
                <w:bCs/>
                <w:sz w:val="18"/>
                <w:szCs w:val="18"/>
                <w:lang w:val="fr-FR"/>
              </w:rPr>
              <w:t>Impact du changement climatique</w:t>
            </w:r>
          </w:p>
        </w:tc>
        <w:tc>
          <w:tcPr>
            <w:tcW w:w="1920" w:type="dxa"/>
            <w:tcMar>
              <w:left w:w="105" w:type="dxa"/>
              <w:right w:w="105" w:type="dxa"/>
            </w:tcMar>
          </w:tcPr>
          <w:p w14:paraId="2E19A92F"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b/>
                <w:bCs/>
                <w:sz w:val="18"/>
                <w:szCs w:val="18"/>
                <w:lang w:val="fr-FR"/>
              </w:rPr>
              <w:t xml:space="preserve">Effet sur la baleine à bec de Cuvier </w:t>
            </w:r>
          </w:p>
        </w:tc>
        <w:tc>
          <w:tcPr>
            <w:tcW w:w="1575" w:type="dxa"/>
            <w:tcMar>
              <w:left w:w="105" w:type="dxa"/>
              <w:right w:w="105" w:type="dxa"/>
            </w:tcMar>
          </w:tcPr>
          <w:p w14:paraId="297C3011"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b/>
                <w:bCs/>
                <w:sz w:val="18"/>
                <w:szCs w:val="18"/>
                <w:lang w:val="fr-FR"/>
              </w:rPr>
              <w:t>Conséquences sur le bien-être</w:t>
            </w:r>
          </w:p>
        </w:tc>
        <w:tc>
          <w:tcPr>
            <w:tcW w:w="1860" w:type="dxa"/>
            <w:tcMar>
              <w:left w:w="105" w:type="dxa"/>
              <w:right w:w="105" w:type="dxa"/>
            </w:tcMar>
          </w:tcPr>
          <w:p w14:paraId="1C4CB44D"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b/>
                <w:bCs/>
                <w:sz w:val="18"/>
                <w:szCs w:val="18"/>
                <w:lang w:val="fr-FR"/>
              </w:rPr>
              <w:t>Conséquences sur la conservation</w:t>
            </w:r>
          </w:p>
        </w:tc>
        <w:tc>
          <w:tcPr>
            <w:tcW w:w="1920" w:type="dxa"/>
            <w:tcMar>
              <w:left w:w="105" w:type="dxa"/>
              <w:right w:w="105" w:type="dxa"/>
            </w:tcMar>
          </w:tcPr>
          <w:p w14:paraId="45ADA352"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b/>
                <w:bCs/>
                <w:sz w:val="18"/>
                <w:szCs w:val="18"/>
                <w:lang w:val="fr-FR"/>
              </w:rPr>
              <w:t>Stratégies d’atténuation</w:t>
            </w:r>
          </w:p>
        </w:tc>
      </w:tr>
      <w:tr w:rsidR="00BE5E9B" w:rsidRPr="00006560" w14:paraId="26665D29" w14:textId="77777777">
        <w:trPr>
          <w:trHeight w:val="1065"/>
        </w:trPr>
        <w:tc>
          <w:tcPr>
            <w:tcW w:w="1710" w:type="dxa"/>
            <w:tcMar>
              <w:left w:w="105" w:type="dxa"/>
              <w:right w:w="105" w:type="dxa"/>
            </w:tcMar>
          </w:tcPr>
          <w:p w14:paraId="34078E6F"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Augmentation des températures</w:t>
            </w:r>
          </w:p>
        </w:tc>
        <w:tc>
          <w:tcPr>
            <w:tcW w:w="1920" w:type="dxa"/>
            <w:tcMar>
              <w:left w:w="105" w:type="dxa"/>
              <w:right w:w="105" w:type="dxa"/>
            </w:tcMar>
          </w:tcPr>
          <w:p w14:paraId="20F00FEB"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Modifications de la répartition (latitudes plus élevées)</w:t>
            </w:r>
          </w:p>
          <w:p w14:paraId="349F6ACF" w14:textId="77777777" w:rsidR="00BE5E9B" w:rsidRPr="008233A5" w:rsidRDefault="00BE5E9B" w:rsidP="00CD3A43">
            <w:pPr>
              <w:spacing w:before="40" w:after="40"/>
              <w:rPr>
                <w:rFonts w:ascii="Arial" w:eastAsia="Arial" w:hAnsi="Arial" w:cs="Arial"/>
                <w:sz w:val="18"/>
                <w:szCs w:val="18"/>
                <w:lang w:val="fr-FR"/>
              </w:rPr>
            </w:pPr>
          </w:p>
          <w:p w14:paraId="62D16921"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Modification de la répartition des proies</w:t>
            </w:r>
          </w:p>
        </w:tc>
        <w:tc>
          <w:tcPr>
            <w:tcW w:w="1575" w:type="dxa"/>
            <w:vMerge w:val="restart"/>
            <w:tcMar>
              <w:left w:w="105" w:type="dxa"/>
              <w:right w:w="105" w:type="dxa"/>
            </w:tcMar>
          </w:tcPr>
          <w:p w14:paraId="16BB0057"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Réduction de l’habitat, perturbation des schémas de plongée naturels, faim, malnutrition, stress, augmentation de la dépense énergétique, interaction accrue avec les prédateurs, augmentation des lésions (internes), augmentation des conflits avec les humains</w:t>
            </w:r>
          </w:p>
        </w:tc>
        <w:tc>
          <w:tcPr>
            <w:tcW w:w="1860" w:type="dxa"/>
            <w:vMerge w:val="restart"/>
            <w:tcMar>
              <w:left w:w="105" w:type="dxa"/>
              <w:right w:w="105" w:type="dxa"/>
            </w:tcMar>
          </w:tcPr>
          <w:p w14:paraId="1F08CBEB"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Augmentation de la mortalité, diminution de la reproduction</w:t>
            </w:r>
          </w:p>
          <w:p w14:paraId="2F83C6B2" w14:textId="77777777" w:rsidR="00BE5E9B" w:rsidRPr="008233A5" w:rsidRDefault="00BE5E9B" w:rsidP="00CD3A43">
            <w:pPr>
              <w:spacing w:before="40" w:after="40"/>
              <w:rPr>
                <w:rFonts w:ascii="Arial" w:eastAsia="Arial" w:hAnsi="Arial" w:cs="Arial"/>
                <w:sz w:val="18"/>
                <w:szCs w:val="18"/>
                <w:lang w:val="fr-FR"/>
              </w:rPr>
            </w:pPr>
          </w:p>
        </w:tc>
        <w:tc>
          <w:tcPr>
            <w:tcW w:w="1920" w:type="dxa"/>
            <w:vMerge w:val="restart"/>
            <w:tcMar>
              <w:left w:w="105" w:type="dxa"/>
              <w:right w:w="105" w:type="dxa"/>
            </w:tcMar>
          </w:tcPr>
          <w:p w14:paraId="6D6A69B6"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Zones protégées et plans de gestion nouveaux ou actualisés qui englobent le déplacement des zones critiques et des profondeurs, ainsi que la gestion des activités anthropiques (par exemple, la pêche, la marine)</w:t>
            </w:r>
          </w:p>
        </w:tc>
      </w:tr>
      <w:tr w:rsidR="00BE5E9B" w:rsidRPr="00006560" w14:paraId="6F1ACBDF" w14:textId="77777777">
        <w:trPr>
          <w:trHeight w:val="555"/>
        </w:trPr>
        <w:tc>
          <w:tcPr>
            <w:tcW w:w="1710" w:type="dxa"/>
            <w:vMerge w:val="restart"/>
            <w:tcMar>
              <w:left w:w="105" w:type="dxa"/>
              <w:right w:w="105" w:type="dxa"/>
            </w:tcMar>
          </w:tcPr>
          <w:p w14:paraId="4010B30E"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Fréquence accrue des événements El Niño et La Niña</w:t>
            </w:r>
          </w:p>
        </w:tc>
        <w:tc>
          <w:tcPr>
            <w:tcW w:w="1920" w:type="dxa"/>
            <w:tcMar>
              <w:left w:w="105" w:type="dxa"/>
              <w:right w:w="105" w:type="dxa"/>
            </w:tcMar>
          </w:tcPr>
          <w:p w14:paraId="5BB1ECA9"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Modification de la répartition (près des côtes)</w:t>
            </w:r>
          </w:p>
        </w:tc>
        <w:tc>
          <w:tcPr>
            <w:tcW w:w="1575" w:type="dxa"/>
            <w:vMerge/>
            <w:vAlign w:val="center"/>
          </w:tcPr>
          <w:p w14:paraId="53D101A9" w14:textId="77777777" w:rsidR="00BE5E9B" w:rsidRPr="008233A5" w:rsidRDefault="00BE5E9B" w:rsidP="00CD3A43">
            <w:pPr>
              <w:spacing w:before="40" w:after="40"/>
              <w:rPr>
                <w:lang w:val="fr-FR"/>
              </w:rPr>
            </w:pPr>
          </w:p>
        </w:tc>
        <w:tc>
          <w:tcPr>
            <w:tcW w:w="1860" w:type="dxa"/>
            <w:vMerge/>
            <w:vAlign w:val="center"/>
          </w:tcPr>
          <w:p w14:paraId="14398A50" w14:textId="77777777" w:rsidR="00BE5E9B" w:rsidRPr="008233A5" w:rsidRDefault="00BE5E9B" w:rsidP="00CD3A43">
            <w:pPr>
              <w:spacing w:before="40" w:after="40"/>
              <w:rPr>
                <w:lang w:val="fr-FR"/>
              </w:rPr>
            </w:pPr>
          </w:p>
        </w:tc>
        <w:tc>
          <w:tcPr>
            <w:tcW w:w="1920" w:type="dxa"/>
            <w:vMerge/>
            <w:vAlign w:val="center"/>
          </w:tcPr>
          <w:p w14:paraId="7E7BD156" w14:textId="77777777" w:rsidR="00BE5E9B" w:rsidRPr="008233A5" w:rsidRDefault="00BE5E9B" w:rsidP="00CD3A43">
            <w:pPr>
              <w:spacing w:before="40" w:after="40"/>
              <w:rPr>
                <w:lang w:val="fr-FR"/>
              </w:rPr>
            </w:pPr>
          </w:p>
        </w:tc>
      </w:tr>
      <w:tr w:rsidR="00BE5E9B" w:rsidRPr="00006560" w14:paraId="38CFE76B" w14:textId="77777777">
        <w:trPr>
          <w:trHeight w:val="2100"/>
        </w:trPr>
        <w:tc>
          <w:tcPr>
            <w:tcW w:w="1710" w:type="dxa"/>
            <w:vMerge/>
            <w:vAlign w:val="center"/>
          </w:tcPr>
          <w:p w14:paraId="720C1F1F" w14:textId="77777777" w:rsidR="00BE5E9B" w:rsidRPr="008233A5" w:rsidRDefault="00BE5E9B" w:rsidP="00CD3A43">
            <w:pPr>
              <w:spacing w:before="40" w:after="40"/>
              <w:rPr>
                <w:lang w:val="fr-FR"/>
              </w:rPr>
            </w:pPr>
          </w:p>
        </w:tc>
        <w:tc>
          <w:tcPr>
            <w:tcW w:w="1920" w:type="dxa"/>
            <w:tcMar>
              <w:left w:w="105" w:type="dxa"/>
              <w:right w:w="105" w:type="dxa"/>
            </w:tcMar>
          </w:tcPr>
          <w:p w14:paraId="5612E4DE" w14:textId="77777777" w:rsidR="00BE5E9B" w:rsidRPr="008233A5" w:rsidRDefault="00B757F7" w:rsidP="00CD3A43">
            <w:pPr>
              <w:spacing w:before="40" w:after="40"/>
              <w:rPr>
                <w:rFonts w:ascii="Arial" w:eastAsia="Arial" w:hAnsi="Arial" w:cs="Arial"/>
                <w:sz w:val="18"/>
                <w:szCs w:val="18"/>
                <w:lang w:val="fr-FR"/>
              </w:rPr>
            </w:pPr>
            <w:r w:rsidRPr="008233A5">
              <w:rPr>
                <w:rFonts w:ascii="Arial" w:eastAsia="Arial" w:hAnsi="Arial" w:cs="Arial"/>
                <w:sz w:val="18"/>
                <w:szCs w:val="18"/>
                <w:lang w:val="fr-FR"/>
              </w:rPr>
              <w:t>Modifications de la répartition (au niveau vertical)</w:t>
            </w:r>
          </w:p>
        </w:tc>
        <w:tc>
          <w:tcPr>
            <w:tcW w:w="1575" w:type="dxa"/>
            <w:vMerge/>
            <w:vAlign w:val="center"/>
          </w:tcPr>
          <w:p w14:paraId="2DE2F530" w14:textId="77777777" w:rsidR="00BE5E9B" w:rsidRPr="008233A5" w:rsidRDefault="00BE5E9B" w:rsidP="00CD3A43">
            <w:pPr>
              <w:spacing w:before="40" w:after="40"/>
              <w:rPr>
                <w:lang w:val="fr-FR"/>
              </w:rPr>
            </w:pPr>
          </w:p>
        </w:tc>
        <w:tc>
          <w:tcPr>
            <w:tcW w:w="1860" w:type="dxa"/>
            <w:vMerge/>
            <w:vAlign w:val="center"/>
          </w:tcPr>
          <w:p w14:paraId="76E4F26C" w14:textId="77777777" w:rsidR="00BE5E9B" w:rsidRPr="008233A5" w:rsidRDefault="00BE5E9B" w:rsidP="00CD3A43">
            <w:pPr>
              <w:spacing w:before="40" w:after="40"/>
              <w:rPr>
                <w:lang w:val="fr-FR"/>
              </w:rPr>
            </w:pPr>
          </w:p>
        </w:tc>
        <w:tc>
          <w:tcPr>
            <w:tcW w:w="1920" w:type="dxa"/>
            <w:vMerge/>
            <w:vAlign w:val="center"/>
          </w:tcPr>
          <w:p w14:paraId="48351E15" w14:textId="77777777" w:rsidR="00BE5E9B" w:rsidRPr="008233A5" w:rsidRDefault="00BE5E9B" w:rsidP="00CD3A43">
            <w:pPr>
              <w:spacing w:before="40" w:after="40"/>
              <w:rPr>
                <w:lang w:val="fr-FR"/>
              </w:rPr>
            </w:pPr>
          </w:p>
        </w:tc>
      </w:tr>
    </w:tbl>
    <w:p w14:paraId="1AEDBAE8" w14:textId="77777777" w:rsidR="00BE5E9B" w:rsidRPr="008233A5" w:rsidRDefault="00B757F7">
      <w:pPr>
        <w:spacing w:after="0" w:line="240" w:lineRule="auto"/>
        <w:jc w:val="both"/>
        <w:rPr>
          <w:rFonts w:eastAsia="Arial" w:cs="Arial"/>
          <w:lang w:val="fr-FR"/>
        </w:rPr>
      </w:pPr>
      <w:r w:rsidRPr="008233A5">
        <w:rPr>
          <w:rFonts w:eastAsia="Arial" w:cs="Arial"/>
          <w:lang w:val="fr-FR"/>
        </w:rPr>
        <w:br w:type="page"/>
      </w:r>
    </w:p>
    <w:p w14:paraId="2D281140" w14:textId="77777777" w:rsidR="00BE5E9B" w:rsidRPr="008233A5" w:rsidRDefault="00B757F7">
      <w:pPr>
        <w:spacing w:after="0" w:line="240" w:lineRule="auto"/>
        <w:jc w:val="both"/>
        <w:rPr>
          <w:rFonts w:eastAsia="Arial" w:cs="Arial"/>
          <w:lang w:val="fr-FR"/>
        </w:rPr>
      </w:pPr>
      <w:r w:rsidRPr="008233A5">
        <w:rPr>
          <w:rFonts w:eastAsia="Arial" w:cs="Arial"/>
          <w:lang w:val="fr-FR"/>
        </w:rPr>
        <w:lastRenderedPageBreak/>
        <w:t>Baleines grises</w:t>
      </w:r>
    </w:p>
    <w:p w14:paraId="752A9C37" w14:textId="77777777" w:rsidR="00BE5E9B" w:rsidRPr="008233A5" w:rsidRDefault="00BE5E9B">
      <w:pPr>
        <w:spacing w:after="0" w:line="240" w:lineRule="auto"/>
        <w:jc w:val="both"/>
        <w:rPr>
          <w:rFonts w:eastAsia="Arial" w:cs="Arial"/>
          <w:lang w:val="fr-FR"/>
        </w:rPr>
      </w:pPr>
    </w:p>
    <w:p w14:paraId="7EB7CD42" w14:textId="77777777" w:rsidR="00BE5E9B" w:rsidRPr="008233A5" w:rsidRDefault="00B757F7">
      <w:pPr>
        <w:keepNext/>
        <w:spacing w:after="120" w:line="240" w:lineRule="auto"/>
        <w:jc w:val="both"/>
        <w:rPr>
          <w:rFonts w:eastAsia="Arial" w:cs="Arial"/>
          <w:i/>
          <w:iCs/>
          <w:lang w:val="fr-FR"/>
        </w:rPr>
      </w:pPr>
      <w:r w:rsidRPr="008233A5">
        <w:rPr>
          <w:rFonts w:eastAsia="Arial" w:cs="Arial"/>
          <w:lang w:val="fr-FR"/>
        </w:rPr>
        <w:t>Tableau 4. Impacts du changement climatique sur le bien-être et la conservation de la baleine grise, et stratégies potentielles d’atténuation.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25"/>
        <w:gridCol w:w="1995"/>
        <w:gridCol w:w="1860"/>
        <w:gridCol w:w="1800"/>
        <w:gridCol w:w="1860"/>
      </w:tblGrid>
      <w:tr w:rsidR="00BE5E9B" w:rsidRPr="008233A5" w14:paraId="43CA2F95" w14:textId="77777777">
        <w:trPr>
          <w:trHeight w:val="705"/>
        </w:trPr>
        <w:tc>
          <w:tcPr>
            <w:tcW w:w="1725" w:type="dxa"/>
            <w:tcMar>
              <w:left w:w="105" w:type="dxa"/>
              <w:right w:w="105" w:type="dxa"/>
            </w:tcMar>
          </w:tcPr>
          <w:p w14:paraId="6C4A50BD"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b/>
                <w:bCs/>
                <w:sz w:val="18"/>
                <w:szCs w:val="18"/>
                <w:lang w:val="fr-FR"/>
              </w:rPr>
              <w:t>Impact du changement climatique</w:t>
            </w:r>
          </w:p>
        </w:tc>
        <w:tc>
          <w:tcPr>
            <w:tcW w:w="1995" w:type="dxa"/>
            <w:tcMar>
              <w:left w:w="105" w:type="dxa"/>
              <w:right w:w="105" w:type="dxa"/>
            </w:tcMar>
          </w:tcPr>
          <w:p w14:paraId="7A0854EC"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b/>
                <w:bCs/>
                <w:sz w:val="18"/>
                <w:szCs w:val="18"/>
                <w:lang w:val="fr-FR"/>
              </w:rPr>
              <w:t>Effet sur la baleine grise</w:t>
            </w:r>
          </w:p>
        </w:tc>
        <w:tc>
          <w:tcPr>
            <w:tcW w:w="1860" w:type="dxa"/>
            <w:tcMar>
              <w:left w:w="105" w:type="dxa"/>
              <w:right w:w="105" w:type="dxa"/>
            </w:tcMar>
          </w:tcPr>
          <w:p w14:paraId="2CAEE217"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b/>
                <w:bCs/>
                <w:sz w:val="18"/>
                <w:szCs w:val="18"/>
                <w:lang w:val="fr-FR"/>
              </w:rPr>
              <w:t>Conséquences sur le bien-être</w:t>
            </w:r>
          </w:p>
        </w:tc>
        <w:tc>
          <w:tcPr>
            <w:tcW w:w="1800" w:type="dxa"/>
            <w:tcMar>
              <w:left w:w="105" w:type="dxa"/>
              <w:right w:w="105" w:type="dxa"/>
            </w:tcMar>
          </w:tcPr>
          <w:p w14:paraId="4C2445AD"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b/>
                <w:bCs/>
                <w:sz w:val="18"/>
                <w:szCs w:val="18"/>
                <w:lang w:val="fr-FR"/>
              </w:rPr>
              <w:t>Conséquences sur la conservation</w:t>
            </w:r>
          </w:p>
        </w:tc>
        <w:tc>
          <w:tcPr>
            <w:tcW w:w="1860" w:type="dxa"/>
            <w:tcMar>
              <w:left w:w="105" w:type="dxa"/>
              <w:right w:w="105" w:type="dxa"/>
            </w:tcMar>
          </w:tcPr>
          <w:p w14:paraId="2691D5F7"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b/>
                <w:bCs/>
                <w:sz w:val="18"/>
                <w:szCs w:val="18"/>
                <w:lang w:val="fr-FR"/>
              </w:rPr>
              <w:t xml:space="preserve">Stratégies d’atténuation </w:t>
            </w:r>
          </w:p>
        </w:tc>
      </w:tr>
      <w:tr w:rsidR="00BE5E9B" w:rsidRPr="00006560" w14:paraId="4F0DB126" w14:textId="77777777">
        <w:trPr>
          <w:trHeight w:val="675"/>
        </w:trPr>
        <w:tc>
          <w:tcPr>
            <w:tcW w:w="1725" w:type="dxa"/>
            <w:vMerge w:val="restart"/>
            <w:tcMar>
              <w:left w:w="105" w:type="dxa"/>
              <w:right w:w="105" w:type="dxa"/>
            </w:tcMar>
          </w:tcPr>
          <w:p w14:paraId="3E905294"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sz w:val="18"/>
                <w:szCs w:val="18"/>
                <w:lang w:val="fr-FR"/>
              </w:rPr>
              <w:t>Augmentation des températures</w:t>
            </w:r>
          </w:p>
        </w:tc>
        <w:tc>
          <w:tcPr>
            <w:tcW w:w="1995" w:type="dxa"/>
            <w:tcMar>
              <w:left w:w="105" w:type="dxa"/>
              <w:right w:w="105" w:type="dxa"/>
            </w:tcMar>
          </w:tcPr>
          <w:p w14:paraId="41BCBD60"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sz w:val="18"/>
                <w:szCs w:val="18"/>
                <w:lang w:val="fr-FR"/>
              </w:rPr>
              <w:t>Modifications de la répartition dans les zones de recherche de nourriture</w:t>
            </w:r>
          </w:p>
        </w:tc>
        <w:tc>
          <w:tcPr>
            <w:tcW w:w="1860" w:type="dxa"/>
            <w:vMerge w:val="restart"/>
            <w:tcMar>
              <w:left w:w="105" w:type="dxa"/>
              <w:right w:w="105" w:type="dxa"/>
            </w:tcMar>
          </w:tcPr>
          <w:p w14:paraId="00B9DBE7"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sz w:val="18"/>
                <w:szCs w:val="18"/>
                <w:lang w:val="fr-FR"/>
              </w:rPr>
              <w:t>Faim, malnutrition, stress, augmentation de la dépense énergétique, perturbation des cycles de vie naturels</w:t>
            </w:r>
          </w:p>
        </w:tc>
        <w:tc>
          <w:tcPr>
            <w:tcW w:w="1800" w:type="dxa"/>
            <w:vMerge w:val="restart"/>
            <w:tcMar>
              <w:left w:w="105" w:type="dxa"/>
              <w:right w:w="105" w:type="dxa"/>
            </w:tcMar>
          </w:tcPr>
          <w:p w14:paraId="7535E017"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sz w:val="18"/>
                <w:szCs w:val="18"/>
                <w:lang w:val="fr-FR"/>
              </w:rPr>
              <w:t>Augmentation de la mortalité, diminution de l’état corporel/de la taille, baisse des taux de reproduction, augmentation des conflits avec les activités humaines</w:t>
            </w:r>
          </w:p>
        </w:tc>
        <w:tc>
          <w:tcPr>
            <w:tcW w:w="1860" w:type="dxa"/>
            <w:vMerge w:val="restart"/>
            <w:tcMar>
              <w:left w:w="105" w:type="dxa"/>
              <w:right w:w="105" w:type="dxa"/>
            </w:tcMar>
          </w:tcPr>
          <w:p w14:paraId="2EE2D4E2"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sz w:val="18"/>
                <w:szCs w:val="18"/>
                <w:lang w:val="fr-FR"/>
              </w:rPr>
              <w:t>Zones protégées et plans de gestion nouveaux ou mis à jour qui englobent le déplacement des zones critiques/la modification temporelle des corridors de migration, la gestion des activités anthropiques (par exemple, la pêche, le pétrole et le gaz, les énergies renouvelables)</w:t>
            </w:r>
          </w:p>
        </w:tc>
      </w:tr>
      <w:tr w:rsidR="00BE5E9B" w:rsidRPr="008233A5" w14:paraId="0169FC6A" w14:textId="77777777">
        <w:trPr>
          <w:trHeight w:val="540"/>
        </w:trPr>
        <w:tc>
          <w:tcPr>
            <w:tcW w:w="1725" w:type="dxa"/>
            <w:vMerge/>
            <w:vAlign w:val="center"/>
          </w:tcPr>
          <w:p w14:paraId="5B51F0D8" w14:textId="77777777" w:rsidR="00BE5E9B" w:rsidRPr="008233A5" w:rsidRDefault="00BE5E9B" w:rsidP="008E71CE">
            <w:pPr>
              <w:spacing w:before="40" w:after="40"/>
              <w:rPr>
                <w:lang w:val="fr-FR"/>
              </w:rPr>
            </w:pPr>
          </w:p>
        </w:tc>
        <w:tc>
          <w:tcPr>
            <w:tcW w:w="1995" w:type="dxa"/>
            <w:tcMar>
              <w:left w:w="105" w:type="dxa"/>
              <w:right w:w="105" w:type="dxa"/>
            </w:tcMar>
          </w:tcPr>
          <w:p w14:paraId="719179D7"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sz w:val="18"/>
                <w:szCs w:val="18"/>
                <w:lang w:val="fr-FR"/>
              </w:rPr>
              <w:t>Diminution/déplacement des proies</w:t>
            </w:r>
          </w:p>
        </w:tc>
        <w:tc>
          <w:tcPr>
            <w:tcW w:w="1860" w:type="dxa"/>
            <w:vMerge/>
            <w:vAlign w:val="center"/>
          </w:tcPr>
          <w:p w14:paraId="74FC121B" w14:textId="77777777" w:rsidR="00BE5E9B" w:rsidRPr="008233A5" w:rsidRDefault="00BE5E9B" w:rsidP="008E71CE">
            <w:pPr>
              <w:spacing w:before="40" w:after="40"/>
              <w:rPr>
                <w:lang w:val="fr-FR"/>
              </w:rPr>
            </w:pPr>
          </w:p>
        </w:tc>
        <w:tc>
          <w:tcPr>
            <w:tcW w:w="1800" w:type="dxa"/>
            <w:vMerge/>
            <w:vAlign w:val="center"/>
          </w:tcPr>
          <w:p w14:paraId="054F9052" w14:textId="77777777" w:rsidR="00BE5E9B" w:rsidRPr="008233A5" w:rsidRDefault="00BE5E9B" w:rsidP="008E71CE">
            <w:pPr>
              <w:spacing w:before="40" w:after="40"/>
              <w:rPr>
                <w:lang w:val="fr-FR"/>
              </w:rPr>
            </w:pPr>
          </w:p>
        </w:tc>
        <w:tc>
          <w:tcPr>
            <w:tcW w:w="1860" w:type="dxa"/>
            <w:vMerge/>
            <w:vAlign w:val="center"/>
          </w:tcPr>
          <w:p w14:paraId="58604CAA" w14:textId="77777777" w:rsidR="00BE5E9B" w:rsidRPr="008233A5" w:rsidRDefault="00BE5E9B" w:rsidP="008E71CE">
            <w:pPr>
              <w:spacing w:before="40" w:after="40"/>
              <w:rPr>
                <w:lang w:val="fr-FR"/>
              </w:rPr>
            </w:pPr>
          </w:p>
        </w:tc>
      </w:tr>
      <w:tr w:rsidR="00BE5E9B" w:rsidRPr="008233A5" w14:paraId="7DF38F19" w14:textId="77777777">
        <w:trPr>
          <w:trHeight w:val="420"/>
        </w:trPr>
        <w:tc>
          <w:tcPr>
            <w:tcW w:w="1725" w:type="dxa"/>
            <w:vMerge/>
            <w:vAlign w:val="center"/>
          </w:tcPr>
          <w:p w14:paraId="5A051C23" w14:textId="77777777" w:rsidR="00BE5E9B" w:rsidRPr="008233A5" w:rsidRDefault="00BE5E9B" w:rsidP="008E71CE">
            <w:pPr>
              <w:spacing w:before="40" w:after="40"/>
              <w:rPr>
                <w:lang w:val="fr-FR"/>
              </w:rPr>
            </w:pPr>
          </w:p>
        </w:tc>
        <w:tc>
          <w:tcPr>
            <w:tcW w:w="1995" w:type="dxa"/>
            <w:tcMar>
              <w:left w:w="105" w:type="dxa"/>
              <w:right w:w="105" w:type="dxa"/>
            </w:tcMar>
          </w:tcPr>
          <w:p w14:paraId="11155C4F"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sz w:val="18"/>
                <w:szCs w:val="18"/>
                <w:lang w:val="fr-FR"/>
              </w:rPr>
              <w:t>Modifications temporelles des migrations</w:t>
            </w:r>
          </w:p>
          <w:p w14:paraId="7B830FB9" w14:textId="77777777" w:rsidR="00BE5E9B" w:rsidRPr="008233A5" w:rsidRDefault="00BE5E9B" w:rsidP="008E71CE">
            <w:pPr>
              <w:spacing w:before="40" w:after="40"/>
              <w:rPr>
                <w:rFonts w:ascii="Arial" w:eastAsia="Arial" w:hAnsi="Arial" w:cs="Arial"/>
                <w:sz w:val="18"/>
                <w:szCs w:val="18"/>
                <w:lang w:val="fr-FR"/>
              </w:rPr>
            </w:pPr>
          </w:p>
        </w:tc>
        <w:tc>
          <w:tcPr>
            <w:tcW w:w="1860" w:type="dxa"/>
            <w:vMerge/>
            <w:vAlign w:val="center"/>
          </w:tcPr>
          <w:p w14:paraId="6DFF21EB" w14:textId="77777777" w:rsidR="00BE5E9B" w:rsidRPr="008233A5" w:rsidRDefault="00BE5E9B" w:rsidP="008E71CE">
            <w:pPr>
              <w:spacing w:before="40" w:after="40"/>
              <w:rPr>
                <w:lang w:val="fr-FR"/>
              </w:rPr>
            </w:pPr>
          </w:p>
        </w:tc>
        <w:tc>
          <w:tcPr>
            <w:tcW w:w="1800" w:type="dxa"/>
            <w:vMerge/>
            <w:vAlign w:val="center"/>
          </w:tcPr>
          <w:p w14:paraId="6FC51BFF" w14:textId="77777777" w:rsidR="00BE5E9B" w:rsidRPr="008233A5" w:rsidRDefault="00BE5E9B" w:rsidP="008E71CE">
            <w:pPr>
              <w:spacing w:before="40" w:after="40"/>
              <w:rPr>
                <w:lang w:val="fr-FR"/>
              </w:rPr>
            </w:pPr>
          </w:p>
        </w:tc>
        <w:tc>
          <w:tcPr>
            <w:tcW w:w="1860" w:type="dxa"/>
            <w:vMerge/>
            <w:vAlign w:val="center"/>
          </w:tcPr>
          <w:p w14:paraId="77CFE791" w14:textId="77777777" w:rsidR="00BE5E9B" w:rsidRPr="008233A5" w:rsidRDefault="00BE5E9B" w:rsidP="008E71CE">
            <w:pPr>
              <w:spacing w:before="40" w:after="40"/>
              <w:rPr>
                <w:lang w:val="fr-FR"/>
              </w:rPr>
            </w:pPr>
          </w:p>
        </w:tc>
      </w:tr>
      <w:tr w:rsidR="00BE5E9B" w:rsidRPr="008233A5" w14:paraId="0FAFD66A" w14:textId="77777777">
        <w:trPr>
          <w:trHeight w:val="810"/>
        </w:trPr>
        <w:tc>
          <w:tcPr>
            <w:tcW w:w="1725" w:type="dxa"/>
            <w:vMerge/>
            <w:vAlign w:val="center"/>
          </w:tcPr>
          <w:p w14:paraId="03C5A1CE" w14:textId="77777777" w:rsidR="00BE5E9B" w:rsidRPr="008233A5" w:rsidRDefault="00BE5E9B" w:rsidP="008E71CE">
            <w:pPr>
              <w:spacing w:before="40" w:after="40"/>
              <w:rPr>
                <w:lang w:val="fr-FR"/>
              </w:rPr>
            </w:pPr>
          </w:p>
        </w:tc>
        <w:tc>
          <w:tcPr>
            <w:tcW w:w="1995" w:type="dxa"/>
            <w:tcMar>
              <w:left w:w="105" w:type="dxa"/>
              <w:right w:w="105" w:type="dxa"/>
            </w:tcMar>
          </w:tcPr>
          <w:p w14:paraId="4FDD08B8"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sz w:val="18"/>
                <w:szCs w:val="18"/>
                <w:lang w:val="fr-FR"/>
              </w:rPr>
              <w:t>Modifications spatiales des migrations</w:t>
            </w:r>
          </w:p>
        </w:tc>
        <w:tc>
          <w:tcPr>
            <w:tcW w:w="1860" w:type="dxa"/>
            <w:vMerge/>
            <w:vAlign w:val="center"/>
          </w:tcPr>
          <w:p w14:paraId="6DA44D1D" w14:textId="77777777" w:rsidR="00BE5E9B" w:rsidRPr="008233A5" w:rsidRDefault="00BE5E9B" w:rsidP="008E71CE">
            <w:pPr>
              <w:spacing w:before="40" w:after="40"/>
              <w:rPr>
                <w:lang w:val="fr-FR"/>
              </w:rPr>
            </w:pPr>
          </w:p>
        </w:tc>
        <w:tc>
          <w:tcPr>
            <w:tcW w:w="1800" w:type="dxa"/>
            <w:vMerge/>
            <w:vAlign w:val="center"/>
          </w:tcPr>
          <w:p w14:paraId="532F3C4F" w14:textId="77777777" w:rsidR="00BE5E9B" w:rsidRPr="008233A5" w:rsidRDefault="00BE5E9B" w:rsidP="008E71CE">
            <w:pPr>
              <w:spacing w:before="40" w:after="40"/>
              <w:rPr>
                <w:lang w:val="fr-FR"/>
              </w:rPr>
            </w:pPr>
          </w:p>
        </w:tc>
        <w:tc>
          <w:tcPr>
            <w:tcW w:w="1860" w:type="dxa"/>
            <w:vMerge/>
            <w:vAlign w:val="center"/>
          </w:tcPr>
          <w:p w14:paraId="56297665" w14:textId="77777777" w:rsidR="00BE5E9B" w:rsidRPr="008233A5" w:rsidRDefault="00BE5E9B" w:rsidP="008E71CE">
            <w:pPr>
              <w:spacing w:before="40" w:after="40"/>
              <w:rPr>
                <w:lang w:val="fr-FR"/>
              </w:rPr>
            </w:pPr>
          </w:p>
        </w:tc>
      </w:tr>
      <w:tr w:rsidR="00BE5E9B" w:rsidRPr="00006560" w14:paraId="67F96C97" w14:textId="77777777">
        <w:trPr>
          <w:trHeight w:val="810"/>
        </w:trPr>
        <w:tc>
          <w:tcPr>
            <w:tcW w:w="1725" w:type="dxa"/>
            <w:tcMar>
              <w:left w:w="105" w:type="dxa"/>
              <w:right w:w="105" w:type="dxa"/>
            </w:tcMar>
          </w:tcPr>
          <w:p w14:paraId="67C14C30"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sz w:val="18"/>
                <w:szCs w:val="18"/>
                <w:lang w:val="fr-FR"/>
              </w:rPr>
              <w:t xml:space="preserve">Augmentation des événements El Niño et La Niña </w:t>
            </w:r>
          </w:p>
        </w:tc>
        <w:tc>
          <w:tcPr>
            <w:tcW w:w="1995" w:type="dxa"/>
            <w:tcMar>
              <w:left w:w="105" w:type="dxa"/>
              <w:right w:w="105" w:type="dxa"/>
            </w:tcMar>
          </w:tcPr>
          <w:p w14:paraId="7D94C9AA"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sz w:val="18"/>
                <w:szCs w:val="18"/>
                <w:lang w:val="fr-FR"/>
              </w:rPr>
              <w:t>Modifications de la répartition dans les zones de reproduction</w:t>
            </w:r>
          </w:p>
          <w:p w14:paraId="5009851B" w14:textId="77777777" w:rsidR="00BE5E9B" w:rsidRPr="008233A5" w:rsidRDefault="00BE5E9B" w:rsidP="008E71CE">
            <w:pPr>
              <w:spacing w:before="40" w:after="40"/>
              <w:rPr>
                <w:rFonts w:ascii="Arial" w:eastAsia="Arial" w:hAnsi="Arial" w:cs="Arial"/>
                <w:sz w:val="18"/>
                <w:szCs w:val="18"/>
                <w:lang w:val="fr-FR"/>
              </w:rPr>
            </w:pPr>
          </w:p>
        </w:tc>
        <w:tc>
          <w:tcPr>
            <w:tcW w:w="1860" w:type="dxa"/>
            <w:tcMar>
              <w:left w:w="105" w:type="dxa"/>
              <w:right w:w="105" w:type="dxa"/>
            </w:tcMar>
          </w:tcPr>
          <w:p w14:paraId="18442A83"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sz w:val="18"/>
                <w:szCs w:val="18"/>
                <w:lang w:val="fr-FR"/>
              </w:rPr>
              <w:t>Perturbation du comportement social, choc thermique, stress, douleur, inconfort, augmentation de la dépense énergétique</w:t>
            </w:r>
          </w:p>
          <w:p w14:paraId="0A1FA4EE" w14:textId="77777777" w:rsidR="00BE5E9B" w:rsidRPr="008233A5" w:rsidRDefault="00BE5E9B" w:rsidP="008E71CE">
            <w:pPr>
              <w:spacing w:before="40" w:after="40"/>
              <w:rPr>
                <w:rFonts w:ascii="Arial" w:eastAsia="Arial" w:hAnsi="Arial" w:cs="Arial"/>
                <w:sz w:val="18"/>
                <w:szCs w:val="18"/>
                <w:lang w:val="fr-FR"/>
              </w:rPr>
            </w:pPr>
          </w:p>
        </w:tc>
        <w:tc>
          <w:tcPr>
            <w:tcW w:w="1800" w:type="dxa"/>
            <w:tcMar>
              <w:left w:w="105" w:type="dxa"/>
              <w:right w:w="105" w:type="dxa"/>
            </w:tcMar>
          </w:tcPr>
          <w:p w14:paraId="7B0700EB"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sz w:val="18"/>
                <w:szCs w:val="18"/>
                <w:lang w:val="fr-FR"/>
              </w:rPr>
              <w:t>Augmentation de la mortalité, baisse des taux de reproduction, augmentation des conflits avec les activités humaines</w:t>
            </w:r>
          </w:p>
        </w:tc>
        <w:tc>
          <w:tcPr>
            <w:tcW w:w="1860" w:type="dxa"/>
            <w:tcMar>
              <w:left w:w="105" w:type="dxa"/>
              <w:right w:w="105" w:type="dxa"/>
            </w:tcMar>
          </w:tcPr>
          <w:p w14:paraId="56BB3BFE" w14:textId="77777777" w:rsidR="00BE5E9B" w:rsidRPr="008233A5" w:rsidRDefault="00B757F7" w:rsidP="008E71CE">
            <w:pPr>
              <w:spacing w:before="40" w:after="40"/>
              <w:rPr>
                <w:rFonts w:ascii="Arial" w:eastAsia="Arial" w:hAnsi="Arial" w:cs="Arial"/>
                <w:sz w:val="18"/>
                <w:szCs w:val="18"/>
                <w:lang w:val="fr-FR"/>
              </w:rPr>
            </w:pPr>
            <w:r w:rsidRPr="008233A5">
              <w:rPr>
                <w:rFonts w:ascii="Arial" w:eastAsia="Arial" w:hAnsi="Arial" w:cs="Arial"/>
                <w:sz w:val="18"/>
                <w:szCs w:val="18"/>
                <w:lang w:val="fr-FR"/>
              </w:rPr>
              <w:t>Zones protégées et plans de gestion nouveaux ou mis à jour qui englobent le déplacement des zones critiques, gestion des activités anthropiques (pêche, pétrole et gaz, énergies renouvelables)</w:t>
            </w:r>
          </w:p>
        </w:tc>
      </w:tr>
    </w:tbl>
    <w:p w14:paraId="66C7DD95" w14:textId="77777777" w:rsidR="00BE5E9B" w:rsidRPr="008233A5" w:rsidRDefault="00BE5E9B">
      <w:pPr>
        <w:spacing w:after="0" w:line="278" w:lineRule="auto"/>
        <w:jc w:val="both"/>
        <w:rPr>
          <w:rFonts w:eastAsia="Arial" w:cs="Arial"/>
          <w:lang w:val="fr-FR"/>
        </w:rPr>
      </w:pPr>
    </w:p>
    <w:p w14:paraId="1C8C7938" w14:textId="77777777" w:rsidR="00BE5E9B" w:rsidRPr="008233A5" w:rsidRDefault="00B757F7">
      <w:pPr>
        <w:spacing w:after="0" w:line="240" w:lineRule="auto"/>
        <w:jc w:val="both"/>
        <w:rPr>
          <w:rFonts w:eastAsia="Arial" w:cs="Arial"/>
          <w:lang w:val="fr-FR"/>
        </w:rPr>
      </w:pPr>
      <w:r w:rsidRPr="008233A5">
        <w:rPr>
          <w:rFonts w:eastAsia="Arial" w:cs="Arial"/>
          <w:lang w:val="fr-FR"/>
        </w:rPr>
        <w:t>Malgré les mesures de protection existantes pour les espèces de cétacés, il subsiste un manque évident d’efforts ciblés pour faire face à la pression croissante du changement climatique et à ses impacts sur le bien-être et la conservation des cétacés. La fréquence et la gravité des impacts du changement climatique étant susceptibles d’augmenter, il est urgent de prendre des mesures de conservation pour atténuer les impacts négatifs du climat et favoriser l’adaptation des cétacés au changement climatique. </w:t>
      </w:r>
    </w:p>
    <w:p w14:paraId="541315E3" w14:textId="77777777" w:rsidR="00BE5E9B" w:rsidRPr="008233A5" w:rsidRDefault="00BE5E9B">
      <w:pPr>
        <w:spacing w:after="0" w:line="240" w:lineRule="auto"/>
        <w:jc w:val="both"/>
        <w:rPr>
          <w:rFonts w:eastAsia="Arial" w:cs="Arial"/>
          <w:lang w:val="fr-FR"/>
        </w:rPr>
      </w:pPr>
    </w:p>
    <w:p w14:paraId="7B3B764F" w14:textId="77777777" w:rsidR="00BE5E9B" w:rsidRPr="008233A5" w:rsidRDefault="00B757F7">
      <w:pPr>
        <w:spacing w:after="0" w:line="240" w:lineRule="auto"/>
        <w:rPr>
          <w:rFonts w:eastAsia="Arial" w:cs="Arial"/>
          <w:lang w:val="fr-FR"/>
        </w:rPr>
      </w:pPr>
      <w:r w:rsidRPr="008233A5">
        <w:rPr>
          <w:rFonts w:eastAsia="Arial" w:cs="Arial"/>
          <w:b/>
          <w:lang w:val="fr-FR"/>
        </w:rPr>
        <w:t>Recommandations</w:t>
      </w:r>
    </w:p>
    <w:p w14:paraId="3336B487" w14:textId="77777777" w:rsidR="00BE5E9B" w:rsidRPr="008233A5" w:rsidRDefault="00BE5E9B">
      <w:pPr>
        <w:spacing w:after="0" w:line="240" w:lineRule="auto"/>
        <w:rPr>
          <w:rFonts w:eastAsia="Arial" w:cs="Arial"/>
          <w:lang w:val="fr-FR"/>
        </w:rPr>
      </w:pPr>
    </w:p>
    <w:p w14:paraId="54B87463" w14:textId="77777777" w:rsidR="00BE5E9B" w:rsidRPr="008233A5" w:rsidRDefault="00B757F7">
      <w:pPr>
        <w:spacing w:after="0" w:line="240" w:lineRule="auto"/>
        <w:jc w:val="both"/>
        <w:rPr>
          <w:rFonts w:eastAsia="Arial" w:cs="Arial"/>
          <w:lang w:val="fr-FR"/>
        </w:rPr>
      </w:pPr>
      <w:r w:rsidRPr="008233A5">
        <w:rPr>
          <w:rFonts w:eastAsia="Arial" w:cs="Arial"/>
          <w:lang w:val="fr-FR"/>
        </w:rPr>
        <w:t>Une série de recommandations a été élaborée sur la base de la littérature examinée, des actions possibles recensées dans les études de cas de ce rapport ainsi que des discussions documentées dans le rapport de l’atelier d’experts sur les espèces migratrices et le changement climatique (Édimbourg, février 2025). Ces recommandations visent à répondre aux défis urgents que le changement climatique pose pour le bien-être et la conservation des cétacés. Leur mise en œuvre par les Parties à la CMS, ainsi que par les non-Parties à la CMS, pourrait améliorer la protection des populations de cétacés et de leurs habitats, tout en garantissant la santé à long terme des cétacés et des écosystèmes marins face aux pressions exercées par le changement climatique.  </w:t>
      </w:r>
    </w:p>
    <w:p w14:paraId="4355CF88" w14:textId="77777777" w:rsidR="00BE5E9B" w:rsidRPr="008233A5" w:rsidRDefault="00B757F7">
      <w:pPr>
        <w:spacing w:after="0" w:line="240" w:lineRule="auto"/>
        <w:jc w:val="both"/>
        <w:rPr>
          <w:rFonts w:eastAsia="Arial" w:cs="Arial"/>
          <w:lang w:val="fr-FR"/>
        </w:rPr>
      </w:pPr>
      <w:r w:rsidRPr="008233A5">
        <w:rPr>
          <w:rFonts w:eastAsia="Arial" w:cs="Arial"/>
          <w:lang w:val="fr-FR"/>
        </w:rPr>
        <w:br w:type="page"/>
      </w:r>
    </w:p>
    <w:p w14:paraId="4E077EE1" w14:textId="77777777" w:rsidR="00BE5E9B" w:rsidRPr="008233A5" w:rsidRDefault="00B757F7">
      <w:pPr>
        <w:spacing w:after="0" w:line="240" w:lineRule="auto"/>
        <w:jc w:val="both"/>
        <w:rPr>
          <w:rFonts w:eastAsia="Arial" w:cs="Arial"/>
          <w:lang w:val="fr-FR"/>
        </w:rPr>
      </w:pPr>
      <w:r w:rsidRPr="008233A5">
        <w:rPr>
          <w:rFonts w:eastAsia="Arial" w:cs="Arial"/>
          <w:lang w:val="fr-FR"/>
        </w:rPr>
        <w:lastRenderedPageBreak/>
        <w:t>Recommandations :</w:t>
      </w:r>
    </w:p>
    <w:p w14:paraId="109B5BDA" w14:textId="77777777" w:rsidR="00BE5E9B" w:rsidRPr="008233A5" w:rsidRDefault="00BE5E9B">
      <w:pPr>
        <w:spacing w:after="0" w:line="240" w:lineRule="auto"/>
        <w:jc w:val="both"/>
        <w:rPr>
          <w:rFonts w:eastAsia="Arial" w:cs="Arial"/>
          <w:lang w:val="fr-FR"/>
        </w:rPr>
      </w:pPr>
    </w:p>
    <w:p w14:paraId="331F7311" w14:textId="77777777" w:rsidR="00BE5E9B" w:rsidRPr="008233A5" w:rsidRDefault="00B757F7">
      <w:pPr>
        <w:pStyle w:val="ListParagraph"/>
        <w:numPr>
          <w:ilvl w:val="0"/>
          <w:numId w:val="49"/>
        </w:numPr>
        <w:spacing w:after="80" w:line="240" w:lineRule="auto"/>
        <w:ind w:left="714" w:hanging="357"/>
        <w:contextualSpacing w:val="0"/>
        <w:jc w:val="both"/>
        <w:rPr>
          <w:rFonts w:eastAsia="Arial" w:cs="Arial"/>
          <w:lang w:val="fr-FR"/>
        </w:rPr>
      </w:pPr>
      <w:r w:rsidRPr="008233A5">
        <w:rPr>
          <w:rFonts w:eastAsia="Arial" w:cs="Arial"/>
          <w:lang w:val="fr-FR"/>
        </w:rPr>
        <w:t>Donner la priorité aux les efforts de conservation en faveur des espèces et des habitats vulnérables les plus touchés par le changement climatique (bassins fluviaux, Méditerranée, mer Noire et mer Rouge, région arctique).</w:t>
      </w:r>
    </w:p>
    <w:p w14:paraId="588E27D8" w14:textId="77777777" w:rsidR="00BE5E9B" w:rsidRPr="008233A5" w:rsidRDefault="00B757F7">
      <w:pPr>
        <w:pStyle w:val="ListParagraph"/>
        <w:numPr>
          <w:ilvl w:val="0"/>
          <w:numId w:val="49"/>
        </w:numPr>
        <w:spacing w:after="80" w:line="240" w:lineRule="auto"/>
        <w:ind w:left="714" w:hanging="357"/>
        <w:contextualSpacing w:val="0"/>
        <w:jc w:val="both"/>
        <w:rPr>
          <w:rFonts w:eastAsia="Arial" w:cs="Arial"/>
          <w:lang w:val="fr-FR"/>
        </w:rPr>
      </w:pPr>
      <w:r w:rsidRPr="008233A5">
        <w:rPr>
          <w:rFonts w:eastAsia="Arial" w:cs="Arial"/>
          <w:lang w:val="fr-FR"/>
        </w:rPr>
        <w:t>Accorder la priorité aux efforts de recherche concernant les impacts du changement climatique sur les espèces pour lesquelles les données sont insuffisantes.</w:t>
      </w:r>
    </w:p>
    <w:p w14:paraId="609B6D0C" w14:textId="77777777" w:rsidR="00BE5E9B" w:rsidRPr="008233A5" w:rsidRDefault="00B757F7">
      <w:pPr>
        <w:pStyle w:val="ListParagraph"/>
        <w:numPr>
          <w:ilvl w:val="0"/>
          <w:numId w:val="49"/>
        </w:numPr>
        <w:spacing w:after="80" w:line="240" w:lineRule="auto"/>
        <w:ind w:left="714" w:hanging="357"/>
        <w:contextualSpacing w:val="0"/>
        <w:jc w:val="both"/>
        <w:rPr>
          <w:rFonts w:eastAsia="Arial" w:cs="Arial"/>
          <w:lang w:val="fr-FR"/>
        </w:rPr>
      </w:pPr>
      <w:r w:rsidRPr="008233A5">
        <w:rPr>
          <w:rFonts w:eastAsia="Arial" w:cs="Arial"/>
          <w:lang w:val="fr-FR"/>
        </w:rPr>
        <w:t>S’efforcer de réaliser un suivi écologique à long terme des populations afin de fournir des données de référence et la capacité de quantifier avec précision la pression exercée par le changement climatique.</w:t>
      </w:r>
    </w:p>
    <w:p w14:paraId="45B34E8F" w14:textId="77777777" w:rsidR="00BE5E9B" w:rsidRPr="008233A5" w:rsidRDefault="00B757F7">
      <w:pPr>
        <w:pStyle w:val="ListParagraph"/>
        <w:numPr>
          <w:ilvl w:val="0"/>
          <w:numId w:val="49"/>
        </w:numPr>
        <w:spacing w:after="80" w:line="240" w:lineRule="auto"/>
        <w:ind w:left="714" w:hanging="357"/>
        <w:contextualSpacing w:val="0"/>
        <w:jc w:val="both"/>
        <w:rPr>
          <w:rFonts w:eastAsia="Arial" w:cs="Arial"/>
          <w:lang w:val="fr-FR"/>
        </w:rPr>
      </w:pPr>
      <w:r w:rsidRPr="008233A5">
        <w:rPr>
          <w:rFonts w:eastAsia="Arial" w:cs="Arial"/>
          <w:lang w:val="fr-FR"/>
        </w:rPr>
        <w:t>Améliorer les méthodologies d’étude des impacts du changement climatique sur les cétacés, notamment en faisant progresser les recherches afin de saisir les relations de cause à effet.</w:t>
      </w:r>
    </w:p>
    <w:p w14:paraId="0AD99EB1" w14:textId="77777777" w:rsidR="00BE5E9B" w:rsidRPr="008233A5" w:rsidRDefault="00B757F7">
      <w:pPr>
        <w:pStyle w:val="ListParagraph"/>
        <w:numPr>
          <w:ilvl w:val="0"/>
          <w:numId w:val="49"/>
        </w:numPr>
        <w:spacing w:after="80" w:line="240" w:lineRule="auto"/>
        <w:ind w:left="714" w:hanging="357"/>
        <w:contextualSpacing w:val="0"/>
        <w:jc w:val="both"/>
        <w:rPr>
          <w:rFonts w:eastAsia="Arial" w:cs="Arial"/>
          <w:lang w:val="fr-FR"/>
        </w:rPr>
      </w:pPr>
      <w:r w:rsidRPr="008233A5">
        <w:rPr>
          <w:rFonts w:eastAsia="Arial" w:cs="Arial"/>
          <w:lang w:val="fr-FR"/>
        </w:rPr>
        <w:t>Effectuer des évaluations du bien-être à l’aide de l’outil d’évaluation du bien-être des cétacés sauvages afin de mieux quantifier l’impact du changement climatique sur la survie des cétacés et d’aider à orienter la prise de décision. </w:t>
      </w:r>
    </w:p>
    <w:p w14:paraId="59A99E80" w14:textId="77777777" w:rsidR="00BE5E9B" w:rsidRPr="008233A5" w:rsidRDefault="00B757F7">
      <w:pPr>
        <w:pStyle w:val="ListParagraph"/>
        <w:numPr>
          <w:ilvl w:val="0"/>
          <w:numId w:val="49"/>
        </w:numPr>
        <w:spacing w:after="80" w:line="240" w:lineRule="auto"/>
        <w:ind w:left="714" w:hanging="357"/>
        <w:contextualSpacing w:val="0"/>
        <w:jc w:val="both"/>
        <w:rPr>
          <w:rFonts w:eastAsia="Arial" w:cs="Arial"/>
          <w:lang w:val="fr-FR"/>
        </w:rPr>
      </w:pPr>
      <w:r w:rsidRPr="008233A5">
        <w:rPr>
          <w:rFonts w:eastAsia="Arial" w:cs="Arial"/>
          <w:lang w:val="fr-FR"/>
        </w:rPr>
        <w:t>Intégrer des systèmes d’alerte précoce pour aider à réagir rapidement et à atténuer les événements catastrophiques liés au changement climatique.</w:t>
      </w:r>
    </w:p>
    <w:p w14:paraId="5B328929" w14:textId="77777777" w:rsidR="00BE5E9B" w:rsidRPr="008233A5" w:rsidRDefault="00B757F7">
      <w:pPr>
        <w:pStyle w:val="ListParagraph"/>
        <w:numPr>
          <w:ilvl w:val="0"/>
          <w:numId w:val="49"/>
        </w:numPr>
        <w:spacing w:after="80" w:line="240" w:lineRule="auto"/>
        <w:ind w:left="714" w:hanging="357"/>
        <w:contextualSpacing w:val="0"/>
        <w:jc w:val="both"/>
        <w:rPr>
          <w:rFonts w:eastAsia="Arial" w:cs="Arial"/>
          <w:lang w:val="fr-FR"/>
        </w:rPr>
      </w:pPr>
      <w:r w:rsidRPr="008233A5">
        <w:rPr>
          <w:rFonts w:eastAsia="Arial" w:cs="Arial"/>
          <w:lang w:val="fr-FR"/>
        </w:rPr>
        <w:t>Assurer une protection adaptative en intégrant des Aires importantes pour les mammifères marins et/ou en mettant à jour les Aires marines protégées existantes en réponse aux changements induits par le climat dans les schémas de déplacement spatial et temporel des cétacés, en mettant particulièrement l’accent sur les zones critiques (habitats d’alimentation et de reproduction) et sur les principales voies de migration. </w:t>
      </w:r>
    </w:p>
    <w:p w14:paraId="3CC4E2FB" w14:textId="77777777" w:rsidR="00BE5E9B" w:rsidRPr="008233A5" w:rsidRDefault="00B757F7">
      <w:pPr>
        <w:pStyle w:val="ListParagraph"/>
        <w:numPr>
          <w:ilvl w:val="0"/>
          <w:numId w:val="49"/>
        </w:numPr>
        <w:spacing w:after="80" w:line="240" w:lineRule="auto"/>
        <w:ind w:left="714" w:hanging="357"/>
        <w:contextualSpacing w:val="0"/>
        <w:jc w:val="both"/>
        <w:rPr>
          <w:rFonts w:eastAsia="Arial" w:cs="Arial"/>
          <w:lang w:val="fr-FR"/>
        </w:rPr>
      </w:pPr>
      <w:r w:rsidRPr="008233A5">
        <w:rPr>
          <w:rFonts w:eastAsia="Arial" w:cs="Arial"/>
          <w:lang w:val="fr-FR"/>
        </w:rPr>
        <w:t>Traiter les impacts indirects et cumulatifs qui exacerbent les effets du changement climatique sur les cétacés (par exemple, la pêche, le transport maritime, les aménagements côtiers, l’exploitation des ressources, les énergies renouvelables, le bruit sous-marin, etc.).</w:t>
      </w:r>
    </w:p>
    <w:p w14:paraId="68447F0A" w14:textId="77777777" w:rsidR="00BE5E9B" w:rsidRPr="008233A5" w:rsidRDefault="00B757F7">
      <w:pPr>
        <w:pStyle w:val="ListParagraph"/>
        <w:numPr>
          <w:ilvl w:val="0"/>
          <w:numId w:val="49"/>
        </w:numPr>
        <w:spacing w:after="80" w:line="240" w:lineRule="auto"/>
        <w:ind w:left="714" w:hanging="357"/>
        <w:contextualSpacing w:val="0"/>
        <w:jc w:val="both"/>
        <w:rPr>
          <w:rFonts w:eastAsia="Arial" w:cs="Arial"/>
          <w:lang w:val="fr-FR"/>
        </w:rPr>
      </w:pPr>
      <w:r w:rsidRPr="008233A5">
        <w:rPr>
          <w:rFonts w:eastAsia="Arial" w:cs="Arial"/>
          <w:lang w:val="fr-FR"/>
        </w:rPr>
        <w:t>Renforcer la collaboration transfrontière entre les parties prenantes internationales (scientifiques, communautés, autorités) en encourageant le partage des données et des meilleures pratiques liées à la surveillance et à la gestion des cétacés, facilitant ainsi une meilleure compréhension des impacts du changement climatique au niveau des populations.</w:t>
      </w:r>
    </w:p>
    <w:p w14:paraId="26CA83E4" w14:textId="77777777" w:rsidR="00BE5E9B" w:rsidRPr="008233A5" w:rsidRDefault="00B757F7">
      <w:pPr>
        <w:pStyle w:val="ListParagraph"/>
        <w:numPr>
          <w:ilvl w:val="0"/>
          <w:numId w:val="49"/>
        </w:numPr>
        <w:spacing w:after="80" w:line="240" w:lineRule="auto"/>
        <w:ind w:left="714" w:hanging="357"/>
        <w:contextualSpacing w:val="0"/>
        <w:jc w:val="both"/>
        <w:rPr>
          <w:rFonts w:eastAsia="Arial" w:cs="Arial"/>
          <w:lang w:val="fr-FR"/>
        </w:rPr>
      </w:pPr>
      <w:r w:rsidRPr="008233A5">
        <w:rPr>
          <w:rFonts w:eastAsia="Arial" w:cs="Arial"/>
          <w:lang w:val="fr-FR"/>
        </w:rPr>
        <w:t>Renforcer les initiatives visant à atténuer le changement climatique afin de réduire davantage ses impacts sur les cétacés, notamment en encourageant des diminutions significatives des émissions de gaz à effet de serre.</w:t>
      </w:r>
    </w:p>
    <w:p w14:paraId="423292D3" w14:textId="77777777" w:rsidR="00BE5E9B" w:rsidRPr="008233A5" w:rsidRDefault="00B757F7">
      <w:pPr>
        <w:pStyle w:val="ListParagraph"/>
        <w:numPr>
          <w:ilvl w:val="0"/>
          <w:numId w:val="49"/>
        </w:numPr>
        <w:spacing w:after="0" w:line="240" w:lineRule="auto"/>
        <w:jc w:val="both"/>
        <w:rPr>
          <w:rFonts w:eastAsia="Arial" w:cs="Arial"/>
          <w:lang w:val="fr-FR"/>
        </w:rPr>
      </w:pPr>
      <w:r w:rsidRPr="008233A5">
        <w:rPr>
          <w:rFonts w:eastAsia="Arial" w:cs="Arial"/>
          <w:lang w:val="fr-FR"/>
        </w:rPr>
        <w:t>Encourager tous les pays qui sont des États de l’aire de répartition pour les espèces inscrites aux Annexes de la CMS à adhérer à la CMS et/ou à s’engager de manière proactive avec la CMS et d’autres conventions internationales qui soutiennent la conservation des cétacés.</w:t>
      </w:r>
    </w:p>
    <w:p w14:paraId="2937900E" w14:textId="77777777" w:rsidR="00BE5E9B" w:rsidRPr="008233A5" w:rsidRDefault="00BE5E9B">
      <w:pPr>
        <w:spacing w:after="0" w:line="240" w:lineRule="auto"/>
        <w:rPr>
          <w:rFonts w:cs="Arial"/>
          <w:lang w:val="fr-FR"/>
        </w:rPr>
      </w:pPr>
    </w:p>
    <w:p w14:paraId="539E3609" w14:textId="77777777" w:rsidR="00BE5E9B" w:rsidRPr="008233A5" w:rsidRDefault="00BE5E9B">
      <w:pPr>
        <w:spacing w:after="0" w:line="240" w:lineRule="auto"/>
        <w:rPr>
          <w:rFonts w:cs="Arial"/>
          <w:lang w:val="fr-FR"/>
        </w:rPr>
      </w:pPr>
    </w:p>
    <w:p w14:paraId="778BE603" w14:textId="77777777" w:rsidR="00BE5E9B" w:rsidRPr="008233A5" w:rsidRDefault="00BE5E9B">
      <w:pPr>
        <w:spacing w:after="0" w:line="240" w:lineRule="auto"/>
        <w:rPr>
          <w:rFonts w:cs="Arial"/>
          <w:lang w:val="fr-FR"/>
        </w:rPr>
      </w:pPr>
    </w:p>
    <w:p w14:paraId="4D03ECC3" w14:textId="77777777" w:rsidR="00BE5E9B" w:rsidRPr="008233A5" w:rsidRDefault="00BE5E9B">
      <w:pPr>
        <w:spacing w:after="0" w:line="240" w:lineRule="auto"/>
        <w:rPr>
          <w:rFonts w:cs="Arial"/>
          <w:lang w:val="fr-FR"/>
        </w:rPr>
        <w:sectPr w:rsidR="00BE5E9B" w:rsidRPr="008233A5">
          <w:headerReference w:type="even" r:id="rId40"/>
          <w:headerReference w:type="default" r:id="rId41"/>
          <w:headerReference w:type="first" r:id="rId42"/>
          <w:pgSz w:w="11906" w:h="16838" w:code="9"/>
          <w:pgMar w:top="1440" w:right="1440" w:bottom="1440" w:left="1440" w:header="720" w:footer="720" w:gutter="0"/>
          <w:cols w:space="720"/>
          <w:titlePg/>
          <w:docGrid w:linePitch="360"/>
        </w:sectPr>
      </w:pPr>
    </w:p>
    <w:p w14:paraId="2A9ECF6E" w14:textId="77777777" w:rsidR="00BE5E9B" w:rsidRPr="008233A5" w:rsidRDefault="00B757F7">
      <w:pPr>
        <w:spacing w:after="0" w:line="240" w:lineRule="auto"/>
        <w:jc w:val="right"/>
        <w:rPr>
          <w:rFonts w:cs="Arial"/>
          <w:b/>
          <w:bCs/>
          <w:lang w:val="fr-FR"/>
        </w:rPr>
      </w:pPr>
      <w:r w:rsidRPr="008233A5">
        <w:rPr>
          <w:rFonts w:cs="Arial"/>
          <w:b/>
          <w:bCs/>
          <w:lang w:val="fr-FR"/>
        </w:rPr>
        <w:lastRenderedPageBreak/>
        <w:t>ANNEXE 3</w:t>
      </w:r>
    </w:p>
    <w:p w14:paraId="29887997" w14:textId="77777777" w:rsidR="00BE5E9B" w:rsidRPr="008233A5" w:rsidRDefault="00BE5E9B">
      <w:pPr>
        <w:spacing w:after="0" w:line="240" w:lineRule="auto"/>
        <w:jc w:val="right"/>
        <w:rPr>
          <w:rFonts w:cs="Arial"/>
          <w:b/>
          <w:bCs/>
          <w:lang w:val="fr-FR"/>
        </w:rPr>
      </w:pPr>
    </w:p>
    <w:p w14:paraId="73AD6C65" w14:textId="77777777" w:rsidR="00BE5E9B" w:rsidRPr="008233A5" w:rsidRDefault="00BE5E9B">
      <w:pPr>
        <w:spacing w:after="0" w:line="240" w:lineRule="auto"/>
        <w:rPr>
          <w:rFonts w:cs="Arial"/>
          <w:iCs/>
          <w:lang w:val="fr-FR"/>
        </w:rPr>
      </w:pPr>
    </w:p>
    <w:p w14:paraId="5F245706" w14:textId="77777777" w:rsidR="00BE5E9B" w:rsidRPr="008233A5" w:rsidRDefault="00B757F7">
      <w:pPr>
        <w:spacing w:after="0" w:line="240" w:lineRule="auto"/>
        <w:jc w:val="center"/>
        <w:rPr>
          <w:rFonts w:cs="Arial"/>
          <w:b/>
          <w:bCs/>
          <w:iCs/>
          <w:lang w:val="fr-FR"/>
        </w:rPr>
      </w:pPr>
      <w:r w:rsidRPr="008233A5">
        <w:rPr>
          <w:rFonts w:cs="Arial"/>
          <w:b/>
          <w:bCs/>
          <w:iCs/>
          <w:lang w:val="fr-FR"/>
        </w:rPr>
        <w:t>CÉTACÉS HORS DE LEUR HABITAT : RÉSUMÉ ET RECOMMANDATIONS</w:t>
      </w:r>
    </w:p>
    <w:p w14:paraId="102B7698" w14:textId="77777777" w:rsidR="00BE5E9B" w:rsidRPr="008233A5" w:rsidRDefault="00BE5E9B">
      <w:pPr>
        <w:spacing w:after="0" w:line="240" w:lineRule="auto"/>
        <w:rPr>
          <w:rFonts w:cs="Arial"/>
          <w:iCs/>
          <w:u w:val="single"/>
          <w:lang w:val="fr-FR"/>
        </w:rPr>
      </w:pPr>
    </w:p>
    <w:p w14:paraId="6E7170E5" w14:textId="27366333" w:rsidR="00BE5E9B" w:rsidRPr="008233A5" w:rsidRDefault="00B757F7">
      <w:pPr>
        <w:spacing w:after="0" w:line="240" w:lineRule="auto"/>
        <w:jc w:val="center"/>
        <w:rPr>
          <w:rFonts w:cs="Arial"/>
          <w:i/>
          <w:iCs/>
          <w:u w:val="single"/>
          <w:lang w:val="fr-FR"/>
        </w:rPr>
      </w:pPr>
      <w:r w:rsidRPr="008233A5">
        <w:rPr>
          <w:i/>
          <w:iCs/>
          <w:lang w:val="fr-FR"/>
        </w:rPr>
        <w:t>(Le document complet est disponible en tant qu’</w:t>
      </w:r>
      <w:hyperlink r:id="rId43" w:history="1">
        <w:r w:rsidRPr="008233A5">
          <w:rPr>
            <w:rStyle w:val="Hyperlink"/>
            <w:rFonts w:cs="Arial"/>
            <w:i/>
            <w:iCs/>
            <w:lang w:val="fr-FR"/>
          </w:rPr>
          <w:t>article en libre accès</w:t>
        </w:r>
      </w:hyperlink>
      <w:r w:rsidRPr="008233A5">
        <w:rPr>
          <w:rFonts w:cs="Arial"/>
          <w:i/>
          <w:iCs/>
          <w:lang w:val="fr-FR"/>
        </w:rPr>
        <w:t>, et sous la cote </w:t>
      </w:r>
      <w:hyperlink r:id="rId44" w:history="1">
        <w:r w:rsidR="009B4840" w:rsidRPr="009B4840">
          <w:rPr>
            <w:rStyle w:val="Hyperlink"/>
            <w:rFonts w:cs="Arial"/>
            <w:i/>
            <w:iCs/>
            <w:lang w:val="fr-FR"/>
          </w:rPr>
          <w:t>UNEP/CMS</w:t>
        </w:r>
        <w:r w:rsidR="009B4840" w:rsidRPr="009B4840">
          <w:rPr>
            <w:rStyle w:val="Hyperlink"/>
            <w:rFonts w:cs="Arial"/>
            <w:i/>
            <w:iCs/>
            <w:lang w:val="fr-FR"/>
          </w:rPr>
          <w:t>/</w:t>
        </w:r>
        <w:r w:rsidR="009B4840" w:rsidRPr="009B4840">
          <w:rPr>
            <w:rStyle w:val="Hyperlink"/>
            <w:rFonts w:cs="Arial"/>
            <w:i/>
            <w:iCs/>
            <w:lang w:val="fr-FR"/>
          </w:rPr>
          <w:t>COP15/Inf.25.4.1c</w:t>
        </w:r>
      </w:hyperlink>
      <w:r w:rsidRPr="008233A5">
        <w:rPr>
          <w:rFonts w:cs="Arial"/>
          <w:i/>
          <w:iCs/>
          <w:lang w:val="fr-FR"/>
        </w:rPr>
        <w:t>)</w:t>
      </w:r>
    </w:p>
    <w:p w14:paraId="1104EC91" w14:textId="77777777" w:rsidR="00BE5E9B" w:rsidRPr="008233A5" w:rsidRDefault="00BE5E9B">
      <w:pPr>
        <w:spacing w:after="0" w:line="240" w:lineRule="auto"/>
        <w:rPr>
          <w:rFonts w:cs="Arial"/>
          <w:iCs/>
          <w:u w:val="single"/>
          <w:lang w:val="fr-FR"/>
        </w:rPr>
      </w:pPr>
    </w:p>
    <w:p w14:paraId="04F43565" w14:textId="77777777" w:rsidR="00BE5E9B" w:rsidRPr="008233A5" w:rsidRDefault="00BE5E9B">
      <w:pPr>
        <w:spacing w:after="0" w:line="240" w:lineRule="auto"/>
        <w:rPr>
          <w:rFonts w:cs="Arial"/>
          <w:iCs/>
          <w:u w:val="single"/>
          <w:lang w:val="fr-FR"/>
        </w:rPr>
      </w:pPr>
    </w:p>
    <w:p w14:paraId="27B11871" w14:textId="77777777" w:rsidR="00BE5E9B" w:rsidRPr="008233A5" w:rsidRDefault="00B757F7">
      <w:pPr>
        <w:spacing w:after="0" w:line="240" w:lineRule="auto"/>
        <w:rPr>
          <w:rFonts w:cs="Arial"/>
          <w:iCs/>
          <w:u w:val="single"/>
          <w:lang w:val="fr-FR"/>
        </w:rPr>
      </w:pPr>
      <w:r w:rsidRPr="008233A5">
        <w:rPr>
          <w:rFonts w:cs="Arial"/>
          <w:iCs/>
          <w:u w:val="single"/>
          <w:lang w:val="fr-FR"/>
        </w:rPr>
        <w:t>Contexte</w:t>
      </w:r>
    </w:p>
    <w:p w14:paraId="50037C18" w14:textId="77777777" w:rsidR="00BE5E9B" w:rsidRPr="008233A5" w:rsidRDefault="00BE5E9B">
      <w:pPr>
        <w:spacing w:after="0" w:line="240" w:lineRule="auto"/>
        <w:jc w:val="both"/>
        <w:rPr>
          <w:rFonts w:cs="Arial"/>
          <w:iCs/>
          <w:lang w:val="fr-FR"/>
        </w:rPr>
      </w:pPr>
    </w:p>
    <w:p w14:paraId="30BC84C7" w14:textId="77777777" w:rsidR="00BE5E9B" w:rsidRPr="008233A5" w:rsidRDefault="00B757F7">
      <w:pPr>
        <w:spacing w:after="0" w:line="240" w:lineRule="auto"/>
        <w:jc w:val="both"/>
        <w:rPr>
          <w:rFonts w:cs="Arial"/>
          <w:iCs/>
          <w:lang w:val="fr-FR"/>
        </w:rPr>
      </w:pPr>
      <w:r w:rsidRPr="008233A5">
        <w:rPr>
          <w:rFonts w:cs="Arial"/>
          <w:iCs/>
          <w:lang w:val="fr-FR"/>
        </w:rPr>
        <w:t>Un cétacé « hors habitat » est soit un individu en dehors de son aire de répartition naturelle, soit un individu dans son aire de répartition naturelle, mais dans un habitat qui n’est pas optimal pour sa santé ou sa survie en raison de l’absence de conditions appropriées ou d’un conflit potentiel avec les humains. Plusieurs facteurs peuvent</w:t>
      </w:r>
      <w:r w:rsidRPr="008233A5">
        <w:rPr>
          <w:rFonts w:ascii="Segoe UI Emoji" w:hAnsi="Segoe UI Emoji" w:cs="Arial"/>
          <w:iCs/>
          <w:lang w:val="fr-FR"/>
        </w:rPr>
        <w:t xml:space="preserve"> — </w:t>
      </w:r>
      <w:r w:rsidRPr="008233A5">
        <w:rPr>
          <w:rFonts w:cs="Arial"/>
          <w:iCs/>
          <w:lang w:val="fr-FR"/>
        </w:rPr>
        <w:t>par eux-mêmes, de façon cumulée ou en synergie</w:t>
      </w:r>
      <w:r w:rsidRPr="008233A5">
        <w:rPr>
          <w:rFonts w:ascii="Segoe UI Emoji" w:hAnsi="Segoe UI Emoji" w:cs="Arial"/>
          <w:iCs/>
          <w:lang w:val="fr-FR"/>
        </w:rPr>
        <w:t xml:space="preserve"> — </w:t>
      </w:r>
      <w:r w:rsidRPr="008233A5">
        <w:rPr>
          <w:rFonts w:cs="Arial"/>
          <w:iCs/>
          <w:lang w:val="fr-FR"/>
        </w:rPr>
        <w:t>amener les animaux à quitter leur habitat naturel ou leur aire de répartition. Ces facteurs incluent le changement climatique, la perte d’habitat, la croissance démographique, la disponibilité des proies, le bruit sous-marin, les perturbations, la morbidité, la libération inappropriée ou l’évasion pour échapper à la captivité. Cependant, il est également possible qu’un individu soit considéré « hors habitat » en raison de notre méconnaissance de son aire de répartition ou de son habitat — par exemple, dans le cas où une population n’a pas été suffisamment étudiée.</w:t>
      </w:r>
    </w:p>
    <w:p w14:paraId="4B3E9AE3" w14:textId="77777777" w:rsidR="00BE5E9B" w:rsidRPr="008233A5" w:rsidRDefault="00BE5E9B">
      <w:pPr>
        <w:spacing w:after="0" w:line="240" w:lineRule="auto"/>
        <w:jc w:val="both"/>
        <w:rPr>
          <w:rFonts w:cs="Arial"/>
          <w:iCs/>
          <w:lang w:val="fr-FR"/>
        </w:rPr>
      </w:pPr>
    </w:p>
    <w:p w14:paraId="3BC8D314" w14:textId="77777777" w:rsidR="00BE5E9B" w:rsidRPr="008233A5" w:rsidRDefault="00B757F7">
      <w:pPr>
        <w:spacing w:after="0" w:line="240" w:lineRule="auto"/>
        <w:jc w:val="both"/>
        <w:rPr>
          <w:rFonts w:cs="Arial"/>
          <w:iCs/>
          <w:lang w:val="fr-FR"/>
        </w:rPr>
      </w:pPr>
      <w:r w:rsidRPr="008233A5">
        <w:rPr>
          <w:rFonts w:cs="Arial"/>
          <w:iCs/>
          <w:lang w:val="fr-FR"/>
        </w:rPr>
        <w:t xml:space="preserve">Ces dernières années, un certain nombre de </w:t>
      </w:r>
      <w:r w:rsidRPr="008233A5">
        <w:rPr>
          <w:rFonts w:cs="Arial"/>
          <w:lang w:val="fr-FR"/>
        </w:rPr>
        <w:t>cas</w:t>
      </w:r>
      <w:r w:rsidRPr="008233A5">
        <w:rPr>
          <w:rFonts w:cs="Arial"/>
          <w:iCs/>
          <w:lang w:val="fr-FR"/>
        </w:rPr>
        <w:t xml:space="preserve"> ont été recensés dans le monde </w:t>
      </w:r>
      <w:r w:rsidRPr="008233A5">
        <w:rPr>
          <w:rFonts w:cs="Arial"/>
          <w:lang w:val="fr-FR"/>
        </w:rPr>
        <w:t xml:space="preserve">concernant des </w:t>
      </w:r>
      <w:r w:rsidRPr="008233A5">
        <w:rPr>
          <w:rFonts w:cs="Arial"/>
          <w:iCs/>
          <w:lang w:val="fr-FR"/>
        </w:rPr>
        <w:t>mammifères marins « hors habitat », notamment des exemples de cétacés inscrits aux Annexes de la CMS, tels que plusieurs baleines du Groenland (</w:t>
      </w:r>
      <w:r w:rsidRPr="008233A5">
        <w:rPr>
          <w:rFonts w:cs="Arial"/>
          <w:i/>
          <w:lang w:val="fr-FR"/>
        </w:rPr>
        <w:t>Balaena mysticetus</w:t>
      </w:r>
      <w:r w:rsidRPr="008233A5">
        <w:rPr>
          <w:rFonts w:cs="Arial"/>
          <w:iCs/>
          <w:lang w:val="fr-FR"/>
        </w:rPr>
        <w:t>), des baleines à bosse (</w:t>
      </w:r>
      <w:r w:rsidRPr="008233A5">
        <w:rPr>
          <w:rFonts w:cs="Arial"/>
          <w:i/>
          <w:lang w:val="fr-FR"/>
        </w:rPr>
        <w:t>Megaptera novaeangliae</w:t>
      </w:r>
      <w:r w:rsidRPr="008233A5">
        <w:rPr>
          <w:rFonts w:cs="Arial"/>
          <w:iCs/>
          <w:lang w:val="fr-FR"/>
        </w:rPr>
        <w:t>) et au moins un dauphin blanc de Chine (</w:t>
      </w:r>
      <w:r w:rsidRPr="008233A5">
        <w:rPr>
          <w:rFonts w:cs="Arial"/>
          <w:i/>
          <w:lang w:val="fr-FR"/>
        </w:rPr>
        <w:t>Sousa chinensis</w:t>
      </w:r>
      <w:r w:rsidRPr="008233A5">
        <w:rPr>
          <w:rFonts w:cs="Arial"/>
          <w:iCs/>
          <w:lang w:val="fr-FR"/>
        </w:rPr>
        <w:t xml:space="preserve">). </w:t>
      </w:r>
    </w:p>
    <w:p w14:paraId="22566D3A" w14:textId="77777777" w:rsidR="00BE5E9B" w:rsidRPr="008233A5" w:rsidRDefault="00BE5E9B">
      <w:pPr>
        <w:spacing w:after="0" w:line="240" w:lineRule="auto"/>
        <w:jc w:val="both"/>
        <w:rPr>
          <w:rFonts w:cs="Arial"/>
          <w:iCs/>
          <w:lang w:val="fr-FR"/>
        </w:rPr>
      </w:pPr>
    </w:p>
    <w:p w14:paraId="68A8FE12" w14:textId="77777777" w:rsidR="00BE5E9B" w:rsidRPr="008233A5" w:rsidRDefault="00B757F7">
      <w:pPr>
        <w:spacing w:after="0" w:line="240" w:lineRule="auto"/>
        <w:jc w:val="both"/>
        <w:rPr>
          <w:rFonts w:cs="Arial"/>
          <w:iCs/>
          <w:lang w:val="fr-FR"/>
        </w:rPr>
      </w:pPr>
      <w:r w:rsidRPr="008233A5">
        <w:rPr>
          <w:rFonts w:cs="Arial"/>
          <w:iCs/>
          <w:lang w:val="fr-FR"/>
        </w:rPr>
        <w:t>Afin d’étudier ces cas de plus près, le premier atelier international sur les mammifères marins « hors habitat » a été organisé en 2021</w:t>
      </w:r>
      <w:r w:rsidRPr="008233A5">
        <w:rPr>
          <w:rStyle w:val="FootnoteReference"/>
          <w:rFonts w:cs="Arial"/>
          <w:iCs/>
          <w:lang w:val="fr-FR"/>
        </w:rPr>
        <w:footnoteReference w:id="7"/>
      </w:r>
      <w:r w:rsidRPr="008233A5">
        <w:rPr>
          <w:rFonts w:cs="Arial"/>
          <w:iCs/>
          <w:lang w:val="fr-FR"/>
        </w:rPr>
        <w:t>, suivi d’un deuxième atelier en 2022</w:t>
      </w:r>
      <w:r w:rsidRPr="008233A5">
        <w:rPr>
          <w:rStyle w:val="FootnoteReference"/>
          <w:rFonts w:cs="Arial"/>
          <w:iCs/>
          <w:lang w:val="fr-FR"/>
        </w:rPr>
        <w:footnoteReference w:id="8"/>
      </w:r>
      <w:r w:rsidRPr="008233A5">
        <w:rPr>
          <w:rFonts w:cs="Arial"/>
          <w:iCs/>
          <w:lang w:val="fr-FR"/>
        </w:rPr>
        <w:t>. Des experts ayant une expérience dans la documentation et la gestion de telles situations ont été conviés, et de nombreux projets d’études ont été passés en revue, mettant en évidence la diversité des espèces et des lieux concernés. Le document résumé ici et disponible sous la cote UNEP/CMS/COP15/Inf.25.4.1c a été élaboré à partir des discussions lors du deuxième atelier, car il est apparu clairement que la communauté scientifique souhaite approfondir l’exploration des facteurs à l’origine des mammifères marins « hors habitat ».</w:t>
      </w:r>
    </w:p>
    <w:p w14:paraId="3627D4A0" w14:textId="77777777" w:rsidR="00BE5E9B" w:rsidRPr="008233A5" w:rsidRDefault="00BE5E9B">
      <w:pPr>
        <w:spacing w:after="0" w:line="240" w:lineRule="auto"/>
        <w:jc w:val="both"/>
        <w:rPr>
          <w:rFonts w:cs="Arial"/>
          <w:iCs/>
          <w:lang w:val="fr-FR"/>
        </w:rPr>
      </w:pPr>
    </w:p>
    <w:p w14:paraId="3114E108" w14:textId="77777777" w:rsidR="00BE5E9B" w:rsidRPr="008233A5" w:rsidRDefault="00B757F7">
      <w:pPr>
        <w:spacing w:after="0" w:line="240" w:lineRule="auto"/>
        <w:rPr>
          <w:rFonts w:cs="Arial"/>
          <w:iCs/>
          <w:u w:val="single"/>
          <w:lang w:val="fr-FR"/>
        </w:rPr>
      </w:pPr>
      <w:r w:rsidRPr="008233A5">
        <w:rPr>
          <w:rFonts w:cs="Arial"/>
          <w:iCs/>
          <w:u w:val="single"/>
          <w:lang w:val="fr-FR"/>
        </w:rPr>
        <w:t>Résumé</w:t>
      </w:r>
    </w:p>
    <w:p w14:paraId="0909C0C2" w14:textId="77777777" w:rsidR="00BE5E9B" w:rsidRPr="008233A5" w:rsidRDefault="00BE5E9B">
      <w:pPr>
        <w:spacing w:after="0" w:line="240" w:lineRule="auto"/>
        <w:jc w:val="both"/>
        <w:rPr>
          <w:rFonts w:cs="Arial"/>
          <w:iCs/>
          <w:lang w:val="fr-FR"/>
        </w:rPr>
      </w:pPr>
    </w:p>
    <w:p w14:paraId="56348594" w14:textId="77777777" w:rsidR="00BE5E9B" w:rsidRPr="008233A5" w:rsidRDefault="00B757F7">
      <w:pPr>
        <w:spacing w:after="0" w:line="240" w:lineRule="auto"/>
        <w:jc w:val="both"/>
        <w:rPr>
          <w:rFonts w:cs="Arial"/>
          <w:iCs/>
          <w:lang w:val="fr-FR"/>
        </w:rPr>
      </w:pPr>
      <w:r w:rsidRPr="008233A5">
        <w:rPr>
          <w:rFonts w:cs="Arial"/>
          <w:iCs/>
          <w:lang w:val="fr-FR"/>
        </w:rPr>
        <w:t>Les réponses adéquates aux cétacés « hors habitat » doivent tenir compte de la conservation et du bien-être des animaux. Des experts, notamment des vétérinaires spécialisés dans les mammifères marins, des spécialistes des espèces, des experts en bien-être animal et des experts en échouage de cétacés, devraient être consultés. Les options de gestion dépendront de la situation, du lieu, des espèces et du contexte. Les réponses possibles incluent les mesures suivantes :</w:t>
      </w:r>
    </w:p>
    <w:p w14:paraId="37F553F6" w14:textId="77777777" w:rsidR="00BE5E9B" w:rsidRPr="008233A5" w:rsidRDefault="00BE5E9B">
      <w:pPr>
        <w:spacing w:after="0" w:line="240" w:lineRule="auto"/>
        <w:jc w:val="both"/>
        <w:rPr>
          <w:rFonts w:cs="Arial"/>
          <w:iCs/>
          <w:lang w:val="fr-FR"/>
        </w:rPr>
      </w:pPr>
    </w:p>
    <w:p w14:paraId="59A2CBFF" w14:textId="77777777" w:rsidR="00BE5E9B" w:rsidRPr="008233A5" w:rsidRDefault="00B757F7">
      <w:pPr>
        <w:pStyle w:val="ListParagraph"/>
        <w:numPr>
          <w:ilvl w:val="0"/>
          <w:numId w:val="25"/>
        </w:numPr>
        <w:spacing w:after="120" w:line="240" w:lineRule="auto"/>
        <w:contextualSpacing w:val="0"/>
        <w:jc w:val="both"/>
        <w:rPr>
          <w:rFonts w:cs="Arial"/>
          <w:iCs/>
          <w:lang w:val="fr-FR"/>
        </w:rPr>
      </w:pPr>
      <w:r w:rsidRPr="008233A5">
        <w:rPr>
          <w:rFonts w:cs="Arial"/>
          <w:iCs/>
          <w:lang w:val="fr-FR"/>
        </w:rPr>
        <w:t>Surveiller et enregistrer les observations/comportements sans intervention. Il peut s’agir d’une évaluation du bien-être.</w:t>
      </w:r>
    </w:p>
    <w:p w14:paraId="5578E85A" w14:textId="77777777" w:rsidR="00BE5E9B" w:rsidRPr="008233A5" w:rsidRDefault="00B757F7">
      <w:pPr>
        <w:pStyle w:val="ListParagraph"/>
        <w:numPr>
          <w:ilvl w:val="0"/>
          <w:numId w:val="25"/>
        </w:numPr>
        <w:spacing w:after="120" w:line="240" w:lineRule="auto"/>
        <w:contextualSpacing w:val="0"/>
        <w:jc w:val="both"/>
        <w:rPr>
          <w:rFonts w:cs="Arial"/>
          <w:iCs/>
          <w:lang w:val="fr-FR"/>
        </w:rPr>
      </w:pPr>
      <w:r w:rsidRPr="008233A5">
        <w:rPr>
          <w:rFonts w:cs="Arial"/>
          <w:iCs/>
          <w:lang w:val="fr-FR"/>
        </w:rPr>
        <w:lastRenderedPageBreak/>
        <w:t>Prévoir des zones sûres pour les animaux (c’est-à-dire limiter ou interdire l’accès des bateaux et des nageurs à une zone ou mettre en place une restriction de vitesse des navires).</w:t>
      </w:r>
    </w:p>
    <w:p w14:paraId="1A76A20F" w14:textId="77777777" w:rsidR="00BE5E9B" w:rsidRPr="008233A5" w:rsidRDefault="00B757F7">
      <w:pPr>
        <w:pStyle w:val="ListParagraph"/>
        <w:numPr>
          <w:ilvl w:val="0"/>
          <w:numId w:val="25"/>
        </w:numPr>
        <w:spacing w:after="120" w:line="240" w:lineRule="auto"/>
        <w:contextualSpacing w:val="0"/>
        <w:jc w:val="both"/>
        <w:rPr>
          <w:rFonts w:cs="Arial"/>
          <w:iCs/>
          <w:lang w:val="fr-FR"/>
        </w:rPr>
      </w:pPr>
      <w:r w:rsidRPr="008233A5">
        <w:rPr>
          <w:rFonts w:cs="Arial"/>
          <w:iCs/>
          <w:lang w:val="fr-FR"/>
        </w:rPr>
        <w:t>Encourager l’animal ou les animaux à quitter un endroit inadéquat (il convient d’examiner attentivement les méthodes les plus appropriées).</w:t>
      </w:r>
    </w:p>
    <w:p w14:paraId="5433D95D" w14:textId="77777777" w:rsidR="00BE5E9B" w:rsidRPr="008233A5" w:rsidRDefault="00B757F7">
      <w:pPr>
        <w:pStyle w:val="ListParagraph"/>
        <w:numPr>
          <w:ilvl w:val="0"/>
          <w:numId w:val="25"/>
        </w:numPr>
        <w:spacing w:after="120" w:line="240" w:lineRule="auto"/>
        <w:contextualSpacing w:val="0"/>
        <w:jc w:val="both"/>
        <w:rPr>
          <w:rFonts w:cs="Arial"/>
          <w:iCs/>
          <w:lang w:val="fr-FR"/>
        </w:rPr>
      </w:pPr>
      <w:r w:rsidRPr="008233A5">
        <w:rPr>
          <w:rFonts w:cs="Arial"/>
          <w:iCs/>
          <w:lang w:val="fr-FR"/>
        </w:rPr>
        <w:t xml:space="preserve">Capturer et déplacer l’animal ou les animaux. Cette mesure ne devrait être prise qu’après une période d’observation et lorsque les tentatives visant à inciter l’animal ou les animaux à se déplacer de leur propre initiative ont échoué, et si l’animal court un risque accru en demeurant en dehors de son habitat. Si cette option est retenue, il est essentiel d’assurer un suivi après la libération. </w:t>
      </w:r>
    </w:p>
    <w:p w14:paraId="64269C4D" w14:textId="77777777" w:rsidR="00BE5E9B" w:rsidRPr="008233A5" w:rsidRDefault="00B757F7">
      <w:pPr>
        <w:pStyle w:val="ListParagraph"/>
        <w:numPr>
          <w:ilvl w:val="0"/>
          <w:numId w:val="25"/>
        </w:numPr>
        <w:spacing w:after="120" w:line="240" w:lineRule="auto"/>
        <w:contextualSpacing w:val="0"/>
        <w:jc w:val="both"/>
        <w:rPr>
          <w:rFonts w:cs="Arial"/>
          <w:iCs/>
          <w:lang w:val="fr-FR"/>
        </w:rPr>
      </w:pPr>
      <w:r w:rsidRPr="008233A5">
        <w:rPr>
          <w:rFonts w:cs="Arial"/>
          <w:iCs/>
          <w:lang w:val="fr-FR"/>
        </w:rPr>
        <w:t xml:space="preserve">Soins palliatifs. Si un animal « hors habitat » est en train de mourir, il peut être nécessaire de le maintenir dans un état de confort jusqu’à ce qu’il décède. </w:t>
      </w:r>
    </w:p>
    <w:p w14:paraId="384715CF" w14:textId="77777777" w:rsidR="00BE5E9B" w:rsidRPr="008233A5" w:rsidRDefault="00B757F7">
      <w:pPr>
        <w:pStyle w:val="ListParagraph"/>
        <w:numPr>
          <w:ilvl w:val="0"/>
          <w:numId w:val="25"/>
        </w:numPr>
        <w:spacing w:after="0" w:line="240" w:lineRule="auto"/>
        <w:contextualSpacing w:val="0"/>
        <w:jc w:val="both"/>
        <w:rPr>
          <w:rFonts w:cs="Arial"/>
          <w:iCs/>
          <w:lang w:val="fr-FR"/>
        </w:rPr>
      </w:pPr>
      <w:r w:rsidRPr="008233A5">
        <w:rPr>
          <w:rFonts w:cs="Arial"/>
          <w:iCs/>
          <w:lang w:val="fr-FR"/>
        </w:rPr>
        <w:t xml:space="preserve">Euthanasie. Si le bien-être de l’animal est compromis au point que la mort est préférable, une technique d’euthanasie compatissante peut être utilisée pour provoquer une mort aussi rapide, indolore et sans détresse que possible. </w:t>
      </w:r>
    </w:p>
    <w:p w14:paraId="1A1C65E4" w14:textId="77777777" w:rsidR="00BE5E9B" w:rsidRPr="008233A5" w:rsidRDefault="00BE5E9B">
      <w:pPr>
        <w:spacing w:after="0" w:line="240" w:lineRule="auto"/>
        <w:rPr>
          <w:rFonts w:cs="Arial"/>
          <w:iCs/>
          <w:u w:val="single"/>
          <w:lang w:val="fr-FR"/>
        </w:rPr>
      </w:pPr>
    </w:p>
    <w:p w14:paraId="4E7D9E70" w14:textId="77777777" w:rsidR="00BE5E9B" w:rsidRPr="008233A5" w:rsidRDefault="00B757F7">
      <w:pPr>
        <w:spacing w:after="0" w:line="240" w:lineRule="auto"/>
        <w:rPr>
          <w:rFonts w:cs="Arial"/>
          <w:iCs/>
          <w:u w:val="single"/>
          <w:lang w:val="fr-FR"/>
        </w:rPr>
      </w:pPr>
      <w:r w:rsidRPr="008233A5">
        <w:rPr>
          <w:rFonts w:cs="Arial"/>
          <w:iCs/>
          <w:u w:val="single"/>
          <w:lang w:val="fr-FR"/>
        </w:rPr>
        <w:t>Actions recommandées aux Parties</w:t>
      </w:r>
    </w:p>
    <w:p w14:paraId="44341AE2" w14:textId="77777777" w:rsidR="00BE5E9B" w:rsidRPr="008233A5" w:rsidRDefault="00BE5E9B">
      <w:pPr>
        <w:spacing w:after="0" w:line="240" w:lineRule="auto"/>
        <w:rPr>
          <w:rFonts w:cs="Arial"/>
          <w:iCs/>
          <w:u w:val="single"/>
          <w:lang w:val="fr-FR"/>
        </w:rPr>
      </w:pPr>
    </w:p>
    <w:p w14:paraId="1DF83508" w14:textId="77777777" w:rsidR="00BE5E9B" w:rsidRPr="008233A5" w:rsidRDefault="00B757F7">
      <w:pPr>
        <w:pStyle w:val="ListParagraph"/>
        <w:numPr>
          <w:ilvl w:val="0"/>
          <w:numId w:val="26"/>
        </w:numPr>
        <w:spacing w:after="120" w:line="240" w:lineRule="auto"/>
        <w:contextualSpacing w:val="0"/>
        <w:jc w:val="both"/>
        <w:rPr>
          <w:rFonts w:cs="Arial"/>
          <w:iCs/>
          <w:lang w:val="fr-FR"/>
        </w:rPr>
      </w:pPr>
      <w:r w:rsidRPr="008233A5">
        <w:rPr>
          <w:rFonts w:cs="Arial"/>
          <w:iCs/>
          <w:lang w:val="fr-FR"/>
        </w:rPr>
        <w:t xml:space="preserve">Mettre en place une protection spéciale pour les cétacés (et autres mammifères marins) « hors habitat » en vertu des lois existantes sur les espèces migratrices ou d’autres législations pertinentes, afin d’éviter qu’ils ne soient persécutés ou dérangés. </w:t>
      </w:r>
    </w:p>
    <w:p w14:paraId="56174115" w14:textId="77777777" w:rsidR="00BE5E9B" w:rsidRPr="008233A5" w:rsidRDefault="00B757F7">
      <w:pPr>
        <w:pStyle w:val="ListParagraph"/>
        <w:numPr>
          <w:ilvl w:val="0"/>
          <w:numId w:val="26"/>
        </w:numPr>
        <w:spacing w:after="120" w:line="240" w:lineRule="auto"/>
        <w:contextualSpacing w:val="0"/>
        <w:jc w:val="both"/>
        <w:rPr>
          <w:rFonts w:cs="Arial"/>
          <w:iCs/>
          <w:lang w:val="fr-FR"/>
        </w:rPr>
      </w:pPr>
      <w:r w:rsidRPr="008233A5">
        <w:rPr>
          <w:rFonts w:cs="Arial"/>
          <w:iCs/>
          <w:lang w:val="fr-FR"/>
        </w:rPr>
        <w:t>Inclure les cétacés (et autres mammifères marins) « hors habitat » dans les plans de gestion de la conservation, en gardant à l’esprit que ces animaux sont potentiellement des pionniers et que par la suite, d’autres individus pourraient apparaître dans une zone particulière ou une population pourrait s’établir.</w:t>
      </w:r>
    </w:p>
    <w:p w14:paraId="55289FEA" w14:textId="77777777" w:rsidR="00BE5E9B" w:rsidRPr="008233A5" w:rsidRDefault="00B757F7">
      <w:pPr>
        <w:pStyle w:val="ListParagraph"/>
        <w:numPr>
          <w:ilvl w:val="0"/>
          <w:numId w:val="26"/>
        </w:numPr>
        <w:spacing w:after="120" w:line="240" w:lineRule="auto"/>
        <w:contextualSpacing w:val="0"/>
        <w:jc w:val="both"/>
        <w:rPr>
          <w:rFonts w:cs="Arial"/>
          <w:iCs/>
          <w:lang w:val="fr-FR"/>
        </w:rPr>
      </w:pPr>
      <w:r w:rsidRPr="008233A5">
        <w:rPr>
          <w:rFonts w:cs="Arial"/>
          <w:iCs/>
          <w:lang w:val="fr-FR"/>
        </w:rPr>
        <w:t xml:space="preserve">Se préparer, à l’avance, à l’apparition de cétacés « hors habitat », car ils pourraient devenir plus fréquents dans le cadre des scénarios liés au changement climatique. </w:t>
      </w:r>
    </w:p>
    <w:p w14:paraId="128BB352" w14:textId="77777777" w:rsidR="00BE5E9B" w:rsidRPr="008233A5" w:rsidRDefault="00B757F7">
      <w:pPr>
        <w:pStyle w:val="ListParagraph"/>
        <w:numPr>
          <w:ilvl w:val="0"/>
          <w:numId w:val="26"/>
        </w:numPr>
        <w:spacing w:after="120" w:line="240" w:lineRule="auto"/>
        <w:contextualSpacing w:val="0"/>
        <w:jc w:val="both"/>
        <w:rPr>
          <w:rFonts w:cs="Arial"/>
          <w:iCs/>
          <w:lang w:val="fr-FR"/>
        </w:rPr>
      </w:pPr>
      <w:r w:rsidRPr="008233A5">
        <w:rPr>
          <w:rFonts w:cs="Arial"/>
          <w:iCs/>
          <w:lang w:val="fr-FR"/>
        </w:rPr>
        <w:t>Protéger et améliorer les habitats essentiels qui sont fréquemment utilisés par les cétacés (et autres mammifères marins) « hors habitat ».</w:t>
      </w:r>
    </w:p>
    <w:p w14:paraId="146B0611" w14:textId="77777777" w:rsidR="00BE5E9B" w:rsidRPr="008233A5" w:rsidRDefault="00B757F7">
      <w:pPr>
        <w:pStyle w:val="ListParagraph"/>
        <w:numPr>
          <w:ilvl w:val="0"/>
          <w:numId w:val="26"/>
        </w:numPr>
        <w:spacing w:after="120" w:line="240" w:lineRule="auto"/>
        <w:contextualSpacing w:val="0"/>
        <w:jc w:val="both"/>
        <w:rPr>
          <w:rFonts w:cs="Arial"/>
          <w:iCs/>
          <w:lang w:val="fr-FR"/>
        </w:rPr>
      </w:pPr>
      <w:r w:rsidRPr="008233A5">
        <w:rPr>
          <w:rFonts w:cs="Arial"/>
          <w:iCs/>
          <w:lang w:val="fr-FR"/>
        </w:rPr>
        <w:t>Préparer des codes de conduite et des protocoles sur la manière de réagir face à l’animal ou aux animaux, y compris la meilleure manière de communiquer et de collaborer avec les parties prenantes intéressées, telles que les communautés autochtones.</w:t>
      </w:r>
    </w:p>
    <w:p w14:paraId="68D47345" w14:textId="77777777" w:rsidR="00BE5E9B" w:rsidRPr="008233A5" w:rsidRDefault="00B757F7">
      <w:pPr>
        <w:pStyle w:val="ListParagraph"/>
        <w:numPr>
          <w:ilvl w:val="0"/>
          <w:numId w:val="26"/>
        </w:numPr>
        <w:spacing w:after="120" w:line="240" w:lineRule="auto"/>
        <w:contextualSpacing w:val="0"/>
        <w:jc w:val="both"/>
        <w:rPr>
          <w:rFonts w:cs="Arial"/>
          <w:iCs/>
          <w:lang w:val="fr-FR"/>
        </w:rPr>
      </w:pPr>
      <w:r w:rsidRPr="008233A5">
        <w:rPr>
          <w:rFonts w:cs="Arial"/>
          <w:iCs/>
          <w:lang w:val="fr-FR"/>
        </w:rPr>
        <w:t>Former le personnel des organismes de réglementation</w:t>
      </w:r>
      <w:r w:rsidRPr="008233A5">
        <w:rPr>
          <w:rFonts w:cs="Arial"/>
          <w:color w:val="EE0000"/>
          <w:lang w:val="fr-FR"/>
        </w:rPr>
        <w:t xml:space="preserve"> </w:t>
      </w:r>
      <w:r w:rsidRPr="008233A5">
        <w:rPr>
          <w:rFonts w:cs="Arial"/>
          <w:iCs/>
          <w:lang w:val="fr-FR"/>
        </w:rPr>
        <w:t>à la gestion des cétacés (et autres mammifères marins) « hors habitat », y compris la résolution des conflits entre humains et faune sauvage.</w:t>
      </w:r>
    </w:p>
    <w:p w14:paraId="395707A4" w14:textId="77777777" w:rsidR="00BE5E9B" w:rsidRPr="008233A5" w:rsidRDefault="00B757F7">
      <w:pPr>
        <w:pStyle w:val="ListParagraph"/>
        <w:numPr>
          <w:ilvl w:val="0"/>
          <w:numId w:val="26"/>
        </w:numPr>
        <w:spacing w:after="120" w:line="240" w:lineRule="auto"/>
        <w:contextualSpacing w:val="0"/>
        <w:jc w:val="both"/>
        <w:rPr>
          <w:rFonts w:cs="Arial"/>
          <w:iCs/>
          <w:lang w:val="fr-FR"/>
        </w:rPr>
      </w:pPr>
      <w:r w:rsidRPr="008233A5">
        <w:rPr>
          <w:rFonts w:cs="Arial"/>
          <w:iCs/>
          <w:lang w:val="fr-FR"/>
        </w:rPr>
        <w:t>Mettre en place un organisme de gouvernance pour les mammifères marins « hors habitat ».</w:t>
      </w:r>
    </w:p>
    <w:p w14:paraId="5ACCF5CB" w14:textId="77777777" w:rsidR="00BE5E9B" w:rsidRPr="008233A5" w:rsidRDefault="00B757F7">
      <w:pPr>
        <w:pStyle w:val="ListParagraph"/>
        <w:numPr>
          <w:ilvl w:val="0"/>
          <w:numId w:val="26"/>
        </w:numPr>
        <w:spacing w:after="0" w:line="240" w:lineRule="auto"/>
        <w:contextualSpacing w:val="0"/>
        <w:jc w:val="both"/>
        <w:rPr>
          <w:rFonts w:cs="Arial"/>
          <w:iCs/>
          <w:lang w:val="fr-FR"/>
        </w:rPr>
      </w:pPr>
      <w:r w:rsidRPr="008233A5">
        <w:rPr>
          <w:rFonts w:cs="Arial"/>
          <w:iCs/>
          <w:lang w:val="fr-FR"/>
        </w:rPr>
        <w:t xml:space="preserve">Élaborer une stratégie de communication </w:t>
      </w:r>
      <w:r w:rsidRPr="008233A5">
        <w:rPr>
          <w:rFonts w:cs="Arial"/>
          <w:lang w:val="fr-FR"/>
        </w:rPr>
        <w:t>pour faire face aux changements d’aire de répartition induits par le climat pour</w:t>
      </w:r>
      <w:r w:rsidRPr="008233A5">
        <w:rPr>
          <w:rFonts w:cs="Arial"/>
          <w:iCs/>
          <w:lang w:val="fr-FR"/>
        </w:rPr>
        <w:t xml:space="preserve"> les mammifères marins, à mettre en œuvre avant l’apparition d’un cétacé « hors habitat ». Cela peut aider à prévenir une éventuelle hystérie du public lorsqu’un cétacé apparaît dans un habitat atypique. Des messages appropriés doivent également être préparés pour expliquer la situation au public et aux autres parties prenantes concernées</w:t>
      </w:r>
      <w:r w:rsidRPr="008233A5">
        <w:rPr>
          <w:rFonts w:cs="Arial"/>
          <w:lang w:val="fr-FR"/>
        </w:rPr>
        <w:t>,</w:t>
      </w:r>
      <w:r w:rsidRPr="008233A5">
        <w:rPr>
          <w:rFonts w:cs="Arial"/>
          <w:iCs/>
          <w:lang w:val="fr-FR"/>
        </w:rPr>
        <w:t xml:space="preserve"> afin de les inciter à adopter un comportement permettant de protéger l’animal tout en assurant leur propre sécurité.</w:t>
      </w:r>
    </w:p>
    <w:p w14:paraId="03FE5713" w14:textId="77777777" w:rsidR="00BE5E9B" w:rsidRPr="008233A5" w:rsidRDefault="00BE5E9B">
      <w:pPr>
        <w:spacing w:after="0" w:line="240" w:lineRule="auto"/>
        <w:jc w:val="both"/>
        <w:rPr>
          <w:rFonts w:cs="Arial"/>
          <w:iCs/>
          <w:lang w:val="fr-FR"/>
        </w:rPr>
      </w:pPr>
    </w:p>
    <w:p w14:paraId="0FB79C40" w14:textId="77777777" w:rsidR="00F86B9F" w:rsidRDefault="00F86B9F">
      <w:pPr>
        <w:rPr>
          <w:rFonts w:cs="Arial"/>
          <w:iCs/>
          <w:lang w:val="fr-FR"/>
        </w:rPr>
        <w:sectPr w:rsidR="00F86B9F">
          <w:headerReference w:type="even" r:id="rId45"/>
          <w:headerReference w:type="default" r:id="rId46"/>
          <w:headerReference w:type="first" r:id="rId47"/>
          <w:pgSz w:w="11906" w:h="16838" w:code="9"/>
          <w:pgMar w:top="1440" w:right="1440" w:bottom="1440" w:left="1440" w:header="720" w:footer="720" w:gutter="0"/>
          <w:cols w:space="720"/>
          <w:titlePg/>
          <w:docGrid w:linePitch="360"/>
        </w:sectPr>
      </w:pPr>
    </w:p>
    <w:p w14:paraId="08D2A36C" w14:textId="7C4E6C17" w:rsidR="00BE5E9B" w:rsidRDefault="00893B8A" w:rsidP="00893B8A">
      <w:pPr>
        <w:spacing w:after="0" w:line="240" w:lineRule="auto"/>
        <w:jc w:val="right"/>
        <w:rPr>
          <w:rFonts w:cs="Arial"/>
          <w:b/>
          <w:bCs/>
          <w:iCs/>
          <w:lang w:val="fr-FR"/>
        </w:rPr>
      </w:pPr>
      <w:r w:rsidRPr="00893B8A">
        <w:rPr>
          <w:rFonts w:cs="Arial"/>
          <w:b/>
          <w:bCs/>
          <w:iCs/>
          <w:lang w:val="fr-FR"/>
        </w:rPr>
        <w:lastRenderedPageBreak/>
        <w:t>ANNEXE 4</w:t>
      </w:r>
    </w:p>
    <w:p w14:paraId="6479F3E5" w14:textId="77777777" w:rsidR="00893B8A" w:rsidRDefault="00893B8A" w:rsidP="00893B8A">
      <w:pPr>
        <w:spacing w:after="0" w:line="240" w:lineRule="auto"/>
        <w:jc w:val="both"/>
        <w:rPr>
          <w:rFonts w:cs="Arial"/>
          <w:b/>
          <w:bCs/>
          <w:iCs/>
          <w:lang w:val="fr-FR"/>
        </w:rPr>
      </w:pPr>
    </w:p>
    <w:p w14:paraId="11FE360A" w14:textId="77777777" w:rsidR="000632D1" w:rsidRDefault="000632D1" w:rsidP="000632D1">
      <w:pPr>
        <w:spacing w:after="0"/>
        <w:jc w:val="center"/>
        <w:rPr>
          <w:rFonts w:cs="Arial"/>
          <w:b/>
          <w:bCs/>
          <w:lang w:val="fr-FR"/>
        </w:rPr>
      </w:pPr>
      <w:r>
        <w:rPr>
          <w:rFonts w:cs="Arial"/>
          <w:b/>
          <w:bCs/>
          <w:lang w:val="fr-FR"/>
        </w:rPr>
        <w:t>COMPILATION DES RECOMMANDATIONS QUI POURRAIENT ÊTRE ADRESSÉES AU CONSEIL SCIENTIFIQUE LORS DE LA COP15 ET DES FUTURES COP</w:t>
      </w:r>
    </w:p>
    <w:p w14:paraId="606BEAF5" w14:textId="77777777" w:rsidR="000632D1" w:rsidRDefault="000632D1" w:rsidP="000632D1">
      <w:pPr>
        <w:widowControl w:val="0"/>
        <w:autoSpaceDE w:val="0"/>
        <w:autoSpaceDN w:val="0"/>
        <w:adjustRightInd w:val="0"/>
        <w:spacing w:after="0" w:line="240" w:lineRule="auto"/>
        <w:contextualSpacing/>
        <w:jc w:val="both"/>
        <w:rPr>
          <w:rFonts w:cs="Arial"/>
          <w:lang w:val="fr-FR"/>
        </w:rPr>
      </w:pPr>
    </w:p>
    <w:p w14:paraId="2721A43A" w14:textId="29D331BE" w:rsidR="000632D1" w:rsidRDefault="000632D1" w:rsidP="000632D1">
      <w:pPr>
        <w:widowControl w:val="0"/>
        <w:autoSpaceDE w:val="0"/>
        <w:autoSpaceDN w:val="0"/>
        <w:adjustRightInd w:val="0"/>
        <w:spacing w:after="0" w:line="240" w:lineRule="auto"/>
        <w:contextualSpacing/>
        <w:jc w:val="both"/>
        <w:rPr>
          <w:rFonts w:cs="Arial"/>
          <w:lang w:val="fr-FR"/>
        </w:rPr>
      </w:pPr>
      <w:r>
        <w:rPr>
          <w:rFonts w:cs="Arial"/>
          <w:lang w:val="fr-FR"/>
        </w:rPr>
        <w:t xml:space="preserve">La Décision 14.72 (f) a demandé au Conseil scientifique, sous réserve de la disponibilité de ressources externes et, le cas échéant, avec le soutien du Groupe de travail sur les mammifères aquatiques, d’examiner la </w:t>
      </w:r>
      <w:r>
        <w:rPr>
          <w:rFonts w:cs="Arial"/>
          <w:i/>
          <w:iCs/>
          <w:lang w:val="fr-FR"/>
        </w:rPr>
        <w:t>Compilation des recommandations qui pourraient être adressées au Conseil scientifique lors de la COP14</w:t>
      </w:r>
      <w:r>
        <w:rPr>
          <w:rFonts w:cs="Arial"/>
          <w:lang w:val="fr-FR"/>
        </w:rPr>
        <w:t xml:space="preserve"> </w:t>
      </w:r>
      <w:r>
        <w:rPr>
          <w:rFonts w:cs="Arial"/>
          <w:i/>
          <w:iCs/>
          <w:lang w:val="fr-FR"/>
        </w:rPr>
        <w:t>et des futures COP</w:t>
      </w:r>
      <w:r>
        <w:rPr>
          <w:rFonts w:cs="Arial"/>
          <w:lang w:val="fr-FR"/>
        </w:rPr>
        <w:t xml:space="preserve"> (</w:t>
      </w:r>
      <w:hyperlink r:id="rId48" w:history="1">
        <w:r>
          <w:rPr>
            <w:rStyle w:val="Hyperlink"/>
            <w:rFonts w:cs="Arial"/>
            <w:lang w:val="fr-FR"/>
          </w:rPr>
          <w:t>UNEP/CMS/COP14/Inf.27.5.1b</w:t>
        </w:r>
      </w:hyperlink>
      <w:r>
        <w:rPr>
          <w:rFonts w:cs="Arial"/>
          <w:lang w:val="fr-FR"/>
        </w:rPr>
        <w:t>)</w:t>
      </w:r>
      <w:r>
        <w:rPr>
          <w:lang w:val="fr-FR"/>
        </w:rPr>
        <w:t>, qui était fondée sur l’</w:t>
      </w:r>
      <w:r>
        <w:rPr>
          <w:i/>
          <w:iCs/>
          <w:lang w:val="fr-FR"/>
        </w:rPr>
        <w:t xml:space="preserve">Examen à l’appui de l’élaboration d’un deuxième programme de travail de la CMS sur les cétacés (2024-2035) </w:t>
      </w:r>
      <w:r>
        <w:rPr>
          <w:lang w:val="fr-FR"/>
        </w:rPr>
        <w:t>(</w:t>
      </w:r>
      <w:hyperlink r:id="rId49" w:history="1">
        <w:r>
          <w:rPr>
            <w:rStyle w:val="Hyperlink"/>
            <w:lang w:val="fr-FR"/>
          </w:rPr>
          <w:t>UNEP/CMS/COP14/Inf.27.5.1a</w:t>
        </w:r>
      </w:hyperlink>
      <w:r>
        <w:rPr>
          <w:lang w:val="fr-FR"/>
        </w:rPr>
        <w:t>),</w:t>
      </w:r>
      <w:r>
        <w:rPr>
          <w:rFonts w:cs="Arial"/>
          <w:lang w:val="fr-FR"/>
        </w:rPr>
        <w:t xml:space="preserve"> et de faire des recommandations à la 15</w:t>
      </w:r>
      <w:r w:rsidRPr="00AB6724">
        <w:rPr>
          <w:rFonts w:cs="Arial"/>
          <w:vertAlign w:val="superscript"/>
          <w:lang w:val="fr-FR"/>
        </w:rPr>
        <w:t>e</w:t>
      </w:r>
      <w:r>
        <w:rPr>
          <w:rFonts w:cs="Arial"/>
          <w:lang w:val="fr-FR"/>
        </w:rPr>
        <w:t xml:space="preserve"> session de la Conférence des Parties sur les actions prioritaires à entreprendre au cours de la prochaine période intersessions. </w:t>
      </w:r>
    </w:p>
    <w:p w14:paraId="50A61C23" w14:textId="77777777" w:rsidR="000632D1" w:rsidRDefault="000632D1" w:rsidP="000632D1">
      <w:pPr>
        <w:widowControl w:val="0"/>
        <w:autoSpaceDE w:val="0"/>
        <w:autoSpaceDN w:val="0"/>
        <w:adjustRightInd w:val="0"/>
        <w:spacing w:after="0" w:line="240" w:lineRule="auto"/>
        <w:ind w:left="567"/>
        <w:contextualSpacing/>
        <w:jc w:val="both"/>
        <w:rPr>
          <w:rFonts w:cs="Arial"/>
          <w:lang w:val="fr-FR"/>
        </w:rPr>
      </w:pPr>
    </w:p>
    <w:p w14:paraId="79BE88DC" w14:textId="079BD07A" w:rsidR="000632D1" w:rsidRPr="00DE2964" w:rsidRDefault="000632D1" w:rsidP="00DE2964">
      <w:pPr>
        <w:widowControl w:val="0"/>
        <w:autoSpaceDE w:val="0"/>
        <w:autoSpaceDN w:val="0"/>
        <w:adjustRightInd w:val="0"/>
        <w:spacing w:after="120" w:line="240" w:lineRule="auto"/>
        <w:jc w:val="both"/>
        <w:rPr>
          <w:rFonts w:cs="Arial"/>
          <w:lang w:val="fr-FR"/>
        </w:rPr>
      </w:pPr>
      <w:r>
        <w:rPr>
          <w:rFonts w:cs="Arial"/>
          <w:lang w:val="fr-FR"/>
        </w:rPr>
        <w:t xml:space="preserve">Pour ce faire, le Secrétariat a édité les décisions potentielles adressées au Conseil scientifique et les a toutes compilées dans le présent document. Certaines activités recommandées pour le Conseil scientifique ont été incluses dans les projets de décision contenus dans le document UNEP/CMS/COP15/Doc.25.4.1 </w:t>
      </w:r>
      <w:r>
        <w:rPr>
          <w:rFonts w:cs="Arial"/>
          <w:i/>
          <w:iCs/>
          <w:lang w:val="fr-FR"/>
        </w:rPr>
        <w:t>Priorités de conservation pour les cétacés</w:t>
      </w:r>
      <w:r>
        <w:rPr>
          <w:rFonts w:cs="Arial"/>
          <w:lang w:val="fr-FR"/>
        </w:rPr>
        <w:t>, et d’autres ont été incluses dans d’autres documents pertinents de la COP15. Par souci d’exhaustivité, ces recommandations sont également reprises ci-dessous.</w:t>
      </w:r>
    </w:p>
    <w:tbl>
      <w:tblPr>
        <w:tblStyle w:val="TableGrid"/>
        <w:tblW w:w="9351" w:type="dxa"/>
        <w:tblLayout w:type="fixed"/>
        <w:tblLook w:val="04A0" w:firstRow="1" w:lastRow="0" w:firstColumn="1" w:lastColumn="0" w:noHBand="0" w:noVBand="1"/>
      </w:tblPr>
      <w:tblGrid>
        <w:gridCol w:w="1980"/>
        <w:gridCol w:w="4252"/>
        <w:gridCol w:w="3119"/>
      </w:tblGrid>
      <w:tr w:rsidR="000632D1" w14:paraId="647D012D" w14:textId="77777777" w:rsidTr="00DE2964">
        <w:trPr>
          <w:tblHeader/>
        </w:trPr>
        <w:tc>
          <w:tcPr>
            <w:tcW w:w="1980" w:type="dxa"/>
            <w:shd w:val="clear" w:color="auto" w:fill="EDEDED" w:themeFill="accent3" w:themeFillTint="33"/>
          </w:tcPr>
          <w:p w14:paraId="1D9546A7"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Sujet</w:t>
            </w:r>
          </w:p>
        </w:tc>
        <w:tc>
          <w:tcPr>
            <w:tcW w:w="4252" w:type="dxa"/>
            <w:shd w:val="clear" w:color="auto" w:fill="EDEDED" w:themeFill="accent3" w:themeFillTint="33"/>
          </w:tcPr>
          <w:p w14:paraId="02C42959" w14:textId="77777777" w:rsidR="000632D1" w:rsidRDefault="000632D1" w:rsidP="00F53E9A">
            <w:pPr>
              <w:spacing w:before="40" w:after="40"/>
              <w:jc w:val="both"/>
              <w:rPr>
                <w:rFonts w:ascii="Arial" w:hAnsi="Arial" w:cs="Arial"/>
                <w:b/>
                <w:bCs/>
                <w:sz w:val="20"/>
                <w:szCs w:val="20"/>
                <w:lang w:val="fr-FR"/>
              </w:rPr>
            </w:pPr>
            <w:r>
              <w:rPr>
                <w:rFonts w:ascii="Arial" w:hAnsi="Arial" w:cs="Arial"/>
                <w:b/>
                <w:bCs/>
                <w:sz w:val="20"/>
                <w:szCs w:val="20"/>
                <w:lang w:val="fr-FR"/>
              </w:rPr>
              <w:t>Recommandations</w:t>
            </w:r>
          </w:p>
        </w:tc>
        <w:tc>
          <w:tcPr>
            <w:tcW w:w="3119" w:type="dxa"/>
            <w:shd w:val="clear" w:color="auto" w:fill="EDEDED" w:themeFill="accent3" w:themeFillTint="33"/>
          </w:tcPr>
          <w:p w14:paraId="3A72E30B"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Commentaire(s)</w:t>
            </w:r>
          </w:p>
        </w:tc>
      </w:tr>
      <w:tr w:rsidR="000632D1" w:rsidRPr="00006560" w14:paraId="7594D4BC" w14:textId="77777777" w:rsidTr="00F53E9A">
        <w:tc>
          <w:tcPr>
            <w:tcW w:w="1980" w:type="dxa"/>
          </w:tcPr>
          <w:p w14:paraId="2AA30692"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L’enchevêtrement,</w:t>
            </w:r>
          </w:p>
          <w:p w14:paraId="4B3FE61B"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les prises accessoires et</w:t>
            </w:r>
          </w:p>
          <w:p w14:paraId="6D6B7631"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l’épuisement des proies</w:t>
            </w:r>
          </w:p>
        </w:tc>
        <w:tc>
          <w:tcPr>
            <w:tcW w:w="4252" w:type="dxa"/>
          </w:tcPr>
          <w:p w14:paraId="4EA23494"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Élaborer un rapport pour quantifier la contribution des prises accessoires et formes de mortalité dues à la pêche des cétacés inscrits aux Annexes de la CMS au déclassement trophique et à la santé et à la fonction des écosystèmes marins, et formuler des recommandations à l’adresse des Parties.</w:t>
            </w:r>
          </w:p>
        </w:tc>
        <w:tc>
          <w:tcPr>
            <w:tcW w:w="3119" w:type="dxa"/>
          </w:tcPr>
          <w:p w14:paraId="196CD94B" w14:textId="77777777" w:rsidR="00A42FBE" w:rsidRDefault="000632D1" w:rsidP="00F53E9A">
            <w:pPr>
              <w:spacing w:before="40" w:after="40"/>
              <w:rPr>
                <w:rFonts w:ascii="Arial" w:hAnsi="Arial" w:cs="Arial"/>
                <w:sz w:val="20"/>
                <w:szCs w:val="20"/>
                <w:lang w:val="fr-FR"/>
              </w:rPr>
            </w:pPr>
            <w:r>
              <w:rPr>
                <w:rFonts w:ascii="Arial" w:hAnsi="Arial" w:cs="Arial"/>
                <w:sz w:val="20"/>
                <w:szCs w:val="20"/>
                <w:lang w:val="fr-FR"/>
              </w:rPr>
              <w:t>Couvert par les projets de décisions inclus dans le document </w:t>
            </w:r>
          </w:p>
          <w:p w14:paraId="3FC7F87E" w14:textId="6D257C2C" w:rsidR="000632D1" w:rsidRDefault="000632D1" w:rsidP="00F53E9A">
            <w:pPr>
              <w:spacing w:before="40" w:after="40"/>
              <w:rPr>
                <w:rFonts w:ascii="Arial" w:hAnsi="Arial" w:cs="Arial"/>
                <w:i/>
                <w:iCs/>
                <w:sz w:val="20"/>
                <w:szCs w:val="20"/>
                <w:lang w:val="fr-FR"/>
              </w:rPr>
            </w:pPr>
            <w:hyperlink r:id="rId50" w:history="1">
              <w:r>
                <w:rPr>
                  <w:rStyle w:val="Hyperlink"/>
                  <w:rFonts w:ascii="Arial" w:hAnsi="Arial" w:cs="Arial"/>
                  <w:sz w:val="20"/>
                  <w:szCs w:val="20"/>
                  <w:lang w:val="fr-FR"/>
                </w:rPr>
                <w:t>UNEP/CMS/COP15/Doc.25.1.1</w:t>
              </w:r>
            </w:hyperlink>
            <w:r>
              <w:rPr>
                <w:rFonts w:ascii="Arial" w:hAnsi="Arial" w:cs="Arial"/>
                <w:sz w:val="20"/>
                <w:szCs w:val="20"/>
                <w:lang w:val="fr-FR"/>
              </w:rPr>
              <w:t xml:space="preserve"> </w:t>
            </w:r>
            <w:r>
              <w:rPr>
                <w:rFonts w:ascii="Arial" w:hAnsi="Arial" w:cs="Arial"/>
                <w:i/>
                <w:iCs/>
                <w:sz w:val="20"/>
                <w:szCs w:val="20"/>
                <w:lang w:val="fr-FR"/>
              </w:rPr>
              <w:t>Prises accessoires et autres formes de mortalité dues à la pêche.</w:t>
            </w:r>
          </w:p>
        </w:tc>
      </w:tr>
      <w:tr w:rsidR="000632D1" w:rsidRPr="00006560" w14:paraId="4BCC454C" w14:textId="77777777" w:rsidTr="00F53E9A">
        <w:tc>
          <w:tcPr>
            <w:tcW w:w="1980" w:type="dxa"/>
          </w:tcPr>
          <w:p w14:paraId="69B21DC4"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Chasse</w:t>
            </w:r>
          </w:p>
        </w:tc>
        <w:tc>
          <w:tcPr>
            <w:tcW w:w="4252" w:type="dxa"/>
          </w:tcPr>
          <w:p w14:paraId="712CD093"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Avec le soutien du Groupe de travail sur la viande d’animaux sauvages aquatiques, quantifier la chasse à la baleine contemporaine et les prélèvements de viande d’animaux sauvages aquatiques de tous les cétacés inscrits à l’Annexe I de la CMS dans toutes les régions, et formuler des recommandations à l’adresse des Parties.</w:t>
            </w:r>
          </w:p>
        </w:tc>
        <w:tc>
          <w:tcPr>
            <w:tcW w:w="3119" w:type="dxa"/>
          </w:tcPr>
          <w:p w14:paraId="57C3ED80" w14:textId="77777777" w:rsidR="00CE3F45" w:rsidRDefault="000632D1" w:rsidP="00F53E9A">
            <w:pPr>
              <w:spacing w:before="40" w:after="40"/>
              <w:rPr>
                <w:rFonts w:ascii="Arial" w:hAnsi="Arial" w:cs="Arial"/>
                <w:sz w:val="20"/>
                <w:szCs w:val="20"/>
                <w:lang w:val="fr-FR"/>
              </w:rPr>
            </w:pPr>
            <w:r>
              <w:rPr>
                <w:rFonts w:ascii="Arial" w:hAnsi="Arial" w:cs="Arial"/>
                <w:sz w:val="20"/>
                <w:szCs w:val="20"/>
                <w:lang w:val="fr-FR"/>
              </w:rPr>
              <w:t>Couvert par la Décision 14.72 (a) et rapporté dans le document </w:t>
            </w:r>
          </w:p>
          <w:p w14:paraId="5F4A9894" w14:textId="692BFE34" w:rsidR="000632D1" w:rsidRDefault="000632D1" w:rsidP="00F53E9A">
            <w:pPr>
              <w:spacing w:before="40" w:after="40"/>
              <w:rPr>
                <w:rFonts w:ascii="Arial" w:hAnsi="Arial" w:cs="Arial"/>
                <w:sz w:val="20"/>
                <w:szCs w:val="20"/>
                <w:lang w:val="fr-FR"/>
              </w:rPr>
            </w:pPr>
            <w:hyperlink r:id="rId51" w:history="1">
              <w:r>
                <w:rPr>
                  <w:rStyle w:val="Hyperlink"/>
                  <w:rFonts w:ascii="Arial" w:hAnsi="Arial" w:cs="Arial"/>
                  <w:sz w:val="20"/>
                  <w:szCs w:val="20"/>
                  <w:lang w:val="fr-FR"/>
                </w:rPr>
                <w:t>UNEP/CMS/COP15/Doc.25.4.1</w:t>
              </w:r>
            </w:hyperlink>
            <w:r>
              <w:rPr>
                <w:rFonts w:ascii="Arial" w:hAnsi="Arial" w:cs="Arial"/>
                <w:sz w:val="20"/>
                <w:szCs w:val="20"/>
                <w:lang w:val="fr-FR"/>
              </w:rPr>
              <w:t xml:space="preserve"> </w:t>
            </w:r>
            <w:r>
              <w:rPr>
                <w:rFonts w:ascii="Arial" w:hAnsi="Arial" w:cs="Arial"/>
                <w:i/>
                <w:iCs/>
                <w:sz w:val="20"/>
                <w:szCs w:val="20"/>
                <w:lang w:val="fr-FR"/>
              </w:rPr>
              <w:t>Priorités de conservation pour les</w:t>
            </w:r>
            <w:r>
              <w:rPr>
                <w:rFonts w:ascii="Arial" w:hAnsi="Arial" w:cs="Arial"/>
                <w:sz w:val="20"/>
                <w:szCs w:val="20"/>
                <w:lang w:val="fr-FR"/>
              </w:rPr>
              <w:t xml:space="preserve"> </w:t>
            </w:r>
            <w:r>
              <w:rPr>
                <w:rFonts w:ascii="Arial" w:hAnsi="Arial" w:cs="Arial"/>
                <w:i/>
                <w:iCs/>
                <w:sz w:val="20"/>
                <w:szCs w:val="20"/>
                <w:lang w:val="fr-FR"/>
              </w:rPr>
              <w:t xml:space="preserve">cétacés </w:t>
            </w:r>
            <w:r>
              <w:rPr>
                <w:rFonts w:ascii="Arial" w:hAnsi="Arial" w:cs="Arial"/>
                <w:sz w:val="20"/>
                <w:szCs w:val="20"/>
                <w:lang w:val="fr-FR"/>
              </w:rPr>
              <w:t>(achevé, rapport disponible sous la cote </w:t>
            </w:r>
            <w:hyperlink r:id="rId52" w:history="1">
              <w:r>
                <w:rPr>
                  <w:rStyle w:val="Hyperlink"/>
                  <w:rFonts w:ascii="Arial" w:hAnsi="Arial" w:cs="Arial"/>
                  <w:sz w:val="20"/>
                  <w:szCs w:val="20"/>
                  <w:lang w:val="fr-FR"/>
                </w:rPr>
                <w:t>UNEP/CMS/COP15/Inf.25.4.1a</w:t>
              </w:r>
            </w:hyperlink>
            <w:r>
              <w:rPr>
                <w:rFonts w:ascii="Arial" w:hAnsi="Arial" w:cs="Arial"/>
                <w:sz w:val="20"/>
                <w:szCs w:val="20"/>
                <w:lang w:val="fr-FR"/>
              </w:rPr>
              <w:t>).</w:t>
            </w:r>
          </w:p>
        </w:tc>
      </w:tr>
      <w:tr w:rsidR="000632D1" w:rsidRPr="00006560" w14:paraId="07F7C502" w14:textId="77777777" w:rsidTr="00F53E9A">
        <w:tc>
          <w:tcPr>
            <w:tcW w:w="1980" w:type="dxa"/>
          </w:tcPr>
          <w:p w14:paraId="768B6526"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Changements</w:t>
            </w:r>
          </w:p>
          <w:p w14:paraId="5CB45C43"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climatiques</w:t>
            </w:r>
          </w:p>
        </w:tc>
        <w:tc>
          <w:tcPr>
            <w:tcW w:w="4252" w:type="dxa"/>
          </w:tcPr>
          <w:p w14:paraId="0E44611E"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a) Étudier les impacts des mortalités massives de cétacés liées à la présence de toxines algales et formuler des recommandations à l’adresse des Parties.</w:t>
            </w:r>
          </w:p>
          <w:p w14:paraId="704E6927" w14:textId="77777777" w:rsidR="000632D1" w:rsidRDefault="000632D1" w:rsidP="00F53E9A">
            <w:pPr>
              <w:spacing w:before="40" w:after="40"/>
              <w:jc w:val="both"/>
              <w:rPr>
                <w:rFonts w:ascii="Arial" w:hAnsi="Arial" w:cs="Arial"/>
                <w:sz w:val="20"/>
                <w:szCs w:val="20"/>
                <w:lang w:val="fr-FR"/>
              </w:rPr>
            </w:pPr>
          </w:p>
          <w:p w14:paraId="0B24F249" w14:textId="77777777" w:rsidR="000632D1" w:rsidRDefault="000632D1" w:rsidP="00F53E9A">
            <w:pPr>
              <w:spacing w:before="40" w:after="40"/>
              <w:jc w:val="both"/>
              <w:rPr>
                <w:rFonts w:ascii="Arial" w:hAnsi="Arial" w:cs="Arial"/>
                <w:sz w:val="20"/>
                <w:szCs w:val="20"/>
                <w:lang w:val="fr-FR"/>
              </w:rPr>
            </w:pPr>
          </w:p>
          <w:p w14:paraId="5893D337" w14:textId="77777777" w:rsidR="00602D5B" w:rsidRDefault="00602D5B" w:rsidP="00F53E9A">
            <w:pPr>
              <w:spacing w:before="40" w:after="40"/>
              <w:jc w:val="both"/>
              <w:rPr>
                <w:rFonts w:ascii="Arial" w:hAnsi="Arial" w:cs="Arial"/>
                <w:sz w:val="20"/>
                <w:szCs w:val="20"/>
                <w:lang w:val="fr-FR"/>
              </w:rPr>
            </w:pPr>
          </w:p>
          <w:p w14:paraId="236F8A67"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b) Élaborer un rapport sur les impacts potentiels des migrations induites par le climat sur le bien-être et les résultats en matière de conservation des espèces de cétacés concernées, et formuler des recommandations à l’adresse des Parties.</w:t>
            </w:r>
          </w:p>
          <w:p w14:paraId="091D4785" w14:textId="77777777" w:rsidR="000632D1" w:rsidRDefault="000632D1" w:rsidP="00F53E9A">
            <w:pPr>
              <w:spacing w:before="40" w:after="40"/>
              <w:jc w:val="both"/>
              <w:rPr>
                <w:rFonts w:ascii="Arial" w:hAnsi="Arial" w:cs="Arial"/>
                <w:sz w:val="20"/>
                <w:szCs w:val="20"/>
                <w:lang w:val="fr-FR"/>
              </w:rPr>
            </w:pPr>
          </w:p>
          <w:p w14:paraId="0D282FDA" w14:textId="77777777" w:rsidR="000632D1" w:rsidRDefault="000632D1" w:rsidP="00F53E9A">
            <w:pPr>
              <w:spacing w:before="40" w:after="40"/>
              <w:jc w:val="both"/>
              <w:rPr>
                <w:rFonts w:ascii="Arial" w:hAnsi="Arial" w:cs="Arial"/>
                <w:sz w:val="20"/>
                <w:szCs w:val="20"/>
                <w:lang w:val="fr-FR"/>
              </w:rPr>
            </w:pPr>
          </w:p>
          <w:p w14:paraId="59C0732B"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lastRenderedPageBreak/>
              <w:t>c) Élaborer un rapport sur la protection des zones protégées consacrées aux mammifères marins contre les risques climatiques et formuler des recommandations à l’adresse des Parties.</w:t>
            </w:r>
          </w:p>
        </w:tc>
        <w:tc>
          <w:tcPr>
            <w:tcW w:w="3119" w:type="dxa"/>
          </w:tcPr>
          <w:p w14:paraId="1BA636A8" w14:textId="77777777" w:rsidR="00CE3F45" w:rsidRDefault="000632D1" w:rsidP="00F53E9A">
            <w:pPr>
              <w:spacing w:before="40" w:after="40"/>
              <w:rPr>
                <w:rFonts w:ascii="Arial" w:hAnsi="Arial" w:cs="Arial"/>
                <w:sz w:val="20"/>
                <w:szCs w:val="20"/>
                <w:lang w:val="fr-FR"/>
              </w:rPr>
            </w:pPr>
            <w:r>
              <w:rPr>
                <w:rFonts w:ascii="Arial" w:hAnsi="Arial" w:cs="Arial"/>
                <w:sz w:val="20"/>
                <w:szCs w:val="20"/>
                <w:lang w:val="fr-FR"/>
              </w:rPr>
              <w:lastRenderedPageBreak/>
              <w:t>a) Couvert par des projets de décisions présentés dans le document </w:t>
            </w:r>
          </w:p>
          <w:p w14:paraId="470F2292" w14:textId="127B34D3" w:rsidR="000632D1" w:rsidRDefault="000632D1" w:rsidP="00F53E9A">
            <w:pPr>
              <w:spacing w:before="40" w:after="40"/>
              <w:rPr>
                <w:rFonts w:ascii="Arial" w:hAnsi="Arial" w:cs="Arial"/>
                <w:i/>
                <w:iCs/>
                <w:sz w:val="20"/>
                <w:szCs w:val="20"/>
                <w:lang w:val="fr-FR"/>
              </w:rPr>
            </w:pPr>
            <w:hyperlink r:id="rId53" w:history="1">
              <w:r>
                <w:rPr>
                  <w:rStyle w:val="Hyperlink"/>
                  <w:rFonts w:ascii="Arial" w:hAnsi="Arial" w:cs="Arial"/>
                  <w:sz w:val="20"/>
                  <w:szCs w:val="20"/>
                  <w:lang w:val="fr-FR"/>
                </w:rPr>
                <w:t>UNEP/CMS/COP15/Doc.25.4.1</w:t>
              </w:r>
            </w:hyperlink>
            <w:r>
              <w:rPr>
                <w:rFonts w:ascii="Arial" w:hAnsi="Arial" w:cs="Arial"/>
                <w:sz w:val="20"/>
                <w:szCs w:val="20"/>
                <w:lang w:val="fr-FR"/>
              </w:rPr>
              <w:t xml:space="preserve"> </w:t>
            </w:r>
            <w:r>
              <w:rPr>
                <w:rFonts w:ascii="Arial" w:hAnsi="Arial" w:cs="Arial"/>
                <w:i/>
                <w:iCs/>
                <w:sz w:val="20"/>
                <w:szCs w:val="20"/>
                <w:lang w:val="fr-FR"/>
              </w:rPr>
              <w:t>Priorités de conservation pour les cétacés.</w:t>
            </w:r>
          </w:p>
          <w:p w14:paraId="2AAE0EBC" w14:textId="77777777" w:rsidR="000632D1" w:rsidRDefault="000632D1" w:rsidP="00F53E9A">
            <w:pPr>
              <w:spacing w:before="40" w:after="40"/>
              <w:rPr>
                <w:rFonts w:ascii="Arial" w:hAnsi="Arial" w:cs="Arial"/>
                <w:i/>
                <w:iCs/>
                <w:sz w:val="20"/>
                <w:szCs w:val="20"/>
                <w:lang w:val="fr-FR"/>
              </w:rPr>
            </w:pPr>
          </w:p>
          <w:p w14:paraId="4CD74F05" w14:textId="77777777" w:rsidR="00CE3F45" w:rsidRPr="00687B95" w:rsidRDefault="000632D1" w:rsidP="00F53E9A">
            <w:pPr>
              <w:spacing w:before="40" w:after="40"/>
              <w:rPr>
                <w:rFonts w:ascii="Arial" w:hAnsi="Arial" w:cs="Arial"/>
                <w:sz w:val="19"/>
                <w:szCs w:val="19"/>
                <w:lang w:val="fr-FR"/>
              </w:rPr>
            </w:pPr>
            <w:r w:rsidRPr="00687B95">
              <w:rPr>
                <w:rFonts w:ascii="Arial" w:hAnsi="Arial" w:cs="Arial"/>
                <w:sz w:val="19"/>
                <w:szCs w:val="19"/>
                <w:lang w:val="fr-FR"/>
              </w:rPr>
              <w:t>b) Couvert par la Décision 14.72 (b) et présenté dans le document</w:t>
            </w:r>
          </w:p>
          <w:p w14:paraId="232BF117" w14:textId="77777777" w:rsidR="00687B95" w:rsidRDefault="000632D1" w:rsidP="00F53E9A">
            <w:pPr>
              <w:spacing w:before="40" w:after="40"/>
              <w:rPr>
                <w:rFonts w:ascii="Arial" w:hAnsi="Arial" w:cs="Arial"/>
                <w:sz w:val="19"/>
                <w:szCs w:val="19"/>
                <w:lang w:val="fr-FR"/>
              </w:rPr>
            </w:pPr>
            <w:r w:rsidRPr="00687B95">
              <w:rPr>
                <w:rFonts w:ascii="Arial" w:hAnsi="Arial" w:cs="Arial"/>
                <w:sz w:val="19"/>
                <w:szCs w:val="19"/>
                <w:lang w:val="fr-FR"/>
              </w:rPr>
              <w:t> </w:t>
            </w:r>
            <w:hyperlink r:id="rId54" w:history="1">
              <w:r w:rsidRPr="00687B95">
                <w:rPr>
                  <w:rStyle w:val="Hyperlink"/>
                  <w:rFonts w:ascii="Arial" w:hAnsi="Arial" w:cs="Arial"/>
                  <w:sz w:val="19"/>
                  <w:szCs w:val="19"/>
                  <w:lang w:val="fr-FR"/>
                </w:rPr>
                <w:t xml:space="preserve">UNEP/CMS/COP15/Doc.25.4.1 </w:t>
              </w:r>
            </w:hyperlink>
            <w:r w:rsidRPr="00687B95">
              <w:rPr>
                <w:rFonts w:ascii="Arial" w:hAnsi="Arial" w:cs="Arial"/>
                <w:i/>
                <w:iCs/>
                <w:sz w:val="19"/>
                <w:szCs w:val="19"/>
                <w:lang w:val="fr-FR"/>
              </w:rPr>
              <w:t xml:space="preserve">Priorités de conservation pour les cétacés </w:t>
            </w:r>
            <w:r w:rsidRPr="00687B95">
              <w:rPr>
                <w:rFonts w:ascii="Arial" w:hAnsi="Arial" w:cs="Arial"/>
                <w:sz w:val="19"/>
                <w:szCs w:val="19"/>
                <w:lang w:val="fr-FR"/>
              </w:rPr>
              <w:t>(achevé, rapport disponible sous la cote </w:t>
            </w:r>
          </w:p>
          <w:p w14:paraId="043E2381" w14:textId="260FDA32" w:rsidR="000632D1" w:rsidRPr="00687B95" w:rsidRDefault="000632D1" w:rsidP="00F53E9A">
            <w:pPr>
              <w:spacing w:before="40" w:after="40"/>
              <w:rPr>
                <w:rFonts w:ascii="Arial" w:hAnsi="Arial" w:cs="Arial"/>
                <w:sz w:val="19"/>
                <w:szCs w:val="19"/>
              </w:rPr>
            </w:pPr>
            <w:hyperlink r:id="rId55" w:history="1">
              <w:r w:rsidRPr="00687B95">
                <w:rPr>
                  <w:rStyle w:val="Hyperlink"/>
                  <w:rFonts w:ascii="Arial" w:hAnsi="Arial" w:cs="Arial"/>
                  <w:sz w:val="19"/>
                  <w:szCs w:val="19"/>
                </w:rPr>
                <w:t>UNEP/CMS/COP15/Inf.25.4.1b</w:t>
              </w:r>
            </w:hyperlink>
            <w:r w:rsidRPr="00687B95">
              <w:rPr>
                <w:rFonts w:ascii="Arial" w:hAnsi="Arial" w:cs="Arial"/>
                <w:sz w:val="19"/>
                <w:szCs w:val="19"/>
              </w:rPr>
              <w:t>).</w:t>
            </w:r>
          </w:p>
          <w:p w14:paraId="2DD3AA39" w14:textId="77777777" w:rsidR="00CE3F45" w:rsidRDefault="000632D1" w:rsidP="00F53E9A">
            <w:pPr>
              <w:spacing w:before="40" w:after="40"/>
              <w:rPr>
                <w:rFonts w:ascii="Arial" w:hAnsi="Arial" w:cs="Arial"/>
                <w:sz w:val="20"/>
                <w:szCs w:val="20"/>
                <w:lang w:val="fr-FR"/>
              </w:rPr>
            </w:pPr>
            <w:r>
              <w:rPr>
                <w:rFonts w:ascii="Arial" w:hAnsi="Arial" w:cs="Arial"/>
                <w:sz w:val="20"/>
                <w:szCs w:val="20"/>
                <w:lang w:val="fr-FR"/>
              </w:rPr>
              <w:lastRenderedPageBreak/>
              <w:t>c) Couvert par des projets de décisions présentés dans le document </w:t>
            </w:r>
          </w:p>
          <w:p w14:paraId="5EE4BB71" w14:textId="7AFF43A9" w:rsidR="000632D1" w:rsidRDefault="000632D1" w:rsidP="00F53E9A">
            <w:pPr>
              <w:spacing w:before="40" w:after="40"/>
              <w:rPr>
                <w:rFonts w:ascii="Arial" w:hAnsi="Arial" w:cs="Arial"/>
                <w:i/>
                <w:iCs/>
                <w:sz w:val="20"/>
                <w:szCs w:val="20"/>
                <w:lang w:val="fr-FR"/>
              </w:rPr>
            </w:pPr>
            <w:hyperlink r:id="rId56" w:history="1">
              <w:r>
                <w:rPr>
                  <w:rStyle w:val="Hyperlink"/>
                  <w:rFonts w:ascii="Arial" w:hAnsi="Arial" w:cs="Arial"/>
                  <w:sz w:val="20"/>
                  <w:szCs w:val="20"/>
                  <w:lang w:val="fr-FR"/>
                </w:rPr>
                <w:t>UNEP/CMS/COP15/Doc.25.3.1</w:t>
              </w:r>
            </w:hyperlink>
            <w:r>
              <w:rPr>
                <w:rFonts w:ascii="Arial" w:hAnsi="Arial" w:cs="Arial"/>
                <w:sz w:val="20"/>
                <w:szCs w:val="20"/>
                <w:lang w:val="fr-FR"/>
              </w:rPr>
              <w:t xml:space="preserve"> </w:t>
            </w:r>
            <w:r>
              <w:rPr>
                <w:rFonts w:ascii="Arial" w:hAnsi="Arial" w:cs="Arial"/>
                <w:i/>
                <w:iCs/>
                <w:sz w:val="20"/>
                <w:szCs w:val="20"/>
                <w:lang w:val="fr-FR"/>
              </w:rPr>
              <w:t>Priorités pour</w:t>
            </w:r>
            <w:r>
              <w:rPr>
                <w:rFonts w:ascii="Arial" w:hAnsi="Arial" w:cs="Arial"/>
                <w:sz w:val="20"/>
                <w:szCs w:val="20"/>
                <w:lang w:val="fr-FR"/>
              </w:rPr>
              <w:t xml:space="preserve"> </w:t>
            </w:r>
            <w:r>
              <w:rPr>
                <w:rFonts w:ascii="Arial" w:hAnsi="Arial" w:cs="Arial"/>
                <w:i/>
                <w:iCs/>
                <w:sz w:val="20"/>
                <w:szCs w:val="20"/>
                <w:lang w:val="fr-FR"/>
              </w:rPr>
              <w:t>la conservation par zone des espèces marines migratrices.</w:t>
            </w:r>
          </w:p>
        </w:tc>
      </w:tr>
      <w:tr w:rsidR="000632D1" w:rsidRPr="00006560" w14:paraId="079C5FB7" w14:textId="77777777" w:rsidTr="00F53E9A">
        <w:tc>
          <w:tcPr>
            <w:tcW w:w="1980" w:type="dxa"/>
          </w:tcPr>
          <w:p w14:paraId="474D80DE"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lastRenderedPageBreak/>
              <w:t>Débris marins</w:t>
            </w:r>
          </w:p>
        </w:tc>
        <w:tc>
          <w:tcPr>
            <w:tcW w:w="4252" w:type="dxa"/>
          </w:tcPr>
          <w:p w14:paraId="0355A5C2"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En s’appuyant sur le travail effectué par l’Accord sur la conservation des cétacés de la mer Noire, de la Méditerranée et de la zone atlantique adjacente (ACCOBAMS), l’Accord sur la conservation des petits cétacés de la mer Baltique et de la mer du Nord (ASCOBANS) et la Commission baleinière internationale (CBI), élaborer un rapport sur</w:t>
            </w:r>
          </w:p>
          <w:p w14:paraId="07C4C68B"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l’incidence et l’impact physiologique de la pollution par les débris marins sur les cétacés inscrits aux Annexes de la CMS, et formuler des recommandations à l’adresse des Parties.</w:t>
            </w:r>
          </w:p>
        </w:tc>
        <w:tc>
          <w:tcPr>
            <w:tcW w:w="3119" w:type="dxa"/>
          </w:tcPr>
          <w:p w14:paraId="33C5224B" w14:textId="77777777" w:rsidR="00CE3F45" w:rsidRDefault="000632D1" w:rsidP="00F53E9A">
            <w:pPr>
              <w:spacing w:before="40" w:after="40"/>
              <w:rPr>
                <w:rFonts w:ascii="Arial" w:hAnsi="Arial" w:cs="Arial"/>
                <w:sz w:val="20"/>
                <w:szCs w:val="20"/>
                <w:lang w:val="fr-FR"/>
              </w:rPr>
            </w:pPr>
            <w:r>
              <w:rPr>
                <w:rFonts w:ascii="Arial" w:hAnsi="Arial" w:cs="Arial"/>
                <w:sz w:val="20"/>
                <w:szCs w:val="20"/>
                <w:lang w:val="fr-FR"/>
              </w:rPr>
              <w:t>Couvert par les Décisions 14.42 (a+b) et 14.225 (a+b) et présenté dans le document </w:t>
            </w:r>
          </w:p>
          <w:p w14:paraId="2301656A" w14:textId="2C36220D" w:rsidR="000632D1" w:rsidRDefault="000632D1" w:rsidP="00F53E9A">
            <w:pPr>
              <w:spacing w:before="40" w:after="40"/>
              <w:rPr>
                <w:rFonts w:ascii="Arial" w:hAnsi="Arial" w:cs="Arial"/>
                <w:sz w:val="20"/>
                <w:szCs w:val="20"/>
                <w:lang w:val="fr-FR"/>
              </w:rPr>
            </w:pPr>
            <w:hyperlink r:id="rId57" w:history="1">
              <w:r>
                <w:rPr>
                  <w:rStyle w:val="Hyperlink"/>
                  <w:rFonts w:ascii="Arial" w:hAnsi="Arial" w:cs="Arial"/>
                  <w:sz w:val="20"/>
                  <w:szCs w:val="20"/>
                  <w:lang w:val="fr-FR"/>
                </w:rPr>
                <w:t>UNEP/CMS/COP15/Doc.25.2.1</w:t>
              </w:r>
            </w:hyperlink>
            <w:r w:rsidRPr="002E7A86">
              <w:rPr>
                <w:lang w:val="fr-FR"/>
              </w:rPr>
              <w:t xml:space="preserve"> </w:t>
            </w:r>
            <w:r>
              <w:rPr>
                <w:rFonts w:ascii="Arial" w:hAnsi="Arial" w:cs="Arial"/>
                <w:i/>
                <w:iCs/>
                <w:sz w:val="20"/>
                <w:szCs w:val="20"/>
                <w:lang w:val="fr-FR"/>
              </w:rPr>
              <w:t xml:space="preserve">Pollution marine, </w:t>
            </w:r>
            <w:r>
              <w:rPr>
                <w:rFonts w:ascii="Arial" w:hAnsi="Arial" w:cs="Arial"/>
                <w:sz w:val="20"/>
                <w:szCs w:val="20"/>
                <w:lang w:val="fr-FR"/>
              </w:rPr>
              <w:t>qui contient également de nouveaux projets de décision.</w:t>
            </w:r>
          </w:p>
        </w:tc>
      </w:tr>
      <w:tr w:rsidR="000632D1" w:rsidRPr="00006560" w14:paraId="66BB5C78" w14:textId="77777777" w:rsidTr="00F53E9A">
        <w:tc>
          <w:tcPr>
            <w:tcW w:w="1980" w:type="dxa"/>
          </w:tcPr>
          <w:p w14:paraId="1510988B"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Pollution</w:t>
            </w:r>
          </w:p>
          <w:p w14:paraId="38B8D4A7"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chimique</w:t>
            </w:r>
          </w:p>
        </w:tc>
        <w:tc>
          <w:tcPr>
            <w:tcW w:w="4252" w:type="dxa"/>
          </w:tcPr>
          <w:p w14:paraId="25C2E170"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a) Élaborer un rapport sur l’incidence de la pollution chimique sur les cétacés inscrits aux Annexes de la CMS, et formuler des recommandations à l’adresse des Parties.</w:t>
            </w:r>
          </w:p>
          <w:p w14:paraId="404F4633" w14:textId="77777777" w:rsidR="000632D1" w:rsidRDefault="000632D1" w:rsidP="00F53E9A">
            <w:pPr>
              <w:spacing w:before="40" w:after="40"/>
              <w:jc w:val="both"/>
              <w:rPr>
                <w:rFonts w:ascii="Arial" w:hAnsi="Arial" w:cs="Arial"/>
                <w:sz w:val="20"/>
                <w:szCs w:val="20"/>
                <w:lang w:val="fr-FR"/>
              </w:rPr>
            </w:pPr>
          </w:p>
          <w:p w14:paraId="3C44FB6D" w14:textId="77777777" w:rsidR="000632D1" w:rsidRDefault="000632D1" w:rsidP="00F53E9A">
            <w:pPr>
              <w:spacing w:before="40" w:after="40"/>
              <w:jc w:val="both"/>
              <w:rPr>
                <w:rFonts w:ascii="Arial" w:hAnsi="Arial" w:cs="Arial"/>
                <w:sz w:val="20"/>
                <w:szCs w:val="20"/>
                <w:lang w:val="fr-FR"/>
              </w:rPr>
            </w:pPr>
          </w:p>
          <w:p w14:paraId="3D6E69D4" w14:textId="77777777" w:rsidR="000632D1" w:rsidRDefault="000632D1" w:rsidP="00F53E9A">
            <w:pPr>
              <w:spacing w:before="40" w:after="40"/>
              <w:jc w:val="both"/>
              <w:rPr>
                <w:rFonts w:ascii="Arial" w:hAnsi="Arial" w:cs="Arial"/>
                <w:sz w:val="20"/>
                <w:szCs w:val="20"/>
                <w:lang w:val="fr-FR"/>
              </w:rPr>
            </w:pPr>
          </w:p>
          <w:p w14:paraId="4FDEACB3"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b) Élaborer un rapport sur l’incidence de la pollution chimique sur les cétacés et ses répercussions sur la santé humaine, et formuler des recommandations à l’adresse des Parties.</w:t>
            </w:r>
          </w:p>
        </w:tc>
        <w:tc>
          <w:tcPr>
            <w:tcW w:w="3119" w:type="dxa"/>
          </w:tcPr>
          <w:p w14:paraId="10DA902C" w14:textId="77777777" w:rsidR="00CE3F45" w:rsidRDefault="000632D1" w:rsidP="00F53E9A">
            <w:pPr>
              <w:spacing w:before="40" w:after="40"/>
              <w:rPr>
                <w:rFonts w:ascii="Arial" w:hAnsi="Arial" w:cs="Arial"/>
                <w:sz w:val="20"/>
                <w:szCs w:val="20"/>
                <w:lang w:val="fr-FR"/>
              </w:rPr>
            </w:pPr>
            <w:r>
              <w:rPr>
                <w:rFonts w:ascii="Arial" w:hAnsi="Arial" w:cs="Arial"/>
                <w:sz w:val="20"/>
                <w:szCs w:val="20"/>
                <w:lang w:val="fr-FR"/>
              </w:rPr>
              <w:t>a) Couvert par la Décision 14.42 et présenté dans le document </w:t>
            </w:r>
          </w:p>
          <w:p w14:paraId="2C944232" w14:textId="62F7E5FD" w:rsidR="000632D1" w:rsidRDefault="000632D1" w:rsidP="00F53E9A">
            <w:pPr>
              <w:spacing w:before="40" w:after="40"/>
              <w:rPr>
                <w:rFonts w:ascii="Arial" w:hAnsi="Arial" w:cs="Arial"/>
                <w:sz w:val="20"/>
                <w:szCs w:val="20"/>
                <w:lang w:val="fr-FR"/>
              </w:rPr>
            </w:pPr>
            <w:hyperlink r:id="rId58" w:history="1">
              <w:r>
                <w:rPr>
                  <w:rStyle w:val="Hyperlink"/>
                  <w:rFonts w:ascii="Arial" w:hAnsi="Arial" w:cs="Arial"/>
                  <w:sz w:val="20"/>
                  <w:szCs w:val="20"/>
                  <w:lang w:val="fr-FR"/>
                </w:rPr>
                <w:t>UNEP/</w:t>
              </w:r>
              <w:r>
                <w:rPr>
                  <w:rStyle w:val="Hyperlink"/>
                  <w:rFonts w:ascii="Arial" w:hAnsi="Arial" w:cs="Arial"/>
                  <w:sz w:val="20"/>
                  <w:szCs w:val="20"/>
                  <w:lang w:val="fr-FR"/>
                </w:rPr>
                <w:t>C</w:t>
              </w:r>
              <w:r>
                <w:rPr>
                  <w:rStyle w:val="Hyperlink"/>
                  <w:rFonts w:ascii="Arial" w:hAnsi="Arial" w:cs="Arial"/>
                  <w:sz w:val="20"/>
                  <w:szCs w:val="20"/>
                  <w:lang w:val="fr-FR"/>
                </w:rPr>
                <w:t>MS/COP15/Doc.25.2.1</w:t>
              </w:r>
            </w:hyperlink>
            <w:r>
              <w:rPr>
                <w:rFonts w:ascii="Arial" w:hAnsi="Arial" w:cs="Arial"/>
                <w:sz w:val="20"/>
                <w:szCs w:val="20"/>
                <w:lang w:val="fr-FR"/>
              </w:rPr>
              <w:t xml:space="preserve"> </w:t>
            </w:r>
            <w:r>
              <w:rPr>
                <w:rFonts w:ascii="Arial" w:hAnsi="Arial" w:cs="Arial"/>
                <w:i/>
                <w:iCs/>
                <w:sz w:val="20"/>
                <w:szCs w:val="20"/>
                <w:lang w:val="fr-FR"/>
              </w:rPr>
              <w:t xml:space="preserve">Pollution marine, </w:t>
            </w:r>
            <w:r>
              <w:rPr>
                <w:rFonts w:ascii="Arial" w:hAnsi="Arial" w:cs="Arial"/>
                <w:sz w:val="20"/>
                <w:szCs w:val="20"/>
                <w:lang w:val="fr-FR"/>
              </w:rPr>
              <w:t xml:space="preserve">qui contient également de nouveaux projets de décision. </w:t>
            </w:r>
          </w:p>
          <w:p w14:paraId="4EBC329C" w14:textId="77777777" w:rsidR="000632D1" w:rsidRDefault="000632D1" w:rsidP="00F53E9A">
            <w:pPr>
              <w:spacing w:before="40" w:after="40"/>
              <w:rPr>
                <w:rFonts w:ascii="Arial" w:hAnsi="Arial" w:cs="Arial"/>
                <w:i/>
                <w:iCs/>
                <w:sz w:val="20"/>
                <w:szCs w:val="20"/>
                <w:lang w:val="fr-FR"/>
              </w:rPr>
            </w:pPr>
          </w:p>
          <w:p w14:paraId="24EE583A" w14:textId="77777777" w:rsidR="000632D1" w:rsidRDefault="000632D1" w:rsidP="00F53E9A">
            <w:pPr>
              <w:spacing w:before="40" w:after="40"/>
              <w:rPr>
                <w:rFonts w:ascii="Arial" w:hAnsi="Arial" w:cs="Arial"/>
                <w:sz w:val="20"/>
                <w:szCs w:val="20"/>
                <w:lang w:val="fr-FR"/>
              </w:rPr>
            </w:pPr>
            <w:r>
              <w:rPr>
                <w:rFonts w:ascii="Arial" w:hAnsi="Arial" w:cs="Arial"/>
                <w:sz w:val="20"/>
                <w:szCs w:val="20"/>
                <w:lang w:val="fr-FR"/>
              </w:rPr>
              <w:t>b) Pas de mandat pour le moment, pourrait être envisagé lors d’une future COP.</w:t>
            </w:r>
          </w:p>
        </w:tc>
      </w:tr>
      <w:tr w:rsidR="000632D1" w:rsidRPr="00006560" w14:paraId="526659A0" w14:textId="77777777" w:rsidTr="00F53E9A">
        <w:tc>
          <w:tcPr>
            <w:tcW w:w="1980" w:type="dxa"/>
          </w:tcPr>
          <w:p w14:paraId="3CD758A9"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Bruit marin</w:t>
            </w:r>
          </w:p>
        </w:tc>
        <w:tc>
          <w:tcPr>
            <w:tcW w:w="4252" w:type="dxa"/>
          </w:tcPr>
          <w:p w14:paraId="2C7128E8"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Avec le soutien du Groupe de travail conjoint sur le bruit de la CMS, de l’ACCOBAMS et de l’ASCOBANS, entreprendre un examen des sources de bruit intense dans l’environnement marin, inclure des suggestions pour leur atténuation et formuler des recommandations à l’adresse des Parties.</w:t>
            </w:r>
          </w:p>
        </w:tc>
        <w:tc>
          <w:tcPr>
            <w:tcW w:w="3119" w:type="dxa"/>
          </w:tcPr>
          <w:p w14:paraId="56FCC63A" w14:textId="77777777" w:rsidR="00CE3F45" w:rsidRDefault="000632D1" w:rsidP="00F53E9A">
            <w:pPr>
              <w:spacing w:before="40" w:after="40"/>
              <w:rPr>
                <w:rFonts w:ascii="Arial" w:hAnsi="Arial" w:cs="Arial"/>
                <w:sz w:val="20"/>
                <w:szCs w:val="20"/>
                <w:lang w:val="fr-FR"/>
              </w:rPr>
            </w:pPr>
            <w:r>
              <w:rPr>
                <w:rFonts w:ascii="Arial" w:hAnsi="Arial" w:cs="Arial"/>
                <w:sz w:val="20"/>
                <w:szCs w:val="20"/>
                <w:lang w:val="fr-FR"/>
              </w:rPr>
              <w:t>Couvert par des projets de décisions inclus dans le document </w:t>
            </w:r>
          </w:p>
          <w:p w14:paraId="0C3B1A23" w14:textId="4B10E163" w:rsidR="000632D1" w:rsidRDefault="000632D1" w:rsidP="00F53E9A">
            <w:pPr>
              <w:spacing w:before="40" w:after="40"/>
              <w:rPr>
                <w:rFonts w:ascii="Arial" w:hAnsi="Arial" w:cs="Arial"/>
                <w:i/>
                <w:iCs/>
                <w:sz w:val="20"/>
                <w:szCs w:val="20"/>
                <w:lang w:val="fr-FR"/>
              </w:rPr>
            </w:pPr>
            <w:hyperlink r:id="rId59" w:history="1">
              <w:r>
                <w:rPr>
                  <w:rStyle w:val="Hyperlink"/>
                  <w:rFonts w:ascii="Arial" w:hAnsi="Arial" w:cs="Arial"/>
                  <w:sz w:val="20"/>
                  <w:szCs w:val="20"/>
                  <w:lang w:val="fr-FR"/>
                </w:rPr>
                <w:t xml:space="preserve">UNEP/CMS/COP15/Doc.25.2.2 </w:t>
              </w:r>
            </w:hyperlink>
            <w:r>
              <w:rPr>
                <w:rFonts w:ascii="Arial" w:hAnsi="Arial" w:cs="Arial"/>
                <w:i/>
                <w:iCs/>
                <w:sz w:val="20"/>
                <w:szCs w:val="20"/>
                <w:lang w:val="fr-FR"/>
              </w:rPr>
              <w:t>Bruit sous-marin.</w:t>
            </w:r>
          </w:p>
        </w:tc>
      </w:tr>
      <w:tr w:rsidR="000632D1" w:rsidRPr="00006560" w14:paraId="38478AFF" w14:textId="77777777" w:rsidTr="00F53E9A">
        <w:tc>
          <w:tcPr>
            <w:tcW w:w="1980" w:type="dxa"/>
          </w:tcPr>
          <w:p w14:paraId="3B892FB5"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Collision avec les navires</w:t>
            </w:r>
          </w:p>
        </w:tc>
        <w:tc>
          <w:tcPr>
            <w:tcW w:w="4252" w:type="dxa"/>
          </w:tcPr>
          <w:p w14:paraId="18F811C4"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Recenser les zones dans lesquelles les cétacés inscrits aux Annexes de la CMS courent un risque élevé de collision avec les navires, notamment en cartographiant les voies de transport maritime par rapport aux aires importantes pour les mammifères marins (AIMM), élaborer un rapport sur les mesures de changement d’itinéraire appropriées, notamment en évitant certaines zones ou en établissant des restrictions de vitesse des navires pour les habitats clés des cétacés, et formuler des recommandations à l’adresse des Parties.</w:t>
            </w:r>
          </w:p>
        </w:tc>
        <w:tc>
          <w:tcPr>
            <w:tcW w:w="3119" w:type="dxa"/>
          </w:tcPr>
          <w:p w14:paraId="4A9A0381" w14:textId="77777777" w:rsidR="00CE3F45" w:rsidRDefault="000632D1" w:rsidP="00F53E9A">
            <w:pPr>
              <w:spacing w:before="40" w:after="40"/>
              <w:rPr>
                <w:rFonts w:ascii="Arial" w:hAnsi="Arial" w:cs="Arial"/>
                <w:sz w:val="20"/>
                <w:szCs w:val="20"/>
                <w:lang w:val="fr-FR"/>
              </w:rPr>
            </w:pPr>
            <w:r>
              <w:rPr>
                <w:rFonts w:ascii="Arial" w:hAnsi="Arial" w:cs="Arial"/>
                <w:sz w:val="20"/>
                <w:szCs w:val="20"/>
                <w:lang w:val="fr-FR"/>
              </w:rPr>
              <w:t>Partiellement couvert par la Décision 14.49</w:t>
            </w:r>
            <w:r>
              <w:rPr>
                <w:rStyle w:val="CommentReference"/>
                <w:rFonts w:ascii="Arial" w:hAnsi="Arial" w:cs="Arial"/>
                <w:sz w:val="20"/>
                <w:szCs w:val="20"/>
                <w:lang w:val="fr-FR"/>
              </w:rPr>
              <w:t xml:space="preserve"> </w:t>
            </w:r>
            <w:r>
              <w:rPr>
                <w:rFonts w:ascii="Arial" w:hAnsi="Arial" w:cs="Arial"/>
                <w:sz w:val="20"/>
                <w:szCs w:val="20"/>
                <w:lang w:val="fr-FR"/>
              </w:rPr>
              <w:t>et présenté dans le document </w:t>
            </w:r>
          </w:p>
          <w:p w14:paraId="7FCE4BF7" w14:textId="66400CF5" w:rsidR="000632D1" w:rsidRDefault="000632D1" w:rsidP="00F53E9A">
            <w:pPr>
              <w:spacing w:before="40" w:after="40"/>
              <w:rPr>
                <w:rFonts w:ascii="Arial" w:hAnsi="Arial" w:cs="Arial"/>
                <w:i/>
                <w:iCs/>
                <w:sz w:val="20"/>
                <w:szCs w:val="20"/>
                <w:lang w:val="fr-FR"/>
              </w:rPr>
            </w:pPr>
            <w:hyperlink r:id="rId60" w:history="1">
              <w:r>
                <w:rPr>
                  <w:rStyle w:val="Hyperlink"/>
                  <w:rFonts w:ascii="Arial" w:hAnsi="Arial" w:cs="Arial"/>
                  <w:sz w:val="20"/>
                  <w:szCs w:val="20"/>
                  <w:lang w:val="fr-FR"/>
                </w:rPr>
                <w:t>UNEP/CMS/COP15/Doc.25.3.1</w:t>
              </w:r>
            </w:hyperlink>
            <w:r>
              <w:rPr>
                <w:rFonts w:ascii="Arial" w:hAnsi="Arial" w:cs="Arial"/>
                <w:sz w:val="20"/>
                <w:szCs w:val="20"/>
                <w:lang w:val="fr-FR"/>
              </w:rPr>
              <w:t xml:space="preserve"> </w:t>
            </w:r>
            <w:r>
              <w:rPr>
                <w:rFonts w:ascii="Arial" w:hAnsi="Arial" w:cs="Arial"/>
                <w:i/>
                <w:iCs/>
                <w:sz w:val="20"/>
                <w:szCs w:val="20"/>
                <w:lang w:val="fr-FR"/>
              </w:rPr>
              <w:t>Priorités pour</w:t>
            </w:r>
            <w:r>
              <w:rPr>
                <w:rFonts w:ascii="Arial" w:hAnsi="Arial" w:cs="Arial"/>
                <w:sz w:val="20"/>
                <w:szCs w:val="20"/>
                <w:lang w:val="fr-FR"/>
              </w:rPr>
              <w:t xml:space="preserve"> </w:t>
            </w:r>
            <w:r>
              <w:rPr>
                <w:rFonts w:ascii="Arial" w:hAnsi="Arial" w:cs="Arial"/>
                <w:i/>
                <w:iCs/>
                <w:sz w:val="20"/>
                <w:szCs w:val="20"/>
                <w:lang w:val="fr-FR"/>
              </w:rPr>
              <w:t>la conservation par zone des espèces marines migratrices.</w:t>
            </w:r>
          </w:p>
          <w:p w14:paraId="284532AD" w14:textId="77777777" w:rsidR="000632D1" w:rsidRDefault="000632D1" w:rsidP="00F53E9A">
            <w:pPr>
              <w:spacing w:before="40" w:after="40"/>
              <w:rPr>
                <w:rFonts w:ascii="Arial" w:hAnsi="Arial" w:cs="Arial"/>
                <w:i/>
                <w:iCs/>
                <w:sz w:val="20"/>
                <w:szCs w:val="20"/>
                <w:lang w:val="fr-FR"/>
              </w:rPr>
            </w:pPr>
          </w:p>
          <w:p w14:paraId="40F25A83" w14:textId="77777777" w:rsidR="00CE3F45" w:rsidRDefault="000632D1" w:rsidP="00F53E9A">
            <w:pPr>
              <w:spacing w:before="40" w:after="40"/>
              <w:rPr>
                <w:rFonts w:ascii="Arial" w:hAnsi="Arial" w:cs="Arial"/>
                <w:sz w:val="20"/>
                <w:szCs w:val="20"/>
                <w:lang w:val="fr-FR"/>
              </w:rPr>
            </w:pPr>
            <w:r>
              <w:rPr>
                <w:rFonts w:ascii="Arial" w:hAnsi="Arial" w:cs="Arial"/>
                <w:sz w:val="20"/>
                <w:szCs w:val="20"/>
                <w:lang w:val="fr-FR"/>
              </w:rPr>
              <w:t>Également couvert par des projets de décisions présentés dans le document </w:t>
            </w:r>
          </w:p>
          <w:p w14:paraId="01B5D8B7" w14:textId="1185469B" w:rsidR="000632D1" w:rsidRDefault="000632D1" w:rsidP="00F53E9A">
            <w:pPr>
              <w:spacing w:before="40" w:after="40"/>
              <w:rPr>
                <w:rFonts w:ascii="Arial" w:hAnsi="Arial" w:cs="Arial"/>
                <w:sz w:val="20"/>
                <w:szCs w:val="20"/>
                <w:lang w:val="fr-FR"/>
              </w:rPr>
            </w:pPr>
            <w:hyperlink r:id="rId61" w:history="1">
              <w:r>
                <w:rPr>
                  <w:rStyle w:val="Hyperlink"/>
                  <w:rFonts w:ascii="Arial" w:hAnsi="Arial" w:cs="Arial"/>
                  <w:sz w:val="20"/>
                  <w:szCs w:val="20"/>
                  <w:lang w:val="fr-FR"/>
                </w:rPr>
                <w:t>UNEP/CMS/COP15/Doc.25.3.1</w:t>
              </w:r>
            </w:hyperlink>
            <w:r>
              <w:rPr>
                <w:rFonts w:ascii="Arial" w:hAnsi="Arial" w:cs="Arial"/>
                <w:sz w:val="20"/>
                <w:szCs w:val="20"/>
                <w:lang w:val="fr-FR"/>
              </w:rPr>
              <w:t xml:space="preserve"> </w:t>
            </w:r>
            <w:r>
              <w:rPr>
                <w:rFonts w:ascii="Arial" w:hAnsi="Arial" w:cs="Arial"/>
                <w:i/>
                <w:iCs/>
                <w:sz w:val="20"/>
                <w:szCs w:val="20"/>
                <w:lang w:val="fr-FR"/>
              </w:rPr>
              <w:t>Priorités pour</w:t>
            </w:r>
            <w:r>
              <w:rPr>
                <w:rFonts w:ascii="Arial" w:hAnsi="Arial" w:cs="Arial"/>
                <w:sz w:val="20"/>
                <w:szCs w:val="20"/>
                <w:lang w:val="fr-FR"/>
              </w:rPr>
              <w:t xml:space="preserve"> </w:t>
            </w:r>
            <w:r>
              <w:rPr>
                <w:rFonts w:ascii="Arial" w:hAnsi="Arial" w:cs="Arial"/>
                <w:i/>
                <w:iCs/>
                <w:sz w:val="20"/>
                <w:szCs w:val="20"/>
                <w:lang w:val="fr-FR"/>
              </w:rPr>
              <w:t>la conservation par zone des espèces marines migratrices.</w:t>
            </w:r>
          </w:p>
        </w:tc>
      </w:tr>
      <w:tr w:rsidR="000632D1" w:rsidRPr="00006560" w14:paraId="15CA6251" w14:textId="77777777" w:rsidTr="00F53E9A">
        <w:tc>
          <w:tcPr>
            <w:tcW w:w="1980" w:type="dxa"/>
          </w:tcPr>
          <w:p w14:paraId="2BAC1A0E"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lastRenderedPageBreak/>
              <w:t>Captures vivantes</w:t>
            </w:r>
          </w:p>
        </w:tc>
        <w:tc>
          <w:tcPr>
            <w:tcW w:w="4252" w:type="dxa"/>
          </w:tcPr>
          <w:p w14:paraId="04704529"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Élaborer un rapport quantifiant l’étendue des opérations de capture vivante d’espèces de cétacés inscrites aux Annexes de la CMS, en tenant compte du bien-être et de la conservation des individus, des populations et des espèces visés, et formuler des recommandations à l’adresse des Parties.</w:t>
            </w:r>
          </w:p>
        </w:tc>
        <w:tc>
          <w:tcPr>
            <w:tcW w:w="3119" w:type="dxa"/>
          </w:tcPr>
          <w:p w14:paraId="6219E09A" w14:textId="77777777" w:rsidR="000632D1" w:rsidRDefault="000632D1" w:rsidP="00F53E9A">
            <w:pPr>
              <w:spacing w:before="40" w:after="40"/>
              <w:rPr>
                <w:rFonts w:ascii="Arial" w:hAnsi="Arial" w:cs="Arial"/>
                <w:sz w:val="20"/>
                <w:szCs w:val="20"/>
                <w:lang w:val="fr-FR"/>
              </w:rPr>
            </w:pPr>
            <w:r>
              <w:rPr>
                <w:rFonts w:ascii="Arial" w:hAnsi="Arial" w:cs="Arial"/>
                <w:sz w:val="20"/>
                <w:szCs w:val="20"/>
                <w:lang w:val="fr-FR"/>
              </w:rPr>
              <w:t>Pas de mandat pour le moment, pourrait être envisagé lors d’une future COP.</w:t>
            </w:r>
          </w:p>
        </w:tc>
      </w:tr>
      <w:tr w:rsidR="000632D1" w:rsidRPr="00006560" w14:paraId="49391C63" w14:textId="77777777" w:rsidTr="00F53E9A">
        <w:tc>
          <w:tcPr>
            <w:tcW w:w="1980" w:type="dxa"/>
          </w:tcPr>
          <w:p w14:paraId="102A8642"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Perturbations</w:t>
            </w:r>
          </w:p>
          <w:p w14:paraId="4A6D5ABB"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et</w:t>
            </w:r>
          </w:p>
          <w:p w14:paraId="603EA015"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harcèlement</w:t>
            </w:r>
          </w:p>
        </w:tc>
        <w:tc>
          <w:tcPr>
            <w:tcW w:w="4252" w:type="dxa"/>
          </w:tcPr>
          <w:p w14:paraId="5D9031E6"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a) Élaborer un rapport pour évaluer les effets à long terme et l’importance biologique des perturbations causées par les interactions entre les bateaux et l’eau pour tous les cétacés inscrits aux Annexes de la CMS, et formuler des recommandations à l’adresse des Parties.</w:t>
            </w:r>
          </w:p>
          <w:p w14:paraId="7FD73073" w14:textId="77777777" w:rsidR="000632D1" w:rsidRDefault="000632D1" w:rsidP="00F53E9A">
            <w:pPr>
              <w:spacing w:before="40" w:after="40"/>
              <w:jc w:val="both"/>
              <w:rPr>
                <w:rFonts w:ascii="Arial" w:hAnsi="Arial" w:cs="Arial"/>
                <w:sz w:val="20"/>
                <w:szCs w:val="20"/>
                <w:lang w:val="fr-FR"/>
              </w:rPr>
            </w:pPr>
          </w:p>
          <w:p w14:paraId="7D6A9B31"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b) Recommander les zones dans lesquelles les activités devraient être strictement limitées aux activités nautiques à une distance accrue pour les populations particulièrement vulnérables, et formuler des recommandations à l’adresse des Parties.</w:t>
            </w:r>
          </w:p>
        </w:tc>
        <w:tc>
          <w:tcPr>
            <w:tcW w:w="3119" w:type="dxa"/>
          </w:tcPr>
          <w:p w14:paraId="008D88D1" w14:textId="77777777" w:rsidR="00883756" w:rsidRDefault="000632D1" w:rsidP="00F53E9A">
            <w:pPr>
              <w:spacing w:before="40" w:after="40"/>
              <w:rPr>
                <w:rFonts w:ascii="Arial" w:hAnsi="Arial" w:cs="Arial"/>
                <w:sz w:val="20"/>
                <w:szCs w:val="20"/>
                <w:lang w:val="fr-FR"/>
              </w:rPr>
            </w:pPr>
            <w:r>
              <w:rPr>
                <w:rFonts w:ascii="Arial" w:hAnsi="Arial" w:cs="Arial"/>
                <w:sz w:val="20"/>
                <w:szCs w:val="20"/>
                <w:lang w:val="fr-FR"/>
              </w:rPr>
              <w:t>Couvert par la Décision 14.55 (a+b), dont le renouvellement est proposé pour la COP15 dans le document </w:t>
            </w:r>
          </w:p>
          <w:p w14:paraId="7DD0AAE5" w14:textId="14A7B312" w:rsidR="000632D1" w:rsidRDefault="000632D1" w:rsidP="00F53E9A">
            <w:pPr>
              <w:spacing w:before="40" w:after="40"/>
              <w:rPr>
                <w:rFonts w:ascii="Arial" w:hAnsi="Arial" w:cs="Arial"/>
                <w:i/>
                <w:iCs/>
                <w:sz w:val="20"/>
                <w:szCs w:val="20"/>
                <w:lang w:val="fr-FR"/>
              </w:rPr>
            </w:pPr>
            <w:hyperlink r:id="rId62" w:history="1">
              <w:r>
                <w:rPr>
                  <w:rStyle w:val="Hyperlink"/>
                  <w:rFonts w:ascii="Arial" w:hAnsi="Arial" w:cs="Arial"/>
                  <w:sz w:val="20"/>
                  <w:szCs w:val="20"/>
                  <w:lang w:val="fr-FR"/>
                </w:rPr>
                <w:t>UNEP/CMS/COP15/Doc.24</w:t>
              </w:r>
            </w:hyperlink>
            <w:r>
              <w:rPr>
                <w:rFonts w:ascii="Arial" w:hAnsi="Arial" w:cs="Arial"/>
                <w:sz w:val="20"/>
                <w:szCs w:val="20"/>
                <w:lang w:val="fr-FR"/>
              </w:rPr>
              <w:t xml:space="preserve"> </w:t>
            </w:r>
            <w:r>
              <w:rPr>
                <w:rFonts w:ascii="Arial" w:hAnsi="Arial" w:cs="Arial"/>
                <w:i/>
                <w:iCs/>
                <w:sz w:val="20"/>
                <w:szCs w:val="20"/>
                <w:lang w:val="fr-FR"/>
              </w:rPr>
              <w:t xml:space="preserve">Examen des décisions. </w:t>
            </w:r>
          </w:p>
        </w:tc>
      </w:tr>
      <w:tr w:rsidR="000632D1" w:rsidRPr="00006560" w14:paraId="17FC83D8" w14:textId="77777777" w:rsidTr="00F53E9A">
        <w:tc>
          <w:tcPr>
            <w:tcW w:w="1980" w:type="dxa"/>
          </w:tcPr>
          <w:p w14:paraId="1955DAED"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 xml:space="preserve">Maladies </w:t>
            </w:r>
          </w:p>
        </w:tc>
        <w:tc>
          <w:tcPr>
            <w:tcW w:w="4252" w:type="dxa"/>
          </w:tcPr>
          <w:p w14:paraId="0DBC86CC"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Afin de contribuer à l’étude des causes de mortalité, en tenant compte des travaux réalisés par l’ACCOBAMS, l’ASCOBANS et la CBI,</w:t>
            </w:r>
          </w:p>
          <w:p w14:paraId="148C0BA4" w14:textId="77777777" w:rsidR="000632D1" w:rsidRDefault="000632D1" w:rsidP="00F53E9A">
            <w:pPr>
              <w:spacing w:before="40" w:after="40"/>
              <w:jc w:val="both"/>
              <w:rPr>
                <w:rFonts w:ascii="Arial" w:hAnsi="Arial" w:cs="Arial"/>
                <w:sz w:val="20"/>
                <w:szCs w:val="20"/>
                <w:lang w:val="fr-FR"/>
              </w:rPr>
            </w:pPr>
          </w:p>
          <w:p w14:paraId="5BA749A6"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a) recenser les protocoles normés en matière d’échouage et de nécropsie et recommander leur utilisation ;</w:t>
            </w:r>
          </w:p>
          <w:p w14:paraId="3BC1528D" w14:textId="77777777" w:rsidR="000632D1" w:rsidRDefault="000632D1" w:rsidP="00F53E9A">
            <w:pPr>
              <w:spacing w:before="40" w:after="40"/>
              <w:jc w:val="both"/>
              <w:rPr>
                <w:rFonts w:ascii="Arial" w:hAnsi="Arial" w:cs="Arial"/>
                <w:sz w:val="20"/>
                <w:szCs w:val="20"/>
                <w:lang w:val="fr-FR"/>
              </w:rPr>
            </w:pPr>
          </w:p>
          <w:p w14:paraId="29CDCDCF"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b) étudier la nécessité d’une base de données mondiale pour enregistrer ces incidents et formuler des recommandations en conséquence.</w:t>
            </w:r>
          </w:p>
          <w:p w14:paraId="0288BE9F" w14:textId="77777777" w:rsidR="007E009E" w:rsidRDefault="007E009E" w:rsidP="00F53E9A">
            <w:pPr>
              <w:spacing w:before="40" w:after="40"/>
              <w:jc w:val="both"/>
              <w:rPr>
                <w:rFonts w:ascii="Arial" w:hAnsi="Arial" w:cs="Arial"/>
                <w:sz w:val="20"/>
                <w:szCs w:val="20"/>
                <w:lang w:val="fr-FR"/>
              </w:rPr>
            </w:pPr>
          </w:p>
        </w:tc>
        <w:tc>
          <w:tcPr>
            <w:tcW w:w="3119" w:type="dxa"/>
          </w:tcPr>
          <w:p w14:paraId="68628E73" w14:textId="77777777" w:rsidR="00883756" w:rsidRDefault="000632D1" w:rsidP="00F53E9A">
            <w:pPr>
              <w:spacing w:before="40" w:after="40"/>
              <w:rPr>
                <w:rFonts w:ascii="Arial" w:hAnsi="Arial" w:cs="Arial"/>
                <w:sz w:val="20"/>
                <w:szCs w:val="20"/>
                <w:lang w:val="fr-FR"/>
              </w:rPr>
            </w:pPr>
            <w:r>
              <w:rPr>
                <w:rFonts w:ascii="Arial" w:hAnsi="Arial" w:cs="Arial"/>
                <w:sz w:val="20"/>
                <w:szCs w:val="20"/>
                <w:lang w:val="fr-FR"/>
              </w:rPr>
              <w:t>Couvert par la Décision 14.72 (c) et présenté dans le document </w:t>
            </w:r>
          </w:p>
          <w:p w14:paraId="5305939B" w14:textId="50C67425" w:rsidR="000632D1" w:rsidRDefault="000632D1" w:rsidP="00F53E9A">
            <w:pPr>
              <w:spacing w:before="40" w:after="40"/>
              <w:rPr>
                <w:rFonts w:ascii="Arial" w:hAnsi="Arial" w:cs="Arial"/>
                <w:sz w:val="20"/>
                <w:szCs w:val="20"/>
                <w:lang w:val="fr-FR"/>
              </w:rPr>
            </w:pPr>
            <w:hyperlink r:id="rId63" w:history="1">
              <w:r>
                <w:rPr>
                  <w:rStyle w:val="Hyperlink"/>
                  <w:rFonts w:ascii="Arial" w:hAnsi="Arial" w:cs="Arial"/>
                  <w:sz w:val="20"/>
                  <w:szCs w:val="20"/>
                  <w:lang w:val="fr-FR"/>
                </w:rPr>
                <w:t>UNEP/CMS/COP15/Doc.25.4.1</w:t>
              </w:r>
            </w:hyperlink>
            <w:r>
              <w:rPr>
                <w:rFonts w:ascii="Arial" w:hAnsi="Arial" w:cs="Arial"/>
                <w:sz w:val="20"/>
                <w:szCs w:val="20"/>
                <w:lang w:val="fr-FR"/>
              </w:rPr>
              <w:t xml:space="preserve"> </w:t>
            </w:r>
            <w:r>
              <w:rPr>
                <w:rFonts w:ascii="Arial" w:hAnsi="Arial" w:cs="Arial"/>
                <w:i/>
                <w:iCs/>
                <w:sz w:val="20"/>
                <w:szCs w:val="20"/>
                <w:lang w:val="fr-FR"/>
              </w:rPr>
              <w:t>Priorités de conservation pour les cétacés</w:t>
            </w:r>
            <w:r>
              <w:rPr>
                <w:rFonts w:ascii="Arial" w:hAnsi="Arial" w:cs="Arial"/>
                <w:sz w:val="20"/>
                <w:szCs w:val="20"/>
                <w:lang w:val="fr-FR"/>
              </w:rPr>
              <w:t xml:space="preserve"> (achevé).</w:t>
            </w:r>
          </w:p>
        </w:tc>
      </w:tr>
      <w:tr w:rsidR="000632D1" w:rsidRPr="00006560" w14:paraId="61A7584F" w14:textId="77777777" w:rsidTr="00F53E9A">
        <w:tc>
          <w:tcPr>
            <w:tcW w:w="1980" w:type="dxa"/>
          </w:tcPr>
          <w:p w14:paraId="4D5ABA7A"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Exploitation minière des</w:t>
            </w:r>
          </w:p>
          <w:p w14:paraId="2CB0BF53"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grands fonds marins</w:t>
            </w:r>
          </w:p>
        </w:tc>
        <w:tc>
          <w:tcPr>
            <w:tcW w:w="4252" w:type="dxa"/>
          </w:tcPr>
          <w:p w14:paraId="13A8A74D"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a) Élaborer un rapport sur l’état des connaissances concernant l’incidence de l’exploitation minière des grands fonds marins sur les cétacés et autres espèces migratrices, déterminer les lacunes en matière d’information qui doivent être comblées avant de pouvoir prendre des décisions éclairées concernant l’exploitation minière des grands fonds marins, et formuler des recommandations à l’adresse des Parties.</w:t>
            </w:r>
          </w:p>
          <w:p w14:paraId="4826E7C6" w14:textId="77777777" w:rsidR="000632D1" w:rsidRDefault="000632D1" w:rsidP="00F53E9A">
            <w:pPr>
              <w:spacing w:before="40" w:after="40"/>
              <w:jc w:val="both"/>
              <w:rPr>
                <w:rFonts w:ascii="Arial" w:hAnsi="Arial" w:cs="Arial"/>
                <w:sz w:val="20"/>
                <w:szCs w:val="20"/>
                <w:lang w:val="fr-FR"/>
              </w:rPr>
            </w:pPr>
          </w:p>
          <w:p w14:paraId="1796769E" w14:textId="29714EB6" w:rsidR="007E009E" w:rsidRDefault="000632D1" w:rsidP="00F53E9A">
            <w:pPr>
              <w:spacing w:before="40" w:after="40"/>
              <w:jc w:val="both"/>
              <w:rPr>
                <w:rFonts w:ascii="Arial" w:hAnsi="Arial" w:cs="Arial"/>
                <w:sz w:val="20"/>
                <w:szCs w:val="20"/>
                <w:lang w:val="fr-FR"/>
              </w:rPr>
            </w:pPr>
            <w:r>
              <w:rPr>
                <w:rFonts w:ascii="Arial" w:hAnsi="Arial" w:cs="Arial"/>
                <w:sz w:val="20"/>
                <w:szCs w:val="20"/>
                <w:lang w:val="fr-FR"/>
              </w:rPr>
              <w:t>b) Élaborer un rapport évaluant l’adéquation de la couverture des espèces de cétacés inscrites aux Annexes de la CMS qui plongent en eaux profondes sont par les exigences relatives aux évaluations d’impact environnemental liées aux approbations d’exploitation minière des grands fonds marins, et formuler des recommandations à l’adresse des Parties.</w:t>
            </w:r>
          </w:p>
        </w:tc>
        <w:tc>
          <w:tcPr>
            <w:tcW w:w="3119" w:type="dxa"/>
          </w:tcPr>
          <w:p w14:paraId="19F6D514" w14:textId="77777777" w:rsidR="00883756" w:rsidRDefault="000632D1" w:rsidP="00F53E9A">
            <w:pPr>
              <w:spacing w:before="40" w:after="40"/>
              <w:rPr>
                <w:rFonts w:ascii="Arial" w:hAnsi="Arial" w:cs="Arial"/>
                <w:sz w:val="20"/>
                <w:szCs w:val="20"/>
                <w:lang w:val="fr-FR"/>
              </w:rPr>
            </w:pPr>
            <w:r>
              <w:rPr>
                <w:rFonts w:ascii="Arial" w:hAnsi="Arial" w:cs="Arial"/>
                <w:sz w:val="20"/>
                <w:szCs w:val="20"/>
                <w:lang w:val="fr-FR"/>
              </w:rPr>
              <w:t xml:space="preserve">a) Couvert par la Décision 14.52 et présenté dans le document UNEP/CMS/COP15/Doc.25.2.3 </w:t>
            </w:r>
            <w:r>
              <w:rPr>
                <w:rFonts w:ascii="Arial" w:hAnsi="Arial" w:cs="Arial"/>
                <w:i/>
                <w:iCs/>
                <w:sz w:val="20"/>
                <w:szCs w:val="20"/>
                <w:lang w:val="fr-FR"/>
              </w:rPr>
              <w:t xml:space="preserve">Exploitation minière des grands fonds marins </w:t>
            </w:r>
            <w:r>
              <w:rPr>
                <w:rFonts w:ascii="Arial" w:hAnsi="Arial" w:cs="Arial"/>
                <w:sz w:val="20"/>
                <w:szCs w:val="20"/>
                <w:lang w:val="fr-FR"/>
              </w:rPr>
              <w:t>(achevé, rapport disponible sous la cote </w:t>
            </w:r>
          </w:p>
          <w:p w14:paraId="02513D28" w14:textId="253AF264" w:rsidR="000632D1" w:rsidRDefault="000632D1" w:rsidP="00F53E9A">
            <w:pPr>
              <w:spacing w:before="40" w:after="40"/>
              <w:rPr>
                <w:rFonts w:ascii="Arial" w:hAnsi="Arial" w:cs="Arial"/>
                <w:sz w:val="20"/>
                <w:szCs w:val="20"/>
                <w:lang w:val="fr-FR"/>
              </w:rPr>
            </w:pPr>
            <w:hyperlink r:id="rId64" w:history="1">
              <w:r>
                <w:rPr>
                  <w:rStyle w:val="Hyperlink"/>
                  <w:rFonts w:ascii="Arial" w:hAnsi="Arial" w:cs="Arial"/>
                  <w:sz w:val="20"/>
                  <w:szCs w:val="20"/>
                  <w:lang w:val="fr-FR"/>
                </w:rPr>
                <w:t>UNEP/CMS/COP15/Doc.25.2.3/Annexe 1</w:t>
              </w:r>
            </w:hyperlink>
            <w:r>
              <w:rPr>
                <w:rFonts w:ascii="Arial" w:hAnsi="Arial" w:cs="Arial"/>
                <w:sz w:val="20"/>
                <w:szCs w:val="20"/>
                <w:lang w:val="fr-FR"/>
              </w:rPr>
              <w:t>).</w:t>
            </w:r>
          </w:p>
          <w:p w14:paraId="01A3CC07" w14:textId="77777777" w:rsidR="000632D1" w:rsidRDefault="000632D1" w:rsidP="00F53E9A">
            <w:pPr>
              <w:spacing w:before="40" w:after="40"/>
              <w:rPr>
                <w:rFonts w:ascii="Arial" w:hAnsi="Arial" w:cs="Arial"/>
                <w:sz w:val="20"/>
                <w:szCs w:val="20"/>
                <w:lang w:val="fr-FR"/>
              </w:rPr>
            </w:pPr>
          </w:p>
          <w:p w14:paraId="4CF855F6" w14:textId="77777777" w:rsidR="00883756" w:rsidRDefault="000632D1" w:rsidP="00F53E9A">
            <w:pPr>
              <w:spacing w:before="40" w:after="40"/>
              <w:rPr>
                <w:rFonts w:ascii="Arial" w:hAnsi="Arial" w:cs="Arial"/>
                <w:sz w:val="20"/>
                <w:szCs w:val="20"/>
                <w:lang w:val="fr-FR"/>
              </w:rPr>
            </w:pPr>
            <w:r>
              <w:rPr>
                <w:rFonts w:ascii="Arial" w:hAnsi="Arial" w:cs="Arial"/>
                <w:sz w:val="20"/>
                <w:szCs w:val="20"/>
                <w:lang w:val="fr-FR"/>
              </w:rPr>
              <w:t>b) Couvert par des projets de décisions présentés dans le document </w:t>
            </w:r>
          </w:p>
          <w:p w14:paraId="03D6C745" w14:textId="2D591145" w:rsidR="000632D1" w:rsidRDefault="000632D1" w:rsidP="00F53E9A">
            <w:pPr>
              <w:spacing w:before="40" w:after="40"/>
              <w:rPr>
                <w:rFonts w:ascii="Arial" w:hAnsi="Arial" w:cs="Arial"/>
                <w:sz w:val="20"/>
                <w:szCs w:val="20"/>
                <w:lang w:val="fr-FR"/>
              </w:rPr>
            </w:pPr>
            <w:r>
              <w:rPr>
                <w:rFonts w:ascii="Arial" w:hAnsi="Arial" w:cs="Arial"/>
                <w:sz w:val="20"/>
                <w:szCs w:val="20"/>
                <w:lang w:val="fr-FR"/>
              </w:rPr>
              <w:t xml:space="preserve">UNEP/CMS/COP15/Doc.25.2.3 </w:t>
            </w:r>
            <w:r>
              <w:rPr>
                <w:rFonts w:ascii="Arial" w:hAnsi="Arial" w:cs="Arial"/>
                <w:i/>
                <w:iCs/>
                <w:sz w:val="20"/>
                <w:szCs w:val="20"/>
                <w:lang w:val="fr-FR"/>
              </w:rPr>
              <w:t>Exploitation minière des grands fonds marins.</w:t>
            </w:r>
          </w:p>
        </w:tc>
      </w:tr>
      <w:tr w:rsidR="000632D1" w:rsidRPr="007E009E" w14:paraId="722C63B8" w14:textId="77777777" w:rsidTr="00F53E9A">
        <w:tc>
          <w:tcPr>
            <w:tcW w:w="1980" w:type="dxa"/>
          </w:tcPr>
          <w:p w14:paraId="6BF3A8E4"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lastRenderedPageBreak/>
              <w:t>Cétacés</w:t>
            </w:r>
          </w:p>
          <w:p w14:paraId="7DA32F35"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 hors</w:t>
            </w:r>
          </w:p>
          <w:p w14:paraId="7856F22C"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habitat »</w:t>
            </w:r>
          </w:p>
          <w:p w14:paraId="3A956DCF"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et migrants</w:t>
            </w:r>
          </w:p>
          <w:p w14:paraId="11A2605D"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climatiques</w:t>
            </w:r>
          </w:p>
        </w:tc>
        <w:tc>
          <w:tcPr>
            <w:tcW w:w="4252" w:type="dxa"/>
          </w:tcPr>
          <w:p w14:paraId="1D57922D"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Élaborer un rapport sur la surveillance, le bien-être et la conservation des cétacés « hors habitat », fournir des conseils sur les réponses appropriées à apporter à ces situations et formuler des recommandations à l’adresse des Parties.</w:t>
            </w:r>
          </w:p>
        </w:tc>
        <w:tc>
          <w:tcPr>
            <w:tcW w:w="3119" w:type="dxa"/>
          </w:tcPr>
          <w:p w14:paraId="7CE68C4A" w14:textId="77777777" w:rsidR="007E009E" w:rsidRDefault="000632D1" w:rsidP="00F53E9A">
            <w:pPr>
              <w:spacing w:before="40" w:after="40"/>
              <w:rPr>
                <w:rFonts w:ascii="Arial" w:hAnsi="Arial" w:cs="Arial"/>
                <w:sz w:val="20"/>
                <w:szCs w:val="20"/>
                <w:lang w:val="fr-FR"/>
              </w:rPr>
            </w:pPr>
            <w:r>
              <w:rPr>
                <w:rFonts w:ascii="Arial" w:hAnsi="Arial" w:cs="Arial"/>
                <w:sz w:val="20"/>
                <w:szCs w:val="20"/>
                <w:lang w:val="fr-FR"/>
              </w:rPr>
              <w:t>Couvert par la Décision 14.72 (d)</w:t>
            </w:r>
            <w:r>
              <w:rPr>
                <w:rFonts w:ascii="Arial" w:hAnsi="Arial" w:cs="Arial"/>
                <w:i/>
                <w:iCs/>
                <w:sz w:val="20"/>
                <w:szCs w:val="20"/>
                <w:lang w:val="fr-FR"/>
              </w:rPr>
              <w:t xml:space="preserve"> </w:t>
            </w:r>
            <w:r>
              <w:rPr>
                <w:rFonts w:ascii="Arial" w:hAnsi="Arial" w:cs="Arial"/>
                <w:sz w:val="20"/>
                <w:szCs w:val="20"/>
                <w:lang w:val="fr-FR"/>
              </w:rPr>
              <w:t xml:space="preserve">et présenté dans le document UNEP/CMS/COP15/Doc.25.4.1 </w:t>
            </w:r>
            <w:r>
              <w:rPr>
                <w:rFonts w:ascii="Arial" w:hAnsi="Arial" w:cs="Arial"/>
                <w:i/>
                <w:iCs/>
                <w:sz w:val="20"/>
                <w:szCs w:val="20"/>
                <w:lang w:val="fr-FR"/>
              </w:rPr>
              <w:t>Priorités de conservation pour les</w:t>
            </w:r>
            <w:r>
              <w:rPr>
                <w:rFonts w:ascii="Arial" w:hAnsi="Arial" w:cs="Arial"/>
                <w:sz w:val="20"/>
                <w:szCs w:val="20"/>
                <w:lang w:val="fr-FR"/>
              </w:rPr>
              <w:t xml:space="preserve"> </w:t>
            </w:r>
            <w:r>
              <w:rPr>
                <w:rFonts w:ascii="Arial" w:hAnsi="Arial" w:cs="Arial"/>
                <w:i/>
                <w:iCs/>
                <w:sz w:val="20"/>
                <w:szCs w:val="20"/>
                <w:lang w:val="fr-FR"/>
              </w:rPr>
              <w:t xml:space="preserve">cétacés </w:t>
            </w:r>
            <w:r>
              <w:rPr>
                <w:rFonts w:ascii="Arial" w:hAnsi="Arial" w:cs="Arial"/>
                <w:sz w:val="20"/>
                <w:szCs w:val="20"/>
                <w:lang w:val="fr-FR"/>
              </w:rPr>
              <w:t>(achevé, rapport disponible sous la cote </w:t>
            </w:r>
          </w:p>
          <w:p w14:paraId="438F7947" w14:textId="4FC3B552" w:rsidR="000632D1" w:rsidRPr="007E009E" w:rsidRDefault="000632D1" w:rsidP="00F53E9A">
            <w:pPr>
              <w:spacing w:before="40" w:after="40"/>
              <w:rPr>
                <w:rFonts w:ascii="Arial" w:hAnsi="Arial" w:cs="Arial"/>
                <w:i/>
                <w:iCs/>
                <w:sz w:val="20"/>
                <w:szCs w:val="20"/>
              </w:rPr>
            </w:pPr>
            <w:hyperlink r:id="rId65" w:history="1">
              <w:r w:rsidRPr="007E009E">
                <w:rPr>
                  <w:rStyle w:val="Hyperlink"/>
                  <w:rFonts w:ascii="Arial" w:hAnsi="Arial" w:cs="Arial"/>
                  <w:sz w:val="20"/>
                  <w:szCs w:val="20"/>
                </w:rPr>
                <w:t>UNEP/CMS/COP15/Inf.25.4.1c</w:t>
              </w:r>
            </w:hyperlink>
            <w:r w:rsidRPr="007E009E">
              <w:rPr>
                <w:rFonts w:ascii="Arial" w:hAnsi="Arial" w:cs="Arial"/>
                <w:sz w:val="20"/>
                <w:szCs w:val="20"/>
              </w:rPr>
              <w:t>)</w:t>
            </w:r>
            <w:r w:rsidRPr="007E009E">
              <w:rPr>
                <w:rFonts w:ascii="Arial" w:hAnsi="Arial" w:cs="Arial"/>
                <w:i/>
                <w:iCs/>
                <w:sz w:val="20"/>
                <w:szCs w:val="20"/>
              </w:rPr>
              <w:t>.</w:t>
            </w:r>
          </w:p>
        </w:tc>
      </w:tr>
      <w:tr w:rsidR="000632D1" w:rsidRPr="00006560" w14:paraId="23D581DB" w14:textId="77777777" w:rsidTr="00F53E9A">
        <w:tc>
          <w:tcPr>
            <w:tcW w:w="1980" w:type="dxa"/>
          </w:tcPr>
          <w:p w14:paraId="2BFA7C43" w14:textId="77777777" w:rsidR="000632D1" w:rsidRDefault="000632D1" w:rsidP="00F53E9A">
            <w:pPr>
              <w:spacing w:before="40" w:after="40"/>
              <w:rPr>
                <w:rFonts w:ascii="Arial" w:hAnsi="Arial" w:cs="Arial"/>
                <w:b/>
                <w:bCs/>
                <w:sz w:val="20"/>
                <w:szCs w:val="20"/>
                <w:lang w:val="fr-FR"/>
              </w:rPr>
            </w:pPr>
            <w:r>
              <w:rPr>
                <w:rFonts w:ascii="Arial" w:hAnsi="Arial" w:cs="Arial"/>
                <w:b/>
                <w:bCs/>
                <w:sz w:val="20"/>
                <w:szCs w:val="20"/>
                <w:lang w:val="fr-FR"/>
              </w:rPr>
              <w:t>Dégradation de l’habitat</w:t>
            </w:r>
          </w:p>
        </w:tc>
        <w:tc>
          <w:tcPr>
            <w:tcW w:w="4252" w:type="dxa"/>
          </w:tcPr>
          <w:p w14:paraId="437DD7E7"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a) Fournir des conseils sur la manière de faire progresser la conservation et la gestion des sites critiques et des réseaux écologiques pour les cétacés inscrits aux Annexes de la CMS, en tenant compte de la relation entre les zones importantes pour les cétacés et d’autres zones pouvant être écologiquement liées à celles-ci.</w:t>
            </w:r>
          </w:p>
          <w:p w14:paraId="4DD09049" w14:textId="77777777" w:rsidR="000632D1" w:rsidRDefault="000632D1" w:rsidP="00F53E9A">
            <w:pPr>
              <w:spacing w:before="40" w:after="40"/>
              <w:jc w:val="both"/>
              <w:rPr>
                <w:rFonts w:ascii="Arial" w:hAnsi="Arial" w:cs="Arial"/>
                <w:sz w:val="20"/>
                <w:szCs w:val="20"/>
                <w:lang w:val="fr-FR"/>
              </w:rPr>
            </w:pPr>
          </w:p>
          <w:p w14:paraId="553C126A" w14:textId="77777777" w:rsidR="000632D1" w:rsidRDefault="000632D1" w:rsidP="00F53E9A">
            <w:pPr>
              <w:spacing w:before="40" w:after="40"/>
              <w:jc w:val="both"/>
              <w:rPr>
                <w:rFonts w:ascii="Arial" w:hAnsi="Arial" w:cs="Arial"/>
                <w:sz w:val="20"/>
                <w:szCs w:val="20"/>
                <w:lang w:val="fr-FR"/>
              </w:rPr>
            </w:pPr>
            <w:r>
              <w:rPr>
                <w:rFonts w:ascii="Arial" w:hAnsi="Arial" w:cs="Arial"/>
                <w:sz w:val="20"/>
                <w:szCs w:val="20"/>
                <w:lang w:val="fr-FR"/>
              </w:rPr>
              <w:t>b) Effectuer une évaluation de la viabilité de l’habitat pour tous les cétacés inscrits aux Annexes de la CMS, en intégrant des perspectives sur les aspects de la socialité, telles que contenues dans les recommandations du Groupe de travail d’experts sur la culture animale et la complexité sociale, et formuler des recommandations à l’adresse des Parties.</w:t>
            </w:r>
          </w:p>
        </w:tc>
        <w:tc>
          <w:tcPr>
            <w:tcW w:w="3119" w:type="dxa"/>
          </w:tcPr>
          <w:p w14:paraId="3E613E59" w14:textId="77777777" w:rsidR="007E009E" w:rsidRDefault="000632D1" w:rsidP="00F53E9A">
            <w:pPr>
              <w:spacing w:before="40" w:after="40"/>
              <w:rPr>
                <w:rFonts w:ascii="Arial" w:hAnsi="Arial" w:cs="Arial"/>
                <w:sz w:val="20"/>
                <w:szCs w:val="20"/>
                <w:lang w:val="fr-FR"/>
              </w:rPr>
            </w:pPr>
            <w:r>
              <w:rPr>
                <w:rFonts w:ascii="Arial" w:hAnsi="Arial" w:cs="Arial"/>
                <w:sz w:val="20"/>
                <w:szCs w:val="20"/>
                <w:lang w:val="fr-FR"/>
              </w:rPr>
              <w:t>a) Couvert par le texte du projet de Résolution présenté dans le document </w:t>
            </w:r>
          </w:p>
          <w:p w14:paraId="7C9B5ACD" w14:textId="33A1A0AB" w:rsidR="000632D1" w:rsidRDefault="000632D1" w:rsidP="00F53E9A">
            <w:pPr>
              <w:spacing w:before="40" w:after="40"/>
              <w:rPr>
                <w:rFonts w:ascii="Arial" w:hAnsi="Arial" w:cs="Arial"/>
                <w:i/>
                <w:iCs/>
                <w:sz w:val="20"/>
                <w:szCs w:val="20"/>
                <w:lang w:val="fr-FR"/>
              </w:rPr>
            </w:pPr>
            <w:hyperlink r:id="rId66" w:history="1">
              <w:r>
                <w:rPr>
                  <w:rStyle w:val="Hyperlink"/>
                  <w:rFonts w:ascii="Arial" w:hAnsi="Arial" w:cs="Arial"/>
                  <w:sz w:val="20"/>
                  <w:szCs w:val="20"/>
                  <w:lang w:val="fr-FR"/>
                </w:rPr>
                <w:t>UNEP/CMS/COP15/Doc.25.3.1</w:t>
              </w:r>
            </w:hyperlink>
            <w:r>
              <w:rPr>
                <w:rFonts w:ascii="Arial" w:hAnsi="Arial" w:cs="Arial"/>
                <w:sz w:val="20"/>
                <w:szCs w:val="20"/>
                <w:lang w:val="fr-FR"/>
              </w:rPr>
              <w:t xml:space="preserve"> </w:t>
            </w:r>
            <w:r>
              <w:rPr>
                <w:rFonts w:ascii="Arial" w:hAnsi="Arial" w:cs="Arial"/>
                <w:i/>
                <w:iCs/>
                <w:sz w:val="20"/>
                <w:szCs w:val="20"/>
                <w:lang w:val="fr-FR"/>
              </w:rPr>
              <w:t>Priorités pour</w:t>
            </w:r>
            <w:r>
              <w:rPr>
                <w:rFonts w:ascii="Arial" w:hAnsi="Arial" w:cs="Arial"/>
                <w:sz w:val="20"/>
                <w:szCs w:val="20"/>
                <w:lang w:val="fr-FR"/>
              </w:rPr>
              <w:t xml:space="preserve"> </w:t>
            </w:r>
            <w:r>
              <w:rPr>
                <w:rFonts w:ascii="Arial" w:hAnsi="Arial" w:cs="Arial"/>
                <w:i/>
                <w:iCs/>
                <w:sz w:val="20"/>
                <w:szCs w:val="20"/>
                <w:lang w:val="fr-FR"/>
              </w:rPr>
              <w:t xml:space="preserve">la conservation par zone des espèces marines migratrices. </w:t>
            </w:r>
          </w:p>
          <w:p w14:paraId="6EF752B2" w14:textId="77777777" w:rsidR="000632D1" w:rsidRDefault="000632D1" w:rsidP="00F53E9A">
            <w:pPr>
              <w:spacing w:before="40" w:after="40"/>
              <w:rPr>
                <w:rFonts w:ascii="Arial" w:hAnsi="Arial" w:cs="Arial"/>
                <w:i/>
                <w:iCs/>
                <w:sz w:val="20"/>
                <w:szCs w:val="20"/>
                <w:lang w:val="fr-FR"/>
              </w:rPr>
            </w:pPr>
          </w:p>
          <w:p w14:paraId="212C69FB" w14:textId="77777777" w:rsidR="000632D1" w:rsidRDefault="000632D1" w:rsidP="00F53E9A">
            <w:pPr>
              <w:spacing w:before="40" w:after="40"/>
              <w:rPr>
                <w:rFonts w:ascii="Arial" w:hAnsi="Arial" w:cs="Arial"/>
                <w:i/>
                <w:iCs/>
                <w:sz w:val="20"/>
                <w:szCs w:val="20"/>
                <w:lang w:val="fr-FR"/>
              </w:rPr>
            </w:pPr>
          </w:p>
          <w:p w14:paraId="3F1CE997" w14:textId="77777777" w:rsidR="007E009E" w:rsidRDefault="000632D1" w:rsidP="00F53E9A">
            <w:pPr>
              <w:spacing w:before="40" w:after="40"/>
              <w:rPr>
                <w:rFonts w:ascii="Arial" w:hAnsi="Arial" w:cs="Arial"/>
                <w:sz w:val="20"/>
                <w:szCs w:val="20"/>
                <w:lang w:val="fr-FR"/>
              </w:rPr>
            </w:pPr>
            <w:r>
              <w:rPr>
                <w:rFonts w:ascii="Arial" w:hAnsi="Arial" w:cs="Arial"/>
                <w:sz w:val="20"/>
                <w:szCs w:val="20"/>
                <w:lang w:val="fr-FR"/>
              </w:rPr>
              <w:t>b) Couvert par le texte du projet de Résolution présenté dans le document </w:t>
            </w:r>
          </w:p>
          <w:p w14:paraId="3FEA8AA4" w14:textId="64D449B7" w:rsidR="000632D1" w:rsidRDefault="000632D1" w:rsidP="00F53E9A">
            <w:pPr>
              <w:spacing w:before="40" w:after="40"/>
              <w:rPr>
                <w:rFonts w:ascii="Arial" w:hAnsi="Arial" w:cs="Arial"/>
                <w:sz w:val="20"/>
                <w:szCs w:val="20"/>
                <w:lang w:val="fr-FR"/>
              </w:rPr>
            </w:pPr>
            <w:hyperlink r:id="rId67" w:history="1">
              <w:r>
                <w:rPr>
                  <w:rStyle w:val="Hyperlink"/>
                  <w:rFonts w:ascii="Arial" w:hAnsi="Arial" w:cs="Arial"/>
                  <w:sz w:val="20"/>
                  <w:szCs w:val="20"/>
                  <w:lang w:val="fr-FR"/>
                </w:rPr>
                <w:t>UNEP/CMS/COP15/Doc.25.3.1</w:t>
              </w:r>
            </w:hyperlink>
            <w:r>
              <w:rPr>
                <w:rFonts w:ascii="Arial" w:hAnsi="Arial" w:cs="Arial"/>
                <w:sz w:val="20"/>
                <w:szCs w:val="20"/>
                <w:lang w:val="fr-FR"/>
              </w:rPr>
              <w:t xml:space="preserve"> </w:t>
            </w:r>
            <w:r>
              <w:rPr>
                <w:rFonts w:ascii="Arial" w:hAnsi="Arial" w:cs="Arial"/>
                <w:i/>
                <w:iCs/>
                <w:sz w:val="20"/>
                <w:szCs w:val="20"/>
                <w:lang w:val="fr-FR"/>
              </w:rPr>
              <w:t>Priorités pour</w:t>
            </w:r>
            <w:r>
              <w:rPr>
                <w:rFonts w:ascii="Arial" w:hAnsi="Arial" w:cs="Arial"/>
                <w:sz w:val="20"/>
                <w:szCs w:val="20"/>
                <w:lang w:val="fr-FR"/>
              </w:rPr>
              <w:t xml:space="preserve"> </w:t>
            </w:r>
            <w:r>
              <w:rPr>
                <w:rFonts w:ascii="Arial" w:hAnsi="Arial" w:cs="Arial"/>
                <w:i/>
                <w:iCs/>
                <w:sz w:val="20"/>
                <w:szCs w:val="20"/>
                <w:lang w:val="fr-FR"/>
              </w:rPr>
              <w:t>la conservation par zone des espèces marines migratrices.</w:t>
            </w:r>
          </w:p>
        </w:tc>
      </w:tr>
    </w:tbl>
    <w:p w14:paraId="50E384F3" w14:textId="77777777" w:rsidR="000632D1" w:rsidRPr="002E7A86" w:rsidRDefault="000632D1" w:rsidP="000632D1">
      <w:pPr>
        <w:rPr>
          <w:lang w:val="fr-FR"/>
        </w:rPr>
      </w:pPr>
    </w:p>
    <w:p w14:paraId="35B0A375" w14:textId="77777777" w:rsidR="00893B8A" w:rsidRDefault="00893B8A" w:rsidP="00893B8A">
      <w:pPr>
        <w:spacing w:after="0" w:line="240" w:lineRule="auto"/>
        <w:jc w:val="both"/>
        <w:rPr>
          <w:rFonts w:cs="Arial"/>
          <w:b/>
          <w:bCs/>
          <w:iCs/>
          <w:lang w:val="fr-FR"/>
        </w:rPr>
      </w:pPr>
    </w:p>
    <w:p w14:paraId="4BE7ADAA" w14:textId="77777777" w:rsidR="000632D1" w:rsidRPr="00893B8A" w:rsidRDefault="000632D1" w:rsidP="00893B8A">
      <w:pPr>
        <w:spacing w:after="0" w:line="240" w:lineRule="auto"/>
        <w:jc w:val="both"/>
        <w:rPr>
          <w:rFonts w:cs="Arial"/>
          <w:b/>
          <w:bCs/>
          <w:iCs/>
          <w:lang w:val="fr-FR"/>
        </w:rPr>
      </w:pPr>
    </w:p>
    <w:p w14:paraId="49757D9A" w14:textId="77777777" w:rsidR="00F86B9F" w:rsidRDefault="00F86B9F">
      <w:pPr>
        <w:rPr>
          <w:rFonts w:cs="Arial"/>
          <w:iCs/>
          <w:lang w:val="fr-FR"/>
        </w:rPr>
      </w:pPr>
    </w:p>
    <w:p w14:paraId="4F5F1DB6" w14:textId="77777777" w:rsidR="00F86B9F" w:rsidRPr="008233A5" w:rsidRDefault="00F86B9F">
      <w:pPr>
        <w:rPr>
          <w:rFonts w:cs="Arial"/>
          <w:iCs/>
          <w:lang w:val="fr-FR"/>
        </w:rPr>
        <w:sectPr w:rsidR="00F86B9F" w:rsidRPr="008233A5">
          <w:headerReference w:type="even" r:id="rId68"/>
          <w:headerReference w:type="default" r:id="rId69"/>
          <w:headerReference w:type="first" r:id="rId70"/>
          <w:pgSz w:w="11906" w:h="16838" w:code="9"/>
          <w:pgMar w:top="1440" w:right="1440" w:bottom="1440" w:left="1440" w:header="720" w:footer="720" w:gutter="0"/>
          <w:cols w:space="720"/>
          <w:titlePg/>
          <w:docGrid w:linePitch="360"/>
        </w:sectPr>
      </w:pPr>
    </w:p>
    <w:p w14:paraId="0F03B699" w14:textId="288F7378" w:rsidR="00BE5E9B" w:rsidRPr="008233A5" w:rsidRDefault="00B757F7">
      <w:pPr>
        <w:spacing w:after="0" w:line="240" w:lineRule="auto"/>
        <w:jc w:val="right"/>
        <w:rPr>
          <w:rFonts w:cs="Arial"/>
          <w:b/>
          <w:bCs/>
          <w:iCs/>
          <w:lang w:val="fr-FR"/>
        </w:rPr>
      </w:pPr>
      <w:r w:rsidRPr="008233A5">
        <w:rPr>
          <w:rFonts w:cs="Arial"/>
          <w:b/>
          <w:bCs/>
          <w:iCs/>
          <w:lang w:val="fr-FR"/>
        </w:rPr>
        <w:lastRenderedPageBreak/>
        <w:t>ANNEXE </w:t>
      </w:r>
      <w:r w:rsidR="00893B8A">
        <w:rPr>
          <w:rFonts w:cs="Arial"/>
          <w:b/>
          <w:bCs/>
          <w:iCs/>
          <w:lang w:val="fr-FR"/>
        </w:rPr>
        <w:t>5</w:t>
      </w:r>
    </w:p>
    <w:p w14:paraId="1C80B924" w14:textId="77777777" w:rsidR="00BE5E9B" w:rsidRPr="008233A5" w:rsidRDefault="00BE5E9B">
      <w:pPr>
        <w:tabs>
          <w:tab w:val="left" w:pos="930"/>
        </w:tabs>
        <w:spacing w:after="0" w:line="240" w:lineRule="auto"/>
        <w:rPr>
          <w:rFonts w:cs="Arial"/>
          <w:b/>
          <w:bCs/>
          <w:iCs/>
          <w:lang w:val="fr-FR"/>
        </w:rPr>
      </w:pPr>
    </w:p>
    <w:p w14:paraId="114B5E57" w14:textId="77777777" w:rsidR="00BE5E9B" w:rsidRPr="008233A5" w:rsidRDefault="00BE5E9B">
      <w:pPr>
        <w:spacing w:after="0" w:line="240" w:lineRule="auto"/>
        <w:rPr>
          <w:rFonts w:cs="Arial"/>
          <w:iCs/>
          <w:lang w:val="fr-FR"/>
        </w:rPr>
      </w:pPr>
    </w:p>
    <w:p w14:paraId="136EF54B" w14:textId="77777777" w:rsidR="00BE5E9B" w:rsidRPr="008233A5" w:rsidRDefault="00B757F7">
      <w:pPr>
        <w:pStyle w:val="ListParagraph"/>
        <w:spacing w:after="0" w:line="240" w:lineRule="auto"/>
        <w:contextualSpacing w:val="0"/>
        <w:jc w:val="center"/>
        <w:rPr>
          <w:rFonts w:cs="Arial"/>
          <w:b/>
          <w:bCs/>
          <w:iCs/>
          <w:lang w:val="fr-FR"/>
        </w:rPr>
      </w:pPr>
      <w:r w:rsidRPr="008233A5">
        <w:rPr>
          <w:rFonts w:cs="Arial"/>
          <w:b/>
          <w:bCs/>
          <w:iCs/>
          <w:lang w:val="fr-FR"/>
        </w:rPr>
        <w:t>MANDAT DU GROUPE DE TRAVAIL SUR LES MAMMIFÈRES AQUATIQUES</w:t>
      </w:r>
    </w:p>
    <w:p w14:paraId="22C4EEE0" w14:textId="77777777" w:rsidR="00BE5E9B" w:rsidRPr="008233A5" w:rsidRDefault="00BE5E9B">
      <w:pPr>
        <w:spacing w:after="0" w:line="240" w:lineRule="auto"/>
        <w:rPr>
          <w:rFonts w:cs="Arial"/>
          <w:b/>
          <w:bCs/>
          <w:iCs/>
          <w:lang w:val="fr-FR"/>
        </w:rPr>
      </w:pPr>
    </w:p>
    <w:p w14:paraId="780CDCCA" w14:textId="77777777" w:rsidR="00BE5E9B" w:rsidRPr="008233A5" w:rsidRDefault="00BE5E9B">
      <w:pPr>
        <w:spacing w:after="0" w:line="240" w:lineRule="auto"/>
        <w:rPr>
          <w:rFonts w:cs="Arial"/>
          <w:b/>
          <w:bCs/>
          <w:iCs/>
          <w:lang w:val="fr-FR"/>
        </w:rPr>
      </w:pPr>
    </w:p>
    <w:p w14:paraId="207F3449" w14:textId="77777777" w:rsidR="00BE5E9B" w:rsidRPr="008233A5" w:rsidRDefault="00B757F7">
      <w:pPr>
        <w:pStyle w:val="ListParagraph"/>
        <w:spacing w:after="0" w:line="240" w:lineRule="auto"/>
        <w:ind w:left="0"/>
        <w:contextualSpacing w:val="0"/>
        <w:jc w:val="both"/>
        <w:rPr>
          <w:rFonts w:cs="Arial"/>
          <w:b/>
          <w:bCs/>
          <w:iCs/>
          <w:lang w:val="fr-FR"/>
        </w:rPr>
      </w:pPr>
      <w:r w:rsidRPr="008233A5">
        <w:rPr>
          <w:rFonts w:cs="Arial"/>
          <w:b/>
          <w:bCs/>
          <w:iCs/>
          <w:lang w:val="fr-FR"/>
        </w:rPr>
        <w:t>Contexte</w:t>
      </w:r>
    </w:p>
    <w:p w14:paraId="4B059495" w14:textId="77777777" w:rsidR="00BE5E9B" w:rsidRPr="008233A5" w:rsidRDefault="00BE5E9B">
      <w:pPr>
        <w:pStyle w:val="ListParagraph"/>
        <w:spacing w:after="0" w:line="240" w:lineRule="auto"/>
        <w:ind w:left="0"/>
        <w:contextualSpacing w:val="0"/>
        <w:jc w:val="both"/>
        <w:rPr>
          <w:rFonts w:cs="Arial"/>
          <w:b/>
          <w:bCs/>
          <w:iCs/>
          <w:lang w:val="fr-FR"/>
        </w:rPr>
      </w:pPr>
    </w:p>
    <w:p w14:paraId="3021FD95" w14:textId="77777777" w:rsidR="00BE5E9B" w:rsidRPr="008233A5" w:rsidRDefault="00B757F7">
      <w:pPr>
        <w:pStyle w:val="ListParagraph"/>
        <w:spacing w:after="0" w:line="240" w:lineRule="auto"/>
        <w:ind w:left="0"/>
        <w:contextualSpacing w:val="0"/>
        <w:jc w:val="both"/>
        <w:rPr>
          <w:rFonts w:cs="Arial"/>
          <w:iCs/>
          <w:lang w:val="fr-FR"/>
        </w:rPr>
      </w:pPr>
      <w:r w:rsidRPr="008233A5">
        <w:rPr>
          <w:rFonts w:cs="Arial"/>
          <w:iCs/>
          <w:lang w:val="fr-FR"/>
        </w:rPr>
        <w:t xml:space="preserve">Les annexes I et II de la CMS répertorient de nombreuses espèces de mammifères aquatiques migrateurs. Les COP de la CCMS ont également adopté plusieurs Résolutions concernant les mammifères aquatiques, leurs habitats et les menaces auxquelles ils sont exposés. Le Groupe de travail sur les mammifères aquatiques a été créé en 2011 par la Résolution 10.15 </w:t>
      </w:r>
      <w:r w:rsidRPr="008233A5">
        <w:rPr>
          <w:rFonts w:cs="Arial"/>
          <w:i/>
          <w:lang w:val="fr-FR"/>
        </w:rPr>
        <w:t>Programme de travail mondial pour les cétacés</w:t>
      </w:r>
      <w:r w:rsidRPr="008233A5">
        <w:rPr>
          <w:rStyle w:val="FootnoteReference"/>
          <w:rFonts w:cs="Arial"/>
          <w:i/>
          <w:lang w:val="fr-FR"/>
        </w:rPr>
        <w:footnoteReference w:id="9"/>
      </w:r>
      <w:r w:rsidRPr="008233A5">
        <w:rPr>
          <w:rFonts w:cs="Arial"/>
          <w:i/>
          <w:lang w:val="fr-FR"/>
        </w:rPr>
        <w:t>.</w:t>
      </w:r>
    </w:p>
    <w:p w14:paraId="230A14B9" w14:textId="77777777" w:rsidR="00BE5E9B" w:rsidRPr="008233A5" w:rsidRDefault="00BE5E9B">
      <w:pPr>
        <w:pStyle w:val="ListParagraph"/>
        <w:spacing w:after="0" w:line="240" w:lineRule="auto"/>
        <w:ind w:left="0"/>
        <w:contextualSpacing w:val="0"/>
        <w:jc w:val="both"/>
        <w:rPr>
          <w:rFonts w:cs="Arial"/>
          <w:b/>
          <w:bCs/>
          <w:iCs/>
          <w:lang w:val="fr-FR"/>
        </w:rPr>
      </w:pPr>
    </w:p>
    <w:p w14:paraId="54C9BDA5" w14:textId="77777777" w:rsidR="00BE5E9B" w:rsidRPr="008233A5" w:rsidRDefault="00BE5E9B">
      <w:pPr>
        <w:pStyle w:val="ListParagraph"/>
        <w:spacing w:after="0" w:line="240" w:lineRule="auto"/>
        <w:ind w:left="0"/>
        <w:contextualSpacing w:val="0"/>
        <w:jc w:val="both"/>
        <w:rPr>
          <w:rFonts w:cs="Arial"/>
          <w:b/>
          <w:bCs/>
          <w:iCs/>
          <w:lang w:val="fr-FR"/>
        </w:rPr>
      </w:pPr>
    </w:p>
    <w:p w14:paraId="5A7D44DF" w14:textId="77777777" w:rsidR="00BE5E9B" w:rsidRPr="008233A5" w:rsidRDefault="00B757F7">
      <w:pPr>
        <w:pStyle w:val="ListParagraph"/>
        <w:spacing w:after="0" w:line="240" w:lineRule="auto"/>
        <w:ind w:left="0"/>
        <w:contextualSpacing w:val="0"/>
        <w:jc w:val="both"/>
        <w:rPr>
          <w:rFonts w:cs="Arial"/>
          <w:b/>
          <w:bCs/>
          <w:iCs/>
          <w:lang w:val="fr-FR"/>
        </w:rPr>
      </w:pPr>
      <w:r w:rsidRPr="008233A5">
        <w:rPr>
          <w:rFonts w:cs="Arial"/>
          <w:b/>
          <w:bCs/>
          <w:iCs/>
          <w:lang w:val="fr-FR"/>
        </w:rPr>
        <w:t>Objet</w:t>
      </w:r>
    </w:p>
    <w:p w14:paraId="12C8085D" w14:textId="77777777" w:rsidR="00BE5E9B" w:rsidRPr="008233A5" w:rsidRDefault="00BE5E9B">
      <w:pPr>
        <w:pStyle w:val="ListParagraph"/>
        <w:spacing w:after="0" w:line="240" w:lineRule="auto"/>
        <w:ind w:left="0"/>
        <w:contextualSpacing w:val="0"/>
        <w:jc w:val="both"/>
        <w:rPr>
          <w:rFonts w:cs="Arial"/>
          <w:b/>
          <w:bCs/>
          <w:iCs/>
          <w:lang w:val="fr-FR"/>
        </w:rPr>
      </w:pPr>
    </w:p>
    <w:p w14:paraId="1EF59A19" w14:textId="77777777" w:rsidR="00BE5E9B" w:rsidRPr="008233A5" w:rsidRDefault="00B757F7">
      <w:pPr>
        <w:pStyle w:val="ListParagraph"/>
        <w:numPr>
          <w:ilvl w:val="0"/>
          <w:numId w:val="29"/>
        </w:numPr>
        <w:spacing w:after="0" w:line="240" w:lineRule="auto"/>
        <w:contextualSpacing w:val="0"/>
        <w:jc w:val="both"/>
        <w:rPr>
          <w:rFonts w:cs="Arial"/>
          <w:lang w:val="fr-FR"/>
        </w:rPr>
      </w:pPr>
      <w:r w:rsidRPr="008233A5">
        <w:rPr>
          <w:rFonts w:cs="Arial"/>
          <w:lang w:val="fr-FR"/>
        </w:rPr>
        <w:t xml:space="preserve">L’objectif principal du Groupe de travail est de soutenir la réalisation des tâches pertinentes contenues dans le </w:t>
      </w:r>
      <w:r w:rsidRPr="008233A5">
        <w:rPr>
          <w:rFonts w:cs="Arial"/>
          <w:iCs/>
          <w:lang w:val="fr-FR"/>
        </w:rPr>
        <w:t>Programme</w:t>
      </w:r>
      <w:r w:rsidRPr="008233A5">
        <w:rPr>
          <w:rFonts w:cs="Arial"/>
          <w:lang w:val="fr-FR"/>
        </w:rPr>
        <w:t xml:space="preserve"> de travail du Comité de session. </w:t>
      </w:r>
    </w:p>
    <w:p w14:paraId="4F258168" w14:textId="77777777" w:rsidR="00BE5E9B" w:rsidRPr="008233A5" w:rsidRDefault="00BE5E9B">
      <w:pPr>
        <w:pStyle w:val="ListParagraph"/>
        <w:spacing w:after="0" w:line="240" w:lineRule="auto"/>
        <w:contextualSpacing w:val="0"/>
        <w:jc w:val="both"/>
        <w:rPr>
          <w:rFonts w:cs="Arial"/>
          <w:lang w:val="fr-FR"/>
        </w:rPr>
      </w:pPr>
    </w:p>
    <w:p w14:paraId="6CE241D4" w14:textId="77777777" w:rsidR="00BE5E9B" w:rsidRPr="008233A5" w:rsidRDefault="00B757F7">
      <w:pPr>
        <w:pStyle w:val="ListParagraph"/>
        <w:numPr>
          <w:ilvl w:val="0"/>
          <w:numId w:val="29"/>
        </w:numPr>
        <w:spacing w:after="0" w:line="240" w:lineRule="auto"/>
        <w:contextualSpacing w:val="0"/>
        <w:jc w:val="both"/>
        <w:rPr>
          <w:rFonts w:cs="Arial"/>
          <w:lang w:val="fr-FR"/>
        </w:rPr>
      </w:pPr>
      <w:r w:rsidRPr="008233A5">
        <w:rPr>
          <w:rFonts w:cs="Arial"/>
          <w:lang w:val="fr-FR"/>
        </w:rPr>
        <w:t>Il recevra ses mandats spécifiques par le biais de décisions prises lors de chaque COP. De plus, le Groupe de travail soutiendra la mise en œuvre des Résolutions et décisions pertinentes adressées au Conseil scientifique.</w:t>
      </w:r>
    </w:p>
    <w:p w14:paraId="3F04540F" w14:textId="77777777" w:rsidR="00BE5E9B" w:rsidRPr="008233A5" w:rsidRDefault="00BE5E9B">
      <w:pPr>
        <w:spacing w:after="0" w:line="240" w:lineRule="auto"/>
        <w:jc w:val="both"/>
        <w:rPr>
          <w:rFonts w:cs="Arial"/>
          <w:lang w:val="fr-FR"/>
        </w:rPr>
      </w:pPr>
    </w:p>
    <w:p w14:paraId="2419889C" w14:textId="77777777" w:rsidR="00BE5E9B" w:rsidRPr="008233A5" w:rsidRDefault="00B757F7">
      <w:pPr>
        <w:pStyle w:val="ListParagraph"/>
        <w:numPr>
          <w:ilvl w:val="0"/>
          <w:numId w:val="29"/>
        </w:numPr>
        <w:spacing w:after="0" w:line="240" w:lineRule="auto"/>
        <w:contextualSpacing w:val="0"/>
        <w:jc w:val="both"/>
        <w:rPr>
          <w:rFonts w:cs="Arial"/>
          <w:lang w:val="fr-FR"/>
        </w:rPr>
      </w:pPr>
      <w:r w:rsidRPr="008233A5">
        <w:rPr>
          <w:rFonts w:cs="Arial"/>
          <w:lang w:val="fr-FR"/>
        </w:rPr>
        <w:t>Le Groupe de travail soutiendra la mise en œuvre des objectifs liés aux prises dans le cadre du Plan stratégique de Samarcande pour les espèces migratrices 2024</w:t>
      </w:r>
      <w:r w:rsidRPr="008233A5">
        <w:rPr>
          <w:lang w:val="fr-FR"/>
        </w:rPr>
        <w:t>–</w:t>
      </w:r>
      <w:r w:rsidRPr="008233A5">
        <w:rPr>
          <w:rFonts w:cs="Arial"/>
          <w:lang w:val="fr-FR"/>
        </w:rPr>
        <w:t>2032 ainsi que du Cadre mondial de la biodiversité de Kunming-Montréal et la poursuite du développement de son cadre de suivi.</w:t>
      </w:r>
    </w:p>
    <w:p w14:paraId="029A9541" w14:textId="77777777" w:rsidR="00BE5E9B" w:rsidRPr="008233A5" w:rsidRDefault="00BE5E9B">
      <w:pPr>
        <w:spacing w:after="0" w:line="240" w:lineRule="auto"/>
        <w:jc w:val="both"/>
        <w:rPr>
          <w:rFonts w:cs="Arial"/>
          <w:lang w:val="fr-FR"/>
        </w:rPr>
      </w:pPr>
    </w:p>
    <w:p w14:paraId="7F5C8426" w14:textId="77777777" w:rsidR="00BE5E9B" w:rsidRPr="008233A5" w:rsidRDefault="00B757F7">
      <w:pPr>
        <w:pStyle w:val="ListParagraph"/>
        <w:numPr>
          <w:ilvl w:val="0"/>
          <w:numId w:val="29"/>
        </w:numPr>
        <w:spacing w:after="0" w:line="240" w:lineRule="auto"/>
        <w:contextualSpacing w:val="0"/>
        <w:jc w:val="both"/>
        <w:rPr>
          <w:rFonts w:cs="Arial"/>
          <w:lang w:val="fr-FR"/>
        </w:rPr>
      </w:pPr>
      <w:r w:rsidRPr="008233A5">
        <w:rPr>
          <w:rFonts w:cs="Arial"/>
          <w:lang w:val="fr-FR"/>
        </w:rPr>
        <w:t>Le Groupe de travail fournira une plateforme pour discuter et échanger des informations et des résultats scientifiques sur les questions liées aux mammifères aquatiques.</w:t>
      </w:r>
    </w:p>
    <w:p w14:paraId="1B46A616" w14:textId="77777777" w:rsidR="00BE5E9B" w:rsidRPr="008233A5" w:rsidRDefault="00BE5E9B">
      <w:pPr>
        <w:pStyle w:val="ListParagraph"/>
        <w:spacing w:after="0" w:line="240" w:lineRule="auto"/>
        <w:ind w:left="0"/>
        <w:contextualSpacing w:val="0"/>
        <w:jc w:val="both"/>
        <w:rPr>
          <w:rFonts w:cs="Arial"/>
          <w:b/>
          <w:lang w:val="fr-FR"/>
        </w:rPr>
      </w:pPr>
    </w:p>
    <w:p w14:paraId="005E635A" w14:textId="77777777" w:rsidR="00BE5E9B" w:rsidRPr="008233A5" w:rsidRDefault="00BE5E9B">
      <w:pPr>
        <w:pStyle w:val="ListParagraph"/>
        <w:spacing w:after="0" w:line="240" w:lineRule="auto"/>
        <w:ind w:left="0"/>
        <w:contextualSpacing w:val="0"/>
        <w:jc w:val="both"/>
        <w:rPr>
          <w:rFonts w:cs="Arial"/>
          <w:b/>
          <w:bCs/>
          <w:iCs/>
          <w:lang w:val="fr-FR"/>
        </w:rPr>
      </w:pPr>
    </w:p>
    <w:p w14:paraId="40162081" w14:textId="77777777" w:rsidR="00BE5E9B" w:rsidRPr="008233A5" w:rsidRDefault="00B757F7">
      <w:pPr>
        <w:pStyle w:val="ListParagraph"/>
        <w:spacing w:after="0" w:line="240" w:lineRule="auto"/>
        <w:ind w:left="0"/>
        <w:contextualSpacing w:val="0"/>
        <w:jc w:val="both"/>
        <w:rPr>
          <w:rFonts w:cs="Arial"/>
          <w:b/>
          <w:bCs/>
          <w:iCs/>
          <w:lang w:val="fr-FR"/>
        </w:rPr>
      </w:pPr>
      <w:r w:rsidRPr="008233A5">
        <w:rPr>
          <w:rFonts w:cs="Arial"/>
          <w:b/>
          <w:bCs/>
          <w:iCs/>
          <w:lang w:val="fr-FR"/>
        </w:rPr>
        <w:t>Composition</w:t>
      </w:r>
    </w:p>
    <w:p w14:paraId="2BE9C02B" w14:textId="77777777" w:rsidR="00BE5E9B" w:rsidRPr="008233A5" w:rsidRDefault="00BE5E9B">
      <w:pPr>
        <w:pStyle w:val="ListParagraph"/>
        <w:spacing w:after="0" w:line="240" w:lineRule="auto"/>
        <w:ind w:left="0"/>
        <w:contextualSpacing w:val="0"/>
        <w:jc w:val="both"/>
        <w:rPr>
          <w:rFonts w:cs="Arial"/>
          <w:b/>
          <w:bCs/>
          <w:iCs/>
          <w:lang w:val="fr-FR"/>
        </w:rPr>
      </w:pPr>
    </w:p>
    <w:p w14:paraId="417E088A" w14:textId="77777777" w:rsidR="00BE5E9B" w:rsidRPr="008233A5" w:rsidRDefault="00B757F7">
      <w:pPr>
        <w:pStyle w:val="ListParagraph"/>
        <w:numPr>
          <w:ilvl w:val="0"/>
          <w:numId w:val="28"/>
        </w:numPr>
        <w:spacing w:after="40" w:line="240" w:lineRule="auto"/>
        <w:ind w:hanging="357"/>
        <w:contextualSpacing w:val="0"/>
        <w:jc w:val="both"/>
        <w:rPr>
          <w:rFonts w:cs="Arial"/>
          <w:iCs/>
          <w:lang w:val="fr-FR"/>
        </w:rPr>
      </w:pPr>
      <w:r w:rsidRPr="008233A5">
        <w:rPr>
          <w:rFonts w:cs="Arial"/>
          <w:iCs/>
          <w:lang w:val="fr-FR"/>
        </w:rPr>
        <w:t>L’adhésion au Groupe de travail est ouverte aux personnes suivantes :</w:t>
      </w:r>
    </w:p>
    <w:p w14:paraId="1B1A6496" w14:textId="77777777" w:rsidR="00BE5E9B" w:rsidRPr="008233A5" w:rsidRDefault="00B757F7">
      <w:pPr>
        <w:pStyle w:val="ListParagraph"/>
        <w:numPr>
          <w:ilvl w:val="1"/>
          <w:numId w:val="28"/>
        </w:numPr>
        <w:spacing w:after="40" w:line="240" w:lineRule="auto"/>
        <w:ind w:hanging="357"/>
        <w:contextualSpacing w:val="0"/>
        <w:jc w:val="both"/>
        <w:rPr>
          <w:rFonts w:cs="Arial"/>
          <w:iCs/>
          <w:lang w:val="fr-FR"/>
        </w:rPr>
      </w:pPr>
      <w:r w:rsidRPr="008233A5">
        <w:rPr>
          <w:rFonts w:cs="Arial"/>
          <w:iCs/>
          <w:lang w:val="fr-FR"/>
        </w:rPr>
        <w:t>Membres du Conseil scientifique ;</w:t>
      </w:r>
    </w:p>
    <w:p w14:paraId="10396D00" w14:textId="1D1150A1" w:rsidR="00BE5E9B" w:rsidRPr="00914130" w:rsidRDefault="00B757F7" w:rsidP="00914130">
      <w:pPr>
        <w:pStyle w:val="ListParagraph"/>
        <w:numPr>
          <w:ilvl w:val="1"/>
          <w:numId w:val="28"/>
        </w:numPr>
        <w:spacing w:after="40" w:line="240" w:lineRule="auto"/>
        <w:ind w:hanging="357"/>
        <w:contextualSpacing w:val="0"/>
        <w:jc w:val="both"/>
        <w:rPr>
          <w:rFonts w:cs="Arial"/>
          <w:iCs/>
          <w:lang w:val="fr-FR"/>
        </w:rPr>
      </w:pPr>
      <w:r w:rsidRPr="008233A5">
        <w:rPr>
          <w:rFonts w:cs="Arial"/>
          <w:iCs/>
          <w:lang w:val="fr-FR"/>
        </w:rPr>
        <w:t>Représentants des Parties</w:t>
      </w:r>
      <w:r w:rsidR="00914130">
        <w:rPr>
          <w:rFonts w:cs="Arial"/>
          <w:iCs/>
          <w:lang w:val="fr-FR"/>
        </w:rPr>
        <w:t> ;</w:t>
      </w:r>
    </w:p>
    <w:p w14:paraId="061754A6" w14:textId="77777777" w:rsidR="00BE5E9B" w:rsidRPr="008233A5" w:rsidRDefault="00B757F7">
      <w:pPr>
        <w:pStyle w:val="ListParagraph"/>
        <w:numPr>
          <w:ilvl w:val="1"/>
          <w:numId w:val="28"/>
        </w:numPr>
        <w:spacing w:after="40" w:line="240" w:lineRule="auto"/>
        <w:ind w:hanging="357"/>
        <w:contextualSpacing w:val="0"/>
        <w:jc w:val="both"/>
        <w:rPr>
          <w:rFonts w:cs="Arial"/>
          <w:iCs/>
          <w:lang w:val="fr-FR"/>
        </w:rPr>
      </w:pPr>
      <w:r w:rsidRPr="008233A5">
        <w:rPr>
          <w:rFonts w:cs="Arial"/>
          <w:iCs/>
          <w:lang w:val="fr-FR"/>
        </w:rPr>
        <w:t>Représentants des organismes scientifiques ou consultatifs de tous les accords sur les mammifères aquatiques de la CMS ;</w:t>
      </w:r>
    </w:p>
    <w:p w14:paraId="481707E5" w14:textId="77777777" w:rsidR="00BE5E9B" w:rsidRPr="008233A5" w:rsidRDefault="00B757F7">
      <w:pPr>
        <w:pStyle w:val="ListParagraph"/>
        <w:numPr>
          <w:ilvl w:val="1"/>
          <w:numId w:val="28"/>
        </w:numPr>
        <w:spacing w:after="40" w:line="240" w:lineRule="auto"/>
        <w:ind w:hanging="357"/>
        <w:contextualSpacing w:val="0"/>
        <w:jc w:val="both"/>
        <w:rPr>
          <w:rFonts w:cs="Arial"/>
          <w:iCs/>
          <w:lang w:val="fr-FR"/>
        </w:rPr>
      </w:pPr>
      <w:r w:rsidRPr="008233A5">
        <w:rPr>
          <w:rFonts w:cs="Arial"/>
          <w:iCs/>
          <w:lang w:val="fr-FR"/>
        </w:rPr>
        <w:t>Représentants des accords multilatéraux sur l’environnement (AME) et des ONG concernés ;</w:t>
      </w:r>
    </w:p>
    <w:p w14:paraId="3696C0BF" w14:textId="77777777" w:rsidR="00BE5E9B" w:rsidRPr="008233A5" w:rsidRDefault="00B757F7">
      <w:pPr>
        <w:pStyle w:val="ListParagraph"/>
        <w:numPr>
          <w:ilvl w:val="1"/>
          <w:numId w:val="28"/>
        </w:numPr>
        <w:spacing w:after="0" w:line="240" w:lineRule="auto"/>
        <w:contextualSpacing w:val="0"/>
        <w:jc w:val="both"/>
        <w:rPr>
          <w:rFonts w:cs="Arial"/>
          <w:iCs/>
          <w:lang w:val="fr-FR"/>
        </w:rPr>
      </w:pPr>
      <w:r w:rsidRPr="008233A5">
        <w:rPr>
          <w:rFonts w:cs="Arial"/>
          <w:iCs/>
          <w:lang w:val="fr-FR"/>
        </w:rPr>
        <w:t>Autres experts concernés.</w:t>
      </w:r>
    </w:p>
    <w:p w14:paraId="506D3015" w14:textId="77777777" w:rsidR="00BE5E9B" w:rsidRPr="008233A5" w:rsidRDefault="00BE5E9B">
      <w:pPr>
        <w:spacing w:after="0" w:line="240" w:lineRule="auto"/>
        <w:jc w:val="both"/>
        <w:rPr>
          <w:rFonts w:cs="Arial"/>
          <w:iCs/>
          <w:lang w:val="fr-FR"/>
        </w:rPr>
      </w:pPr>
    </w:p>
    <w:p w14:paraId="07DA8786" w14:textId="77777777" w:rsidR="00BE5E9B" w:rsidRPr="008233A5" w:rsidRDefault="00B757F7">
      <w:pPr>
        <w:pStyle w:val="ListParagraph"/>
        <w:numPr>
          <w:ilvl w:val="0"/>
          <w:numId w:val="28"/>
        </w:numPr>
        <w:spacing w:after="0" w:line="240" w:lineRule="auto"/>
        <w:contextualSpacing w:val="0"/>
        <w:jc w:val="both"/>
        <w:rPr>
          <w:rFonts w:cs="Arial"/>
          <w:lang w:val="fr-FR"/>
        </w:rPr>
      </w:pPr>
      <w:r w:rsidRPr="008233A5">
        <w:rPr>
          <w:rFonts w:cs="Arial"/>
          <w:lang w:val="fr-FR"/>
        </w:rPr>
        <w:t xml:space="preserve">Le Groupe de travail s’efforce de maintenir un équilibre entre les sexes et en matière de représentation régionale et de domaines d’expertise. </w:t>
      </w:r>
    </w:p>
    <w:p w14:paraId="658DD6C0" w14:textId="77777777" w:rsidR="00BE5E9B" w:rsidRPr="008233A5" w:rsidRDefault="00BE5E9B">
      <w:pPr>
        <w:pStyle w:val="ListParagraph"/>
        <w:spacing w:after="0" w:line="240" w:lineRule="auto"/>
        <w:ind w:left="0"/>
        <w:contextualSpacing w:val="0"/>
        <w:jc w:val="both"/>
        <w:rPr>
          <w:rFonts w:cs="Arial"/>
          <w:lang w:val="fr-FR"/>
        </w:rPr>
      </w:pPr>
    </w:p>
    <w:p w14:paraId="0D747100" w14:textId="77777777" w:rsidR="00BE5E9B" w:rsidRPr="008233A5" w:rsidRDefault="00B757F7">
      <w:pPr>
        <w:pStyle w:val="ListParagraph"/>
        <w:numPr>
          <w:ilvl w:val="0"/>
          <w:numId w:val="28"/>
        </w:numPr>
        <w:spacing w:after="0" w:line="240" w:lineRule="auto"/>
        <w:contextualSpacing w:val="0"/>
        <w:jc w:val="both"/>
        <w:rPr>
          <w:rFonts w:cs="Arial"/>
          <w:lang w:val="fr-FR"/>
        </w:rPr>
      </w:pPr>
      <w:r w:rsidRPr="008233A5">
        <w:rPr>
          <w:rFonts w:cs="Arial"/>
          <w:lang w:val="fr-FR"/>
        </w:rPr>
        <w:t xml:space="preserve">La participation des membres du Groupe de travail est fondée sur le volontariat. </w:t>
      </w:r>
    </w:p>
    <w:p w14:paraId="471FBA08" w14:textId="77777777" w:rsidR="00BE5E9B" w:rsidRPr="008233A5" w:rsidRDefault="00BE5E9B">
      <w:pPr>
        <w:pStyle w:val="ListParagraph"/>
        <w:spacing w:after="0" w:line="240" w:lineRule="auto"/>
        <w:ind w:left="0"/>
        <w:contextualSpacing w:val="0"/>
        <w:jc w:val="both"/>
        <w:rPr>
          <w:rFonts w:cs="Arial"/>
          <w:lang w:val="fr-FR"/>
        </w:rPr>
      </w:pPr>
    </w:p>
    <w:p w14:paraId="2730A51E" w14:textId="77777777" w:rsidR="00BE5E9B" w:rsidRPr="008233A5" w:rsidRDefault="00B757F7">
      <w:pPr>
        <w:pStyle w:val="ListParagraph"/>
        <w:numPr>
          <w:ilvl w:val="0"/>
          <w:numId w:val="28"/>
        </w:numPr>
        <w:spacing w:after="0" w:line="240" w:lineRule="auto"/>
        <w:contextualSpacing w:val="0"/>
        <w:jc w:val="both"/>
        <w:rPr>
          <w:rFonts w:cs="Arial"/>
          <w:lang w:val="fr-FR"/>
        </w:rPr>
      </w:pPr>
      <w:r w:rsidRPr="008233A5">
        <w:rPr>
          <w:rFonts w:cs="Arial"/>
          <w:lang w:val="fr-FR"/>
        </w:rPr>
        <w:lastRenderedPageBreak/>
        <w:t>En cas de besoin, des experts supplémentaires souhaitant contribuer aux objectifs du Groupe de travail peuvent occasionnellement être conviés à participer aux réunions ou à apporter leur soutien à des tâches spécifiques.</w:t>
      </w:r>
    </w:p>
    <w:p w14:paraId="52CE213C" w14:textId="77777777" w:rsidR="009B4840" w:rsidRDefault="009B4840">
      <w:pPr>
        <w:pStyle w:val="ListParagraph"/>
        <w:spacing w:after="0" w:line="240" w:lineRule="auto"/>
        <w:ind w:left="0"/>
        <w:contextualSpacing w:val="0"/>
        <w:jc w:val="both"/>
        <w:rPr>
          <w:rFonts w:cs="Arial"/>
          <w:b/>
          <w:bCs/>
          <w:iCs/>
          <w:lang w:val="fr-FR"/>
        </w:rPr>
      </w:pPr>
    </w:p>
    <w:p w14:paraId="103B2C12" w14:textId="5E252A21" w:rsidR="00BE5E9B" w:rsidRPr="008233A5" w:rsidRDefault="00B757F7">
      <w:pPr>
        <w:pStyle w:val="ListParagraph"/>
        <w:spacing w:after="0" w:line="240" w:lineRule="auto"/>
        <w:ind w:left="0"/>
        <w:contextualSpacing w:val="0"/>
        <w:jc w:val="both"/>
        <w:rPr>
          <w:rFonts w:cs="Arial"/>
          <w:b/>
          <w:bCs/>
          <w:iCs/>
          <w:lang w:val="fr-FR"/>
        </w:rPr>
      </w:pPr>
      <w:r w:rsidRPr="008233A5">
        <w:rPr>
          <w:rFonts w:cs="Arial"/>
          <w:b/>
          <w:bCs/>
          <w:iCs/>
          <w:lang w:val="fr-FR"/>
        </w:rPr>
        <w:t>Organisation du travail</w:t>
      </w:r>
    </w:p>
    <w:p w14:paraId="49165C8B" w14:textId="77777777" w:rsidR="00BE5E9B" w:rsidRPr="008233A5" w:rsidRDefault="00BE5E9B">
      <w:pPr>
        <w:pStyle w:val="ListParagraph"/>
        <w:spacing w:after="0" w:line="240" w:lineRule="auto"/>
        <w:ind w:left="0"/>
        <w:contextualSpacing w:val="0"/>
        <w:jc w:val="both"/>
        <w:rPr>
          <w:rFonts w:cs="Arial"/>
          <w:b/>
          <w:bCs/>
          <w:iCs/>
          <w:lang w:val="fr-FR"/>
        </w:rPr>
      </w:pPr>
    </w:p>
    <w:p w14:paraId="79E92E90" w14:textId="77777777" w:rsidR="00BE5E9B" w:rsidRPr="008233A5" w:rsidRDefault="00B757F7">
      <w:pPr>
        <w:pStyle w:val="ListParagraph"/>
        <w:numPr>
          <w:ilvl w:val="0"/>
          <w:numId w:val="27"/>
        </w:numPr>
        <w:spacing w:after="0" w:line="240" w:lineRule="auto"/>
        <w:contextualSpacing w:val="0"/>
        <w:jc w:val="both"/>
        <w:rPr>
          <w:rFonts w:cs="Arial"/>
          <w:lang w:val="fr-FR"/>
        </w:rPr>
      </w:pPr>
      <w:r w:rsidRPr="008233A5">
        <w:rPr>
          <w:rFonts w:cs="Arial"/>
          <w:lang w:val="fr-FR"/>
        </w:rPr>
        <w:t xml:space="preserve">Le Groupe de travail sera </w:t>
      </w:r>
      <w:bookmarkStart w:id="20" w:name="_Hlk75936251"/>
      <w:r w:rsidRPr="008233A5">
        <w:rPr>
          <w:rFonts w:cs="Arial"/>
          <w:lang w:val="fr-FR"/>
        </w:rPr>
        <w:t xml:space="preserve">présidé par le </w:t>
      </w:r>
      <w:r w:rsidRPr="008233A5">
        <w:rPr>
          <w:rFonts w:cs="Arial"/>
          <w:iCs/>
          <w:lang w:val="fr-FR"/>
        </w:rPr>
        <w:t>Conseiller ou la Conseillère</w:t>
      </w:r>
      <w:r w:rsidRPr="008233A5">
        <w:rPr>
          <w:rFonts w:cs="Arial"/>
          <w:lang w:val="fr-FR"/>
        </w:rPr>
        <w:t xml:space="preserve"> pour </w:t>
      </w:r>
      <w:bookmarkEnd w:id="20"/>
      <w:r w:rsidRPr="008233A5">
        <w:rPr>
          <w:rFonts w:cs="Arial"/>
          <w:lang w:val="fr-FR"/>
        </w:rPr>
        <w:t xml:space="preserve">les mammifères aquatiques nommé(e) par la COP. Si le Président ou la Présidente quitte son poste, un nouveau Président ou une nouvelle Présidente est nommé(e) parmi les autres membres du Comité de session du Conseil scientifique qui font partie du Groupe de travail.  </w:t>
      </w:r>
    </w:p>
    <w:p w14:paraId="01AC4400" w14:textId="77777777" w:rsidR="00BE5E9B" w:rsidRPr="008233A5" w:rsidRDefault="00BE5E9B">
      <w:pPr>
        <w:pStyle w:val="ListParagraph"/>
        <w:spacing w:after="0" w:line="240" w:lineRule="auto"/>
        <w:ind w:left="0"/>
        <w:contextualSpacing w:val="0"/>
        <w:jc w:val="both"/>
        <w:rPr>
          <w:rFonts w:cs="Arial"/>
          <w:lang w:val="fr-FR"/>
        </w:rPr>
      </w:pPr>
    </w:p>
    <w:p w14:paraId="48B966E0" w14:textId="77777777" w:rsidR="00BE5E9B" w:rsidRPr="008233A5" w:rsidRDefault="00B757F7">
      <w:pPr>
        <w:pStyle w:val="ListParagraph"/>
        <w:numPr>
          <w:ilvl w:val="0"/>
          <w:numId w:val="27"/>
        </w:numPr>
        <w:spacing w:after="0" w:line="240" w:lineRule="auto"/>
        <w:contextualSpacing w:val="0"/>
        <w:jc w:val="both"/>
        <w:rPr>
          <w:rFonts w:cs="Arial"/>
          <w:lang w:val="fr-FR"/>
        </w:rPr>
      </w:pPr>
      <w:r w:rsidRPr="008233A5">
        <w:rPr>
          <w:rFonts w:cs="Arial"/>
          <w:lang w:val="fr-FR"/>
        </w:rPr>
        <w:t xml:space="preserve">Le Groupe de travail fonctionnera principalement par voie électronique, en utilisant </w:t>
      </w:r>
      <w:r w:rsidRPr="008233A5">
        <w:rPr>
          <w:rFonts w:cs="Arial"/>
          <w:iCs/>
          <w:lang w:val="fr-FR"/>
        </w:rPr>
        <w:t xml:space="preserve">un </w:t>
      </w:r>
      <w:r w:rsidRPr="008233A5">
        <w:rPr>
          <w:rFonts w:cs="Arial"/>
          <w:lang w:val="fr-FR"/>
        </w:rPr>
        <w:t xml:space="preserve">espace de travail dédié sur MS Teams, complété par des communications par courrier électronique si nécessaire. Des réunions (en personne ou virtuelles) seront organisées selon les besoins, les réunions en personne </w:t>
      </w:r>
      <w:r w:rsidRPr="008233A5">
        <w:rPr>
          <w:rFonts w:cs="Arial"/>
          <w:iCs/>
          <w:lang w:val="fr-FR"/>
        </w:rPr>
        <w:t>étant généralement</w:t>
      </w:r>
      <w:r w:rsidRPr="008233A5">
        <w:rPr>
          <w:rFonts w:cs="Arial"/>
          <w:lang w:val="fr-FR"/>
        </w:rPr>
        <w:t xml:space="preserve"> tenues </w:t>
      </w:r>
      <w:r w:rsidRPr="008233A5">
        <w:rPr>
          <w:rFonts w:cs="Arial"/>
          <w:iCs/>
          <w:lang w:val="fr-FR"/>
        </w:rPr>
        <w:t>dans le cadre des réunions du Comité de session</w:t>
      </w:r>
      <w:r w:rsidRPr="008233A5">
        <w:rPr>
          <w:rFonts w:cs="Arial"/>
          <w:lang w:val="fr-FR"/>
        </w:rPr>
        <w:t xml:space="preserve">. </w:t>
      </w:r>
    </w:p>
    <w:p w14:paraId="0BAC8608" w14:textId="77777777" w:rsidR="00BE5E9B" w:rsidRPr="008233A5" w:rsidRDefault="00BE5E9B">
      <w:pPr>
        <w:pStyle w:val="ListParagraph"/>
        <w:spacing w:after="0" w:line="240" w:lineRule="auto"/>
        <w:ind w:left="0"/>
        <w:contextualSpacing w:val="0"/>
        <w:jc w:val="both"/>
        <w:rPr>
          <w:rFonts w:cs="Arial"/>
          <w:lang w:val="fr-FR"/>
        </w:rPr>
      </w:pPr>
    </w:p>
    <w:p w14:paraId="749EA58A" w14:textId="77777777" w:rsidR="00BE5E9B" w:rsidRPr="008233A5" w:rsidRDefault="00B757F7">
      <w:pPr>
        <w:pStyle w:val="ListParagraph"/>
        <w:numPr>
          <w:ilvl w:val="0"/>
          <w:numId w:val="27"/>
        </w:numPr>
        <w:spacing w:after="0" w:line="240" w:lineRule="auto"/>
        <w:contextualSpacing w:val="0"/>
        <w:jc w:val="both"/>
        <w:rPr>
          <w:rFonts w:cs="Arial"/>
          <w:lang w:val="fr-FR"/>
        </w:rPr>
      </w:pPr>
      <w:r w:rsidRPr="008233A5">
        <w:rPr>
          <w:rFonts w:cs="Arial"/>
          <w:lang w:val="fr-FR"/>
        </w:rPr>
        <w:t xml:space="preserve">Le Président ou la Présidente du Groupe de travail rendra compte de l’avancement des travaux au Comité de session. </w:t>
      </w:r>
    </w:p>
    <w:p w14:paraId="054187A9" w14:textId="77777777" w:rsidR="00BE5E9B" w:rsidRPr="008233A5" w:rsidRDefault="00BE5E9B">
      <w:pPr>
        <w:pStyle w:val="ListParagraph"/>
        <w:spacing w:after="0" w:line="240" w:lineRule="auto"/>
        <w:ind w:left="0"/>
        <w:contextualSpacing w:val="0"/>
        <w:jc w:val="both"/>
        <w:rPr>
          <w:rFonts w:cs="Arial"/>
          <w:lang w:val="fr-FR"/>
        </w:rPr>
      </w:pPr>
    </w:p>
    <w:p w14:paraId="3DFE20DB" w14:textId="77777777" w:rsidR="00BE5E9B" w:rsidRPr="008233A5" w:rsidRDefault="00B757F7">
      <w:pPr>
        <w:pStyle w:val="ListParagraph"/>
        <w:numPr>
          <w:ilvl w:val="0"/>
          <w:numId w:val="27"/>
        </w:numPr>
        <w:spacing w:after="0" w:line="240" w:lineRule="auto"/>
        <w:contextualSpacing w:val="0"/>
        <w:jc w:val="both"/>
        <w:rPr>
          <w:rFonts w:cs="Arial"/>
          <w:lang w:val="fr-FR"/>
        </w:rPr>
      </w:pPr>
      <w:r w:rsidRPr="008233A5">
        <w:rPr>
          <w:rFonts w:cs="Arial"/>
          <w:lang w:val="fr-FR"/>
        </w:rPr>
        <w:t xml:space="preserve">Le Secrétariat soutiendra et facilitera la coordination des activités et l’organisation des réunions du Groupe de travail. </w:t>
      </w:r>
    </w:p>
    <w:p w14:paraId="593F4FD1" w14:textId="77777777" w:rsidR="00BE5E9B" w:rsidRPr="008233A5" w:rsidRDefault="00BE5E9B">
      <w:pPr>
        <w:pStyle w:val="ListParagraph"/>
        <w:spacing w:after="0" w:line="240" w:lineRule="auto"/>
        <w:ind w:left="0"/>
        <w:contextualSpacing w:val="0"/>
        <w:jc w:val="both"/>
        <w:rPr>
          <w:rFonts w:cs="Arial"/>
          <w:b/>
          <w:lang w:val="fr-FR"/>
        </w:rPr>
      </w:pPr>
    </w:p>
    <w:p w14:paraId="6CE5F218" w14:textId="77777777" w:rsidR="00BE5E9B" w:rsidRPr="008233A5" w:rsidRDefault="00B757F7">
      <w:pPr>
        <w:pStyle w:val="ListParagraph"/>
        <w:spacing w:after="0" w:line="240" w:lineRule="auto"/>
        <w:ind w:left="0"/>
        <w:contextualSpacing w:val="0"/>
        <w:jc w:val="both"/>
        <w:rPr>
          <w:rFonts w:cs="Arial"/>
          <w:b/>
          <w:bCs/>
          <w:iCs/>
          <w:lang w:val="fr-FR"/>
        </w:rPr>
      </w:pPr>
      <w:r w:rsidRPr="008233A5">
        <w:rPr>
          <w:rFonts w:cs="Arial"/>
          <w:b/>
          <w:bCs/>
          <w:iCs/>
          <w:lang w:val="fr-FR"/>
        </w:rPr>
        <w:t>Durée du mandat</w:t>
      </w:r>
    </w:p>
    <w:p w14:paraId="4C857582" w14:textId="77777777" w:rsidR="00BE5E9B" w:rsidRPr="008233A5" w:rsidRDefault="00BE5E9B">
      <w:pPr>
        <w:spacing w:after="0" w:line="240" w:lineRule="auto"/>
        <w:rPr>
          <w:rFonts w:cs="Arial"/>
          <w:iCs/>
          <w:lang w:val="fr-FR"/>
        </w:rPr>
      </w:pPr>
    </w:p>
    <w:p w14:paraId="2B2889BE" w14:textId="4283969E" w:rsidR="00BE5E9B" w:rsidRPr="008233A5" w:rsidRDefault="005110F4">
      <w:pPr>
        <w:spacing w:after="0" w:line="240" w:lineRule="auto"/>
        <w:rPr>
          <w:rFonts w:cs="Arial"/>
          <w:iCs/>
          <w:lang w:val="fr-FR"/>
        </w:rPr>
      </w:pPr>
      <w:r w:rsidRPr="005110F4">
        <w:rPr>
          <w:rFonts w:cs="Arial"/>
          <w:iCs/>
          <w:lang w:val="fr-FR"/>
        </w:rPr>
        <w:t>Le groupe de travail restera en place jusqu'à ce que le comité de session décide que son travail est terminé ou qu'un autre arrangement soit trouvé.</w:t>
      </w:r>
    </w:p>
    <w:p w14:paraId="4D3915EA" w14:textId="77777777" w:rsidR="00BE5E9B" w:rsidRPr="008233A5" w:rsidRDefault="00BE5E9B">
      <w:pPr>
        <w:spacing w:after="0" w:line="240" w:lineRule="auto"/>
        <w:rPr>
          <w:rFonts w:cs="Arial"/>
          <w:iCs/>
          <w:lang w:val="fr-FR"/>
        </w:rPr>
      </w:pPr>
    </w:p>
    <w:p w14:paraId="220A8E52" w14:textId="77777777" w:rsidR="00BE5E9B" w:rsidRPr="008233A5" w:rsidRDefault="00BE5E9B">
      <w:pPr>
        <w:spacing w:after="0" w:line="240" w:lineRule="auto"/>
        <w:rPr>
          <w:rFonts w:cs="Arial"/>
          <w:iCs/>
          <w:lang w:val="fr-FR"/>
        </w:rPr>
        <w:sectPr w:rsidR="00BE5E9B" w:rsidRPr="008233A5">
          <w:headerReference w:type="even" r:id="rId71"/>
          <w:headerReference w:type="default" r:id="rId72"/>
          <w:headerReference w:type="first" r:id="rId73"/>
          <w:pgSz w:w="11906" w:h="16838" w:code="9"/>
          <w:pgMar w:top="1440" w:right="1440" w:bottom="1440" w:left="1440" w:header="720" w:footer="720" w:gutter="0"/>
          <w:cols w:space="720"/>
          <w:titlePg/>
          <w:docGrid w:linePitch="360"/>
        </w:sectPr>
      </w:pPr>
    </w:p>
    <w:p w14:paraId="0A02B13D" w14:textId="27F5D83C" w:rsidR="00BE5E9B" w:rsidRPr="008233A5" w:rsidRDefault="00B757F7">
      <w:pPr>
        <w:pStyle w:val="Heading1"/>
        <w:jc w:val="right"/>
        <w:rPr>
          <w:lang w:val="fr-FR"/>
        </w:rPr>
      </w:pPr>
      <w:bookmarkStart w:id="21" w:name="_Toc201243937"/>
      <w:bookmarkStart w:id="22" w:name="_Toc201244178"/>
      <w:r w:rsidRPr="008233A5">
        <w:rPr>
          <w:lang w:val="fr-FR"/>
        </w:rPr>
        <w:lastRenderedPageBreak/>
        <w:t>ANNEXE</w:t>
      </w:r>
      <w:bookmarkEnd w:id="21"/>
      <w:bookmarkEnd w:id="22"/>
      <w:r w:rsidRPr="008233A5">
        <w:rPr>
          <w:lang w:val="fr-FR"/>
        </w:rPr>
        <w:t> </w:t>
      </w:r>
      <w:r w:rsidR="00893B8A">
        <w:rPr>
          <w:lang w:val="fr-FR"/>
        </w:rPr>
        <w:t>6</w:t>
      </w:r>
    </w:p>
    <w:p w14:paraId="245635A6" w14:textId="77777777" w:rsidR="00BE5E9B" w:rsidRPr="008233A5" w:rsidRDefault="00BE5E9B">
      <w:pPr>
        <w:spacing w:after="0" w:line="240" w:lineRule="auto"/>
        <w:rPr>
          <w:rFonts w:cs="Arial"/>
          <w:lang w:val="fr-FR"/>
        </w:rPr>
      </w:pPr>
    </w:p>
    <w:p w14:paraId="1A54D588" w14:textId="77777777" w:rsidR="00BE5E9B" w:rsidRPr="008233A5" w:rsidRDefault="00B757F7">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fr-FR"/>
        </w:rPr>
      </w:pPr>
      <w:bookmarkStart w:id="23" w:name="_Toc201154092"/>
      <w:bookmarkStart w:id="24" w:name="_Toc201243938"/>
      <w:r w:rsidRPr="008233A5">
        <w:rPr>
          <w:rFonts w:cs="Arial"/>
          <w:bCs/>
          <w:caps/>
          <w:lang w:val="fr-FR"/>
        </w:rPr>
        <w:t>PROJET DE DÉCISIONS</w:t>
      </w:r>
      <w:bookmarkEnd w:id="23"/>
      <w:bookmarkEnd w:id="24"/>
    </w:p>
    <w:p w14:paraId="43908D09" w14:textId="77777777" w:rsidR="00BE5E9B" w:rsidRPr="008233A5" w:rsidRDefault="00BE5E9B">
      <w:pPr>
        <w:spacing w:after="0" w:line="240" w:lineRule="auto"/>
        <w:jc w:val="both"/>
        <w:rPr>
          <w:rFonts w:cs="Arial"/>
          <w:i/>
          <w:lang w:val="fr-FR"/>
        </w:rPr>
      </w:pPr>
    </w:p>
    <w:p w14:paraId="1B7F68D0" w14:textId="77777777" w:rsidR="00BE5E9B" w:rsidRPr="008233A5" w:rsidRDefault="00B757F7">
      <w:pPr>
        <w:pStyle w:val="Firstnumbering"/>
        <w:numPr>
          <w:ilvl w:val="0"/>
          <w:numId w:val="0"/>
        </w:numPr>
        <w:ind w:left="567" w:hanging="567"/>
        <w:jc w:val="center"/>
        <w:rPr>
          <w:b/>
          <w:bCs/>
          <w:lang w:val="fr-FR"/>
        </w:rPr>
      </w:pPr>
      <w:r w:rsidRPr="008233A5">
        <w:rPr>
          <w:b/>
          <w:bCs/>
          <w:lang w:val="fr-FR"/>
        </w:rPr>
        <w:t>PRIORITÉS DE CONSERVATION POUR LES CÉTACÉS</w:t>
      </w:r>
    </w:p>
    <w:p w14:paraId="01E4C58A" w14:textId="77777777" w:rsidR="00BE5E9B" w:rsidRPr="008233A5" w:rsidRDefault="00BE5E9B">
      <w:pPr>
        <w:spacing w:after="0" w:line="240" w:lineRule="auto"/>
        <w:jc w:val="both"/>
        <w:rPr>
          <w:rFonts w:cs="Arial"/>
          <w:lang w:val="fr-FR"/>
        </w:rPr>
      </w:pPr>
    </w:p>
    <w:p w14:paraId="407AE7AB" w14:textId="77777777" w:rsidR="00BE5E9B" w:rsidRPr="008233A5" w:rsidRDefault="00BE5E9B">
      <w:pPr>
        <w:spacing w:after="0" w:line="240" w:lineRule="auto"/>
        <w:jc w:val="both"/>
        <w:rPr>
          <w:rFonts w:cs="Arial"/>
          <w:lang w:val="fr-FR"/>
        </w:rPr>
      </w:pPr>
    </w:p>
    <w:p w14:paraId="46166F3A" w14:textId="77777777" w:rsidR="00BE5E9B" w:rsidRPr="008233A5" w:rsidRDefault="00B757F7">
      <w:pPr>
        <w:spacing w:after="0" w:line="240" w:lineRule="auto"/>
        <w:jc w:val="both"/>
        <w:rPr>
          <w:rFonts w:cs="Arial"/>
          <w:b/>
          <w:i/>
          <w:lang w:val="fr-FR"/>
        </w:rPr>
      </w:pPr>
      <w:r w:rsidRPr="008233A5">
        <w:rPr>
          <w:rFonts w:cs="Arial"/>
          <w:b/>
          <w:i/>
          <w:lang w:val="fr-FR"/>
        </w:rPr>
        <w:t>À l’adresse des Parties</w:t>
      </w:r>
    </w:p>
    <w:p w14:paraId="65B5E853" w14:textId="77777777" w:rsidR="00BE5E9B" w:rsidRPr="008233A5" w:rsidRDefault="00BE5E9B">
      <w:pPr>
        <w:spacing w:after="0" w:line="240" w:lineRule="auto"/>
        <w:jc w:val="both"/>
        <w:rPr>
          <w:rFonts w:cs="Arial"/>
          <w:b/>
          <w:i/>
          <w:lang w:val="fr-FR"/>
        </w:rPr>
      </w:pPr>
    </w:p>
    <w:p w14:paraId="0E9E9358" w14:textId="77777777" w:rsidR="00BE5E9B" w:rsidRPr="008233A5" w:rsidRDefault="00B757F7" w:rsidP="00F47DC7">
      <w:pPr>
        <w:spacing w:after="0" w:line="240" w:lineRule="auto"/>
        <w:ind w:left="851" w:hanging="851"/>
        <w:jc w:val="both"/>
        <w:rPr>
          <w:rFonts w:cs="Arial"/>
          <w:bCs/>
          <w:iCs/>
          <w:lang w:val="fr-FR"/>
        </w:rPr>
      </w:pPr>
      <w:r w:rsidRPr="008233A5">
        <w:rPr>
          <w:rFonts w:cs="Arial"/>
          <w:bCs/>
          <w:iCs/>
          <w:lang w:val="fr-FR"/>
        </w:rPr>
        <w:t>15.AA</w:t>
      </w:r>
      <w:r w:rsidRPr="008233A5">
        <w:rPr>
          <w:rFonts w:cs="Arial"/>
          <w:bCs/>
          <w:iCs/>
          <w:lang w:val="fr-FR"/>
        </w:rPr>
        <w:tab/>
        <w:t>Les Parties sont encouragées à :</w:t>
      </w:r>
    </w:p>
    <w:p w14:paraId="74874C9D" w14:textId="77777777" w:rsidR="00BE5E9B" w:rsidRPr="008233A5" w:rsidRDefault="00BE5E9B">
      <w:pPr>
        <w:spacing w:after="0" w:line="240" w:lineRule="auto"/>
        <w:jc w:val="both"/>
        <w:rPr>
          <w:rFonts w:cs="Arial"/>
          <w:bCs/>
          <w:iCs/>
          <w:lang w:val="fr-FR"/>
        </w:rPr>
      </w:pPr>
    </w:p>
    <w:p w14:paraId="05932557" w14:textId="77777777" w:rsidR="00BE5E9B" w:rsidRPr="008233A5" w:rsidRDefault="00B757F7" w:rsidP="00F47DC7">
      <w:pPr>
        <w:pStyle w:val="ListParagraph"/>
        <w:numPr>
          <w:ilvl w:val="0"/>
          <w:numId w:val="38"/>
        </w:numPr>
        <w:spacing w:after="0" w:line="240" w:lineRule="auto"/>
        <w:ind w:left="1418" w:hanging="567"/>
        <w:contextualSpacing w:val="0"/>
        <w:jc w:val="both"/>
        <w:rPr>
          <w:rFonts w:cs="Arial"/>
          <w:bCs/>
          <w:iCs/>
          <w:lang w:val="fr-FR"/>
        </w:rPr>
      </w:pPr>
      <w:r w:rsidRPr="008233A5">
        <w:rPr>
          <w:rFonts w:cs="Arial"/>
          <w:bCs/>
          <w:iCs/>
          <w:lang w:val="fr-FR"/>
        </w:rPr>
        <w:t>inclure les cétacés dans leurs stratégies et plans d’action nationaux respectifs en matière de biodiversité, et veiller à ce que les objectifs et les cibles du Cadre mondial pour la biodiversité de Kunming-Montréal soient appliqués de manière à s’aligner positivement sur les priorités de conservation des cétacés ;</w:t>
      </w:r>
    </w:p>
    <w:p w14:paraId="790C2948" w14:textId="77777777" w:rsidR="00BE5E9B" w:rsidRPr="008233A5" w:rsidRDefault="00BE5E9B" w:rsidP="00F47DC7">
      <w:pPr>
        <w:pStyle w:val="ListParagraph"/>
        <w:spacing w:after="0" w:line="240" w:lineRule="auto"/>
        <w:ind w:left="1418" w:hanging="567"/>
        <w:contextualSpacing w:val="0"/>
        <w:rPr>
          <w:rFonts w:cs="Arial"/>
          <w:bCs/>
          <w:iCs/>
          <w:lang w:val="fr-FR"/>
        </w:rPr>
      </w:pPr>
    </w:p>
    <w:p w14:paraId="6298B593" w14:textId="77777777" w:rsidR="00BE5E9B" w:rsidRPr="008233A5" w:rsidRDefault="00B757F7" w:rsidP="00F47DC7">
      <w:pPr>
        <w:pStyle w:val="ListParagraph"/>
        <w:numPr>
          <w:ilvl w:val="0"/>
          <w:numId w:val="38"/>
        </w:numPr>
        <w:spacing w:after="0" w:line="240" w:lineRule="auto"/>
        <w:ind w:left="1418" w:hanging="567"/>
        <w:contextualSpacing w:val="0"/>
        <w:jc w:val="both"/>
        <w:rPr>
          <w:rFonts w:cs="Arial"/>
          <w:bCs/>
          <w:iCs/>
          <w:lang w:val="fr-FR"/>
        </w:rPr>
      </w:pPr>
      <w:r w:rsidRPr="008233A5">
        <w:rPr>
          <w:rFonts w:cs="Arial"/>
          <w:bCs/>
          <w:iCs/>
          <w:lang w:val="fr-FR"/>
        </w:rPr>
        <w:t>évaluer si des captures de cétacés inscrits à l’Annexe I ont lieu dans leur juridiction et, dans l’affirmative, examiner et mettre en œuvre, le cas échéant, les recommandations figurant à l’Annexe 1 du document UNEP/CMS/COP15/Doc.25.4.1 pour y répondre ;</w:t>
      </w:r>
    </w:p>
    <w:p w14:paraId="177AC383" w14:textId="77777777" w:rsidR="00BE5E9B" w:rsidRPr="008233A5" w:rsidRDefault="00BE5E9B" w:rsidP="00F47DC7">
      <w:pPr>
        <w:pStyle w:val="ListParagraph"/>
        <w:spacing w:after="0" w:line="240" w:lineRule="auto"/>
        <w:ind w:left="1418" w:hanging="567"/>
        <w:contextualSpacing w:val="0"/>
        <w:rPr>
          <w:rFonts w:cs="Arial"/>
          <w:bCs/>
          <w:iCs/>
          <w:lang w:val="fr-FR"/>
        </w:rPr>
      </w:pPr>
    </w:p>
    <w:p w14:paraId="5BAB3CC6" w14:textId="77777777" w:rsidR="00BE5E9B" w:rsidRPr="008233A5" w:rsidRDefault="00B757F7" w:rsidP="00F47DC7">
      <w:pPr>
        <w:pStyle w:val="ListParagraph"/>
        <w:widowControl w:val="0"/>
        <w:numPr>
          <w:ilvl w:val="0"/>
          <w:numId w:val="38"/>
        </w:numPr>
        <w:autoSpaceDE w:val="0"/>
        <w:autoSpaceDN w:val="0"/>
        <w:adjustRightInd w:val="0"/>
        <w:spacing w:after="0" w:line="240" w:lineRule="auto"/>
        <w:ind w:left="1418" w:hanging="567"/>
        <w:contextualSpacing w:val="0"/>
        <w:jc w:val="both"/>
        <w:rPr>
          <w:rFonts w:cs="Arial"/>
          <w:lang w:val="fr-FR"/>
        </w:rPr>
      </w:pPr>
      <w:r w:rsidRPr="008233A5">
        <w:rPr>
          <w:rFonts w:cs="Arial"/>
          <w:lang w:val="fr-FR"/>
        </w:rPr>
        <w:t>accroître les efforts de collecte de données pour toutes les espèces inscrites à l’Annexe I de la CMS pour lesquelles elles sont des États de l’aire de répartition, notamment en ce qui concerne l’abondance et les tendances des populations, les schémas migratoires et le commerce national et régional, afin de mieux comprendre dans quelle mesure les populations sont soumises aux prélèvements contemporains ainsi qu’à d’autres menaces ;</w:t>
      </w:r>
    </w:p>
    <w:p w14:paraId="53475D02" w14:textId="77777777" w:rsidR="00BE5E9B" w:rsidRPr="008233A5" w:rsidRDefault="00BE5E9B" w:rsidP="00F47DC7">
      <w:pPr>
        <w:pStyle w:val="ListParagraph"/>
        <w:spacing w:after="0" w:line="240" w:lineRule="auto"/>
        <w:ind w:left="1418" w:hanging="567"/>
        <w:contextualSpacing w:val="0"/>
        <w:rPr>
          <w:rFonts w:cs="Arial"/>
          <w:lang w:val="fr-FR"/>
        </w:rPr>
      </w:pPr>
    </w:p>
    <w:p w14:paraId="73C7F0D6" w14:textId="062AC324" w:rsidR="00BE5E9B" w:rsidRPr="008233A5" w:rsidRDefault="00B757F7" w:rsidP="00F47DC7">
      <w:pPr>
        <w:pStyle w:val="ListParagraph"/>
        <w:numPr>
          <w:ilvl w:val="0"/>
          <w:numId w:val="38"/>
        </w:numPr>
        <w:spacing w:after="0" w:line="240" w:lineRule="auto"/>
        <w:ind w:left="1418" w:hanging="567"/>
        <w:contextualSpacing w:val="0"/>
        <w:jc w:val="both"/>
        <w:rPr>
          <w:rFonts w:cs="Arial"/>
          <w:bCs/>
          <w:iCs/>
          <w:lang w:val="fr-FR"/>
        </w:rPr>
      </w:pPr>
      <w:r w:rsidRPr="008233A5">
        <w:rPr>
          <w:rFonts w:cs="Arial"/>
          <w:bCs/>
          <w:iCs/>
          <w:lang w:val="fr-FR"/>
        </w:rPr>
        <w:t xml:space="preserve">évaluer dans quelle mesure le bien-être </w:t>
      </w:r>
      <w:r w:rsidR="00833B41">
        <w:rPr>
          <w:rFonts w:cs="Arial"/>
          <w:bCs/>
          <w:iCs/>
          <w:lang w:val="fr-FR"/>
        </w:rPr>
        <w:t xml:space="preserve">et la conservation </w:t>
      </w:r>
      <w:r w:rsidRPr="008233A5">
        <w:rPr>
          <w:rFonts w:cs="Arial"/>
          <w:bCs/>
          <w:iCs/>
          <w:lang w:val="fr-FR"/>
        </w:rPr>
        <w:t>des cétacés présents sous leur juridiction est influencé par le changement climatique, et examiner et mettre en œuvre, le cas échéant, les recommandations figurant à l’Annexe 2 du document UNEP/CMS/COP15/Doc.25.4.1 pour y répondre ;</w:t>
      </w:r>
    </w:p>
    <w:p w14:paraId="586F3D26" w14:textId="77777777" w:rsidR="00BE5E9B" w:rsidRPr="008233A5" w:rsidRDefault="00BE5E9B" w:rsidP="00F47DC7">
      <w:pPr>
        <w:pStyle w:val="ListParagraph"/>
        <w:spacing w:after="0" w:line="240" w:lineRule="auto"/>
        <w:ind w:left="1418" w:hanging="567"/>
        <w:contextualSpacing w:val="0"/>
        <w:rPr>
          <w:rFonts w:cs="Arial"/>
          <w:bCs/>
          <w:iCs/>
          <w:lang w:val="fr-FR"/>
        </w:rPr>
      </w:pPr>
    </w:p>
    <w:p w14:paraId="3E89BAF0" w14:textId="30CDE130" w:rsidR="00BE5E9B" w:rsidRPr="008233A5" w:rsidRDefault="00B757F7" w:rsidP="00F47DC7">
      <w:pPr>
        <w:pStyle w:val="ListParagraph"/>
        <w:numPr>
          <w:ilvl w:val="0"/>
          <w:numId w:val="38"/>
        </w:numPr>
        <w:spacing w:after="0" w:line="240" w:lineRule="auto"/>
        <w:ind w:left="1418" w:hanging="567"/>
        <w:contextualSpacing w:val="0"/>
        <w:jc w:val="both"/>
        <w:rPr>
          <w:rFonts w:cs="Arial"/>
          <w:bCs/>
          <w:iCs/>
          <w:lang w:val="fr-FR"/>
        </w:rPr>
      </w:pPr>
      <w:r w:rsidRPr="008233A5">
        <w:rPr>
          <w:rFonts w:cs="Arial"/>
          <w:bCs/>
          <w:iCs/>
          <w:lang w:val="fr-FR"/>
        </w:rPr>
        <w:t xml:space="preserve">se préparer, à l’avance, à l’apparition de cétacés « hors habitat » en élaborant des protocoles couvrant des sujets tels que la communication, la consultation des parties prenantes, la formation des intervenants et la résolution des conflits entre humains et faune sauvage, en tenant compte, le cas échéant, des recommandations incluses dans </w:t>
      </w:r>
      <w:r w:rsidR="00900C4D">
        <w:rPr>
          <w:rFonts w:cs="Arial"/>
          <w:bCs/>
          <w:iCs/>
          <w:lang w:val="fr-FR"/>
        </w:rPr>
        <w:t>l’Annexe 3 du document</w:t>
      </w:r>
      <w:r w:rsidRPr="008233A5">
        <w:rPr>
          <w:rFonts w:cs="Arial"/>
          <w:bCs/>
          <w:iCs/>
          <w:lang w:val="fr-FR"/>
        </w:rPr>
        <w:t> UNEP/CMS/COP15/</w:t>
      </w:r>
      <w:r w:rsidR="00900C4D">
        <w:rPr>
          <w:rFonts w:cs="Arial"/>
          <w:lang w:val="fr-FR"/>
        </w:rPr>
        <w:t>Doc.</w:t>
      </w:r>
      <w:r w:rsidRPr="008233A5">
        <w:rPr>
          <w:rFonts w:cs="Arial"/>
          <w:lang w:val="fr-FR"/>
        </w:rPr>
        <w:t>25.4.1</w:t>
      </w:r>
      <w:r w:rsidR="00900C4D">
        <w:rPr>
          <w:rFonts w:cs="Arial"/>
          <w:lang w:val="fr-FR"/>
        </w:rPr>
        <w:t>.</w:t>
      </w:r>
      <w:r w:rsidRPr="008233A5">
        <w:rPr>
          <w:rFonts w:cs="Arial"/>
          <w:bCs/>
          <w:iCs/>
          <w:lang w:val="fr-FR"/>
        </w:rPr>
        <w:t xml:space="preserve"> </w:t>
      </w:r>
    </w:p>
    <w:p w14:paraId="44D564C0" w14:textId="77777777" w:rsidR="00BE5E9B" w:rsidRPr="008233A5" w:rsidRDefault="00BE5E9B">
      <w:pPr>
        <w:spacing w:after="0" w:line="240" w:lineRule="auto"/>
        <w:jc w:val="both"/>
        <w:rPr>
          <w:rFonts w:cs="Arial"/>
          <w:lang w:val="fr-FR"/>
        </w:rPr>
      </w:pPr>
    </w:p>
    <w:p w14:paraId="4986F23D" w14:textId="77777777" w:rsidR="00BE5E9B" w:rsidRPr="008233A5" w:rsidRDefault="00B757F7">
      <w:pPr>
        <w:spacing w:after="0" w:line="240" w:lineRule="auto"/>
        <w:jc w:val="both"/>
        <w:rPr>
          <w:rFonts w:cs="Arial"/>
          <w:lang w:val="fr-FR"/>
        </w:rPr>
      </w:pPr>
      <w:r w:rsidRPr="008233A5">
        <w:rPr>
          <w:rFonts w:cs="Arial"/>
          <w:b/>
          <w:i/>
          <w:lang w:val="fr-FR"/>
        </w:rPr>
        <w:t xml:space="preserve">À l’adresse du Conseil scientifique </w:t>
      </w:r>
    </w:p>
    <w:p w14:paraId="5907FBDB" w14:textId="77777777" w:rsidR="00BE5E9B" w:rsidRPr="008233A5" w:rsidRDefault="00BE5E9B">
      <w:pPr>
        <w:spacing w:after="0" w:line="240" w:lineRule="auto"/>
        <w:jc w:val="both"/>
        <w:rPr>
          <w:rFonts w:cs="Arial"/>
          <w:lang w:val="fr-FR"/>
        </w:rPr>
      </w:pPr>
    </w:p>
    <w:p w14:paraId="2255D767" w14:textId="77777777" w:rsidR="00BE5E9B" w:rsidRPr="008233A5" w:rsidRDefault="00B757F7" w:rsidP="00F47DC7">
      <w:pPr>
        <w:spacing w:after="0" w:line="240" w:lineRule="auto"/>
        <w:ind w:left="851" w:hanging="851"/>
        <w:jc w:val="both"/>
        <w:rPr>
          <w:rFonts w:cs="Arial"/>
          <w:lang w:val="fr-FR"/>
        </w:rPr>
      </w:pPr>
      <w:r w:rsidRPr="008233A5">
        <w:rPr>
          <w:rFonts w:cs="Arial"/>
          <w:lang w:val="fr-FR"/>
        </w:rPr>
        <w:t>15.BB</w:t>
      </w:r>
      <w:r w:rsidRPr="008233A5">
        <w:rPr>
          <w:rFonts w:cs="Arial"/>
          <w:lang w:val="fr-FR"/>
        </w:rPr>
        <w:tab/>
        <w:t>Le Conseil scientifique, sous réserve de la disponibilité de ressources externes et, le cas échéant, avec le soutien du Groupe de travail sur les mammifères aquatiques, est invité à :</w:t>
      </w:r>
    </w:p>
    <w:p w14:paraId="523551E6" w14:textId="77777777" w:rsidR="00BE5E9B" w:rsidRPr="008233A5" w:rsidRDefault="00BE5E9B">
      <w:pPr>
        <w:spacing w:after="0" w:line="240" w:lineRule="auto"/>
        <w:ind w:left="720" w:hanging="720"/>
        <w:jc w:val="both"/>
        <w:rPr>
          <w:rFonts w:cs="Arial"/>
          <w:lang w:val="fr-FR"/>
        </w:rPr>
      </w:pPr>
    </w:p>
    <w:p w14:paraId="6293C955" w14:textId="77777777" w:rsidR="00BE5E9B" w:rsidRPr="008233A5" w:rsidRDefault="00B757F7" w:rsidP="00F47DC7">
      <w:pPr>
        <w:pStyle w:val="ListParagraph"/>
        <w:numPr>
          <w:ilvl w:val="1"/>
          <w:numId w:val="39"/>
        </w:numPr>
        <w:spacing w:after="0" w:line="240" w:lineRule="auto"/>
        <w:ind w:left="1418" w:hanging="567"/>
        <w:contextualSpacing w:val="0"/>
        <w:jc w:val="both"/>
        <w:rPr>
          <w:lang w:val="fr-FR"/>
        </w:rPr>
      </w:pPr>
      <w:r w:rsidRPr="008233A5">
        <w:rPr>
          <w:lang w:val="fr-FR"/>
        </w:rPr>
        <w:t>synthétiser la recherche sur la compréhension émergente de la façon dont le bien-être des cétacés peut avoir un impact sur les résultats de conservation, et faire des recommandations aux Parties ;</w:t>
      </w:r>
    </w:p>
    <w:p w14:paraId="5A9FA77B" w14:textId="77777777" w:rsidR="00BE5E9B" w:rsidRPr="008233A5" w:rsidRDefault="00BE5E9B" w:rsidP="00F47DC7">
      <w:pPr>
        <w:pStyle w:val="ListParagraph"/>
        <w:spacing w:after="0" w:line="240" w:lineRule="auto"/>
        <w:ind w:left="1418" w:hanging="567"/>
        <w:contextualSpacing w:val="0"/>
        <w:jc w:val="both"/>
        <w:rPr>
          <w:lang w:val="fr-FR"/>
        </w:rPr>
      </w:pPr>
    </w:p>
    <w:p w14:paraId="39E8FF36" w14:textId="02080F02" w:rsidR="00BE5E9B" w:rsidRPr="008233A5" w:rsidRDefault="00B757F7" w:rsidP="00F47DC7">
      <w:pPr>
        <w:pStyle w:val="ListParagraph"/>
        <w:numPr>
          <w:ilvl w:val="1"/>
          <w:numId w:val="39"/>
        </w:numPr>
        <w:spacing w:after="0" w:line="240" w:lineRule="auto"/>
        <w:ind w:left="1418" w:hanging="567"/>
        <w:contextualSpacing w:val="0"/>
        <w:jc w:val="both"/>
        <w:rPr>
          <w:lang w:val="fr-FR"/>
        </w:rPr>
      </w:pPr>
      <w:r w:rsidRPr="008233A5">
        <w:rPr>
          <w:lang w:val="fr-FR"/>
        </w:rPr>
        <w:t xml:space="preserve">en collaboration avec la Commission Baleinière Internationale (CBI), </w:t>
      </w:r>
      <w:r w:rsidR="00D4213F">
        <w:rPr>
          <w:lang w:val="fr-FR"/>
        </w:rPr>
        <w:t xml:space="preserve">ACCOBAMS et ASCOBANS, </w:t>
      </w:r>
      <w:r w:rsidRPr="008233A5">
        <w:rPr>
          <w:lang w:val="fr-FR"/>
        </w:rPr>
        <w:t>examiner les impacts du changement climatique sur la conservation et le bien-être des cétacés, et faire des recommandations aux Parties ;</w:t>
      </w:r>
    </w:p>
    <w:p w14:paraId="4B683607" w14:textId="77777777" w:rsidR="00BE5E9B" w:rsidRPr="008233A5" w:rsidRDefault="00B757F7" w:rsidP="00F47DC7">
      <w:pPr>
        <w:pStyle w:val="ListParagraph"/>
        <w:numPr>
          <w:ilvl w:val="1"/>
          <w:numId w:val="39"/>
        </w:numPr>
        <w:spacing w:after="0" w:line="240" w:lineRule="auto"/>
        <w:ind w:left="1418" w:hanging="567"/>
        <w:contextualSpacing w:val="0"/>
        <w:jc w:val="both"/>
        <w:rPr>
          <w:lang w:val="fr-FR"/>
        </w:rPr>
      </w:pPr>
      <w:r w:rsidRPr="008233A5">
        <w:rPr>
          <w:rFonts w:cs="Arial"/>
          <w:lang w:val="fr-FR"/>
        </w:rPr>
        <w:lastRenderedPageBreak/>
        <w:t>étudier les impacts des mortalités massives de cétacés liées à la présence de toxines algales et formuler des recommandations à l’adresse des Parties ;</w:t>
      </w:r>
    </w:p>
    <w:p w14:paraId="77ED8CD9" w14:textId="77777777" w:rsidR="00BE5E9B" w:rsidRPr="008233A5" w:rsidRDefault="00BE5E9B" w:rsidP="00F47DC7">
      <w:pPr>
        <w:pStyle w:val="ListParagraph"/>
        <w:spacing w:after="0" w:line="240" w:lineRule="auto"/>
        <w:ind w:left="1418" w:hanging="567"/>
        <w:contextualSpacing w:val="0"/>
        <w:rPr>
          <w:lang w:val="fr-FR"/>
        </w:rPr>
      </w:pPr>
    </w:p>
    <w:p w14:paraId="6F4146A8" w14:textId="77777777" w:rsidR="00BE5E9B" w:rsidRPr="008233A5" w:rsidRDefault="00B757F7" w:rsidP="00F47DC7">
      <w:pPr>
        <w:pStyle w:val="ListParagraph"/>
        <w:numPr>
          <w:ilvl w:val="1"/>
          <w:numId w:val="39"/>
        </w:numPr>
        <w:spacing w:after="0" w:line="240" w:lineRule="auto"/>
        <w:ind w:left="1418" w:hanging="567"/>
        <w:contextualSpacing w:val="0"/>
        <w:jc w:val="both"/>
        <w:rPr>
          <w:lang w:val="fr-FR"/>
        </w:rPr>
      </w:pPr>
      <w:r w:rsidRPr="008233A5">
        <w:rPr>
          <w:lang w:val="fr-FR"/>
        </w:rPr>
        <w:t>entreprendre, en coopération avec la CBI, une quantification de la chasse à la baleine contemporaine et des prélèvements de viande d’animaux sauvages aquatiques de cétacés inscrits à l’Annexe II de la CMS dans toutes les régions, et formuler des recommandations à l’adresse des Parties ;</w:t>
      </w:r>
    </w:p>
    <w:p w14:paraId="3640958A" w14:textId="77777777" w:rsidR="00BE5E9B" w:rsidRPr="008233A5" w:rsidRDefault="00BE5E9B" w:rsidP="00F47DC7">
      <w:pPr>
        <w:pStyle w:val="ListParagraph"/>
        <w:spacing w:after="0" w:line="240" w:lineRule="auto"/>
        <w:ind w:left="1418" w:hanging="567"/>
        <w:contextualSpacing w:val="0"/>
        <w:rPr>
          <w:lang w:val="fr-FR"/>
        </w:rPr>
      </w:pPr>
    </w:p>
    <w:p w14:paraId="62092B29" w14:textId="578554BB" w:rsidR="00BE5E9B" w:rsidRPr="00D631E5" w:rsidRDefault="003B0145" w:rsidP="00F43B53">
      <w:pPr>
        <w:pStyle w:val="ListParagraph"/>
        <w:numPr>
          <w:ilvl w:val="1"/>
          <w:numId w:val="39"/>
        </w:numPr>
        <w:spacing w:after="0" w:line="240" w:lineRule="auto"/>
        <w:ind w:left="1418" w:hanging="567"/>
        <w:contextualSpacing w:val="0"/>
        <w:jc w:val="both"/>
        <w:rPr>
          <w:rFonts w:cs="Arial"/>
          <w:lang w:val="fr-FR"/>
        </w:rPr>
      </w:pPr>
      <w:r w:rsidRPr="00D631E5">
        <w:rPr>
          <w:rFonts w:cs="Arial"/>
          <w:bCs/>
          <w:iCs/>
          <w:lang w:val="fr-FR"/>
        </w:rPr>
        <w:t xml:space="preserve">examiner la </w:t>
      </w:r>
      <w:r w:rsidRPr="00D631E5">
        <w:rPr>
          <w:rFonts w:cs="Arial"/>
          <w:bCs/>
          <w:i/>
          <w:lang w:val="fr-FR"/>
        </w:rPr>
        <w:t>compilation des recommandations qui pourraient être adressées au Conseil scientifique lors de la COP15 et des futures COP</w:t>
      </w:r>
      <w:r w:rsidRPr="00D631E5">
        <w:rPr>
          <w:rFonts w:cs="Arial"/>
          <w:bCs/>
          <w:iCs/>
          <w:lang w:val="fr-FR"/>
        </w:rPr>
        <w:t>, figurant à l'</w:t>
      </w:r>
      <w:r w:rsidR="006B52DD">
        <w:rPr>
          <w:rFonts w:cs="Arial"/>
          <w:bCs/>
          <w:iCs/>
          <w:lang w:val="fr-FR"/>
        </w:rPr>
        <w:t>A</w:t>
      </w:r>
      <w:r w:rsidRPr="00D631E5">
        <w:rPr>
          <w:rFonts w:cs="Arial"/>
          <w:bCs/>
          <w:iCs/>
          <w:lang w:val="fr-FR"/>
        </w:rPr>
        <w:t>nnexe 4 du document UNEP/CMSCOP15/Doc.25.4.1, et formuler des recommandations à la 16e réunion de la Conférence des Parties sur les mesures prioritaires à prendre pour progresser au cours de la prochaine période intersessions.</w:t>
      </w:r>
    </w:p>
    <w:p w14:paraId="02A261C7" w14:textId="77777777" w:rsidR="00D631E5" w:rsidRPr="00D631E5" w:rsidRDefault="00D631E5" w:rsidP="00D631E5">
      <w:pPr>
        <w:spacing w:after="0" w:line="240" w:lineRule="auto"/>
        <w:jc w:val="both"/>
        <w:rPr>
          <w:rFonts w:cs="Arial"/>
          <w:lang w:val="fr-FR"/>
        </w:rPr>
      </w:pPr>
    </w:p>
    <w:p w14:paraId="14C9BE41" w14:textId="77777777" w:rsidR="00BE5E9B" w:rsidRPr="008233A5" w:rsidRDefault="00B757F7">
      <w:pPr>
        <w:spacing w:after="0" w:line="240" w:lineRule="auto"/>
        <w:jc w:val="both"/>
        <w:rPr>
          <w:rFonts w:cs="Arial"/>
          <w:b/>
          <w:i/>
          <w:lang w:val="fr-FR"/>
        </w:rPr>
      </w:pPr>
      <w:r w:rsidRPr="008233A5">
        <w:rPr>
          <w:rFonts w:cs="Arial"/>
          <w:b/>
          <w:i/>
          <w:lang w:val="fr-FR"/>
        </w:rPr>
        <w:t>À l’adresse du Secrétariat</w:t>
      </w:r>
    </w:p>
    <w:p w14:paraId="1A948ED8" w14:textId="77777777" w:rsidR="00BE5E9B" w:rsidRPr="008233A5" w:rsidRDefault="00BE5E9B">
      <w:pPr>
        <w:spacing w:after="0" w:line="240" w:lineRule="auto"/>
        <w:jc w:val="both"/>
        <w:rPr>
          <w:rFonts w:cs="Arial"/>
          <w:lang w:val="fr-FR"/>
        </w:rPr>
      </w:pPr>
    </w:p>
    <w:p w14:paraId="619BC37C" w14:textId="77777777" w:rsidR="00AA7A02" w:rsidRDefault="00B757F7" w:rsidP="005157B8">
      <w:pPr>
        <w:spacing w:after="0" w:line="240" w:lineRule="auto"/>
        <w:ind w:left="851" w:hanging="851"/>
        <w:jc w:val="both"/>
        <w:rPr>
          <w:rFonts w:cs="Arial"/>
          <w:lang w:val="fr-FR"/>
        </w:rPr>
      </w:pPr>
      <w:r w:rsidRPr="008233A5">
        <w:rPr>
          <w:rFonts w:cs="Arial"/>
          <w:lang w:val="fr-FR"/>
        </w:rPr>
        <w:t>15.CC</w:t>
      </w:r>
      <w:r w:rsidRPr="008233A5">
        <w:rPr>
          <w:rFonts w:cs="Arial"/>
          <w:lang w:val="fr-FR"/>
        </w:rPr>
        <w:tab/>
        <w:t>Le Secrétariat</w:t>
      </w:r>
      <w:r w:rsidR="00AA7A02">
        <w:rPr>
          <w:rFonts w:cs="Arial"/>
          <w:lang w:val="fr-FR"/>
        </w:rPr>
        <w:t> :</w:t>
      </w:r>
    </w:p>
    <w:p w14:paraId="2B4C9956" w14:textId="77777777" w:rsidR="001B6E80" w:rsidRDefault="001B6E80" w:rsidP="005157B8">
      <w:pPr>
        <w:spacing w:after="0" w:line="240" w:lineRule="auto"/>
        <w:ind w:left="851" w:hanging="851"/>
        <w:jc w:val="both"/>
        <w:rPr>
          <w:rFonts w:cs="Arial"/>
          <w:lang w:val="fr-FR"/>
        </w:rPr>
      </w:pPr>
    </w:p>
    <w:p w14:paraId="5038B608" w14:textId="2F0527EA" w:rsidR="00BE5E9B" w:rsidRDefault="00B757F7" w:rsidP="001B6E80">
      <w:pPr>
        <w:pStyle w:val="ListParagraph"/>
        <w:numPr>
          <w:ilvl w:val="0"/>
          <w:numId w:val="50"/>
        </w:numPr>
        <w:spacing w:after="0" w:line="240" w:lineRule="auto"/>
        <w:ind w:left="1418" w:hanging="567"/>
        <w:jc w:val="both"/>
        <w:rPr>
          <w:rFonts w:cs="Arial"/>
          <w:lang w:val="fr-FR"/>
        </w:rPr>
      </w:pPr>
      <w:r w:rsidRPr="00AA7A02">
        <w:rPr>
          <w:rFonts w:cs="Arial"/>
          <w:lang w:val="fr-FR"/>
        </w:rPr>
        <w:t>soutient le Conseil scientifique</w:t>
      </w:r>
      <w:r w:rsidR="001B6E80">
        <w:rPr>
          <w:rFonts w:cs="Arial"/>
          <w:lang w:val="fr-FR"/>
        </w:rPr>
        <w:t xml:space="preserve">, </w:t>
      </w:r>
      <w:r w:rsidR="001B6E80" w:rsidRPr="00AA7A02">
        <w:rPr>
          <w:rFonts w:cs="Arial"/>
          <w:lang w:val="fr-FR"/>
        </w:rPr>
        <w:t>sous réserve de la disponibilité de ressources,</w:t>
      </w:r>
      <w:r w:rsidR="001B6E80">
        <w:rPr>
          <w:rFonts w:cs="Arial"/>
          <w:lang w:val="fr-FR"/>
        </w:rPr>
        <w:t xml:space="preserve"> </w:t>
      </w:r>
      <w:r w:rsidRPr="00AA7A02">
        <w:rPr>
          <w:rFonts w:cs="Arial"/>
          <w:lang w:val="fr-FR"/>
        </w:rPr>
        <w:t>dans l’élaboration des rapports et des recommandations demandés dans la décision 15.BB</w:t>
      </w:r>
      <w:r w:rsidR="000E3F53">
        <w:rPr>
          <w:rFonts w:cs="Arial"/>
          <w:lang w:val="fr-FR"/>
        </w:rPr>
        <w:t> ; et</w:t>
      </w:r>
    </w:p>
    <w:p w14:paraId="571837E1" w14:textId="77777777" w:rsidR="000E3F53" w:rsidRDefault="000E3F53" w:rsidP="000E3F53">
      <w:pPr>
        <w:pStyle w:val="ListParagraph"/>
        <w:spacing w:after="0" w:line="240" w:lineRule="auto"/>
        <w:ind w:left="1418"/>
        <w:jc w:val="both"/>
        <w:rPr>
          <w:rFonts w:cs="Arial"/>
          <w:lang w:val="fr-FR"/>
        </w:rPr>
      </w:pPr>
    </w:p>
    <w:p w14:paraId="6A8F72D9" w14:textId="425E64C4" w:rsidR="000E3F53" w:rsidRPr="00AA7A02" w:rsidRDefault="00185E80" w:rsidP="001B6E80">
      <w:pPr>
        <w:pStyle w:val="ListParagraph"/>
        <w:numPr>
          <w:ilvl w:val="0"/>
          <w:numId w:val="50"/>
        </w:numPr>
        <w:spacing w:after="0" w:line="240" w:lineRule="auto"/>
        <w:ind w:left="1418" w:hanging="567"/>
        <w:jc w:val="both"/>
        <w:rPr>
          <w:rFonts w:cs="Arial"/>
          <w:lang w:val="fr-FR"/>
        </w:rPr>
      </w:pPr>
      <w:r w:rsidRPr="00185E80">
        <w:rPr>
          <w:rFonts w:cs="Arial"/>
          <w:lang w:val="fr-FR"/>
        </w:rPr>
        <w:t>étudie la mise en place d'un programme de travail conjoint avec le Secrétariat de la CBI sur la conservation des cétacés, en tenant compte du MdE entre les deux organisations.</w:t>
      </w:r>
    </w:p>
    <w:p w14:paraId="2AAC2846" w14:textId="77777777" w:rsidR="00BE5E9B" w:rsidRPr="008233A5" w:rsidRDefault="00BE5E9B">
      <w:pPr>
        <w:spacing w:after="0" w:line="240" w:lineRule="auto"/>
        <w:rPr>
          <w:rFonts w:cs="Arial"/>
          <w:lang w:val="fr-FR"/>
        </w:rPr>
      </w:pPr>
    </w:p>
    <w:p w14:paraId="2991D754" w14:textId="77777777" w:rsidR="00BE5E9B" w:rsidRPr="008233A5" w:rsidRDefault="00BE5E9B">
      <w:pPr>
        <w:spacing w:after="0" w:line="240" w:lineRule="auto"/>
        <w:rPr>
          <w:rFonts w:cs="Arial"/>
          <w:lang w:val="fr-FR"/>
        </w:rPr>
      </w:pPr>
    </w:p>
    <w:p w14:paraId="5AFE7972" w14:textId="77777777" w:rsidR="00BE5E9B" w:rsidRPr="008233A5" w:rsidRDefault="00B757F7">
      <w:pPr>
        <w:pStyle w:val="Firstnumbering"/>
        <w:numPr>
          <w:ilvl w:val="0"/>
          <w:numId w:val="0"/>
        </w:numPr>
        <w:ind w:left="567" w:hanging="567"/>
        <w:jc w:val="center"/>
        <w:rPr>
          <w:b/>
          <w:lang w:val="fr-FR"/>
        </w:rPr>
      </w:pPr>
      <w:r w:rsidRPr="008233A5">
        <w:rPr>
          <w:b/>
          <w:bCs/>
          <w:lang w:val="fr-FR"/>
        </w:rPr>
        <w:t>RÔLE DES CÉTACÉS DANS LE FONCTIONNEMENT DES ÉCOSYSTÈMES</w:t>
      </w:r>
    </w:p>
    <w:p w14:paraId="6F85F2A3" w14:textId="77777777" w:rsidR="00BE5E9B" w:rsidRPr="008233A5" w:rsidRDefault="00BE5E9B">
      <w:pPr>
        <w:spacing w:after="0" w:line="240" w:lineRule="auto"/>
        <w:jc w:val="both"/>
        <w:rPr>
          <w:rFonts w:cs="Arial"/>
          <w:b/>
          <w:i/>
          <w:lang w:val="fr-FR"/>
        </w:rPr>
      </w:pPr>
    </w:p>
    <w:p w14:paraId="00BA4A75" w14:textId="77777777" w:rsidR="00BE5E9B" w:rsidRPr="008233A5" w:rsidRDefault="00BE5E9B">
      <w:pPr>
        <w:spacing w:after="0" w:line="240" w:lineRule="auto"/>
        <w:jc w:val="both"/>
        <w:rPr>
          <w:rFonts w:cs="Arial"/>
          <w:b/>
          <w:i/>
          <w:lang w:val="fr-FR"/>
        </w:rPr>
      </w:pPr>
    </w:p>
    <w:p w14:paraId="05C72C12" w14:textId="77777777" w:rsidR="00BE5E9B" w:rsidRPr="008233A5" w:rsidRDefault="00B757F7">
      <w:pPr>
        <w:spacing w:after="0" w:line="240" w:lineRule="auto"/>
        <w:jc w:val="both"/>
        <w:rPr>
          <w:rFonts w:cs="Arial"/>
          <w:lang w:val="fr-FR"/>
        </w:rPr>
      </w:pPr>
      <w:r w:rsidRPr="008233A5">
        <w:rPr>
          <w:rFonts w:cs="Arial"/>
          <w:b/>
          <w:i/>
          <w:lang w:val="fr-FR"/>
        </w:rPr>
        <w:t xml:space="preserve">À l’adresse du Conseil scientifique </w:t>
      </w:r>
    </w:p>
    <w:p w14:paraId="44F25F8B" w14:textId="77777777" w:rsidR="00BE5E9B" w:rsidRPr="008233A5" w:rsidRDefault="00BE5E9B">
      <w:pPr>
        <w:spacing w:after="0" w:line="240" w:lineRule="auto"/>
        <w:jc w:val="both"/>
        <w:rPr>
          <w:rFonts w:cs="Arial"/>
          <w:lang w:val="fr-FR"/>
        </w:rPr>
      </w:pPr>
    </w:p>
    <w:p w14:paraId="214834E4" w14:textId="77777777" w:rsidR="00BE5E9B" w:rsidRPr="008233A5" w:rsidRDefault="00B757F7" w:rsidP="005157B8">
      <w:pPr>
        <w:spacing w:after="0" w:line="240" w:lineRule="auto"/>
        <w:ind w:left="851" w:hanging="851"/>
        <w:jc w:val="both"/>
        <w:rPr>
          <w:rFonts w:cs="Arial"/>
          <w:lang w:val="fr-FR"/>
        </w:rPr>
      </w:pPr>
      <w:r w:rsidRPr="008233A5">
        <w:rPr>
          <w:rFonts w:cs="Arial"/>
          <w:lang w:val="fr-FR"/>
        </w:rPr>
        <w:t>15.DD</w:t>
      </w:r>
      <w:r w:rsidRPr="008233A5">
        <w:rPr>
          <w:rFonts w:cs="Arial"/>
          <w:lang w:val="fr-FR"/>
        </w:rPr>
        <w:tab/>
      </w:r>
      <w:r w:rsidRPr="008233A5">
        <w:rPr>
          <w:rFonts w:cs="Arial"/>
          <w:bCs/>
          <w:iCs/>
          <w:lang w:val="fr-FR"/>
        </w:rPr>
        <w:t>Le Conseil scientifique est prié, par l’intermédiaire du Groupe de travail sur les mammifères aquatiques, de fournir des conseils au Secrétariat concernant les travaux sur le rôle des cétacés dans le fonctionnement des écosystèmes, en tenant compte des travaux réalisés au sein de la CBI, et d’apporter sa contribution à la CBI en fonction des besoins.</w:t>
      </w:r>
    </w:p>
    <w:p w14:paraId="6A21DDCD" w14:textId="77777777" w:rsidR="00BE5E9B" w:rsidRPr="008233A5" w:rsidRDefault="00BE5E9B">
      <w:pPr>
        <w:spacing w:after="0" w:line="240" w:lineRule="auto"/>
        <w:jc w:val="both"/>
        <w:rPr>
          <w:rFonts w:cs="Arial"/>
          <w:b/>
          <w:i/>
          <w:lang w:val="fr-FR"/>
        </w:rPr>
      </w:pPr>
    </w:p>
    <w:p w14:paraId="3046EC8C" w14:textId="77777777" w:rsidR="00BE5E9B" w:rsidRPr="008233A5" w:rsidRDefault="00B757F7">
      <w:pPr>
        <w:spacing w:after="0" w:line="240" w:lineRule="auto"/>
        <w:jc w:val="both"/>
        <w:rPr>
          <w:rFonts w:cs="Arial"/>
          <w:b/>
          <w:i/>
          <w:lang w:val="fr-FR"/>
        </w:rPr>
      </w:pPr>
      <w:r w:rsidRPr="008233A5">
        <w:rPr>
          <w:rFonts w:cs="Arial"/>
          <w:b/>
          <w:i/>
          <w:lang w:val="fr-FR"/>
        </w:rPr>
        <w:t>À l’adresse du Secrétariat</w:t>
      </w:r>
    </w:p>
    <w:p w14:paraId="2BED7FFE" w14:textId="77777777" w:rsidR="00BE5E9B" w:rsidRPr="008233A5" w:rsidRDefault="00BE5E9B">
      <w:pPr>
        <w:spacing w:after="0" w:line="240" w:lineRule="auto"/>
        <w:jc w:val="both"/>
        <w:rPr>
          <w:rFonts w:cs="Arial"/>
          <w:lang w:val="fr-FR"/>
        </w:rPr>
      </w:pPr>
    </w:p>
    <w:p w14:paraId="5153F18A" w14:textId="77777777" w:rsidR="00BE5E9B" w:rsidRPr="008233A5" w:rsidRDefault="00B757F7" w:rsidP="005157B8">
      <w:pPr>
        <w:widowControl w:val="0"/>
        <w:autoSpaceDE w:val="0"/>
        <w:autoSpaceDN w:val="0"/>
        <w:adjustRightInd w:val="0"/>
        <w:spacing w:after="0" w:line="240" w:lineRule="auto"/>
        <w:ind w:left="851" w:hanging="851"/>
        <w:jc w:val="both"/>
        <w:rPr>
          <w:rFonts w:cs="Arial"/>
          <w:iCs/>
          <w:lang w:val="fr-FR"/>
        </w:rPr>
      </w:pPr>
      <w:r w:rsidRPr="008233A5">
        <w:rPr>
          <w:rFonts w:cs="Arial"/>
          <w:lang w:val="fr-FR"/>
        </w:rPr>
        <w:t>15.EE</w:t>
      </w:r>
      <w:r w:rsidRPr="008233A5">
        <w:rPr>
          <w:rFonts w:cs="Arial"/>
          <w:lang w:val="fr-FR"/>
        </w:rPr>
        <w:tab/>
        <w:t xml:space="preserve">Le Secrétariat </w:t>
      </w:r>
      <w:r w:rsidRPr="008233A5">
        <w:rPr>
          <w:rFonts w:cs="Arial"/>
          <w:iCs/>
          <w:lang w:val="fr-FR"/>
        </w:rPr>
        <w:t>continue d’assurer la liaison avec le Secrétariat de la CBI concernant les travaux sur le rôle des cétacés dans le fonctionnement des écosystèmes.</w:t>
      </w:r>
    </w:p>
    <w:p w14:paraId="1C6612CD" w14:textId="77777777" w:rsidR="00BE5E9B" w:rsidRPr="008233A5" w:rsidRDefault="00BE5E9B">
      <w:pPr>
        <w:spacing w:after="0" w:line="240" w:lineRule="auto"/>
        <w:jc w:val="both"/>
        <w:rPr>
          <w:rFonts w:cs="Arial"/>
          <w:iCs/>
          <w:lang w:val="fr-FR"/>
        </w:rPr>
      </w:pPr>
    </w:p>
    <w:sectPr w:rsidR="00BE5E9B" w:rsidRPr="008233A5">
      <w:headerReference w:type="even" r:id="rId74"/>
      <w:headerReference w:type="default" r:id="rId75"/>
      <w:headerReference w:type="first" r:id="rId7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49D7E" w14:textId="77777777" w:rsidR="000A50BF" w:rsidRDefault="000A50BF">
      <w:pPr>
        <w:spacing w:after="0" w:line="240" w:lineRule="auto"/>
        <w:rPr>
          <w:lang w:val="fr-FR"/>
        </w:rPr>
      </w:pPr>
      <w:r>
        <w:rPr>
          <w:lang w:val="fr-FR"/>
        </w:rPr>
        <w:separator/>
      </w:r>
    </w:p>
  </w:endnote>
  <w:endnote w:type="continuationSeparator" w:id="0">
    <w:p w14:paraId="217D485E" w14:textId="77777777" w:rsidR="000A50BF" w:rsidRDefault="000A50BF">
      <w:pPr>
        <w:spacing w:after="0" w:line="240" w:lineRule="auto"/>
        <w:rPr>
          <w:lang w:val="fr-FR"/>
        </w:rPr>
      </w:pPr>
      <w:r>
        <w:rPr>
          <w:lang w:val="fr-FR"/>
        </w:rPr>
        <w:continuationSeparator/>
      </w:r>
    </w:p>
  </w:endnote>
  <w:endnote w:type="continuationNotice" w:id="1">
    <w:p w14:paraId="73D8C3A4" w14:textId="77777777" w:rsidR="000A50BF" w:rsidRDefault="000A50BF">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891E" w14:textId="77777777" w:rsidR="00370F6F" w:rsidRPr="00AB0EB3" w:rsidRDefault="00370F6F">
    <w:pPr>
      <w:pStyle w:val="Footer"/>
      <w:jc w:val="center"/>
      <w:rPr>
        <w:sz w:val="18"/>
        <w:szCs w:val="18"/>
      </w:rPr>
    </w:pPr>
    <w:r w:rsidRPr="00AB0EB3">
      <w:rPr>
        <w:sz w:val="18"/>
        <w:szCs w:val="18"/>
      </w:rPr>
      <w:fldChar w:fldCharType="begin"/>
    </w:r>
    <w:r w:rsidRPr="00AB0EB3">
      <w:rPr>
        <w:sz w:val="18"/>
        <w:szCs w:val="18"/>
      </w:rPr>
      <w:instrText xml:space="preserve"> PAGE   \* MERGEFORMAT </w:instrText>
    </w:r>
    <w:r w:rsidRPr="00AB0EB3">
      <w:rPr>
        <w:sz w:val="18"/>
        <w:szCs w:val="18"/>
      </w:rPr>
      <w:fldChar w:fldCharType="separate"/>
    </w:r>
    <w:r w:rsidR="008C55E3">
      <w:rPr>
        <w:noProof/>
        <w:sz w:val="18"/>
        <w:szCs w:val="18"/>
      </w:rPr>
      <w:t>8</w:t>
    </w:r>
    <w:r w:rsidRPr="00AB0EB3">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661F2FA7" w14:textId="77777777" w:rsidR="00370F6F" w:rsidRPr="002D6582" w:rsidRDefault="00370F6F"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008C55E3">
          <w:rPr>
            <w:noProof/>
            <w:sz w:val="18"/>
            <w:szCs w:val="18"/>
          </w:rPr>
          <w:t>7</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8F75" w14:textId="77777777" w:rsidR="00370F6F" w:rsidRPr="002D6582" w:rsidRDefault="00370F6F"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008C55E3">
      <w:rPr>
        <w:noProof/>
        <w:sz w:val="18"/>
        <w:szCs w:val="18"/>
      </w:rPr>
      <w:t>15</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68A83" w14:textId="77777777" w:rsidR="000A50BF" w:rsidRDefault="000A50BF">
      <w:pPr>
        <w:spacing w:after="0" w:line="240" w:lineRule="auto"/>
        <w:rPr>
          <w:lang w:val="fr-FR"/>
        </w:rPr>
      </w:pPr>
      <w:r>
        <w:rPr>
          <w:lang w:val="fr-FR"/>
        </w:rPr>
        <w:separator/>
      </w:r>
    </w:p>
  </w:footnote>
  <w:footnote w:type="continuationSeparator" w:id="0">
    <w:p w14:paraId="665A54C0" w14:textId="77777777" w:rsidR="000A50BF" w:rsidRDefault="000A50BF">
      <w:pPr>
        <w:spacing w:after="0" w:line="240" w:lineRule="auto"/>
        <w:rPr>
          <w:lang w:val="fr-FR"/>
        </w:rPr>
      </w:pPr>
      <w:r>
        <w:rPr>
          <w:lang w:val="fr-FR"/>
        </w:rPr>
        <w:continuationSeparator/>
      </w:r>
    </w:p>
  </w:footnote>
  <w:footnote w:type="continuationNotice" w:id="1">
    <w:p w14:paraId="6202700C" w14:textId="77777777" w:rsidR="000A50BF" w:rsidRDefault="000A50BF">
      <w:pPr>
        <w:spacing w:after="0" w:line="240" w:lineRule="auto"/>
        <w:rPr>
          <w:lang w:val="fr-FR"/>
        </w:rPr>
      </w:pPr>
    </w:p>
  </w:footnote>
  <w:footnote w:id="2">
    <w:p w14:paraId="4AE7DB3D" w14:textId="77777777" w:rsidR="00370F6F" w:rsidRDefault="00370F6F">
      <w:pPr>
        <w:pStyle w:val="FootnoteText"/>
        <w:rPr>
          <w:sz w:val="16"/>
          <w:szCs w:val="16"/>
          <w:lang w:val="fr-FR"/>
        </w:rPr>
      </w:pPr>
      <w:r>
        <w:rPr>
          <w:rStyle w:val="FootnoteReference"/>
          <w:sz w:val="16"/>
          <w:szCs w:val="16"/>
          <w:lang w:val="fr-FR"/>
        </w:rPr>
        <w:footnoteRef/>
      </w:r>
      <w:r>
        <w:rPr>
          <w:sz w:val="16"/>
          <w:szCs w:val="16"/>
          <w:lang w:val="fr-FR"/>
        </w:rPr>
        <w:t xml:space="preserve"> </w:t>
      </w:r>
      <w:r>
        <w:rPr>
          <w:rFonts w:cs="Arial"/>
          <w:sz w:val="16"/>
          <w:szCs w:val="16"/>
          <w:lang w:val="fr-FR"/>
        </w:rPr>
        <w:t xml:space="preserve">Annexe au document </w:t>
      </w:r>
      <w:hyperlink r:id="rId1" w:history="1">
        <w:r>
          <w:rPr>
            <w:rStyle w:val="Hyperlink"/>
            <w:rFonts w:cs="Arial"/>
            <w:sz w:val="16"/>
            <w:szCs w:val="16"/>
            <w:lang w:val="fr-FR"/>
          </w:rPr>
          <w:t>UNEP/ASCOBANS/Resolution 8.5 (Rev.MOP9)</w:t>
        </w:r>
      </w:hyperlink>
      <w:r>
        <w:rPr>
          <w:sz w:val="16"/>
          <w:szCs w:val="16"/>
          <w:lang w:val="fr-FR"/>
        </w:rPr>
        <w:t xml:space="preserve"> </w:t>
      </w:r>
      <w:r>
        <w:rPr>
          <w:rFonts w:cs="Arial"/>
          <w:i/>
          <w:iCs/>
          <w:sz w:val="16"/>
          <w:szCs w:val="16"/>
          <w:lang w:val="fr-FR"/>
        </w:rPr>
        <w:t>Small Cetacean Stranding Response.</w:t>
      </w:r>
    </w:p>
  </w:footnote>
  <w:footnote w:id="3">
    <w:p w14:paraId="3BD29E3C" w14:textId="77777777" w:rsidR="00370F6F" w:rsidRDefault="00370F6F">
      <w:pPr>
        <w:pStyle w:val="FootnoteText"/>
        <w:rPr>
          <w:i/>
          <w:iCs/>
          <w:sz w:val="16"/>
          <w:szCs w:val="16"/>
          <w:lang w:val="fr-FR"/>
        </w:rPr>
      </w:pPr>
      <w:r>
        <w:rPr>
          <w:rStyle w:val="FootnoteReference"/>
          <w:sz w:val="16"/>
          <w:szCs w:val="16"/>
          <w:lang w:val="fr-FR"/>
        </w:rPr>
        <w:footnoteRef/>
      </w:r>
      <w:r>
        <w:rPr>
          <w:sz w:val="16"/>
          <w:szCs w:val="16"/>
          <w:lang w:val="fr-FR"/>
        </w:rPr>
        <w:t xml:space="preserve"> Annexe au document </w:t>
      </w:r>
      <w:hyperlink r:id="rId2" w:history="1">
        <w:r>
          <w:rPr>
            <w:rStyle w:val="Hyperlink"/>
            <w:sz w:val="16"/>
            <w:szCs w:val="16"/>
            <w:lang w:val="fr-FR"/>
          </w:rPr>
          <w:t>ACCOBAMS/Résolution 7.14</w:t>
        </w:r>
      </w:hyperlink>
      <w:r>
        <w:rPr>
          <w:sz w:val="16"/>
          <w:szCs w:val="16"/>
          <w:lang w:val="fr-FR"/>
        </w:rPr>
        <w:t xml:space="preserve"> </w:t>
      </w:r>
      <w:r>
        <w:rPr>
          <w:i/>
          <w:iCs/>
          <w:sz w:val="16"/>
          <w:szCs w:val="16"/>
          <w:lang w:val="fr-FR"/>
        </w:rPr>
        <w:t>Meilleures pratiques en matière de surveillance et de gestion d’échouages de cétacés.</w:t>
      </w:r>
    </w:p>
  </w:footnote>
  <w:footnote w:id="4">
    <w:p w14:paraId="1A0D2CEE" w14:textId="77777777" w:rsidR="00370F6F" w:rsidRDefault="00370F6F">
      <w:pPr>
        <w:pStyle w:val="FootnoteText"/>
        <w:rPr>
          <w:sz w:val="16"/>
          <w:szCs w:val="16"/>
          <w:lang w:val="fr-FR"/>
        </w:rPr>
      </w:pPr>
      <w:r>
        <w:rPr>
          <w:rStyle w:val="FootnoteReference"/>
          <w:sz w:val="16"/>
          <w:szCs w:val="16"/>
          <w:lang w:val="fr-FR"/>
        </w:rPr>
        <w:footnoteRef/>
      </w:r>
      <w:r>
        <w:rPr>
          <w:sz w:val="16"/>
          <w:szCs w:val="16"/>
          <w:lang w:val="fr-FR"/>
        </w:rPr>
        <w:t xml:space="preserve"> </w:t>
      </w:r>
      <w:hyperlink r:id="rId3" w:history="1">
        <w:r>
          <w:rPr>
            <w:rStyle w:val="Hyperlink"/>
            <w:sz w:val="16"/>
            <w:szCs w:val="16"/>
            <w:lang w:val="fr-FR"/>
          </w:rPr>
          <w:t>https://iwc.int/management-and-conservation/strandings/strandings-initiative?visLang=fr</w:t>
        </w:r>
      </w:hyperlink>
      <w:r>
        <w:rPr>
          <w:sz w:val="16"/>
          <w:szCs w:val="16"/>
          <w:lang w:val="fr-FR"/>
        </w:rPr>
        <w:t xml:space="preserve"> </w:t>
      </w:r>
    </w:p>
  </w:footnote>
  <w:footnote w:id="5">
    <w:p w14:paraId="068164BB" w14:textId="77777777" w:rsidR="00370F6F" w:rsidRDefault="00370F6F">
      <w:pPr>
        <w:pStyle w:val="FootnoteText"/>
        <w:jc w:val="both"/>
        <w:rPr>
          <w:sz w:val="16"/>
          <w:szCs w:val="16"/>
          <w:lang w:val="fr-FR"/>
        </w:rPr>
      </w:pPr>
      <w:r>
        <w:rPr>
          <w:rStyle w:val="FootnoteReference"/>
          <w:sz w:val="16"/>
          <w:szCs w:val="16"/>
          <w:lang w:val="fr-FR"/>
        </w:rPr>
        <w:footnoteRef/>
      </w:r>
      <w:r>
        <w:rPr>
          <w:sz w:val="16"/>
          <w:szCs w:val="16"/>
          <w:lang w:val="fr-FR"/>
        </w:rPr>
        <w:t xml:space="preserve"> L’outil d’évaluation du bien-être des cétacés sauvages repose sur le modèle des cinq domaines du bien-être animal. Ce modèle a été conçu pour faciliter l’évaluation et la notation systématique, structurée et cohérente des compromis liés au bien-être animal. Il intègre quatre domaines physiques (nutrition, environnement, santé, comportement), en se concentrant sur les sources d’entrées sensorielles mesurables provenant de l’intérieur et de l’extérieur du corps, susceptibles de générer des expériences subjectives. Ces domaines sont ensuite regroupés sous un cinquième domaine : l’état mental ou affectif.</w:t>
      </w:r>
    </w:p>
  </w:footnote>
  <w:footnote w:id="6">
    <w:p w14:paraId="2D020B3D" w14:textId="77777777" w:rsidR="00370F6F" w:rsidRPr="004768F1" w:rsidRDefault="00370F6F">
      <w:pPr>
        <w:pStyle w:val="FootnoteText"/>
        <w:jc w:val="both"/>
        <w:rPr>
          <w:sz w:val="16"/>
          <w:szCs w:val="16"/>
        </w:rPr>
      </w:pPr>
      <w:r>
        <w:rPr>
          <w:rStyle w:val="FootnoteReference"/>
          <w:sz w:val="16"/>
          <w:szCs w:val="16"/>
          <w:lang w:val="fr-FR"/>
        </w:rPr>
        <w:footnoteRef/>
      </w:r>
      <w:r w:rsidRPr="004768F1">
        <w:rPr>
          <w:sz w:val="16"/>
          <w:szCs w:val="16"/>
        </w:rPr>
        <w:t xml:space="preserve"> Nicol, C., Bejder, L., Green, L., Johnson, C., Keeling, L., Noren, D., van der Hoop, J. et Simmonds, M. (2020). Anthropogenic Threats to Wild Cetacean Welfare and a Tool to Inform Policy in This Area. Frontiers in Veterinary Science, 7. </w:t>
      </w:r>
      <w:hyperlink r:id="rId4" w:history="1">
        <w:r w:rsidRPr="004768F1">
          <w:rPr>
            <w:rStyle w:val="Hyperlink"/>
            <w:sz w:val="16"/>
            <w:szCs w:val="16"/>
          </w:rPr>
          <w:t>https://doi.org/10.3389/fvets.2020.00057</w:t>
        </w:r>
      </w:hyperlink>
      <w:r w:rsidRPr="004768F1">
        <w:rPr>
          <w:sz w:val="16"/>
          <w:szCs w:val="16"/>
        </w:rPr>
        <w:t xml:space="preserve"> </w:t>
      </w:r>
    </w:p>
  </w:footnote>
  <w:footnote w:id="7">
    <w:p w14:paraId="4275EA91" w14:textId="77777777" w:rsidR="00370F6F" w:rsidRDefault="00370F6F">
      <w:pPr>
        <w:pStyle w:val="FootnoteText"/>
        <w:jc w:val="both"/>
        <w:rPr>
          <w:sz w:val="16"/>
          <w:szCs w:val="16"/>
          <w:lang w:val="fr-FR"/>
        </w:rPr>
      </w:pPr>
      <w:r>
        <w:rPr>
          <w:rStyle w:val="FootnoteReference"/>
          <w:sz w:val="16"/>
          <w:szCs w:val="16"/>
          <w:lang w:val="fr-FR"/>
        </w:rPr>
        <w:footnoteRef/>
      </w:r>
      <w:r w:rsidRPr="004768F1">
        <w:rPr>
          <w:sz w:val="16"/>
          <w:szCs w:val="16"/>
        </w:rPr>
        <w:t xml:space="preserve"> Anonyme (2021) ‘Out of Habitat’ Marine Mammals Workshop Report. </w:t>
      </w:r>
      <w:r>
        <w:rPr>
          <w:sz w:val="16"/>
          <w:szCs w:val="16"/>
          <w:lang w:val="fr-FR"/>
        </w:rPr>
        <w:t>30 Septembre–1</w:t>
      </w:r>
      <w:r w:rsidRPr="00DC5642">
        <w:rPr>
          <w:sz w:val="16"/>
          <w:szCs w:val="16"/>
          <w:vertAlign w:val="superscript"/>
          <w:lang w:val="fr-FR"/>
        </w:rPr>
        <w:t>er</w:t>
      </w:r>
      <w:r>
        <w:rPr>
          <w:sz w:val="16"/>
          <w:szCs w:val="16"/>
          <w:vertAlign w:val="superscript"/>
          <w:lang w:val="fr-FR"/>
        </w:rPr>
        <w:t> </w:t>
      </w:r>
      <w:r>
        <w:rPr>
          <w:sz w:val="16"/>
          <w:szCs w:val="16"/>
          <w:lang w:val="fr-FR"/>
        </w:rPr>
        <w:t xml:space="preserve">octobre 2021. </w:t>
      </w:r>
      <w:hyperlink r:id="rId5" w:history="1">
        <w:r>
          <w:rPr>
            <w:rStyle w:val="Hyperlink"/>
            <w:sz w:val="16"/>
            <w:szCs w:val="16"/>
            <w:lang w:val="fr-FR"/>
          </w:rPr>
          <w:t>https://wildanimalwelfare.files.wordpress.com/2021/12/out-of-habitat-marine-mammals-workshop-report-final-1.pdf</w:t>
        </w:r>
      </w:hyperlink>
      <w:r>
        <w:rPr>
          <w:sz w:val="16"/>
          <w:szCs w:val="16"/>
          <w:lang w:val="fr-FR"/>
        </w:rPr>
        <w:t xml:space="preserve"> </w:t>
      </w:r>
    </w:p>
  </w:footnote>
  <w:footnote w:id="8">
    <w:p w14:paraId="40B49A7C" w14:textId="77777777" w:rsidR="00370F6F" w:rsidRDefault="00370F6F">
      <w:pPr>
        <w:pStyle w:val="FootnoteText"/>
        <w:jc w:val="both"/>
        <w:rPr>
          <w:sz w:val="16"/>
          <w:szCs w:val="16"/>
          <w:lang w:val="fr-FR"/>
        </w:rPr>
      </w:pPr>
      <w:r>
        <w:rPr>
          <w:rStyle w:val="FootnoteReference"/>
          <w:sz w:val="16"/>
          <w:szCs w:val="16"/>
          <w:lang w:val="fr-FR"/>
        </w:rPr>
        <w:footnoteRef/>
      </w:r>
      <w:r w:rsidRPr="004768F1">
        <w:rPr>
          <w:sz w:val="16"/>
          <w:szCs w:val="16"/>
        </w:rPr>
        <w:t xml:space="preserve"> Anonyme (2023) ‘Out of Habitat’ Marine Mammals II — Second International Workshop Report. </w:t>
      </w:r>
      <w:r>
        <w:rPr>
          <w:sz w:val="16"/>
          <w:szCs w:val="16"/>
          <w:lang w:val="fr-FR"/>
        </w:rPr>
        <w:t xml:space="preserve">6—7 décembre 2022. </w:t>
      </w:r>
      <w:hyperlink r:id="rId6" w:history="1">
        <w:r>
          <w:rPr>
            <w:rStyle w:val="Hyperlink"/>
            <w:sz w:val="16"/>
            <w:szCs w:val="16"/>
            <w:lang w:val="fr-FR"/>
          </w:rPr>
          <w:t>https://www.oceancare.org/wp-content/uploads/2023/03/Out-of-Habitat-Report-2-.pdf</w:t>
        </w:r>
      </w:hyperlink>
      <w:r>
        <w:rPr>
          <w:sz w:val="16"/>
          <w:szCs w:val="16"/>
          <w:lang w:val="fr-FR"/>
        </w:rPr>
        <w:t xml:space="preserve"> </w:t>
      </w:r>
    </w:p>
  </w:footnote>
  <w:footnote w:id="9">
    <w:p w14:paraId="6B9770C5" w14:textId="77777777" w:rsidR="00370F6F" w:rsidRDefault="00370F6F">
      <w:pPr>
        <w:pStyle w:val="FootnoteText"/>
        <w:jc w:val="both"/>
        <w:rPr>
          <w:lang w:val="fr-FR"/>
        </w:rPr>
      </w:pPr>
      <w:r>
        <w:rPr>
          <w:rStyle w:val="FootnoteReference"/>
          <w:sz w:val="16"/>
          <w:szCs w:val="16"/>
          <w:lang w:val="fr-FR"/>
        </w:rPr>
        <w:footnoteRef/>
      </w:r>
      <w:r>
        <w:rPr>
          <w:sz w:val="16"/>
          <w:szCs w:val="16"/>
          <w:lang w:val="fr-FR"/>
        </w:rPr>
        <w:t xml:space="preserve"> La Résolution 10.15 a été abrogée et intégrée à la Résolution 14.9 lors de la COP14. La Résolution 14.9 demande au Conseil scientifique de continuer à soutenir ce Groupe de travail.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3C1C" w14:textId="77777777" w:rsidR="00370F6F" w:rsidRPr="00AB0EB3" w:rsidRDefault="00370F6F" w:rsidP="002E0DE9">
    <w:pPr>
      <w:pStyle w:val="Header"/>
      <w:pBdr>
        <w:bottom w:val="single" w:sz="4" w:space="1" w:color="auto"/>
      </w:pBdr>
      <w:rPr>
        <w:i/>
        <w:sz w:val="18"/>
        <w:szCs w:val="18"/>
      </w:rPr>
    </w:pPr>
    <w:r w:rsidRPr="00AB0EB3">
      <w:rPr>
        <w:rFonts w:eastAsia="Times New Roman" w:cs="Arial"/>
        <w:i/>
        <w:sz w:val="18"/>
        <w:szCs w:val="18"/>
      </w:rPr>
      <w:t>UNEP/CMS/COP13/Doc.</w:t>
    </w:r>
    <w:r w:rsidRPr="00AB0EB3">
      <w:rPr>
        <w:rFonts w:eastAsia="Times New Roman" w:cs="Arial"/>
        <w:i/>
        <w:sz w:val="18"/>
        <w:szCs w:val="18"/>
        <w:shd w:val="clear" w:color="auto" w:fill="FFFF00"/>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3854" w14:textId="370661A7" w:rsidR="008B622F" w:rsidRPr="008233A5" w:rsidRDefault="008B622F">
    <w:pPr>
      <w:pStyle w:val="Header"/>
      <w:pBdr>
        <w:bottom w:val="single" w:sz="4" w:space="1" w:color="auto"/>
      </w:pBdr>
      <w:rPr>
        <w:rFonts w:cs="Arial"/>
        <w:i/>
        <w:sz w:val="18"/>
        <w:szCs w:val="18"/>
      </w:rPr>
    </w:pPr>
    <w:r w:rsidRPr="008233A5">
      <w:rPr>
        <w:rFonts w:cs="Arial"/>
        <w:i/>
        <w:sz w:val="18"/>
        <w:szCs w:val="18"/>
      </w:rPr>
      <w:t>UNEP/CMS/COP15/Doc.25.4.1/</w:t>
    </w:r>
    <w:r w:rsidR="004A30F8">
      <w:rPr>
        <w:rFonts w:cs="Arial"/>
        <w:i/>
        <w:sz w:val="18"/>
        <w:szCs w:val="18"/>
      </w:rPr>
      <w:t>Rev.1/</w:t>
    </w:r>
    <w:r w:rsidRPr="008233A5">
      <w:rPr>
        <w:rFonts w:cs="Arial"/>
        <w:i/>
        <w:sz w:val="18"/>
        <w:szCs w:val="18"/>
      </w:rPr>
      <w:t>Annex</w:t>
    </w:r>
    <w:r>
      <w:rPr>
        <w:rFonts w:cs="Arial"/>
        <w:i/>
        <w:sz w:val="18"/>
        <w:szCs w:val="18"/>
      </w:rPr>
      <w:t>e</w:t>
    </w:r>
    <w:r w:rsidRPr="008233A5">
      <w:rPr>
        <w:rFonts w:cs="Arial"/>
        <w:i/>
        <w:sz w:val="18"/>
        <w:szCs w:val="18"/>
      </w:rPr>
      <w:t xml:space="preserve"> </w:t>
    </w:r>
    <w:r>
      <w:rPr>
        <w:rFonts w:cs="Arial"/>
        <w:i/>
        <w:sz w:val="18"/>
        <w:szCs w:val="18"/>
      </w:rPr>
      <w:t>2</w:t>
    </w:r>
  </w:p>
  <w:p w14:paraId="67D49660" w14:textId="77777777" w:rsidR="008B622F" w:rsidRDefault="008B622F">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3B0E" w14:textId="22B42570" w:rsidR="00370F6F" w:rsidRPr="00AB0EB3" w:rsidRDefault="00370F6F" w:rsidP="00A836DB">
    <w:pPr>
      <w:pStyle w:val="Header"/>
      <w:pBdr>
        <w:bottom w:val="single" w:sz="4" w:space="1" w:color="auto"/>
      </w:pBdr>
      <w:jc w:val="right"/>
      <w:rPr>
        <w:rFonts w:cs="Arial"/>
        <w:i/>
        <w:sz w:val="18"/>
        <w:szCs w:val="18"/>
        <w:lang w:val="fr-FR"/>
      </w:rPr>
    </w:pPr>
    <w:r w:rsidRPr="00AB0EB3">
      <w:rPr>
        <w:rFonts w:cs="Arial"/>
        <w:i/>
        <w:sz w:val="18"/>
        <w:szCs w:val="18"/>
        <w:lang w:val="fr-FR"/>
      </w:rPr>
      <w:t>UNEP/CMS/COP15/Doc.25.4.1/</w:t>
    </w:r>
    <w:r w:rsidR="004A30F8">
      <w:rPr>
        <w:rFonts w:cs="Arial"/>
        <w:i/>
        <w:sz w:val="18"/>
        <w:szCs w:val="18"/>
        <w:lang w:val="fr-FR"/>
      </w:rPr>
      <w:t>Rev.1/</w:t>
    </w:r>
    <w:r w:rsidRPr="00AB0EB3">
      <w:rPr>
        <w:rFonts w:cs="Arial"/>
        <w:i/>
        <w:sz w:val="18"/>
        <w:szCs w:val="18"/>
        <w:lang w:val="fr-FR"/>
      </w:rPr>
      <w:t>Annex</w:t>
    </w:r>
    <w:r w:rsidR="008B622F">
      <w:rPr>
        <w:rFonts w:cs="Arial"/>
        <w:i/>
        <w:sz w:val="18"/>
        <w:szCs w:val="18"/>
        <w:lang w:val="fr-FR"/>
      </w:rPr>
      <w:t>e 2</w:t>
    </w:r>
  </w:p>
  <w:p w14:paraId="4A0771CF" w14:textId="77777777" w:rsidR="00370F6F" w:rsidRPr="00AB0EB3" w:rsidRDefault="00370F6F" w:rsidP="00A836DB">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F9A5" w14:textId="29C4F4D1" w:rsidR="00370F6F" w:rsidRPr="001A2D97" w:rsidRDefault="00370F6F" w:rsidP="00C94751">
    <w:pPr>
      <w:pStyle w:val="Header"/>
      <w:pBdr>
        <w:bottom w:val="single" w:sz="4" w:space="1" w:color="auto"/>
      </w:pBdr>
      <w:rPr>
        <w:rFonts w:cs="Arial"/>
        <w:i/>
        <w:sz w:val="18"/>
        <w:szCs w:val="18"/>
        <w:lang w:val="fr-FR"/>
      </w:rPr>
    </w:pPr>
    <w:r w:rsidRPr="001A2D97">
      <w:rPr>
        <w:rFonts w:cs="Arial"/>
        <w:i/>
        <w:sz w:val="18"/>
        <w:szCs w:val="18"/>
        <w:lang w:val="fr-FR"/>
      </w:rPr>
      <w:t>UNEP/CMS/COP15/Doc.</w:t>
    </w:r>
    <w:r>
      <w:rPr>
        <w:rFonts w:cs="Arial"/>
        <w:i/>
        <w:sz w:val="18"/>
        <w:szCs w:val="18"/>
        <w:lang w:val="fr-FR"/>
      </w:rPr>
      <w:t>25.4.1</w:t>
    </w:r>
    <w:r w:rsidRPr="001A2D97">
      <w:rPr>
        <w:rFonts w:cs="Arial"/>
        <w:i/>
        <w:sz w:val="18"/>
        <w:szCs w:val="18"/>
        <w:lang w:val="fr-FR"/>
      </w:rPr>
      <w:t>/</w:t>
    </w:r>
    <w:r w:rsidR="00895B91">
      <w:rPr>
        <w:rFonts w:cs="Arial"/>
        <w:i/>
        <w:sz w:val="18"/>
        <w:szCs w:val="18"/>
        <w:lang w:val="fr-FR"/>
      </w:rPr>
      <w:t>Rev.1/</w:t>
    </w:r>
    <w:r w:rsidRPr="001A2D97">
      <w:rPr>
        <w:rFonts w:cs="Arial"/>
        <w:i/>
        <w:sz w:val="18"/>
        <w:szCs w:val="18"/>
        <w:lang w:val="fr-FR"/>
      </w:rPr>
      <w:t>Annex</w:t>
    </w:r>
    <w:r w:rsidR="008B622F">
      <w:rPr>
        <w:rFonts w:cs="Arial"/>
        <w:i/>
        <w:sz w:val="18"/>
        <w:szCs w:val="18"/>
        <w:lang w:val="fr-FR"/>
      </w:rPr>
      <w:t>e</w:t>
    </w:r>
    <w:r w:rsidRPr="001A2D97">
      <w:rPr>
        <w:rFonts w:cs="Arial"/>
        <w:i/>
        <w:sz w:val="18"/>
        <w:szCs w:val="18"/>
        <w:lang w:val="fr-FR"/>
      </w:rPr>
      <w:t xml:space="preserve"> 2</w:t>
    </w:r>
  </w:p>
  <w:p w14:paraId="08A3221C" w14:textId="77777777" w:rsidR="00370F6F" w:rsidRPr="001A2D97" w:rsidRDefault="00370F6F"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4C8D3" w14:textId="77777777" w:rsidR="00370F6F" w:rsidRPr="008233A5" w:rsidRDefault="00370F6F">
    <w:pPr>
      <w:pStyle w:val="Header"/>
      <w:pBdr>
        <w:bottom w:val="single" w:sz="4" w:space="1" w:color="auto"/>
      </w:pBdr>
      <w:rPr>
        <w:rFonts w:cs="Arial"/>
        <w:i/>
        <w:sz w:val="18"/>
        <w:szCs w:val="18"/>
      </w:rPr>
    </w:pPr>
    <w:r w:rsidRPr="008233A5">
      <w:rPr>
        <w:rFonts w:cs="Arial"/>
        <w:i/>
        <w:sz w:val="18"/>
        <w:szCs w:val="18"/>
      </w:rPr>
      <w:t>UNEP/CMS/COP15/Doc.25.4.1/Annex 3</w:t>
    </w:r>
  </w:p>
  <w:p w14:paraId="4618F5EF" w14:textId="77777777" w:rsidR="00370F6F" w:rsidRDefault="00370F6F">
    <w:pPr>
      <w:pStyle w:val="Header"/>
      <w:rPr>
        <w:lang w:val="fr-F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6518" w14:textId="576509DA" w:rsidR="009B4840" w:rsidRPr="00AB0EB3" w:rsidRDefault="009B4840" w:rsidP="00A836DB">
    <w:pPr>
      <w:pStyle w:val="Header"/>
      <w:pBdr>
        <w:bottom w:val="single" w:sz="4" w:space="1" w:color="auto"/>
      </w:pBdr>
      <w:jc w:val="right"/>
      <w:rPr>
        <w:rFonts w:cs="Arial"/>
        <w:i/>
        <w:sz w:val="18"/>
        <w:szCs w:val="18"/>
        <w:lang w:val="fr-FR"/>
      </w:rPr>
    </w:pPr>
    <w:r w:rsidRPr="00AB0EB3">
      <w:rPr>
        <w:rFonts w:cs="Arial"/>
        <w:i/>
        <w:sz w:val="18"/>
        <w:szCs w:val="18"/>
        <w:lang w:val="fr-FR"/>
      </w:rPr>
      <w:t>UNEP/CMS/COP15/Doc.25.4.1/</w:t>
    </w:r>
    <w:r w:rsidR="00DC6A21">
      <w:rPr>
        <w:rFonts w:cs="Arial"/>
        <w:i/>
        <w:sz w:val="18"/>
        <w:szCs w:val="18"/>
        <w:lang w:val="fr-FR"/>
      </w:rPr>
      <w:t>Rev.1/</w:t>
    </w:r>
    <w:r w:rsidRPr="00AB0EB3">
      <w:rPr>
        <w:rFonts w:cs="Arial"/>
        <w:i/>
        <w:sz w:val="18"/>
        <w:szCs w:val="18"/>
        <w:lang w:val="fr-FR"/>
      </w:rPr>
      <w:t>Annex</w:t>
    </w:r>
    <w:r>
      <w:rPr>
        <w:rFonts w:cs="Arial"/>
        <w:i/>
        <w:sz w:val="18"/>
        <w:szCs w:val="18"/>
        <w:lang w:val="fr-FR"/>
      </w:rPr>
      <w:t>e 3</w:t>
    </w:r>
  </w:p>
  <w:p w14:paraId="55D73564" w14:textId="77777777" w:rsidR="009B4840" w:rsidRPr="00AB0EB3" w:rsidRDefault="009B4840" w:rsidP="00A836DB">
    <w:pPr>
      <w:pStyle w:val="Header"/>
      <w:rPr>
        <w:lang w:val="fr-F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23E7" w14:textId="6FCC84B1" w:rsidR="00370F6F" w:rsidRPr="001A2D97" w:rsidRDefault="00370F6F" w:rsidP="00103B85">
    <w:pPr>
      <w:pStyle w:val="Header"/>
      <w:pBdr>
        <w:bottom w:val="single" w:sz="4" w:space="1" w:color="auto"/>
      </w:pBdr>
      <w:rPr>
        <w:rFonts w:cs="Arial"/>
        <w:i/>
        <w:sz w:val="18"/>
        <w:szCs w:val="18"/>
        <w:lang w:val="fr-FR"/>
      </w:rPr>
    </w:pPr>
    <w:r w:rsidRPr="001A2D97">
      <w:rPr>
        <w:rFonts w:cs="Arial"/>
        <w:i/>
        <w:sz w:val="18"/>
        <w:szCs w:val="18"/>
        <w:lang w:val="fr-FR"/>
      </w:rPr>
      <w:t>UNEP/CMS/COP15/Doc.</w:t>
    </w:r>
    <w:r>
      <w:rPr>
        <w:rFonts w:cs="Arial"/>
        <w:i/>
        <w:sz w:val="18"/>
        <w:szCs w:val="18"/>
        <w:lang w:val="fr-FR"/>
      </w:rPr>
      <w:t>25.4.1</w:t>
    </w:r>
    <w:r w:rsidRPr="001A2D97">
      <w:rPr>
        <w:rFonts w:cs="Arial"/>
        <w:i/>
        <w:sz w:val="18"/>
        <w:szCs w:val="18"/>
        <w:lang w:val="fr-FR"/>
      </w:rPr>
      <w:t>/</w:t>
    </w:r>
    <w:r w:rsidR="004A30F8">
      <w:rPr>
        <w:rFonts w:cs="Arial"/>
        <w:i/>
        <w:sz w:val="18"/>
        <w:szCs w:val="18"/>
        <w:lang w:val="fr-FR"/>
      </w:rPr>
      <w:t>Rev.1/</w:t>
    </w:r>
    <w:r w:rsidRPr="001A2D97">
      <w:rPr>
        <w:rFonts w:cs="Arial"/>
        <w:i/>
        <w:sz w:val="18"/>
        <w:szCs w:val="18"/>
        <w:lang w:val="fr-FR"/>
      </w:rPr>
      <w:t>Annex</w:t>
    </w:r>
    <w:r w:rsidR="00103B85">
      <w:rPr>
        <w:rFonts w:cs="Arial"/>
        <w:i/>
        <w:sz w:val="18"/>
        <w:szCs w:val="18"/>
        <w:lang w:val="fr-FR"/>
      </w:rPr>
      <w:t>e</w:t>
    </w:r>
    <w:r w:rsidRPr="001A2D97">
      <w:rPr>
        <w:rFonts w:cs="Arial"/>
        <w:i/>
        <w:sz w:val="18"/>
        <w:szCs w:val="18"/>
        <w:lang w:val="fr-FR"/>
      </w:rPr>
      <w:t xml:space="preserve"> 3</w:t>
    </w:r>
  </w:p>
  <w:p w14:paraId="34955AE4" w14:textId="77777777" w:rsidR="00370F6F" w:rsidRPr="001A2D97" w:rsidRDefault="00370F6F"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0AB3" w14:textId="606FD7F5" w:rsidR="00DA7BD0" w:rsidRPr="008233A5" w:rsidRDefault="00DA7BD0">
    <w:pPr>
      <w:pStyle w:val="Header"/>
      <w:pBdr>
        <w:bottom w:val="single" w:sz="4" w:space="1" w:color="auto"/>
      </w:pBdr>
      <w:rPr>
        <w:rFonts w:cs="Arial"/>
        <w:i/>
        <w:sz w:val="18"/>
        <w:szCs w:val="18"/>
      </w:rPr>
    </w:pPr>
    <w:r w:rsidRPr="008233A5">
      <w:rPr>
        <w:rFonts w:cs="Arial"/>
        <w:i/>
        <w:sz w:val="18"/>
        <w:szCs w:val="18"/>
      </w:rPr>
      <w:t>UNEP/CMS/COP15/Doc.25.4.1/</w:t>
    </w:r>
    <w:r w:rsidR="00DC6A21">
      <w:rPr>
        <w:rFonts w:cs="Arial"/>
        <w:i/>
        <w:sz w:val="18"/>
        <w:szCs w:val="18"/>
      </w:rPr>
      <w:t>Rev.1/</w:t>
    </w:r>
    <w:r w:rsidRPr="008233A5">
      <w:rPr>
        <w:rFonts w:cs="Arial"/>
        <w:i/>
        <w:sz w:val="18"/>
        <w:szCs w:val="18"/>
      </w:rPr>
      <w:t xml:space="preserve">Annex </w:t>
    </w:r>
    <w:r>
      <w:rPr>
        <w:rFonts w:cs="Arial"/>
        <w:i/>
        <w:sz w:val="18"/>
        <w:szCs w:val="18"/>
      </w:rPr>
      <w:t>4</w:t>
    </w:r>
  </w:p>
  <w:p w14:paraId="464F71A2" w14:textId="77777777" w:rsidR="00DA7BD0" w:rsidRDefault="00DA7BD0">
    <w:pPr>
      <w:pStyle w:val="Header"/>
      <w:rPr>
        <w:lang w:val="fr-FR"/>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2D9E" w14:textId="126D5E9E" w:rsidR="00DA7BD0" w:rsidRPr="00AB0EB3" w:rsidRDefault="00DA7BD0" w:rsidP="00A836DB">
    <w:pPr>
      <w:pStyle w:val="Header"/>
      <w:pBdr>
        <w:bottom w:val="single" w:sz="4" w:space="1" w:color="auto"/>
      </w:pBdr>
      <w:jc w:val="right"/>
      <w:rPr>
        <w:rFonts w:cs="Arial"/>
        <w:i/>
        <w:sz w:val="18"/>
        <w:szCs w:val="18"/>
        <w:lang w:val="fr-FR"/>
      </w:rPr>
    </w:pPr>
    <w:r w:rsidRPr="00AB0EB3">
      <w:rPr>
        <w:rFonts w:cs="Arial"/>
        <w:i/>
        <w:sz w:val="18"/>
        <w:szCs w:val="18"/>
        <w:lang w:val="fr-FR"/>
      </w:rPr>
      <w:t>UNEP/CMS/COP15/Doc.25.4.1/</w:t>
    </w:r>
    <w:r w:rsidR="00DC6A21">
      <w:rPr>
        <w:rFonts w:cs="Arial"/>
        <w:i/>
        <w:sz w:val="18"/>
        <w:szCs w:val="18"/>
        <w:lang w:val="fr-FR"/>
      </w:rPr>
      <w:t>Rev.1/</w:t>
    </w:r>
    <w:r w:rsidRPr="00AB0EB3">
      <w:rPr>
        <w:rFonts w:cs="Arial"/>
        <w:i/>
        <w:sz w:val="18"/>
        <w:szCs w:val="18"/>
        <w:lang w:val="fr-FR"/>
      </w:rPr>
      <w:t>Annex</w:t>
    </w:r>
    <w:r>
      <w:rPr>
        <w:rFonts w:cs="Arial"/>
        <w:i/>
        <w:sz w:val="18"/>
        <w:szCs w:val="18"/>
        <w:lang w:val="fr-FR"/>
      </w:rPr>
      <w:t>e 4</w:t>
    </w:r>
  </w:p>
  <w:p w14:paraId="07F7045B" w14:textId="77777777" w:rsidR="00DA7BD0" w:rsidRPr="00AB0EB3" w:rsidRDefault="00DA7BD0" w:rsidP="00A836DB">
    <w:pPr>
      <w:pStyle w:val="Header"/>
      <w:rPr>
        <w:lang w:val="fr-FR"/>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D740" w14:textId="42E9070D" w:rsidR="00893B8A" w:rsidRPr="001A2D97" w:rsidRDefault="00893B8A" w:rsidP="00103B85">
    <w:pPr>
      <w:pStyle w:val="Header"/>
      <w:pBdr>
        <w:bottom w:val="single" w:sz="4" w:space="1" w:color="auto"/>
      </w:pBdr>
      <w:rPr>
        <w:rFonts w:cs="Arial"/>
        <w:i/>
        <w:sz w:val="18"/>
        <w:szCs w:val="18"/>
        <w:lang w:val="fr-FR"/>
      </w:rPr>
    </w:pPr>
    <w:r w:rsidRPr="001A2D97">
      <w:rPr>
        <w:rFonts w:cs="Arial"/>
        <w:i/>
        <w:sz w:val="18"/>
        <w:szCs w:val="18"/>
        <w:lang w:val="fr-FR"/>
      </w:rPr>
      <w:t>UNEP/CMS/COP15/Doc.</w:t>
    </w:r>
    <w:r>
      <w:rPr>
        <w:rFonts w:cs="Arial"/>
        <w:i/>
        <w:sz w:val="18"/>
        <w:szCs w:val="18"/>
        <w:lang w:val="fr-FR"/>
      </w:rPr>
      <w:t>25.4.1</w:t>
    </w:r>
    <w:r w:rsidR="00DC6A21">
      <w:rPr>
        <w:rFonts w:cs="Arial"/>
        <w:i/>
        <w:sz w:val="18"/>
        <w:szCs w:val="18"/>
        <w:lang w:val="fr-FR"/>
      </w:rPr>
      <w:t>Rev.1/</w:t>
    </w:r>
    <w:r w:rsidRPr="001A2D97">
      <w:rPr>
        <w:rFonts w:cs="Arial"/>
        <w:i/>
        <w:sz w:val="18"/>
        <w:szCs w:val="18"/>
        <w:lang w:val="fr-FR"/>
      </w:rPr>
      <w:t>/Annex</w:t>
    </w:r>
    <w:r>
      <w:rPr>
        <w:rFonts w:cs="Arial"/>
        <w:i/>
        <w:sz w:val="18"/>
        <w:szCs w:val="18"/>
        <w:lang w:val="fr-FR"/>
      </w:rPr>
      <w:t>e</w:t>
    </w:r>
    <w:r w:rsidRPr="001A2D97">
      <w:rPr>
        <w:rFonts w:cs="Arial"/>
        <w:i/>
        <w:sz w:val="18"/>
        <w:szCs w:val="18"/>
        <w:lang w:val="fr-FR"/>
      </w:rPr>
      <w:t xml:space="preserve"> </w:t>
    </w:r>
    <w:r>
      <w:rPr>
        <w:rFonts w:cs="Arial"/>
        <w:i/>
        <w:sz w:val="18"/>
        <w:szCs w:val="18"/>
        <w:lang w:val="fr-FR"/>
      </w:rPr>
      <w:t>4</w:t>
    </w:r>
  </w:p>
  <w:p w14:paraId="0F5B6C2C" w14:textId="77777777" w:rsidR="00893B8A" w:rsidRPr="001A2D97" w:rsidRDefault="00893B8A"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B1ECC" w14:textId="574262AA" w:rsidR="00370F6F" w:rsidRPr="008233A5" w:rsidRDefault="00370F6F">
    <w:pPr>
      <w:pStyle w:val="Header"/>
      <w:pBdr>
        <w:bottom w:val="single" w:sz="4" w:space="1" w:color="auto"/>
      </w:pBdr>
      <w:rPr>
        <w:rFonts w:cs="Arial"/>
        <w:i/>
        <w:sz w:val="18"/>
        <w:szCs w:val="18"/>
      </w:rPr>
    </w:pPr>
    <w:r w:rsidRPr="008233A5">
      <w:rPr>
        <w:rFonts w:cs="Arial"/>
        <w:i/>
        <w:sz w:val="18"/>
        <w:szCs w:val="18"/>
      </w:rPr>
      <w:t>UNEP/CMS/COP15/Doc.25.4.1/Annex</w:t>
    </w:r>
    <w:r w:rsidR="00893B8A">
      <w:rPr>
        <w:rFonts w:cs="Arial"/>
        <w:i/>
        <w:sz w:val="18"/>
        <w:szCs w:val="18"/>
      </w:rPr>
      <w:t>e</w:t>
    </w:r>
    <w:r w:rsidRPr="008233A5">
      <w:rPr>
        <w:rFonts w:cs="Arial"/>
        <w:i/>
        <w:sz w:val="18"/>
        <w:szCs w:val="18"/>
      </w:rPr>
      <w:t xml:space="preserve"> </w:t>
    </w:r>
    <w:r w:rsidR="00893B8A">
      <w:rPr>
        <w:rFonts w:cs="Arial"/>
        <w:i/>
        <w:sz w:val="18"/>
        <w:szCs w:val="18"/>
      </w:rPr>
      <w:t>5</w:t>
    </w:r>
  </w:p>
  <w:p w14:paraId="22193CD2" w14:textId="77777777" w:rsidR="00370F6F" w:rsidRDefault="00370F6F">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BB9D" w14:textId="77777777" w:rsidR="00370F6F" w:rsidRPr="00AB0EB3" w:rsidRDefault="00370F6F" w:rsidP="002E0DE9">
    <w:pPr>
      <w:pStyle w:val="Header"/>
      <w:pBdr>
        <w:bottom w:val="single" w:sz="4" w:space="1" w:color="auto"/>
      </w:pBdr>
      <w:rPr>
        <w:i/>
        <w:sz w:val="18"/>
        <w:szCs w:val="18"/>
      </w:rPr>
    </w:pPr>
    <w:r w:rsidRPr="00AB0EB3">
      <w:rPr>
        <w:rFonts w:eastAsia="Times New Roman" w:cs="Arial"/>
        <w:i/>
        <w:sz w:val="18"/>
        <w:szCs w:val="18"/>
      </w:rPr>
      <w:t>UNEP/CMS/COP14/Doc.</w:t>
    </w:r>
    <w:r w:rsidRPr="00AB0EB3">
      <w:rPr>
        <w:rFonts w:eastAsia="Times New Roman" w:cs="Arial"/>
        <w:i/>
        <w:sz w:val="18"/>
        <w:szCs w:val="18"/>
        <w:shd w:val="clear" w:color="auto" w:fill="FFFF00"/>
      </w:rPr>
      <w:t>XX</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BC94" w14:textId="77EE0454" w:rsidR="009612E3" w:rsidRPr="00AB0EB3" w:rsidRDefault="009612E3" w:rsidP="00A836DB">
    <w:pPr>
      <w:pStyle w:val="Header"/>
      <w:pBdr>
        <w:bottom w:val="single" w:sz="4" w:space="1" w:color="auto"/>
      </w:pBdr>
      <w:jc w:val="right"/>
      <w:rPr>
        <w:rFonts w:cs="Arial"/>
        <w:i/>
        <w:sz w:val="18"/>
        <w:szCs w:val="18"/>
        <w:lang w:val="fr-FR"/>
      </w:rPr>
    </w:pPr>
    <w:r w:rsidRPr="00AB0EB3">
      <w:rPr>
        <w:rFonts w:cs="Arial"/>
        <w:i/>
        <w:sz w:val="18"/>
        <w:szCs w:val="18"/>
        <w:lang w:val="fr-FR"/>
      </w:rPr>
      <w:t>UNEP/CMS/COP15/Doc.25.4.1/</w:t>
    </w:r>
    <w:r w:rsidR="00F97ED9">
      <w:rPr>
        <w:rFonts w:cs="Arial"/>
        <w:i/>
        <w:sz w:val="18"/>
        <w:szCs w:val="18"/>
        <w:lang w:val="fr-FR"/>
      </w:rPr>
      <w:t>Rev.1/</w:t>
    </w:r>
    <w:r w:rsidRPr="00AB0EB3">
      <w:rPr>
        <w:rFonts w:cs="Arial"/>
        <w:i/>
        <w:sz w:val="18"/>
        <w:szCs w:val="18"/>
        <w:lang w:val="fr-FR"/>
      </w:rPr>
      <w:t>Annex</w:t>
    </w:r>
    <w:r>
      <w:rPr>
        <w:rFonts w:cs="Arial"/>
        <w:i/>
        <w:sz w:val="18"/>
        <w:szCs w:val="18"/>
        <w:lang w:val="fr-FR"/>
      </w:rPr>
      <w:t xml:space="preserve">e </w:t>
    </w:r>
    <w:r w:rsidR="00DA7BD0">
      <w:rPr>
        <w:rFonts w:cs="Arial"/>
        <w:i/>
        <w:sz w:val="18"/>
        <w:szCs w:val="18"/>
        <w:lang w:val="fr-FR"/>
      </w:rPr>
      <w:t>5</w:t>
    </w:r>
  </w:p>
  <w:p w14:paraId="7A2C5BFE" w14:textId="77777777" w:rsidR="009612E3" w:rsidRPr="00AB0EB3" w:rsidRDefault="009612E3" w:rsidP="00A836DB">
    <w:pPr>
      <w:pStyle w:val="Header"/>
      <w:rPr>
        <w:lang w:val="fr-FR"/>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A680" w14:textId="30A2AAD7" w:rsidR="00370F6F" w:rsidRPr="001A2D97" w:rsidRDefault="00370F6F" w:rsidP="009B4840">
    <w:pPr>
      <w:pStyle w:val="Header"/>
      <w:pBdr>
        <w:bottom w:val="single" w:sz="4" w:space="1" w:color="auto"/>
      </w:pBdr>
      <w:rPr>
        <w:rFonts w:cs="Arial"/>
        <w:i/>
        <w:sz w:val="18"/>
        <w:szCs w:val="18"/>
        <w:lang w:val="fr-FR"/>
      </w:rPr>
    </w:pPr>
    <w:r w:rsidRPr="001A2D97">
      <w:rPr>
        <w:rFonts w:cs="Arial"/>
        <w:i/>
        <w:sz w:val="18"/>
        <w:szCs w:val="18"/>
        <w:lang w:val="fr-FR"/>
      </w:rPr>
      <w:t>UNEP/CMS/COP15/Doc.</w:t>
    </w:r>
    <w:r>
      <w:rPr>
        <w:rFonts w:cs="Arial"/>
        <w:i/>
        <w:sz w:val="18"/>
        <w:szCs w:val="18"/>
        <w:lang w:val="fr-FR"/>
      </w:rPr>
      <w:t>25.4.1</w:t>
    </w:r>
    <w:r w:rsidRPr="001A2D97">
      <w:rPr>
        <w:rFonts w:cs="Arial"/>
        <w:i/>
        <w:sz w:val="18"/>
        <w:szCs w:val="18"/>
        <w:lang w:val="fr-FR"/>
      </w:rPr>
      <w:t>/</w:t>
    </w:r>
    <w:r w:rsidR="00F97ED9">
      <w:rPr>
        <w:rFonts w:cs="Arial"/>
        <w:i/>
        <w:sz w:val="18"/>
        <w:szCs w:val="18"/>
        <w:lang w:val="fr-FR"/>
      </w:rPr>
      <w:t>Rev.1/</w:t>
    </w:r>
    <w:r w:rsidRPr="001A2D97">
      <w:rPr>
        <w:rFonts w:cs="Arial"/>
        <w:i/>
        <w:sz w:val="18"/>
        <w:szCs w:val="18"/>
        <w:lang w:val="fr-FR"/>
      </w:rPr>
      <w:t>Anne</w:t>
    </w:r>
    <w:r w:rsidR="009B4840">
      <w:rPr>
        <w:rFonts w:cs="Arial"/>
        <w:i/>
        <w:sz w:val="18"/>
        <w:szCs w:val="18"/>
        <w:lang w:val="fr-FR"/>
      </w:rPr>
      <w:t>xe</w:t>
    </w:r>
    <w:r w:rsidRPr="001A2D97">
      <w:rPr>
        <w:rFonts w:cs="Arial"/>
        <w:i/>
        <w:sz w:val="18"/>
        <w:szCs w:val="18"/>
        <w:lang w:val="fr-FR"/>
      </w:rPr>
      <w:t xml:space="preserve"> </w:t>
    </w:r>
    <w:r w:rsidR="00893B8A">
      <w:rPr>
        <w:rFonts w:cs="Arial"/>
        <w:i/>
        <w:sz w:val="18"/>
        <w:szCs w:val="18"/>
        <w:lang w:val="fr-FR"/>
      </w:rPr>
      <w:t>5</w:t>
    </w:r>
  </w:p>
  <w:p w14:paraId="15EA542B" w14:textId="77777777" w:rsidR="00370F6F" w:rsidRPr="001A2D97" w:rsidRDefault="00370F6F"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935B" w14:textId="161E8BF5" w:rsidR="00370F6F" w:rsidRPr="008233A5" w:rsidRDefault="00370F6F" w:rsidP="00AA38FB">
    <w:pPr>
      <w:pStyle w:val="Header"/>
      <w:pBdr>
        <w:bottom w:val="single" w:sz="4" w:space="1" w:color="auto"/>
      </w:pBdr>
      <w:rPr>
        <w:rFonts w:cs="Arial"/>
        <w:i/>
        <w:sz w:val="18"/>
        <w:szCs w:val="18"/>
      </w:rPr>
    </w:pPr>
    <w:r w:rsidRPr="008233A5">
      <w:rPr>
        <w:rFonts w:cs="Arial"/>
        <w:i/>
        <w:sz w:val="18"/>
        <w:szCs w:val="18"/>
      </w:rPr>
      <w:t>UNEP/CMS/COP15/Doc.25.4.1/Annex</w:t>
    </w:r>
    <w:r w:rsidR="00AA38FB">
      <w:rPr>
        <w:rFonts w:cs="Arial"/>
        <w:i/>
        <w:sz w:val="18"/>
        <w:szCs w:val="18"/>
      </w:rPr>
      <w:t>e 6</w:t>
    </w:r>
  </w:p>
  <w:p w14:paraId="3544CD6C" w14:textId="77777777" w:rsidR="00370F6F" w:rsidRDefault="00370F6F">
    <w:pPr>
      <w:pStyle w:val="Header"/>
      <w:rPr>
        <w:lang w:val="fr-FR"/>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0C8C" w14:textId="23AFA57E" w:rsidR="009612E3" w:rsidRPr="00AB0EB3" w:rsidRDefault="009612E3" w:rsidP="00A836DB">
    <w:pPr>
      <w:pStyle w:val="Header"/>
      <w:pBdr>
        <w:bottom w:val="single" w:sz="4" w:space="1" w:color="auto"/>
      </w:pBdr>
      <w:jc w:val="right"/>
      <w:rPr>
        <w:rFonts w:cs="Arial"/>
        <w:i/>
        <w:sz w:val="18"/>
        <w:szCs w:val="18"/>
        <w:lang w:val="fr-FR"/>
      </w:rPr>
    </w:pPr>
    <w:r w:rsidRPr="00AB0EB3">
      <w:rPr>
        <w:rFonts w:cs="Arial"/>
        <w:i/>
        <w:sz w:val="18"/>
        <w:szCs w:val="18"/>
        <w:lang w:val="fr-FR"/>
      </w:rPr>
      <w:t>UNEP/CMS/COP15/Doc.25.4.1/</w:t>
    </w:r>
    <w:r w:rsidR="00F97ED9">
      <w:rPr>
        <w:rFonts w:cs="Arial"/>
        <w:i/>
        <w:sz w:val="18"/>
        <w:szCs w:val="18"/>
        <w:lang w:val="fr-FR"/>
      </w:rPr>
      <w:t>Rev.1/</w:t>
    </w:r>
    <w:r w:rsidRPr="00AB0EB3">
      <w:rPr>
        <w:rFonts w:cs="Arial"/>
        <w:i/>
        <w:sz w:val="18"/>
        <w:szCs w:val="18"/>
        <w:lang w:val="fr-FR"/>
      </w:rPr>
      <w:t>Annex</w:t>
    </w:r>
    <w:r>
      <w:rPr>
        <w:rFonts w:cs="Arial"/>
        <w:i/>
        <w:sz w:val="18"/>
        <w:szCs w:val="18"/>
        <w:lang w:val="fr-FR"/>
      </w:rPr>
      <w:t xml:space="preserve">e </w:t>
    </w:r>
    <w:r w:rsidR="00DA7BD0">
      <w:rPr>
        <w:rFonts w:cs="Arial"/>
        <w:i/>
        <w:sz w:val="18"/>
        <w:szCs w:val="18"/>
        <w:lang w:val="fr-FR"/>
      </w:rPr>
      <w:t>6</w:t>
    </w:r>
  </w:p>
  <w:p w14:paraId="378E1CEB" w14:textId="77777777" w:rsidR="009612E3" w:rsidRPr="00AB0EB3" w:rsidRDefault="009612E3" w:rsidP="00A836DB">
    <w:pPr>
      <w:pStyle w:val="Header"/>
      <w:rPr>
        <w:lang w:val="fr-FR"/>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3343" w14:textId="3980A3C2" w:rsidR="00370F6F" w:rsidRPr="001A2D97" w:rsidRDefault="00370F6F" w:rsidP="00DA7BD0">
    <w:pPr>
      <w:pStyle w:val="Header"/>
      <w:pBdr>
        <w:bottom w:val="single" w:sz="4" w:space="1" w:color="auto"/>
      </w:pBdr>
      <w:rPr>
        <w:rFonts w:cs="Arial"/>
        <w:i/>
        <w:sz w:val="18"/>
        <w:szCs w:val="18"/>
        <w:lang w:val="fr-FR"/>
      </w:rPr>
    </w:pPr>
    <w:r w:rsidRPr="001A2D97">
      <w:rPr>
        <w:rFonts w:cs="Arial"/>
        <w:i/>
        <w:sz w:val="18"/>
        <w:szCs w:val="18"/>
        <w:lang w:val="fr-FR"/>
      </w:rPr>
      <w:t>UNEP/CMS/COP15/Doc.</w:t>
    </w:r>
    <w:r>
      <w:rPr>
        <w:rFonts w:cs="Arial"/>
        <w:i/>
        <w:sz w:val="18"/>
        <w:szCs w:val="18"/>
        <w:lang w:val="fr-FR"/>
      </w:rPr>
      <w:t>25.4.1</w:t>
    </w:r>
    <w:r w:rsidRPr="001A2D97">
      <w:rPr>
        <w:rFonts w:cs="Arial"/>
        <w:i/>
        <w:sz w:val="18"/>
        <w:szCs w:val="18"/>
        <w:lang w:val="fr-FR"/>
      </w:rPr>
      <w:t>/</w:t>
    </w:r>
    <w:r w:rsidR="00F97ED9">
      <w:rPr>
        <w:rFonts w:cs="Arial"/>
        <w:i/>
        <w:sz w:val="18"/>
        <w:szCs w:val="18"/>
        <w:lang w:val="fr-FR"/>
      </w:rPr>
      <w:t>Rev.1/</w:t>
    </w:r>
    <w:r w:rsidRPr="001A2D97">
      <w:rPr>
        <w:rFonts w:cs="Arial"/>
        <w:i/>
        <w:sz w:val="18"/>
        <w:szCs w:val="18"/>
        <w:lang w:val="fr-FR"/>
      </w:rPr>
      <w:t>Annex</w:t>
    </w:r>
    <w:r w:rsidR="009612E3">
      <w:rPr>
        <w:rFonts w:cs="Arial"/>
        <w:i/>
        <w:sz w:val="18"/>
        <w:szCs w:val="18"/>
        <w:lang w:val="fr-FR"/>
      </w:rPr>
      <w:t>e</w:t>
    </w:r>
    <w:r w:rsidRPr="001A2D97">
      <w:rPr>
        <w:rFonts w:cs="Arial"/>
        <w:i/>
        <w:sz w:val="18"/>
        <w:szCs w:val="18"/>
        <w:lang w:val="fr-FR"/>
      </w:rPr>
      <w:t xml:space="preserve"> </w:t>
    </w:r>
    <w:r w:rsidR="00893B8A">
      <w:rPr>
        <w:rFonts w:cs="Arial"/>
        <w:i/>
        <w:sz w:val="18"/>
        <w:szCs w:val="18"/>
        <w:lang w:val="fr-FR"/>
      </w:rPr>
      <w:t>6</w:t>
    </w:r>
  </w:p>
  <w:p w14:paraId="73B56242" w14:textId="77777777" w:rsidR="00370F6F" w:rsidRPr="001A2D97" w:rsidRDefault="00370F6F">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FD5F" w14:textId="77777777" w:rsidR="004768F1" w:rsidRPr="00FF59D5" w:rsidRDefault="004768F1" w:rsidP="004768F1">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bookmarkStart w:id="7" w:name="_Hlk208560916"/>
    <w:bookmarkStart w:id="8" w:name="_Hlk208560917"/>
    <w:r>
      <w:rPr>
        <w:noProof/>
      </w:rPr>
      <w:drawing>
        <wp:anchor distT="0" distB="0" distL="114300" distR="114300" simplePos="0" relativeHeight="251658242" behindDoc="0" locked="0" layoutInCell="1" allowOverlap="1" wp14:anchorId="6C0F14ED" wp14:editId="19A2CC20">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8240" behindDoc="0" locked="0" layoutInCell="1" allowOverlap="1" wp14:anchorId="157D9D34" wp14:editId="2BC41A68">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58241" behindDoc="0" locked="0" layoutInCell="1" allowOverlap="1" wp14:anchorId="3B0F1B3A" wp14:editId="4D9458C9">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7"/>
    <w:bookmarkEnd w:id="8"/>
  </w:p>
  <w:p w14:paraId="56542A6E" w14:textId="77777777" w:rsidR="00370F6F" w:rsidRDefault="00370F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E4E2D" w14:textId="65E610DA" w:rsidR="00370F6F" w:rsidRDefault="00370F6F">
    <w:pPr>
      <w:pStyle w:val="Header"/>
      <w:pBdr>
        <w:bottom w:val="single" w:sz="4" w:space="1" w:color="auto"/>
      </w:pBdr>
      <w:rPr>
        <w:rFonts w:cs="Arial"/>
        <w:i/>
        <w:sz w:val="18"/>
        <w:szCs w:val="18"/>
        <w:lang w:val="de-DE"/>
      </w:rPr>
    </w:pPr>
    <w:r>
      <w:rPr>
        <w:rFonts w:cs="Arial"/>
        <w:i/>
        <w:sz w:val="18"/>
        <w:szCs w:val="18"/>
        <w:lang w:val="de-DE"/>
      </w:rPr>
      <w:t>UNEP/CMS/COP15/Doc.25.4.1</w:t>
    </w:r>
    <w:r w:rsidR="00AB0F26">
      <w:rPr>
        <w:rFonts w:cs="Arial"/>
        <w:i/>
        <w:sz w:val="18"/>
        <w:szCs w:val="18"/>
        <w:lang w:val="de-DE"/>
      </w:rPr>
      <w:t>/Rev.1</w:t>
    </w:r>
  </w:p>
  <w:p w14:paraId="7E8A11B4" w14:textId="77777777" w:rsidR="00370F6F" w:rsidRPr="00AB0F26" w:rsidRDefault="00370F6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891B" w14:textId="51305415" w:rsidR="00370F6F" w:rsidRDefault="00370F6F">
    <w:pPr>
      <w:pStyle w:val="Header"/>
      <w:pBdr>
        <w:bottom w:val="single" w:sz="4" w:space="1" w:color="auto"/>
      </w:pBdr>
      <w:jc w:val="right"/>
      <w:rPr>
        <w:rFonts w:cs="Arial"/>
        <w:i/>
        <w:sz w:val="18"/>
        <w:szCs w:val="18"/>
        <w:lang w:val="de-DE"/>
      </w:rPr>
    </w:pPr>
    <w:r>
      <w:rPr>
        <w:rFonts w:cs="Arial"/>
        <w:i/>
        <w:sz w:val="18"/>
        <w:szCs w:val="18"/>
        <w:lang w:val="de-DE"/>
      </w:rPr>
      <w:t>UNEP/CMS/COP15/Doc.25.4.1</w:t>
    </w:r>
    <w:r w:rsidR="00AB0F26">
      <w:rPr>
        <w:rFonts w:cs="Arial"/>
        <w:i/>
        <w:sz w:val="18"/>
        <w:szCs w:val="18"/>
        <w:lang w:val="de-DE"/>
      </w:rPr>
      <w:t>/Rev.1</w:t>
    </w:r>
  </w:p>
  <w:p w14:paraId="7C44BEF3" w14:textId="77777777" w:rsidR="00370F6F" w:rsidRPr="00AB0F26" w:rsidRDefault="00370F6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B0FB" w14:textId="7F6B7E23" w:rsidR="00370F6F" w:rsidRPr="00661875" w:rsidRDefault="00370F6F" w:rsidP="002D6582">
    <w:pPr>
      <w:pStyle w:val="Header"/>
      <w:pBdr>
        <w:bottom w:val="single" w:sz="4" w:space="1" w:color="auto"/>
      </w:pBdr>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25.4.1</w:t>
    </w:r>
    <w:r w:rsidR="00AB0F26">
      <w:rPr>
        <w:rFonts w:cs="Arial"/>
        <w:i/>
        <w:sz w:val="18"/>
        <w:szCs w:val="18"/>
        <w:lang w:val="de-DE"/>
      </w:rPr>
      <w:t>/Rev.1</w:t>
    </w:r>
  </w:p>
  <w:p w14:paraId="0EE7666D" w14:textId="77777777" w:rsidR="00370F6F" w:rsidRPr="00AB0F26" w:rsidRDefault="00370F6F"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C19A5" w14:textId="2552A132" w:rsidR="00370F6F" w:rsidRPr="008233A5" w:rsidRDefault="00370F6F">
    <w:pPr>
      <w:pStyle w:val="Header"/>
      <w:pBdr>
        <w:bottom w:val="single" w:sz="4" w:space="1" w:color="auto"/>
      </w:pBdr>
      <w:rPr>
        <w:rFonts w:cs="Arial"/>
        <w:i/>
        <w:sz w:val="18"/>
        <w:szCs w:val="18"/>
      </w:rPr>
    </w:pPr>
    <w:r w:rsidRPr="008233A5">
      <w:rPr>
        <w:rFonts w:cs="Arial"/>
        <w:i/>
        <w:sz w:val="18"/>
        <w:szCs w:val="18"/>
      </w:rPr>
      <w:t>UNEP/CMS/COP15/Doc.25.4.1/</w:t>
    </w:r>
    <w:r w:rsidR="00433862">
      <w:rPr>
        <w:rFonts w:cs="Arial"/>
        <w:i/>
        <w:sz w:val="18"/>
        <w:szCs w:val="18"/>
      </w:rPr>
      <w:t>Rev.1/</w:t>
    </w:r>
    <w:r w:rsidRPr="008233A5">
      <w:rPr>
        <w:rFonts w:cs="Arial"/>
        <w:i/>
        <w:sz w:val="18"/>
        <w:szCs w:val="18"/>
      </w:rPr>
      <w:t>Annex</w:t>
    </w:r>
    <w:r w:rsidR="008B622F">
      <w:rPr>
        <w:rFonts w:cs="Arial"/>
        <w:i/>
        <w:sz w:val="18"/>
        <w:szCs w:val="18"/>
      </w:rPr>
      <w:t>e</w:t>
    </w:r>
    <w:r w:rsidRPr="008233A5">
      <w:rPr>
        <w:rFonts w:cs="Arial"/>
        <w:i/>
        <w:sz w:val="18"/>
        <w:szCs w:val="18"/>
      </w:rPr>
      <w:t xml:space="preserve"> 1</w:t>
    </w:r>
  </w:p>
  <w:p w14:paraId="6220A64F" w14:textId="77777777" w:rsidR="00370F6F" w:rsidRDefault="00370F6F">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4FB4" w14:textId="2B6100AD" w:rsidR="00370F6F" w:rsidRPr="00AB0EB3" w:rsidRDefault="00370F6F" w:rsidP="00A836DB">
    <w:pPr>
      <w:pStyle w:val="Header"/>
      <w:pBdr>
        <w:bottom w:val="single" w:sz="4" w:space="1" w:color="auto"/>
      </w:pBdr>
      <w:jc w:val="right"/>
      <w:rPr>
        <w:rFonts w:cs="Arial"/>
        <w:i/>
        <w:sz w:val="18"/>
        <w:szCs w:val="18"/>
        <w:lang w:val="fr-FR"/>
      </w:rPr>
    </w:pPr>
    <w:r w:rsidRPr="00AB0EB3">
      <w:rPr>
        <w:rFonts w:cs="Arial"/>
        <w:i/>
        <w:sz w:val="18"/>
        <w:szCs w:val="18"/>
        <w:lang w:val="fr-FR"/>
      </w:rPr>
      <w:t>UNEP/CMS/COP15/Doc.25.4.1/</w:t>
    </w:r>
    <w:r w:rsidR="00433862">
      <w:rPr>
        <w:rFonts w:cs="Arial"/>
        <w:i/>
        <w:sz w:val="18"/>
        <w:szCs w:val="18"/>
        <w:lang w:val="fr-FR"/>
      </w:rPr>
      <w:t>Rev.1/</w:t>
    </w:r>
    <w:r w:rsidRPr="00AB0EB3">
      <w:rPr>
        <w:rFonts w:cs="Arial"/>
        <w:i/>
        <w:sz w:val="18"/>
        <w:szCs w:val="18"/>
        <w:lang w:val="fr-FR"/>
      </w:rPr>
      <w:t>Annex</w:t>
    </w:r>
    <w:r w:rsidR="008B622F">
      <w:rPr>
        <w:rFonts w:cs="Arial"/>
        <w:i/>
        <w:sz w:val="18"/>
        <w:szCs w:val="18"/>
        <w:lang w:val="fr-FR"/>
      </w:rPr>
      <w:t>e</w:t>
    </w:r>
    <w:r>
      <w:rPr>
        <w:rFonts w:cs="Arial"/>
        <w:i/>
        <w:sz w:val="18"/>
        <w:szCs w:val="18"/>
        <w:lang w:val="fr-FR"/>
      </w:rPr>
      <w:t> </w:t>
    </w:r>
    <w:r w:rsidRPr="00AB0EB3">
      <w:rPr>
        <w:rFonts w:cs="Arial"/>
        <w:i/>
        <w:sz w:val="18"/>
        <w:szCs w:val="18"/>
        <w:lang w:val="fr-FR"/>
      </w:rPr>
      <w:t>1</w:t>
    </w:r>
  </w:p>
  <w:p w14:paraId="73E85EF7" w14:textId="77777777" w:rsidR="00370F6F" w:rsidRPr="00AB0EB3" w:rsidRDefault="00370F6F" w:rsidP="00A836DB">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C1A5" w14:textId="6D8FBD33" w:rsidR="00370F6F" w:rsidRPr="008233A5" w:rsidRDefault="00370F6F">
    <w:pPr>
      <w:pStyle w:val="Header"/>
      <w:pBdr>
        <w:bottom w:val="single" w:sz="4" w:space="1" w:color="auto"/>
      </w:pBdr>
      <w:rPr>
        <w:rFonts w:cs="Arial"/>
        <w:i/>
        <w:sz w:val="18"/>
        <w:szCs w:val="18"/>
      </w:rPr>
    </w:pPr>
    <w:r w:rsidRPr="008233A5">
      <w:rPr>
        <w:rFonts w:cs="Arial"/>
        <w:i/>
        <w:sz w:val="18"/>
        <w:szCs w:val="18"/>
      </w:rPr>
      <w:t>UNEP/CMS/COP15/Doc.25.4.1/</w:t>
    </w:r>
    <w:r w:rsidR="002E6D28">
      <w:rPr>
        <w:rFonts w:cs="Arial"/>
        <w:i/>
        <w:sz w:val="18"/>
        <w:szCs w:val="18"/>
      </w:rPr>
      <w:t>Rev.1/</w:t>
    </w:r>
    <w:r w:rsidRPr="008233A5">
      <w:rPr>
        <w:rFonts w:cs="Arial"/>
        <w:i/>
        <w:sz w:val="18"/>
        <w:szCs w:val="18"/>
      </w:rPr>
      <w:t>Annex</w:t>
    </w:r>
    <w:r w:rsidR="008B622F">
      <w:rPr>
        <w:rFonts w:cs="Arial"/>
        <w:i/>
        <w:sz w:val="18"/>
        <w:szCs w:val="18"/>
      </w:rPr>
      <w:t>e</w:t>
    </w:r>
    <w:r w:rsidRPr="008233A5">
      <w:rPr>
        <w:rFonts w:cs="Arial"/>
        <w:i/>
        <w:sz w:val="18"/>
        <w:szCs w:val="18"/>
      </w:rPr>
      <w:t xml:space="preserve"> 1</w:t>
    </w:r>
  </w:p>
  <w:p w14:paraId="6908883E" w14:textId="77777777" w:rsidR="00370F6F" w:rsidRDefault="00370F6F">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F21"/>
    <w:multiLevelType w:val="hybridMultilevel"/>
    <w:tmpl w:val="318E5A40"/>
    <w:lvl w:ilvl="0" w:tplc="08090017">
      <w:start w:val="1"/>
      <w:numFmt w:val="lowerLetter"/>
      <w:lvlText w:val="%1)"/>
      <w:lvlJc w:val="left"/>
      <w:pPr>
        <w:ind w:left="927" w:hanging="360"/>
      </w:pPr>
    </w:lvl>
    <w:lvl w:ilvl="1" w:tplc="9EB62CFE">
      <w:start w:val="1"/>
      <w:numFmt w:val="lowerRoman"/>
      <w:lvlText w:val="%2."/>
      <w:lvlJc w:val="left"/>
      <w:pPr>
        <w:ind w:left="1647" w:hanging="360"/>
      </w:pPr>
      <w:rPr>
        <w:rFonts w:ascii="Arial" w:eastAsiaTheme="minorHAnsi" w:hAnsi="Arial" w:cs="Arial"/>
      </w:r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 w15:restartNumberingAfterBreak="0">
    <w:nsid w:val="097A3AAB"/>
    <w:multiLevelType w:val="hybridMultilevel"/>
    <w:tmpl w:val="06FA131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0C3D3843"/>
    <w:multiLevelType w:val="hybridMultilevel"/>
    <w:tmpl w:val="F0520602"/>
    <w:lvl w:ilvl="0" w:tplc="06BCCAE6">
      <w:start w:val="1"/>
      <w:numFmt w:val="lowerLetter"/>
      <w:lvlText w:val="%1)"/>
      <w:lvlJc w:val="left"/>
      <w:pPr>
        <w:ind w:left="1551" w:hanging="360"/>
      </w:pPr>
      <w:rPr>
        <w:rFonts w:hint="default"/>
      </w:rPr>
    </w:lvl>
    <w:lvl w:ilvl="1" w:tplc="FFFFFFFF">
      <w:start w:val="1"/>
      <w:numFmt w:val="lowerLetter"/>
      <w:lvlText w:val="%2."/>
      <w:lvlJc w:val="left"/>
      <w:pPr>
        <w:ind w:left="2271" w:hanging="360"/>
      </w:pPr>
    </w:lvl>
    <w:lvl w:ilvl="2" w:tplc="FFFFFFFF">
      <w:start w:val="1"/>
      <w:numFmt w:val="lowerRoman"/>
      <w:lvlText w:val="%3."/>
      <w:lvlJc w:val="right"/>
      <w:pPr>
        <w:ind w:left="2991" w:hanging="180"/>
      </w:pPr>
    </w:lvl>
    <w:lvl w:ilvl="3" w:tplc="FFFFFFFF">
      <w:start w:val="1"/>
      <w:numFmt w:val="decimal"/>
      <w:lvlText w:val="%4."/>
      <w:lvlJc w:val="left"/>
      <w:pPr>
        <w:ind w:left="3711" w:hanging="360"/>
      </w:pPr>
    </w:lvl>
    <w:lvl w:ilvl="4" w:tplc="FFFFFFFF">
      <w:start w:val="1"/>
      <w:numFmt w:val="lowerLetter"/>
      <w:lvlText w:val="%5."/>
      <w:lvlJc w:val="left"/>
      <w:pPr>
        <w:ind w:left="4431" w:hanging="360"/>
      </w:pPr>
    </w:lvl>
    <w:lvl w:ilvl="5" w:tplc="FFFFFFFF">
      <w:start w:val="1"/>
      <w:numFmt w:val="lowerRoman"/>
      <w:lvlText w:val="%6."/>
      <w:lvlJc w:val="right"/>
      <w:pPr>
        <w:ind w:left="5151" w:hanging="180"/>
      </w:pPr>
    </w:lvl>
    <w:lvl w:ilvl="6" w:tplc="FFFFFFFF">
      <w:start w:val="1"/>
      <w:numFmt w:val="decimal"/>
      <w:lvlText w:val="%7."/>
      <w:lvlJc w:val="left"/>
      <w:pPr>
        <w:ind w:left="5871" w:hanging="360"/>
      </w:pPr>
    </w:lvl>
    <w:lvl w:ilvl="7" w:tplc="FFFFFFFF">
      <w:start w:val="1"/>
      <w:numFmt w:val="lowerLetter"/>
      <w:lvlText w:val="%8."/>
      <w:lvlJc w:val="left"/>
      <w:pPr>
        <w:ind w:left="6591" w:hanging="360"/>
      </w:pPr>
    </w:lvl>
    <w:lvl w:ilvl="8" w:tplc="FFFFFFFF">
      <w:start w:val="1"/>
      <w:numFmt w:val="lowerRoman"/>
      <w:lvlText w:val="%9."/>
      <w:lvlJc w:val="right"/>
      <w:pPr>
        <w:ind w:left="7311" w:hanging="180"/>
      </w:pPr>
    </w:lvl>
  </w:abstractNum>
  <w:abstractNum w:abstractNumId="4" w15:restartNumberingAfterBreak="0">
    <w:nsid w:val="0CFF5531"/>
    <w:multiLevelType w:val="hybridMultilevel"/>
    <w:tmpl w:val="E24642A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98515F"/>
    <w:multiLevelType w:val="hybridMultilevel"/>
    <w:tmpl w:val="A308E232"/>
    <w:lvl w:ilvl="0" w:tplc="8D3CB53A">
      <w:start w:val="1"/>
      <w:numFmt w:val="lowerLetter"/>
      <w:lvlText w:val="%1)"/>
      <w:lvlJc w:val="left"/>
      <w:pPr>
        <w:ind w:left="1554" w:hanging="363"/>
      </w:pPr>
      <w:rPr>
        <w:rFonts w:hint="default"/>
        <w:b w:val="0"/>
        <w:bCs/>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B8272B1"/>
    <w:multiLevelType w:val="hybridMultilevel"/>
    <w:tmpl w:val="13724F02"/>
    <w:lvl w:ilvl="0" w:tplc="04130017">
      <w:start w:val="1"/>
      <w:numFmt w:val="lowerLetter"/>
      <w:lvlText w:val="%1)"/>
      <w:lvlJc w:val="left"/>
      <w:pPr>
        <w:ind w:left="720" w:hanging="360"/>
      </w:pPr>
    </w:lvl>
    <w:lvl w:ilvl="1" w:tplc="714AB5AE">
      <w:numFmt w:val="bullet"/>
      <w:lvlText w:val="•"/>
      <w:lvlJc w:val="left"/>
      <w:pPr>
        <w:ind w:left="1480" w:hanging="400"/>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FFA5F3F"/>
    <w:multiLevelType w:val="hybridMultilevel"/>
    <w:tmpl w:val="9A5ADA0A"/>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8"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0" w15:restartNumberingAfterBreak="0">
    <w:nsid w:val="26135176"/>
    <w:multiLevelType w:val="hybridMultilevel"/>
    <w:tmpl w:val="A1C81632"/>
    <w:lvl w:ilvl="0" w:tplc="FFFFFFFF">
      <w:start w:val="1"/>
      <w:numFmt w:val="lowerLetter"/>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1" w15:restartNumberingAfterBreak="0">
    <w:nsid w:val="2C39360C"/>
    <w:multiLevelType w:val="hybridMultilevel"/>
    <w:tmpl w:val="CAE8A56E"/>
    <w:lvl w:ilvl="0" w:tplc="B9B4BCE4">
      <w:start w:val="1"/>
      <w:numFmt w:val="lowerLetter"/>
      <w:lvlText w:val="%1)"/>
      <w:lvlJc w:val="left"/>
      <w:pPr>
        <w:ind w:left="1554" w:hanging="363"/>
      </w:pPr>
      <w:rPr>
        <w:rFonts w:hint="default"/>
      </w:rPr>
    </w:lvl>
    <w:lvl w:ilvl="1" w:tplc="04130019" w:tentative="1">
      <w:start w:val="1"/>
      <w:numFmt w:val="lowerLetter"/>
      <w:lvlText w:val="%2."/>
      <w:lvlJc w:val="left"/>
      <w:pPr>
        <w:ind w:left="1100" w:hanging="360"/>
      </w:pPr>
    </w:lvl>
    <w:lvl w:ilvl="2" w:tplc="0413001B" w:tentative="1">
      <w:start w:val="1"/>
      <w:numFmt w:val="lowerRoman"/>
      <w:lvlText w:val="%3."/>
      <w:lvlJc w:val="right"/>
      <w:pPr>
        <w:ind w:left="1820" w:hanging="180"/>
      </w:pPr>
    </w:lvl>
    <w:lvl w:ilvl="3" w:tplc="0413000F" w:tentative="1">
      <w:start w:val="1"/>
      <w:numFmt w:val="decimal"/>
      <w:lvlText w:val="%4."/>
      <w:lvlJc w:val="left"/>
      <w:pPr>
        <w:ind w:left="2540" w:hanging="360"/>
      </w:pPr>
    </w:lvl>
    <w:lvl w:ilvl="4" w:tplc="04130019" w:tentative="1">
      <w:start w:val="1"/>
      <w:numFmt w:val="lowerLetter"/>
      <w:lvlText w:val="%5."/>
      <w:lvlJc w:val="left"/>
      <w:pPr>
        <w:ind w:left="3260" w:hanging="360"/>
      </w:pPr>
    </w:lvl>
    <w:lvl w:ilvl="5" w:tplc="0413001B" w:tentative="1">
      <w:start w:val="1"/>
      <w:numFmt w:val="lowerRoman"/>
      <w:lvlText w:val="%6."/>
      <w:lvlJc w:val="right"/>
      <w:pPr>
        <w:ind w:left="3980" w:hanging="180"/>
      </w:pPr>
    </w:lvl>
    <w:lvl w:ilvl="6" w:tplc="0413000F" w:tentative="1">
      <w:start w:val="1"/>
      <w:numFmt w:val="decimal"/>
      <w:lvlText w:val="%7."/>
      <w:lvlJc w:val="left"/>
      <w:pPr>
        <w:ind w:left="4700" w:hanging="360"/>
      </w:pPr>
    </w:lvl>
    <w:lvl w:ilvl="7" w:tplc="04130019" w:tentative="1">
      <w:start w:val="1"/>
      <w:numFmt w:val="lowerLetter"/>
      <w:lvlText w:val="%8."/>
      <w:lvlJc w:val="left"/>
      <w:pPr>
        <w:ind w:left="5420" w:hanging="360"/>
      </w:pPr>
    </w:lvl>
    <w:lvl w:ilvl="8" w:tplc="0413001B" w:tentative="1">
      <w:start w:val="1"/>
      <w:numFmt w:val="lowerRoman"/>
      <w:lvlText w:val="%9."/>
      <w:lvlJc w:val="right"/>
      <w:pPr>
        <w:ind w:left="6140" w:hanging="180"/>
      </w:pPr>
    </w:lvl>
  </w:abstractNum>
  <w:abstractNum w:abstractNumId="12" w15:restartNumberingAfterBreak="0">
    <w:nsid w:val="2E5D6D82"/>
    <w:multiLevelType w:val="hybridMultilevel"/>
    <w:tmpl w:val="A920D62E"/>
    <w:lvl w:ilvl="0" w:tplc="04090015">
      <w:start w:val="1"/>
      <w:numFmt w:val="upp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3" w15:restartNumberingAfterBreak="0">
    <w:nsid w:val="32A104D4"/>
    <w:multiLevelType w:val="hybridMultilevel"/>
    <w:tmpl w:val="CB3EA73A"/>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14" w15:restartNumberingAfterBreak="0">
    <w:nsid w:val="32BE5B61"/>
    <w:multiLevelType w:val="hybridMultilevel"/>
    <w:tmpl w:val="67E4189E"/>
    <w:lvl w:ilvl="0" w:tplc="20000017">
      <w:start w:val="1"/>
      <w:numFmt w:val="lowerLetter"/>
      <w:lvlText w:val="%1)"/>
      <w:lvlJc w:val="left"/>
      <w:pPr>
        <w:ind w:left="1154" w:hanging="360"/>
      </w:pPr>
    </w:lvl>
    <w:lvl w:ilvl="1" w:tplc="0C000019" w:tentative="1">
      <w:start w:val="1"/>
      <w:numFmt w:val="lowerLetter"/>
      <w:lvlText w:val="%2."/>
      <w:lvlJc w:val="left"/>
      <w:pPr>
        <w:ind w:left="1874" w:hanging="360"/>
      </w:pPr>
    </w:lvl>
    <w:lvl w:ilvl="2" w:tplc="0C00001B" w:tentative="1">
      <w:start w:val="1"/>
      <w:numFmt w:val="lowerRoman"/>
      <w:lvlText w:val="%3."/>
      <w:lvlJc w:val="right"/>
      <w:pPr>
        <w:ind w:left="2594" w:hanging="180"/>
      </w:pPr>
    </w:lvl>
    <w:lvl w:ilvl="3" w:tplc="0C00000F" w:tentative="1">
      <w:start w:val="1"/>
      <w:numFmt w:val="decimal"/>
      <w:lvlText w:val="%4."/>
      <w:lvlJc w:val="left"/>
      <w:pPr>
        <w:ind w:left="3314" w:hanging="360"/>
      </w:pPr>
    </w:lvl>
    <w:lvl w:ilvl="4" w:tplc="0C000019" w:tentative="1">
      <w:start w:val="1"/>
      <w:numFmt w:val="lowerLetter"/>
      <w:lvlText w:val="%5."/>
      <w:lvlJc w:val="left"/>
      <w:pPr>
        <w:ind w:left="4034" w:hanging="360"/>
      </w:pPr>
    </w:lvl>
    <w:lvl w:ilvl="5" w:tplc="0C00001B" w:tentative="1">
      <w:start w:val="1"/>
      <w:numFmt w:val="lowerRoman"/>
      <w:lvlText w:val="%6."/>
      <w:lvlJc w:val="right"/>
      <w:pPr>
        <w:ind w:left="4754" w:hanging="180"/>
      </w:pPr>
    </w:lvl>
    <w:lvl w:ilvl="6" w:tplc="0C00000F" w:tentative="1">
      <w:start w:val="1"/>
      <w:numFmt w:val="decimal"/>
      <w:lvlText w:val="%7."/>
      <w:lvlJc w:val="left"/>
      <w:pPr>
        <w:ind w:left="5474" w:hanging="360"/>
      </w:pPr>
    </w:lvl>
    <w:lvl w:ilvl="7" w:tplc="0C000019" w:tentative="1">
      <w:start w:val="1"/>
      <w:numFmt w:val="lowerLetter"/>
      <w:lvlText w:val="%8."/>
      <w:lvlJc w:val="left"/>
      <w:pPr>
        <w:ind w:left="6194" w:hanging="360"/>
      </w:pPr>
    </w:lvl>
    <w:lvl w:ilvl="8" w:tplc="0C00001B" w:tentative="1">
      <w:start w:val="1"/>
      <w:numFmt w:val="lowerRoman"/>
      <w:lvlText w:val="%9."/>
      <w:lvlJc w:val="right"/>
      <w:pPr>
        <w:ind w:left="6914" w:hanging="180"/>
      </w:pPr>
    </w:lvl>
  </w:abstractNum>
  <w:abstractNum w:abstractNumId="15" w15:restartNumberingAfterBreak="0">
    <w:nsid w:val="36230EEA"/>
    <w:multiLevelType w:val="hybridMultilevel"/>
    <w:tmpl w:val="A82C43AC"/>
    <w:lvl w:ilvl="0" w:tplc="87B0165E">
      <w:start w:val="1"/>
      <w:numFmt w:val="lowerLetter"/>
      <w:lvlText w:val="%1)"/>
      <w:lvlJc w:val="left"/>
      <w:pPr>
        <w:ind w:left="1020" w:hanging="360"/>
      </w:pPr>
    </w:lvl>
    <w:lvl w:ilvl="1" w:tplc="9B9E8B78">
      <w:start w:val="1"/>
      <w:numFmt w:val="lowerLetter"/>
      <w:lvlText w:val="%2)"/>
      <w:lvlJc w:val="left"/>
      <w:pPr>
        <w:ind w:left="1020" w:hanging="360"/>
      </w:pPr>
    </w:lvl>
    <w:lvl w:ilvl="2" w:tplc="F3720D62">
      <w:start w:val="1"/>
      <w:numFmt w:val="lowerLetter"/>
      <w:lvlText w:val="%3)"/>
      <w:lvlJc w:val="left"/>
      <w:pPr>
        <w:ind w:left="1020" w:hanging="360"/>
      </w:pPr>
    </w:lvl>
    <w:lvl w:ilvl="3" w:tplc="ADA65C96">
      <w:start w:val="1"/>
      <w:numFmt w:val="lowerLetter"/>
      <w:lvlText w:val="%4)"/>
      <w:lvlJc w:val="left"/>
      <w:pPr>
        <w:ind w:left="1020" w:hanging="360"/>
      </w:pPr>
    </w:lvl>
    <w:lvl w:ilvl="4" w:tplc="8272DEA8">
      <w:start w:val="1"/>
      <w:numFmt w:val="lowerLetter"/>
      <w:lvlText w:val="%5)"/>
      <w:lvlJc w:val="left"/>
      <w:pPr>
        <w:ind w:left="1020" w:hanging="360"/>
      </w:pPr>
    </w:lvl>
    <w:lvl w:ilvl="5" w:tplc="808CE646">
      <w:start w:val="1"/>
      <w:numFmt w:val="lowerLetter"/>
      <w:lvlText w:val="%6)"/>
      <w:lvlJc w:val="left"/>
      <w:pPr>
        <w:ind w:left="1020" w:hanging="360"/>
      </w:pPr>
    </w:lvl>
    <w:lvl w:ilvl="6" w:tplc="94065858">
      <w:start w:val="1"/>
      <w:numFmt w:val="lowerLetter"/>
      <w:lvlText w:val="%7)"/>
      <w:lvlJc w:val="left"/>
      <w:pPr>
        <w:ind w:left="1020" w:hanging="360"/>
      </w:pPr>
    </w:lvl>
    <w:lvl w:ilvl="7" w:tplc="97D659E0">
      <w:start w:val="1"/>
      <w:numFmt w:val="lowerLetter"/>
      <w:lvlText w:val="%8)"/>
      <w:lvlJc w:val="left"/>
      <w:pPr>
        <w:ind w:left="1020" w:hanging="360"/>
      </w:pPr>
    </w:lvl>
    <w:lvl w:ilvl="8" w:tplc="421A6A58">
      <w:start w:val="1"/>
      <w:numFmt w:val="lowerLetter"/>
      <w:lvlText w:val="%9)"/>
      <w:lvlJc w:val="left"/>
      <w:pPr>
        <w:ind w:left="1020" w:hanging="360"/>
      </w:pPr>
    </w:lvl>
  </w:abstractNum>
  <w:abstractNum w:abstractNumId="16" w15:restartNumberingAfterBreak="0">
    <w:nsid w:val="37073BD2"/>
    <w:multiLevelType w:val="hybridMultilevel"/>
    <w:tmpl w:val="40F698D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91B7351"/>
    <w:multiLevelType w:val="hybridMultilevel"/>
    <w:tmpl w:val="93D6E322"/>
    <w:lvl w:ilvl="0" w:tplc="04130017">
      <w:start w:val="1"/>
      <w:numFmt w:val="lowerLetter"/>
      <w:lvlText w:val="%1)"/>
      <w:lvlJc w:val="left"/>
      <w:pPr>
        <w:ind w:left="1117" w:hanging="360"/>
      </w:pPr>
    </w:lvl>
    <w:lvl w:ilvl="1" w:tplc="04130019">
      <w:start w:val="1"/>
      <w:numFmt w:val="lowerLetter"/>
      <w:lvlText w:val="%2."/>
      <w:lvlJc w:val="left"/>
      <w:pPr>
        <w:ind w:left="1837" w:hanging="360"/>
      </w:pPr>
    </w:lvl>
    <w:lvl w:ilvl="2" w:tplc="0413001B" w:tentative="1">
      <w:start w:val="1"/>
      <w:numFmt w:val="lowerRoman"/>
      <w:lvlText w:val="%3."/>
      <w:lvlJc w:val="right"/>
      <w:pPr>
        <w:ind w:left="2557" w:hanging="180"/>
      </w:pPr>
    </w:lvl>
    <w:lvl w:ilvl="3" w:tplc="0413000F" w:tentative="1">
      <w:start w:val="1"/>
      <w:numFmt w:val="decimal"/>
      <w:lvlText w:val="%4."/>
      <w:lvlJc w:val="left"/>
      <w:pPr>
        <w:ind w:left="3277" w:hanging="360"/>
      </w:pPr>
    </w:lvl>
    <w:lvl w:ilvl="4" w:tplc="04130019" w:tentative="1">
      <w:start w:val="1"/>
      <w:numFmt w:val="lowerLetter"/>
      <w:lvlText w:val="%5."/>
      <w:lvlJc w:val="left"/>
      <w:pPr>
        <w:ind w:left="3997" w:hanging="360"/>
      </w:pPr>
    </w:lvl>
    <w:lvl w:ilvl="5" w:tplc="0413001B" w:tentative="1">
      <w:start w:val="1"/>
      <w:numFmt w:val="lowerRoman"/>
      <w:lvlText w:val="%6."/>
      <w:lvlJc w:val="right"/>
      <w:pPr>
        <w:ind w:left="4717" w:hanging="180"/>
      </w:pPr>
    </w:lvl>
    <w:lvl w:ilvl="6" w:tplc="0413000F" w:tentative="1">
      <w:start w:val="1"/>
      <w:numFmt w:val="decimal"/>
      <w:lvlText w:val="%7."/>
      <w:lvlJc w:val="left"/>
      <w:pPr>
        <w:ind w:left="5437" w:hanging="360"/>
      </w:pPr>
    </w:lvl>
    <w:lvl w:ilvl="7" w:tplc="04130019" w:tentative="1">
      <w:start w:val="1"/>
      <w:numFmt w:val="lowerLetter"/>
      <w:lvlText w:val="%8."/>
      <w:lvlJc w:val="left"/>
      <w:pPr>
        <w:ind w:left="6157" w:hanging="360"/>
      </w:pPr>
    </w:lvl>
    <w:lvl w:ilvl="8" w:tplc="0413001B" w:tentative="1">
      <w:start w:val="1"/>
      <w:numFmt w:val="lowerRoman"/>
      <w:lvlText w:val="%9."/>
      <w:lvlJc w:val="right"/>
      <w:pPr>
        <w:ind w:left="6877" w:hanging="180"/>
      </w:pPr>
    </w:lvl>
  </w:abstractNum>
  <w:abstractNum w:abstractNumId="18" w15:restartNumberingAfterBreak="0">
    <w:nsid w:val="3CED18A5"/>
    <w:multiLevelType w:val="hybridMultilevel"/>
    <w:tmpl w:val="8780C42E"/>
    <w:lvl w:ilvl="0" w:tplc="2000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3E200771"/>
    <w:multiLevelType w:val="hybridMultilevel"/>
    <w:tmpl w:val="69544382"/>
    <w:lvl w:ilvl="0" w:tplc="25104CDC">
      <w:start w:val="1"/>
      <w:numFmt w:val="lowerLetter"/>
      <w:lvlText w:val="%1)"/>
      <w:lvlJc w:val="left"/>
      <w:pPr>
        <w:ind w:left="720" w:hanging="360"/>
      </w:pPr>
      <w:rPr>
        <w:b w:val="0"/>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F67114B"/>
    <w:multiLevelType w:val="hybridMultilevel"/>
    <w:tmpl w:val="79588C16"/>
    <w:lvl w:ilvl="0" w:tplc="FFFFFFFF">
      <w:start w:val="1"/>
      <w:numFmt w:val="decimal"/>
      <w:lvlText w:val="%1."/>
      <w:lvlJc w:val="left"/>
      <w:pPr>
        <w:ind w:left="360" w:hanging="360"/>
      </w:pPr>
      <w:rPr>
        <w:color w:val="auto"/>
      </w:rPr>
    </w:lvl>
    <w:lvl w:ilvl="1" w:tplc="20000015">
      <w:start w:val="1"/>
      <w:numFmt w:val="upp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460E4DE6"/>
    <w:multiLevelType w:val="hybridMultilevel"/>
    <w:tmpl w:val="C10C8940"/>
    <w:lvl w:ilvl="0" w:tplc="04130001">
      <w:start w:val="1"/>
      <w:numFmt w:val="bullet"/>
      <w:lvlText w:val=""/>
      <w:lvlJc w:val="left"/>
      <w:pPr>
        <w:ind w:left="720" w:hanging="360"/>
      </w:pPr>
      <w:rPr>
        <w:rFonts w:ascii="Symbol" w:hAnsi="Symbol" w:hint="default"/>
      </w:rPr>
    </w:lvl>
    <w:lvl w:ilvl="1" w:tplc="049E7B28">
      <w:numFmt w:val="bullet"/>
      <w:lvlText w:val="-"/>
      <w:lvlJc w:val="left"/>
      <w:pPr>
        <w:ind w:left="1480" w:hanging="400"/>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63D664A"/>
    <w:multiLevelType w:val="hybridMultilevel"/>
    <w:tmpl w:val="D4DED1C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23" w15:restartNumberingAfterBreak="0">
    <w:nsid w:val="4A084C79"/>
    <w:multiLevelType w:val="hybridMultilevel"/>
    <w:tmpl w:val="FBAA6086"/>
    <w:lvl w:ilvl="0" w:tplc="04090015">
      <w:start w:val="1"/>
      <w:numFmt w:val="upp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4" w15:restartNumberingAfterBreak="0">
    <w:nsid w:val="4CE3573D"/>
    <w:multiLevelType w:val="hybridMultilevel"/>
    <w:tmpl w:val="F7AC21FA"/>
    <w:lvl w:ilvl="0" w:tplc="DB18D30A">
      <w:start w:val="1"/>
      <w:numFmt w:val="upperLetter"/>
      <w:lvlText w:val="%1."/>
      <w:lvlJc w:val="left"/>
      <w:pPr>
        <w:ind w:left="720" w:hanging="360"/>
      </w:pPr>
      <w:rPr>
        <w:rFonts w:hint="default"/>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02E4024"/>
    <w:multiLevelType w:val="hybridMultilevel"/>
    <w:tmpl w:val="CE1ED0C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26" w15:restartNumberingAfterBreak="0">
    <w:nsid w:val="50AC0D4E"/>
    <w:multiLevelType w:val="hybridMultilevel"/>
    <w:tmpl w:val="4F5ABA2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8" w15:restartNumberingAfterBreak="0">
    <w:nsid w:val="522B7A8B"/>
    <w:multiLevelType w:val="hybridMultilevel"/>
    <w:tmpl w:val="E3F4B9EE"/>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29" w15:restartNumberingAfterBreak="0">
    <w:nsid w:val="536923DE"/>
    <w:multiLevelType w:val="hybridMultilevel"/>
    <w:tmpl w:val="8A5C799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30" w15:restartNumberingAfterBreak="0">
    <w:nsid w:val="547C66B8"/>
    <w:multiLevelType w:val="hybridMultilevel"/>
    <w:tmpl w:val="D54654B8"/>
    <w:lvl w:ilvl="0" w:tplc="0413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4DD5FE1"/>
    <w:multiLevelType w:val="hybridMultilevel"/>
    <w:tmpl w:val="FD8EFB58"/>
    <w:lvl w:ilvl="0" w:tplc="FFFFFFFF">
      <w:start w:val="1"/>
      <w:numFmt w:val="lowerLetter"/>
      <w:lvlText w:val="%1)"/>
      <w:lvlJc w:val="left"/>
      <w:pPr>
        <w:ind w:left="1003" w:hanging="360"/>
      </w:pPr>
      <w:rPr>
        <w:rFonts w:hint="default"/>
      </w:r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32" w15:restartNumberingAfterBreak="0">
    <w:nsid w:val="552C3481"/>
    <w:multiLevelType w:val="hybridMultilevel"/>
    <w:tmpl w:val="02189AC8"/>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33" w15:restartNumberingAfterBreak="0">
    <w:nsid w:val="55514FB7"/>
    <w:multiLevelType w:val="hybridMultilevel"/>
    <w:tmpl w:val="09F69F42"/>
    <w:lvl w:ilvl="0" w:tplc="FFFFFFFF">
      <w:start w:val="1"/>
      <w:numFmt w:val="decimal"/>
      <w:lvlText w:val="%1."/>
      <w:lvlJc w:val="left"/>
      <w:pPr>
        <w:ind w:left="360" w:hanging="360"/>
      </w:pPr>
      <w:rPr>
        <w:color w:val="auto"/>
      </w:rPr>
    </w:lvl>
    <w:lvl w:ilvl="1" w:tplc="2000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578EBC05"/>
    <w:multiLevelType w:val="hybridMultilevel"/>
    <w:tmpl w:val="FFFFFFFF"/>
    <w:lvl w:ilvl="0" w:tplc="1F06A4FC">
      <w:start w:val="1"/>
      <w:numFmt w:val="decimal"/>
      <w:lvlText w:val="(%1)"/>
      <w:lvlJc w:val="left"/>
      <w:pPr>
        <w:ind w:left="360" w:hanging="360"/>
      </w:pPr>
    </w:lvl>
    <w:lvl w:ilvl="1" w:tplc="C55C0F70">
      <w:start w:val="1"/>
      <w:numFmt w:val="lowerLetter"/>
      <w:lvlText w:val="%2."/>
      <w:lvlJc w:val="left"/>
      <w:pPr>
        <w:ind w:left="1080" w:hanging="360"/>
      </w:pPr>
    </w:lvl>
    <w:lvl w:ilvl="2" w:tplc="932CA3C6">
      <w:start w:val="1"/>
      <w:numFmt w:val="lowerRoman"/>
      <w:lvlText w:val="%3."/>
      <w:lvlJc w:val="right"/>
      <w:pPr>
        <w:ind w:left="1800" w:hanging="180"/>
      </w:pPr>
    </w:lvl>
    <w:lvl w:ilvl="3" w:tplc="87DEECC2">
      <w:start w:val="1"/>
      <w:numFmt w:val="decimal"/>
      <w:lvlText w:val="%4."/>
      <w:lvlJc w:val="left"/>
      <w:pPr>
        <w:ind w:left="2520" w:hanging="360"/>
      </w:pPr>
    </w:lvl>
    <w:lvl w:ilvl="4" w:tplc="9280BEEA">
      <w:start w:val="1"/>
      <w:numFmt w:val="lowerLetter"/>
      <w:lvlText w:val="%5."/>
      <w:lvlJc w:val="left"/>
      <w:pPr>
        <w:ind w:left="3240" w:hanging="360"/>
      </w:pPr>
    </w:lvl>
    <w:lvl w:ilvl="5" w:tplc="B6A0C1DC">
      <w:start w:val="1"/>
      <w:numFmt w:val="lowerRoman"/>
      <w:lvlText w:val="%6."/>
      <w:lvlJc w:val="right"/>
      <w:pPr>
        <w:ind w:left="3960" w:hanging="180"/>
      </w:pPr>
    </w:lvl>
    <w:lvl w:ilvl="6" w:tplc="8BC21074">
      <w:start w:val="1"/>
      <w:numFmt w:val="decimal"/>
      <w:lvlText w:val="%7."/>
      <w:lvlJc w:val="left"/>
      <w:pPr>
        <w:ind w:left="4680" w:hanging="360"/>
      </w:pPr>
    </w:lvl>
    <w:lvl w:ilvl="7" w:tplc="7B84010E">
      <w:start w:val="1"/>
      <w:numFmt w:val="lowerLetter"/>
      <w:lvlText w:val="%8."/>
      <w:lvlJc w:val="left"/>
      <w:pPr>
        <w:ind w:left="5400" w:hanging="360"/>
      </w:pPr>
    </w:lvl>
    <w:lvl w:ilvl="8" w:tplc="C4904472">
      <w:start w:val="1"/>
      <w:numFmt w:val="lowerRoman"/>
      <w:lvlText w:val="%9."/>
      <w:lvlJc w:val="right"/>
      <w:pPr>
        <w:ind w:left="6120" w:hanging="180"/>
      </w:pPr>
    </w:lvl>
  </w:abstractNum>
  <w:abstractNum w:abstractNumId="35" w15:restartNumberingAfterBreak="0">
    <w:nsid w:val="5ABD60A4"/>
    <w:multiLevelType w:val="hybridMultilevel"/>
    <w:tmpl w:val="A1C81632"/>
    <w:lvl w:ilvl="0" w:tplc="20000017">
      <w:start w:val="1"/>
      <w:numFmt w:val="lowerLetter"/>
      <w:lvlText w:val="%1)"/>
      <w:lvlJc w:val="left"/>
      <w:pPr>
        <w:ind w:left="1117" w:hanging="360"/>
      </w:pPr>
    </w:lvl>
    <w:lvl w:ilvl="1" w:tplc="20000019" w:tentative="1">
      <w:start w:val="1"/>
      <w:numFmt w:val="lowerLetter"/>
      <w:lvlText w:val="%2."/>
      <w:lvlJc w:val="left"/>
      <w:pPr>
        <w:ind w:left="1837" w:hanging="360"/>
      </w:pPr>
    </w:lvl>
    <w:lvl w:ilvl="2" w:tplc="2000001B" w:tentative="1">
      <w:start w:val="1"/>
      <w:numFmt w:val="lowerRoman"/>
      <w:lvlText w:val="%3."/>
      <w:lvlJc w:val="right"/>
      <w:pPr>
        <w:ind w:left="2557" w:hanging="180"/>
      </w:pPr>
    </w:lvl>
    <w:lvl w:ilvl="3" w:tplc="2000000F" w:tentative="1">
      <w:start w:val="1"/>
      <w:numFmt w:val="decimal"/>
      <w:lvlText w:val="%4."/>
      <w:lvlJc w:val="left"/>
      <w:pPr>
        <w:ind w:left="3277" w:hanging="360"/>
      </w:pPr>
    </w:lvl>
    <w:lvl w:ilvl="4" w:tplc="20000019" w:tentative="1">
      <w:start w:val="1"/>
      <w:numFmt w:val="lowerLetter"/>
      <w:lvlText w:val="%5."/>
      <w:lvlJc w:val="left"/>
      <w:pPr>
        <w:ind w:left="3997" w:hanging="360"/>
      </w:pPr>
    </w:lvl>
    <w:lvl w:ilvl="5" w:tplc="2000001B" w:tentative="1">
      <w:start w:val="1"/>
      <w:numFmt w:val="lowerRoman"/>
      <w:lvlText w:val="%6."/>
      <w:lvlJc w:val="right"/>
      <w:pPr>
        <w:ind w:left="4717" w:hanging="180"/>
      </w:pPr>
    </w:lvl>
    <w:lvl w:ilvl="6" w:tplc="2000000F" w:tentative="1">
      <w:start w:val="1"/>
      <w:numFmt w:val="decimal"/>
      <w:lvlText w:val="%7."/>
      <w:lvlJc w:val="left"/>
      <w:pPr>
        <w:ind w:left="5437" w:hanging="360"/>
      </w:pPr>
    </w:lvl>
    <w:lvl w:ilvl="7" w:tplc="20000019" w:tentative="1">
      <w:start w:val="1"/>
      <w:numFmt w:val="lowerLetter"/>
      <w:lvlText w:val="%8."/>
      <w:lvlJc w:val="left"/>
      <w:pPr>
        <w:ind w:left="6157" w:hanging="360"/>
      </w:pPr>
    </w:lvl>
    <w:lvl w:ilvl="8" w:tplc="2000001B" w:tentative="1">
      <w:start w:val="1"/>
      <w:numFmt w:val="lowerRoman"/>
      <w:lvlText w:val="%9."/>
      <w:lvlJc w:val="right"/>
      <w:pPr>
        <w:ind w:left="6877" w:hanging="180"/>
      </w:pPr>
    </w:lvl>
  </w:abstractNum>
  <w:abstractNum w:abstractNumId="36" w15:restartNumberingAfterBreak="0">
    <w:nsid w:val="69A23F83"/>
    <w:multiLevelType w:val="hybridMultilevel"/>
    <w:tmpl w:val="E82EB682"/>
    <w:lvl w:ilvl="0" w:tplc="4204EBB6">
      <w:start w:val="1"/>
      <w:numFmt w:val="decimal"/>
      <w:lvlText w:val="%1."/>
      <w:lvlJc w:val="left"/>
      <w:pPr>
        <w:ind w:left="360" w:hanging="360"/>
      </w:pPr>
      <w:rPr>
        <w:i w:val="0"/>
        <w:iCs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D221337"/>
    <w:multiLevelType w:val="hybridMultilevel"/>
    <w:tmpl w:val="F0520602"/>
    <w:lvl w:ilvl="0" w:tplc="FFFFFFFF">
      <w:start w:val="1"/>
      <w:numFmt w:val="lowerLetter"/>
      <w:lvlText w:val="%1)"/>
      <w:lvlJc w:val="left"/>
      <w:pPr>
        <w:ind w:left="1551" w:hanging="360"/>
      </w:pPr>
      <w:rPr>
        <w:rFonts w:hint="default"/>
      </w:rPr>
    </w:lvl>
    <w:lvl w:ilvl="1" w:tplc="FFFFFFFF">
      <w:start w:val="1"/>
      <w:numFmt w:val="lowerLetter"/>
      <w:lvlText w:val="%2."/>
      <w:lvlJc w:val="left"/>
      <w:pPr>
        <w:ind w:left="2271" w:hanging="360"/>
      </w:pPr>
    </w:lvl>
    <w:lvl w:ilvl="2" w:tplc="FFFFFFFF">
      <w:start w:val="1"/>
      <w:numFmt w:val="lowerRoman"/>
      <w:lvlText w:val="%3."/>
      <w:lvlJc w:val="right"/>
      <w:pPr>
        <w:ind w:left="2991" w:hanging="180"/>
      </w:pPr>
    </w:lvl>
    <w:lvl w:ilvl="3" w:tplc="FFFFFFFF">
      <w:start w:val="1"/>
      <w:numFmt w:val="decimal"/>
      <w:lvlText w:val="%4."/>
      <w:lvlJc w:val="left"/>
      <w:pPr>
        <w:ind w:left="3711" w:hanging="360"/>
      </w:pPr>
    </w:lvl>
    <w:lvl w:ilvl="4" w:tplc="FFFFFFFF">
      <w:start w:val="1"/>
      <w:numFmt w:val="lowerLetter"/>
      <w:lvlText w:val="%5."/>
      <w:lvlJc w:val="left"/>
      <w:pPr>
        <w:ind w:left="4431" w:hanging="360"/>
      </w:pPr>
    </w:lvl>
    <w:lvl w:ilvl="5" w:tplc="FFFFFFFF">
      <w:start w:val="1"/>
      <w:numFmt w:val="lowerRoman"/>
      <w:lvlText w:val="%6."/>
      <w:lvlJc w:val="right"/>
      <w:pPr>
        <w:ind w:left="5151" w:hanging="180"/>
      </w:pPr>
    </w:lvl>
    <w:lvl w:ilvl="6" w:tplc="FFFFFFFF">
      <w:start w:val="1"/>
      <w:numFmt w:val="decimal"/>
      <w:lvlText w:val="%7."/>
      <w:lvlJc w:val="left"/>
      <w:pPr>
        <w:ind w:left="5871" w:hanging="360"/>
      </w:pPr>
    </w:lvl>
    <w:lvl w:ilvl="7" w:tplc="FFFFFFFF">
      <w:start w:val="1"/>
      <w:numFmt w:val="lowerLetter"/>
      <w:lvlText w:val="%8."/>
      <w:lvlJc w:val="left"/>
      <w:pPr>
        <w:ind w:left="6591" w:hanging="360"/>
      </w:pPr>
    </w:lvl>
    <w:lvl w:ilvl="8" w:tplc="FFFFFFFF">
      <w:start w:val="1"/>
      <w:numFmt w:val="lowerRoman"/>
      <w:lvlText w:val="%9."/>
      <w:lvlJc w:val="right"/>
      <w:pPr>
        <w:ind w:left="7311" w:hanging="180"/>
      </w:pPr>
    </w:lvl>
  </w:abstractNum>
  <w:abstractNum w:abstractNumId="39"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AA68CA"/>
    <w:multiLevelType w:val="hybridMultilevel"/>
    <w:tmpl w:val="C4D831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1663654"/>
    <w:multiLevelType w:val="hybridMultilevel"/>
    <w:tmpl w:val="D086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5474D5"/>
    <w:multiLevelType w:val="hybridMultilevel"/>
    <w:tmpl w:val="FFFFFFFF"/>
    <w:lvl w:ilvl="0" w:tplc="E57C4D66">
      <w:start w:val="1"/>
      <w:numFmt w:val="bullet"/>
      <w:lvlText w:val=""/>
      <w:lvlJc w:val="left"/>
      <w:pPr>
        <w:ind w:left="720" w:hanging="360"/>
      </w:pPr>
      <w:rPr>
        <w:rFonts w:ascii="Symbol" w:hAnsi="Symbol" w:hint="default"/>
      </w:rPr>
    </w:lvl>
    <w:lvl w:ilvl="1" w:tplc="96665020">
      <w:start w:val="1"/>
      <w:numFmt w:val="bullet"/>
      <w:lvlText w:val="o"/>
      <w:lvlJc w:val="left"/>
      <w:pPr>
        <w:ind w:left="1440" w:hanging="360"/>
      </w:pPr>
      <w:rPr>
        <w:rFonts w:ascii="Courier New" w:hAnsi="Courier New" w:hint="default"/>
      </w:rPr>
    </w:lvl>
    <w:lvl w:ilvl="2" w:tplc="31D63700">
      <w:start w:val="1"/>
      <w:numFmt w:val="bullet"/>
      <w:lvlText w:val=""/>
      <w:lvlJc w:val="left"/>
      <w:pPr>
        <w:ind w:left="2160" w:hanging="360"/>
      </w:pPr>
      <w:rPr>
        <w:rFonts w:ascii="Wingdings" w:hAnsi="Wingdings" w:hint="default"/>
      </w:rPr>
    </w:lvl>
    <w:lvl w:ilvl="3" w:tplc="6AEC4698">
      <w:start w:val="1"/>
      <w:numFmt w:val="bullet"/>
      <w:lvlText w:val=""/>
      <w:lvlJc w:val="left"/>
      <w:pPr>
        <w:ind w:left="2880" w:hanging="360"/>
      </w:pPr>
      <w:rPr>
        <w:rFonts w:ascii="Symbol" w:hAnsi="Symbol" w:hint="default"/>
      </w:rPr>
    </w:lvl>
    <w:lvl w:ilvl="4" w:tplc="B240D3D2">
      <w:start w:val="1"/>
      <w:numFmt w:val="bullet"/>
      <w:lvlText w:val="o"/>
      <w:lvlJc w:val="left"/>
      <w:pPr>
        <w:ind w:left="3600" w:hanging="360"/>
      </w:pPr>
      <w:rPr>
        <w:rFonts w:ascii="Courier New" w:hAnsi="Courier New" w:hint="default"/>
      </w:rPr>
    </w:lvl>
    <w:lvl w:ilvl="5" w:tplc="C6400D50">
      <w:start w:val="1"/>
      <w:numFmt w:val="bullet"/>
      <w:lvlText w:val=""/>
      <w:lvlJc w:val="left"/>
      <w:pPr>
        <w:ind w:left="4320" w:hanging="360"/>
      </w:pPr>
      <w:rPr>
        <w:rFonts w:ascii="Wingdings" w:hAnsi="Wingdings" w:hint="default"/>
      </w:rPr>
    </w:lvl>
    <w:lvl w:ilvl="6" w:tplc="3C0050BC">
      <w:start w:val="1"/>
      <w:numFmt w:val="bullet"/>
      <w:lvlText w:val=""/>
      <w:lvlJc w:val="left"/>
      <w:pPr>
        <w:ind w:left="5040" w:hanging="360"/>
      </w:pPr>
      <w:rPr>
        <w:rFonts w:ascii="Symbol" w:hAnsi="Symbol" w:hint="default"/>
      </w:rPr>
    </w:lvl>
    <w:lvl w:ilvl="7" w:tplc="A4189A98">
      <w:start w:val="1"/>
      <w:numFmt w:val="bullet"/>
      <w:lvlText w:val="o"/>
      <w:lvlJc w:val="left"/>
      <w:pPr>
        <w:ind w:left="5760" w:hanging="360"/>
      </w:pPr>
      <w:rPr>
        <w:rFonts w:ascii="Courier New" w:hAnsi="Courier New" w:hint="default"/>
      </w:rPr>
    </w:lvl>
    <w:lvl w:ilvl="8" w:tplc="2CD8B4E0">
      <w:start w:val="1"/>
      <w:numFmt w:val="bullet"/>
      <w:lvlText w:val=""/>
      <w:lvlJc w:val="left"/>
      <w:pPr>
        <w:ind w:left="6480" w:hanging="360"/>
      </w:pPr>
      <w:rPr>
        <w:rFonts w:ascii="Wingdings" w:hAnsi="Wingdings" w:hint="default"/>
      </w:rPr>
    </w:lvl>
  </w:abstractNum>
  <w:abstractNum w:abstractNumId="43" w15:restartNumberingAfterBreak="0">
    <w:nsid w:val="7A1D7473"/>
    <w:multiLevelType w:val="hybridMultilevel"/>
    <w:tmpl w:val="4F5A9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B3F0014"/>
    <w:multiLevelType w:val="hybridMultilevel"/>
    <w:tmpl w:val="353A3A0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7D41010F"/>
    <w:multiLevelType w:val="hybridMultilevel"/>
    <w:tmpl w:val="43B60020"/>
    <w:lvl w:ilvl="0" w:tplc="20000017">
      <w:start w:val="1"/>
      <w:numFmt w:val="lowerLetter"/>
      <w:lvlText w:val="%1)"/>
      <w:lvlJc w:val="left"/>
      <w:pPr>
        <w:ind w:left="720" w:hanging="360"/>
      </w:pPr>
    </w:lvl>
    <w:lvl w:ilvl="1" w:tplc="DD84C80E">
      <w:start w:val="1"/>
      <w:numFmt w:val="lowerLetter"/>
      <w:lvlText w:val="%2)"/>
      <w:lvlJc w:val="left"/>
      <w:pPr>
        <w:ind w:left="1117" w:hanging="360"/>
      </w:pPr>
      <w:rPr>
        <w:rFonts w:hint="default"/>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7E9B4989"/>
    <w:multiLevelType w:val="hybridMultilevel"/>
    <w:tmpl w:val="9626A23A"/>
    <w:lvl w:ilvl="0" w:tplc="2C6EE116">
      <w:start w:val="1"/>
      <w:numFmt w:val="decimal"/>
      <w:lvlText w:val="%1."/>
      <w:lvlJc w:val="left"/>
      <w:pPr>
        <w:ind w:left="1020" w:hanging="360"/>
      </w:pPr>
    </w:lvl>
    <w:lvl w:ilvl="1" w:tplc="A0EC2BA4">
      <w:start w:val="1"/>
      <w:numFmt w:val="decimal"/>
      <w:lvlText w:val="%2."/>
      <w:lvlJc w:val="left"/>
      <w:pPr>
        <w:ind w:left="1020" w:hanging="360"/>
      </w:pPr>
    </w:lvl>
    <w:lvl w:ilvl="2" w:tplc="A2925E42">
      <w:start w:val="1"/>
      <w:numFmt w:val="decimal"/>
      <w:lvlText w:val="%3."/>
      <w:lvlJc w:val="left"/>
      <w:pPr>
        <w:ind w:left="1020" w:hanging="360"/>
      </w:pPr>
    </w:lvl>
    <w:lvl w:ilvl="3" w:tplc="5F5E16C6">
      <w:start w:val="1"/>
      <w:numFmt w:val="decimal"/>
      <w:lvlText w:val="%4."/>
      <w:lvlJc w:val="left"/>
      <w:pPr>
        <w:ind w:left="1020" w:hanging="360"/>
      </w:pPr>
    </w:lvl>
    <w:lvl w:ilvl="4" w:tplc="2E18DAB6">
      <w:start w:val="1"/>
      <w:numFmt w:val="decimal"/>
      <w:lvlText w:val="%5."/>
      <w:lvlJc w:val="left"/>
      <w:pPr>
        <w:ind w:left="1020" w:hanging="360"/>
      </w:pPr>
    </w:lvl>
    <w:lvl w:ilvl="5" w:tplc="F40E88BA">
      <w:start w:val="1"/>
      <w:numFmt w:val="decimal"/>
      <w:lvlText w:val="%6."/>
      <w:lvlJc w:val="left"/>
      <w:pPr>
        <w:ind w:left="1020" w:hanging="360"/>
      </w:pPr>
    </w:lvl>
    <w:lvl w:ilvl="6" w:tplc="B38C8E40">
      <w:start w:val="1"/>
      <w:numFmt w:val="decimal"/>
      <w:lvlText w:val="%7."/>
      <w:lvlJc w:val="left"/>
      <w:pPr>
        <w:ind w:left="1020" w:hanging="360"/>
      </w:pPr>
    </w:lvl>
    <w:lvl w:ilvl="7" w:tplc="99AA89BA">
      <w:start w:val="1"/>
      <w:numFmt w:val="decimal"/>
      <w:lvlText w:val="%8."/>
      <w:lvlJc w:val="left"/>
      <w:pPr>
        <w:ind w:left="1020" w:hanging="360"/>
      </w:pPr>
    </w:lvl>
    <w:lvl w:ilvl="8" w:tplc="3648D9F6">
      <w:start w:val="1"/>
      <w:numFmt w:val="decimal"/>
      <w:lvlText w:val="%9."/>
      <w:lvlJc w:val="left"/>
      <w:pPr>
        <w:ind w:left="1020" w:hanging="360"/>
      </w:pPr>
    </w:lvl>
  </w:abstractNum>
  <w:num w:numId="1" w16cid:durableId="1049376447">
    <w:abstractNumId w:val="39"/>
  </w:num>
  <w:num w:numId="2" w16cid:durableId="501315713">
    <w:abstractNumId w:val="27"/>
  </w:num>
  <w:num w:numId="3" w16cid:durableId="2085909681">
    <w:abstractNumId w:val="2"/>
  </w:num>
  <w:num w:numId="4" w16cid:durableId="1701127701">
    <w:abstractNumId w:val="36"/>
  </w:num>
  <w:num w:numId="5" w16cid:durableId="11213446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3379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60099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3303871">
    <w:abstractNumId w:val="30"/>
  </w:num>
  <w:num w:numId="9" w16cid:durableId="13521429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9947317">
    <w:abstractNumId w:val="7"/>
  </w:num>
  <w:num w:numId="11" w16cid:durableId="2135513296">
    <w:abstractNumId w:val="25"/>
  </w:num>
  <w:num w:numId="12" w16cid:durableId="860437128">
    <w:abstractNumId w:val="13"/>
  </w:num>
  <w:num w:numId="13" w16cid:durableId="1543516730">
    <w:abstractNumId w:val="32"/>
  </w:num>
  <w:num w:numId="14" w16cid:durableId="761806052">
    <w:abstractNumId w:val="28"/>
  </w:num>
  <w:num w:numId="15" w16cid:durableId="1125125676">
    <w:abstractNumId w:val="22"/>
  </w:num>
  <w:num w:numId="16" w16cid:durableId="313459042">
    <w:abstractNumId w:val="6"/>
  </w:num>
  <w:num w:numId="17" w16cid:durableId="432476664">
    <w:abstractNumId w:val="29"/>
  </w:num>
  <w:num w:numId="18" w16cid:durableId="676735175">
    <w:abstractNumId w:val="17"/>
  </w:num>
  <w:num w:numId="19" w16cid:durableId="1893612372">
    <w:abstractNumId w:val="16"/>
  </w:num>
  <w:num w:numId="20" w16cid:durableId="1872765278">
    <w:abstractNumId w:val="1"/>
  </w:num>
  <w:num w:numId="21" w16cid:durableId="226108594">
    <w:abstractNumId w:val="41"/>
  </w:num>
  <w:num w:numId="22" w16cid:durableId="1321032530">
    <w:abstractNumId w:val="34"/>
  </w:num>
  <w:num w:numId="23" w16cid:durableId="1445422910">
    <w:abstractNumId w:val="40"/>
  </w:num>
  <w:num w:numId="24" w16cid:durableId="1718355742">
    <w:abstractNumId w:val="46"/>
  </w:num>
  <w:num w:numId="25" w16cid:durableId="1262448242">
    <w:abstractNumId w:val="21"/>
  </w:num>
  <w:num w:numId="26" w16cid:durableId="450053721">
    <w:abstractNumId w:val="43"/>
  </w:num>
  <w:num w:numId="27" w16cid:durableId="1504100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67810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1707144">
    <w:abstractNumId w:val="4"/>
  </w:num>
  <w:num w:numId="30" w16cid:durableId="828597040">
    <w:abstractNumId w:val="3"/>
  </w:num>
  <w:num w:numId="31" w16cid:durableId="1878201538">
    <w:abstractNumId w:val="31"/>
  </w:num>
  <w:num w:numId="32" w16cid:durableId="1947232870">
    <w:abstractNumId w:val="38"/>
  </w:num>
  <w:num w:numId="33" w16cid:durableId="1844398101">
    <w:abstractNumId w:val="11"/>
  </w:num>
  <w:num w:numId="34" w16cid:durableId="1182822855">
    <w:abstractNumId w:val="5"/>
  </w:num>
  <w:num w:numId="35" w16cid:durableId="17004801">
    <w:abstractNumId w:val="33"/>
  </w:num>
  <w:num w:numId="36" w16cid:durableId="344744069">
    <w:abstractNumId w:val="15"/>
  </w:num>
  <w:num w:numId="37" w16cid:durableId="710496353">
    <w:abstractNumId w:val="14"/>
  </w:num>
  <w:num w:numId="38" w16cid:durableId="729959236">
    <w:abstractNumId w:val="35"/>
  </w:num>
  <w:num w:numId="39" w16cid:durableId="2128575179">
    <w:abstractNumId w:val="45"/>
  </w:num>
  <w:num w:numId="40" w16cid:durableId="1204365048">
    <w:abstractNumId w:val="26"/>
  </w:num>
  <w:num w:numId="41" w16cid:durableId="1485972494">
    <w:abstractNumId w:val="18"/>
  </w:num>
  <w:num w:numId="42" w16cid:durableId="1860965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19588937">
    <w:abstractNumId w:val="8"/>
  </w:num>
  <w:num w:numId="44" w16cid:durableId="1324813474">
    <w:abstractNumId w:val="12"/>
  </w:num>
  <w:num w:numId="45" w16cid:durableId="1081215235">
    <w:abstractNumId w:val="20"/>
  </w:num>
  <w:num w:numId="46" w16cid:durableId="1618834816">
    <w:abstractNumId w:val="24"/>
  </w:num>
  <w:num w:numId="47" w16cid:durableId="260259133">
    <w:abstractNumId w:val="0"/>
  </w:num>
  <w:num w:numId="48" w16cid:durableId="661007243">
    <w:abstractNumId w:val="10"/>
  </w:num>
  <w:num w:numId="49" w16cid:durableId="784421254">
    <w:abstractNumId w:val="42"/>
  </w:num>
  <w:num w:numId="50" w16cid:durableId="1221013249">
    <w:abstractNumId w:val="4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00622"/>
    <w:rsid w:val="00000CC9"/>
    <w:rsid w:val="0000220F"/>
    <w:rsid w:val="000024C8"/>
    <w:rsid w:val="00002DBD"/>
    <w:rsid w:val="000036AF"/>
    <w:rsid w:val="00003A4E"/>
    <w:rsid w:val="000041DA"/>
    <w:rsid w:val="00004218"/>
    <w:rsid w:val="00004628"/>
    <w:rsid w:val="0000484A"/>
    <w:rsid w:val="00004AC6"/>
    <w:rsid w:val="00004F70"/>
    <w:rsid w:val="00005BC5"/>
    <w:rsid w:val="00005CFE"/>
    <w:rsid w:val="00006244"/>
    <w:rsid w:val="00006301"/>
    <w:rsid w:val="00006560"/>
    <w:rsid w:val="00006628"/>
    <w:rsid w:val="00006C47"/>
    <w:rsid w:val="000074FC"/>
    <w:rsid w:val="000102C8"/>
    <w:rsid w:val="000108FD"/>
    <w:rsid w:val="000111AE"/>
    <w:rsid w:val="0001212C"/>
    <w:rsid w:val="0001276F"/>
    <w:rsid w:val="00012AFD"/>
    <w:rsid w:val="00012DAD"/>
    <w:rsid w:val="0001300D"/>
    <w:rsid w:val="00013965"/>
    <w:rsid w:val="00013FDD"/>
    <w:rsid w:val="00014975"/>
    <w:rsid w:val="00015E80"/>
    <w:rsid w:val="0001668C"/>
    <w:rsid w:val="000166E2"/>
    <w:rsid w:val="000169F0"/>
    <w:rsid w:val="00017375"/>
    <w:rsid w:val="00017D1A"/>
    <w:rsid w:val="00020B3A"/>
    <w:rsid w:val="0002151F"/>
    <w:rsid w:val="0002198B"/>
    <w:rsid w:val="00021A3F"/>
    <w:rsid w:val="00021E17"/>
    <w:rsid w:val="00022107"/>
    <w:rsid w:val="0002210E"/>
    <w:rsid w:val="00022F03"/>
    <w:rsid w:val="0002427E"/>
    <w:rsid w:val="00024B0F"/>
    <w:rsid w:val="000250B1"/>
    <w:rsid w:val="000250CC"/>
    <w:rsid w:val="0002519B"/>
    <w:rsid w:val="00025336"/>
    <w:rsid w:val="0002545F"/>
    <w:rsid w:val="00026763"/>
    <w:rsid w:val="000274C9"/>
    <w:rsid w:val="00030D11"/>
    <w:rsid w:val="00032167"/>
    <w:rsid w:val="000321FE"/>
    <w:rsid w:val="00032843"/>
    <w:rsid w:val="00032AFA"/>
    <w:rsid w:val="00033FFC"/>
    <w:rsid w:val="00034624"/>
    <w:rsid w:val="00034E0D"/>
    <w:rsid w:val="00035AF4"/>
    <w:rsid w:val="00035CB2"/>
    <w:rsid w:val="000365E0"/>
    <w:rsid w:val="00036782"/>
    <w:rsid w:val="00036C72"/>
    <w:rsid w:val="00037851"/>
    <w:rsid w:val="000401AB"/>
    <w:rsid w:val="00040C1A"/>
    <w:rsid w:val="0004110B"/>
    <w:rsid w:val="00041776"/>
    <w:rsid w:val="00041E17"/>
    <w:rsid w:val="00041E86"/>
    <w:rsid w:val="00042704"/>
    <w:rsid w:val="000427A8"/>
    <w:rsid w:val="00042A4C"/>
    <w:rsid w:val="00043144"/>
    <w:rsid w:val="00043786"/>
    <w:rsid w:val="00043DEE"/>
    <w:rsid w:val="0004532B"/>
    <w:rsid w:val="00045A31"/>
    <w:rsid w:val="00045D6C"/>
    <w:rsid w:val="000463A9"/>
    <w:rsid w:val="000467B2"/>
    <w:rsid w:val="00046882"/>
    <w:rsid w:val="00047BC5"/>
    <w:rsid w:val="00047FA5"/>
    <w:rsid w:val="00050308"/>
    <w:rsid w:val="000512A6"/>
    <w:rsid w:val="00051C01"/>
    <w:rsid w:val="00052111"/>
    <w:rsid w:val="00052636"/>
    <w:rsid w:val="000528F5"/>
    <w:rsid w:val="00052A8F"/>
    <w:rsid w:val="00052B0F"/>
    <w:rsid w:val="00052F7F"/>
    <w:rsid w:val="00054357"/>
    <w:rsid w:val="00056ACC"/>
    <w:rsid w:val="00056C85"/>
    <w:rsid w:val="00056D98"/>
    <w:rsid w:val="0006108D"/>
    <w:rsid w:val="000612D0"/>
    <w:rsid w:val="00061369"/>
    <w:rsid w:val="0006314F"/>
    <w:rsid w:val="000632D1"/>
    <w:rsid w:val="00063409"/>
    <w:rsid w:val="0006395B"/>
    <w:rsid w:val="00063F14"/>
    <w:rsid w:val="0006520F"/>
    <w:rsid w:val="00065582"/>
    <w:rsid w:val="00065CCF"/>
    <w:rsid w:val="00066908"/>
    <w:rsid w:val="00066CD4"/>
    <w:rsid w:val="00067C15"/>
    <w:rsid w:val="00070842"/>
    <w:rsid w:val="0007131D"/>
    <w:rsid w:val="00072918"/>
    <w:rsid w:val="0007347C"/>
    <w:rsid w:val="00074D05"/>
    <w:rsid w:val="00075B40"/>
    <w:rsid w:val="000762D2"/>
    <w:rsid w:val="00077940"/>
    <w:rsid w:val="00077DB3"/>
    <w:rsid w:val="000803EC"/>
    <w:rsid w:val="0008082E"/>
    <w:rsid w:val="000812BA"/>
    <w:rsid w:val="00081CD6"/>
    <w:rsid w:val="00081FBF"/>
    <w:rsid w:val="00082064"/>
    <w:rsid w:val="0008293C"/>
    <w:rsid w:val="00082C60"/>
    <w:rsid w:val="00083015"/>
    <w:rsid w:val="00084788"/>
    <w:rsid w:val="00084D51"/>
    <w:rsid w:val="0008732C"/>
    <w:rsid w:val="000879DD"/>
    <w:rsid w:val="000908E1"/>
    <w:rsid w:val="00090A5E"/>
    <w:rsid w:val="00090D14"/>
    <w:rsid w:val="00092165"/>
    <w:rsid w:val="000929BC"/>
    <w:rsid w:val="00092C42"/>
    <w:rsid w:val="00093B43"/>
    <w:rsid w:val="00094462"/>
    <w:rsid w:val="00094577"/>
    <w:rsid w:val="00094760"/>
    <w:rsid w:val="00094AB7"/>
    <w:rsid w:val="00094F3A"/>
    <w:rsid w:val="00094FA9"/>
    <w:rsid w:val="00095801"/>
    <w:rsid w:val="00095953"/>
    <w:rsid w:val="000959C0"/>
    <w:rsid w:val="00095FDB"/>
    <w:rsid w:val="000962B6"/>
    <w:rsid w:val="00096562"/>
    <w:rsid w:val="00096FA5"/>
    <w:rsid w:val="000977CB"/>
    <w:rsid w:val="000A00EE"/>
    <w:rsid w:val="000A0422"/>
    <w:rsid w:val="000A0F89"/>
    <w:rsid w:val="000A1430"/>
    <w:rsid w:val="000A17C9"/>
    <w:rsid w:val="000A1981"/>
    <w:rsid w:val="000A1ED2"/>
    <w:rsid w:val="000A2068"/>
    <w:rsid w:val="000A2476"/>
    <w:rsid w:val="000A3017"/>
    <w:rsid w:val="000A351C"/>
    <w:rsid w:val="000A4016"/>
    <w:rsid w:val="000A4507"/>
    <w:rsid w:val="000A4B4D"/>
    <w:rsid w:val="000A4C50"/>
    <w:rsid w:val="000A4D3B"/>
    <w:rsid w:val="000A5035"/>
    <w:rsid w:val="000A50BF"/>
    <w:rsid w:val="000A537E"/>
    <w:rsid w:val="000A5A1E"/>
    <w:rsid w:val="000A638C"/>
    <w:rsid w:val="000A782B"/>
    <w:rsid w:val="000B0557"/>
    <w:rsid w:val="000B1776"/>
    <w:rsid w:val="000B1A95"/>
    <w:rsid w:val="000B2F53"/>
    <w:rsid w:val="000B3A4E"/>
    <w:rsid w:val="000B3ECF"/>
    <w:rsid w:val="000B4740"/>
    <w:rsid w:val="000B47A8"/>
    <w:rsid w:val="000B50AD"/>
    <w:rsid w:val="000B676D"/>
    <w:rsid w:val="000B7D58"/>
    <w:rsid w:val="000B7F26"/>
    <w:rsid w:val="000C0750"/>
    <w:rsid w:val="000C23BD"/>
    <w:rsid w:val="000C2951"/>
    <w:rsid w:val="000C2E31"/>
    <w:rsid w:val="000C302C"/>
    <w:rsid w:val="000C341D"/>
    <w:rsid w:val="000C349E"/>
    <w:rsid w:val="000C3F0F"/>
    <w:rsid w:val="000C4186"/>
    <w:rsid w:val="000C5EF9"/>
    <w:rsid w:val="000D0337"/>
    <w:rsid w:val="000D1829"/>
    <w:rsid w:val="000D318F"/>
    <w:rsid w:val="000D387B"/>
    <w:rsid w:val="000D3E3F"/>
    <w:rsid w:val="000D4D19"/>
    <w:rsid w:val="000D635E"/>
    <w:rsid w:val="000D79AF"/>
    <w:rsid w:val="000E0325"/>
    <w:rsid w:val="000E0575"/>
    <w:rsid w:val="000E1EA7"/>
    <w:rsid w:val="000E3F53"/>
    <w:rsid w:val="000E465E"/>
    <w:rsid w:val="000E5A98"/>
    <w:rsid w:val="000E6340"/>
    <w:rsid w:val="000E64C1"/>
    <w:rsid w:val="000E65DB"/>
    <w:rsid w:val="000E778D"/>
    <w:rsid w:val="000E7EDA"/>
    <w:rsid w:val="000F0167"/>
    <w:rsid w:val="000F05EC"/>
    <w:rsid w:val="000F084F"/>
    <w:rsid w:val="000F12CF"/>
    <w:rsid w:val="000F1749"/>
    <w:rsid w:val="000F1830"/>
    <w:rsid w:val="000F18A1"/>
    <w:rsid w:val="000F2C3C"/>
    <w:rsid w:val="000F2F4C"/>
    <w:rsid w:val="000F460D"/>
    <w:rsid w:val="000F4A27"/>
    <w:rsid w:val="000F4AEC"/>
    <w:rsid w:val="000F4C3B"/>
    <w:rsid w:val="000F53CD"/>
    <w:rsid w:val="000F5C00"/>
    <w:rsid w:val="000F5F4E"/>
    <w:rsid w:val="000F69BA"/>
    <w:rsid w:val="000F6A68"/>
    <w:rsid w:val="000F6D54"/>
    <w:rsid w:val="000F6EDB"/>
    <w:rsid w:val="00100A08"/>
    <w:rsid w:val="00100A16"/>
    <w:rsid w:val="00100ABD"/>
    <w:rsid w:val="00100AF1"/>
    <w:rsid w:val="00100D86"/>
    <w:rsid w:val="00102365"/>
    <w:rsid w:val="001029DD"/>
    <w:rsid w:val="00103B85"/>
    <w:rsid w:val="00104F34"/>
    <w:rsid w:val="00105368"/>
    <w:rsid w:val="00105C95"/>
    <w:rsid w:val="001060C2"/>
    <w:rsid w:val="00106913"/>
    <w:rsid w:val="001069F0"/>
    <w:rsid w:val="00106E3F"/>
    <w:rsid w:val="00106F27"/>
    <w:rsid w:val="0010769B"/>
    <w:rsid w:val="00107A4A"/>
    <w:rsid w:val="0011035B"/>
    <w:rsid w:val="00110D50"/>
    <w:rsid w:val="00111199"/>
    <w:rsid w:val="00111916"/>
    <w:rsid w:val="00111987"/>
    <w:rsid w:val="00111D62"/>
    <w:rsid w:val="001120A3"/>
    <w:rsid w:val="00112952"/>
    <w:rsid w:val="00112D9A"/>
    <w:rsid w:val="00113EB6"/>
    <w:rsid w:val="001145EE"/>
    <w:rsid w:val="00115486"/>
    <w:rsid w:val="0011646F"/>
    <w:rsid w:val="001173B8"/>
    <w:rsid w:val="00117503"/>
    <w:rsid w:val="00117747"/>
    <w:rsid w:val="001178B4"/>
    <w:rsid w:val="00117E5B"/>
    <w:rsid w:val="00117E96"/>
    <w:rsid w:val="00120069"/>
    <w:rsid w:val="0012019F"/>
    <w:rsid w:val="0012038D"/>
    <w:rsid w:val="00120399"/>
    <w:rsid w:val="00120752"/>
    <w:rsid w:val="00121DD0"/>
    <w:rsid w:val="00121E76"/>
    <w:rsid w:val="001225F9"/>
    <w:rsid w:val="00122C83"/>
    <w:rsid w:val="00123BDF"/>
    <w:rsid w:val="00123C0A"/>
    <w:rsid w:val="00124773"/>
    <w:rsid w:val="00125609"/>
    <w:rsid w:val="001264DF"/>
    <w:rsid w:val="001265E7"/>
    <w:rsid w:val="0012668C"/>
    <w:rsid w:val="001270DF"/>
    <w:rsid w:val="00127977"/>
    <w:rsid w:val="00130781"/>
    <w:rsid w:val="001314BA"/>
    <w:rsid w:val="001325FD"/>
    <w:rsid w:val="00133D7B"/>
    <w:rsid w:val="00134123"/>
    <w:rsid w:val="00134440"/>
    <w:rsid w:val="0013495C"/>
    <w:rsid w:val="00134B58"/>
    <w:rsid w:val="00134CC3"/>
    <w:rsid w:val="00134ED5"/>
    <w:rsid w:val="001351B6"/>
    <w:rsid w:val="00136437"/>
    <w:rsid w:val="00136879"/>
    <w:rsid w:val="00136F5C"/>
    <w:rsid w:val="0013732D"/>
    <w:rsid w:val="00137814"/>
    <w:rsid w:val="00140065"/>
    <w:rsid w:val="00140576"/>
    <w:rsid w:val="00140ADD"/>
    <w:rsid w:val="001410BF"/>
    <w:rsid w:val="00141F55"/>
    <w:rsid w:val="00142814"/>
    <w:rsid w:val="00142B36"/>
    <w:rsid w:val="00143AA5"/>
    <w:rsid w:val="00143F03"/>
    <w:rsid w:val="00143FA5"/>
    <w:rsid w:val="00144F64"/>
    <w:rsid w:val="001453F7"/>
    <w:rsid w:val="001455CE"/>
    <w:rsid w:val="00145D73"/>
    <w:rsid w:val="00145DCE"/>
    <w:rsid w:val="001463BB"/>
    <w:rsid w:val="001473E8"/>
    <w:rsid w:val="00147F93"/>
    <w:rsid w:val="0015003D"/>
    <w:rsid w:val="001508C7"/>
    <w:rsid w:val="001512E0"/>
    <w:rsid w:val="00151CE0"/>
    <w:rsid w:val="00152713"/>
    <w:rsid w:val="001528C4"/>
    <w:rsid w:val="00153774"/>
    <w:rsid w:val="00153C87"/>
    <w:rsid w:val="00154211"/>
    <w:rsid w:val="00154796"/>
    <w:rsid w:val="00155833"/>
    <w:rsid w:val="00155BD1"/>
    <w:rsid w:val="00155CBF"/>
    <w:rsid w:val="001562C1"/>
    <w:rsid w:val="00156A02"/>
    <w:rsid w:val="00156FD9"/>
    <w:rsid w:val="001572DF"/>
    <w:rsid w:val="00157858"/>
    <w:rsid w:val="00160A7E"/>
    <w:rsid w:val="00160C29"/>
    <w:rsid w:val="00162040"/>
    <w:rsid w:val="0016257C"/>
    <w:rsid w:val="00162C2A"/>
    <w:rsid w:val="00162C99"/>
    <w:rsid w:val="001636D8"/>
    <w:rsid w:val="001639ED"/>
    <w:rsid w:val="00163D4F"/>
    <w:rsid w:val="00164248"/>
    <w:rsid w:val="001644D1"/>
    <w:rsid w:val="001647A9"/>
    <w:rsid w:val="001652E1"/>
    <w:rsid w:val="00165CFD"/>
    <w:rsid w:val="00167355"/>
    <w:rsid w:val="0016764D"/>
    <w:rsid w:val="00171BA6"/>
    <w:rsid w:val="001722C2"/>
    <w:rsid w:val="0017266D"/>
    <w:rsid w:val="00173327"/>
    <w:rsid w:val="001739F8"/>
    <w:rsid w:val="001739FA"/>
    <w:rsid w:val="00173AC2"/>
    <w:rsid w:val="00174B53"/>
    <w:rsid w:val="00175A23"/>
    <w:rsid w:val="001768D9"/>
    <w:rsid w:val="0017698F"/>
    <w:rsid w:val="00176B65"/>
    <w:rsid w:val="00176D37"/>
    <w:rsid w:val="00177692"/>
    <w:rsid w:val="00180BD5"/>
    <w:rsid w:val="0018109D"/>
    <w:rsid w:val="0018243E"/>
    <w:rsid w:val="00182591"/>
    <w:rsid w:val="001838EC"/>
    <w:rsid w:val="00185E80"/>
    <w:rsid w:val="0018617B"/>
    <w:rsid w:val="00187723"/>
    <w:rsid w:val="001878D6"/>
    <w:rsid w:val="00187A72"/>
    <w:rsid w:val="00187CCD"/>
    <w:rsid w:val="00190CDF"/>
    <w:rsid w:val="00190CE6"/>
    <w:rsid w:val="00190F6F"/>
    <w:rsid w:val="001911DD"/>
    <w:rsid w:val="001926F2"/>
    <w:rsid w:val="00192789"/>
    <w:rsid w:val="00192B39"/>
    <w:rsid w:val="00193103"/>
    <w:rsid w:val="0019381B"/>
    <w:rsid w:val="00194689"/>
    <w:rsid w:val="00194780"/>
    <w:rsid w:val="00194891"/>
    <w:rsid w:val="0019509A"/>
    <w:rsid w:val="001956CB"/>
    <w:rsid w:val="001956EB"/>
    <w:rsid w:val="0019594F"/>
    <w:rsid w:val="00196EE9"/>
    <w:rsid w:val="001976C8"/>
    <w:rsid w:val="001A012F"/>
    <w:rsid w:val="001A0458"/>
    <w:rsid w:val="001A1820"/>
    <w:rsid w:val="001A2D97"/>
    <w:rsid w:val="001A2ED9"/>
    <w:rsid w:val="001A3641"/>
    <w:rsid w:val="001A3920"/>
    <w:rsid w:val="001A3D89"/>
    <w:rsid w:val="001A52EA"/>
    <w:rsid w:val="001A5500"/>
    <w:rsid w:val="001A5DEC"/>
    <w:rsid w:val="001A5F70"/>
    <w:rsid w:val="001A6702"/>
    <w:rsid w:val="001A68C3"/>
    <w:rsid w:val="001A6BD6"/>
    <w:rsid w:val="001A7527"/>
    <w:rsid w:val="001B1458"/>
    <w:rsid w:val="001B219C"/>
    <w:rsid w:val="001B229F"/>
    <w:rsid w:val="001B3A6E"/>
    <w:rsid w:val="001B4A89"/>
    <w:rsid w:val="001B59BE"/>
    <w:rsid w:val="001B6E80"/>
    <w:rsid w:val="001B75A8"/>
    <w:rsid w:val="001C073E"/>
    <w:rsid w:val="001C1225"/>
    <w:rsid w:val="001C1F86"/>
    <w:rsid w:val="001C2026"/>
    <w:rsid w:val="001C2A03"/>
    <w:rsid w:val="001C3070"/>
    <w:rsid w:val="001C3F40"/>
    <w:rsid w:val="001C4BFA"/>
    <w:rsid w:val="001C4C11"/>
    <w:rsid w:val="001C4E47"/>
    <w:rsid w:val="001C5671"/>
    <w:rsid w:val="001C7818"/>
    <w:rsid w:val="001C7A33"/>
    <w:rsid w:val="001C7A83"/>
    <w:rsid w:val="001D0274"/>
    <w:rsid w:val="001D0A3D"/>
    <w:rsid w:val="001D143D"/>
    <w:rsid w:val="001D1BD1"/>
    <w:rsid w:val="001D3402"/>
    <w:rsid w:val="001D379B"/>
    <w:rsid w:val="001D3977"/>
    <w:rsid w:val="001D3B81"/>
    <w:rsid w:val="001D4D26"/>
    <w:rsid w:val="001D4FD8"/>
    <w:rsid w:val="001D5CBA"/>
    <w:rsid w:val="001D5F99"/>
    <w:rsid w:val="001D6119"/>
    <w:rsid w:val="001D6B87"/>
    <w:rsid w:val="001D7FCE"/>
    <w:rsid w:val="001E0430"/>
    <w:rsid w:val="001E0486"/>
    <w:rsid w:val="001E0741"/>
    <w:rsid w:val="001E09A5"/>
    <w:rsid w:val="001E4B91"/>
    <w:rsid w:val="001E4BBB"/>
    <w:rsid w:val="001E5A8D"/>
    <w:rsid w:val="001E69E4"/>
    <w:rsid w:val="001F006A"/>
    <w:rsid w:val="001F0BE6"/>
    <w:rsid w:val="001F1848"/>
    <w:rsid w:val="001F1D53"/>
    <w:rsid w:val="001F2AAD"/>
    <w:rsid w:val="001F2EB6"/>
    <w:rsid w:val="001F2EBD"/>
    <w:rsid w:val="001F4B96"/>
    <w:rsid w:val="001F4DD5"/>
    <w:rsid w:val="001F4F83"/>
    <w:rsid w:val="001F5709"/>
    <w:rsid w:val="001F5C18"/>
    <w:rsid w:val="001F5CFC"/>
    <w:rsid w:val="001F6135"/>
    <w:rsid w:val="001F6589"/>
    <w:rsid w:val="001F6A03"/>
    <w:rsid w:val="001F6EF9"/>
    <w:rsid w:val="001F6FBB"/>
    <w:rsid w:val="001F76E4"/>
    <w:rsid w:val="001F7C25"/>
    <w:rsid w:val="001F7FB7"/>
    <w:rsid w:val="00200117"/>
    <w:rsid w:val="00200594"/>
    <w:rsid w:val="002006E2"/>
    <w:rsid w:val="00200BDF"/>
    <w:rsid w:val="002010F4"/>
    <w:rsid w:val="002014CF"/>
    <w:rsid w:val="00201DFA"/>
    <w:rsid w:val="0020250D"/>
    <w:rsid w:val="00203ADE"/>
    <w:rsid w:val="00203C30"/>
    <w:rsid w:val="00204335"/>
    <w:rsid w:val="002047F0"/>
    <w:rsid w:val="002047FD"/>
    <w:rsid w:val="00204E71"/>
    <w:rsid w:val="00205241"/>
    <w:rsid w:val="00205FEB"/>
    <w:rsid w:val="002060E3"/>
    <w:rsid w:val="002100FB"/>
    <w:rsid w:val="002108C3"/>
    <w:rsid w:val="0021130A"/>
    <w:rsid w:val="00211F68"/>
    <w:rsid w:val="002127D6"/>
    <w:rsid w:val="002132C7"/>
    <w:rsid w:val="0021364D"/>
    <w:rsid w:val="00213CDE"/>
    <w:rsid w:val="0021448E"/>
    <w:rsid w:val="002144B9"/>
    <w:rsid w:val="0021517B"/>
    <w:rsid w:val="00215A13"/>
    <w:rsid w:val="00215B79"/>
    <w:rsid w:val="00215E7E"/>
    <w:rsid w:val="00215F0F"/>
    <w:rsid w:val="00216130"/>
    <w:rsid w:val="00216146"/>
    <w:rsid w:val="00216169"/>
    <w:rsid w:val="00216FAF"/>
    <w:rsid w:val="0021701B"/>
    <w:rsid w:val="0022045E"/>
    <w:rsid w:val="00220E7A"/>
    <w:rsid w:val="00221119"/>
    <w:rsid w:val="0022186E"/>
    <w:rsid w:val="00221B43"/>
    <w:rsid w:val="002227A2"/>
    <w:rsid w:val="00222933"/>
    <w:rsid w:val="002233A3"/>
    <w:rsid w:val="0022385D"/>
    <w:rsid w:val="00223A02"/>
    <w:rsid w:val="0022431B"/>
    <w:rsid w:val="00224365"/>
    <w:rsid w:val="0022520A"/>
    <w:rsid w:val="002256CC"/>
    <w:rsid w:val="00226160"/>
    <w:rsid w:val="00226B1D"/>
    <w:rsid w:val="00226FB6"/>
    <w:rsid w:val="0022766F"/>
    <w:rsid w:val="0022797A"/>
    <w:rsid w:val="002306F7"/>
    <w:rsid w:val="00230BC6"/>
    <w:rsid w:val="00230D97"/>
    <w:rsid w:val="00230E4F"/>
    <w:rsid w:val="0023108E"/>
    <w:rsid w:val="0023151B"/>
    <w:rsid w:val="002323D7"/>
    <w:rsid w:val="002331B9"/>
    <w:rsid w:val="0023320F"/>
    <w:rsid w:val="00233220"/>
    <w:rsid w:val="00233A0B"/>
    <w:rsid w:val="00233E93"/>
    <w:rsid w:val="002343EF"/>
    <w:rsid w:val="00234626"/>
    <w:rsid w:val="00234A00"/>
    <w:rsid w:val="00235FF6"/>
    <w:rsid w:val="00236179"/>
    <w:rsid w:val="0023673F"/>
    <w:rsid w:val="002373BB"/>
    <w:rsid w:val="00237F9E"/>
    <w:rsid w:val="0024044C"/>
    <w:rsid w:val="00240E31"/>
    <w:rsid w:val="00240F90"/>
    <w:rsid w:val="00242960"/>
    <w:rsid w:val="002433A2"/>
    <w:rsid w:val="002437AC"/>
    <w:rsid w:val="00243D8D"/>
    <w:rsid w:val="00243EAE"/>
    <w:rsid w:val="0024406B"/>
    <w:rsid w:val="00244100"/>
    <w:rsid w:val="0024539D"/>
    <w:rsid w:val="0024559E"/>
    <w:rsid w:val="00246375"/>
    <w:rsid w:val="00247283"/>
    <w:rsid w:val="00247896"/>
    <w:rsid w:val="00252177"/>
    <w:rsid w:val="00252308"/>
    <w:rsid w:val="0025303B"/>
    <w:rsid w:val="00253127"/>
    <w:rsid w:val="00253472"/>
    <w:rsid w:val="002537CF"/>
    <w:rsid w:val="00253B42"/>
    <w:rsid w:val="00254144"/>
    <w:rsid w:val="002541A0"/>
    <w:rsid w:val="002542B0"/>
    <w:rsid w:val="002543C9"/>
    <w:rsid w:val="002546AE"/>
    <w:rsid w:val="002550B9"/>
    <w:rsid w:val="00256AC8"/>
    <w:rsid w:val="00256D92"/>
    <w:rsid w:val="0025731A"/>
    <w:rsid w:val="00257543"/>
    <w:rsid w:val="00261624"/>
    <w:rsid w:val="0026278F"/>
    <w:rsid w:val="00263B3D"/>
    <w:rsid w:val="002642CD"/>
    <w:rsid w:val="00264578"/>
    <w:rsid w:val="00264B7D"/>
    <w:rsid w:val="00264EED"/>
    <w:rsid w:val="002652C2"/>
    <w:rsid w:val="002652F3"/>
    <w:rsid w:val="00265B36"/>
    <w:rsid w:val="00266268"/>
    <w:rsid w:val="00266DDA"/>
    <w:rsid w:val="00267214"/>
    <w:rsid w:val="0026758F"/>
    <w:rsid w:val="00267C6B"/>
    <w:rsid w:val="00267EF6"/>
    <w:rsid w:val="00270864"/>
    <w:rsid w:val="00270CBC"/>
    <w:rsid w:val="00270E63"/>
    <w:rsid w:val="0027107A"/>
    <w:rsid w:val="002714D8"/>
    <w:rsid w:val="002716E7"/>
    <w:rsid w:val="00271AC1"/>
    <w:rsid w:val="00271F1F"/>
    <w:rsid w:val="002721EE"/>
    <w:rsid w:val="00272E38"/>
    <w:rsid w:val="00274060"/>
    <w:rsid w:val="0027408F"/>
    <w:rsid w:val="002753B4"/>
    <w:rsid w:val="00275492"/>
    <w:rsid w:val="00275AE1"/>
    <w:rsid w:val="00275ED2"/>
    <w:rsid w:val="0027617B"/>
    <w:rsid w:val="0027689A"/>
    <w:rsid w:val="00277633"/>
    <w:rsid w:val="00277C5E"/>
    <w:rsid w:val="00280F91"/>
    <w:rsid w:val="00281186"/>
    <w:rsid w:val="00281B9F"/>
    <w:rsid w:val="00281BAF"/>
    <w:rsid w:val="0028284C"/>
    <w:rsid w:val="0028319F"/>
    <w:rsid w:val="00283AB9"/>
    <w:rsid w:val="00283BC6"/>
    <w:rsid w:val="0028403F"/>
    <w:rsid w:val="00284383"/>
    <w:rsid w:val="00285234"/>
    <w:rsid w:val="002859E2"/>
    <w:rsid w:val="00285FF8"/>
    <w:rsid w:val="002861C0"/>
    <w:rsid w:val="002862A1"/>
    <w:rsid w:val="00286F9C"/>
    <w:rsid w:val="002876D9"/>
    <w:rsid w:val="00287D90"/>
    <w:rsid w:val="00291CF2"/>
    <w:rsid w:val="00291FF1"/>
    <w:rsid w:val="00292B1C"/>
    <w:rsid w:val="00293122"/>
    <w:rsid w:val="00293936"/>
    <w:rsid w:val="00294090"/>
    <w:rsid w:val="00295D4B"/>
    <w:rsid w:val="00297202"/>
    <w:rsid w:val="00297C71"/>
    <w:rsid w:val="002A001E"/>
    <w:rsid w:val="002A012C"/>
    <w:rsid w:val="002A04B8"/>
    <w:rsid w:val="002A092B"/>
    <w:rsid w:val="002A0A6B"/>
    <w:rsid w:val="002A0A9E"/>
    <w:rsid w:val="002A11A9"/>
    <w:rsid w:val="002A19B0"/>
    <w:rsid w:val="002A1FD6"/>
    <w:rsid w:val="002A26FB"/>
    <w:rsid w:val="002A2D44"/>
    <w:rsid w:val="002A3E9B"/>
    <w:rsid w:val="002A440F"/>
    <w:rsid w:val="002A5512"/>
    <w:rsid w:val="002A562B"/>
    <w:rsid w:val="002A7680"/>
    <w:rsid w:val="002A7F53"/>
    <w:rsid w:val="002B000E"/>
    <w:rsid w:val="002B0625"/>
    <w:rsid w:val="002B0E18"/>
    <w:rsid w:val="002B1184"/>
    <w:rsid w:val="002B1A10"/>
    <w:rsid w:val="002B1D08"/>
    <w:rsid w:val="002B2DBC"/>
    <w:rsid w:val="002B3DC7"/>
    <w:rsid w:val="002B5AFC"/>
    <w:rsid w:val="002B7D09"/>
    <w:rsid w:val="002B7D4E"/>
    <w:rsid w:val="002C0AD6"/>
    <w:rsid w:val="002C1066"/>
    <w:rsid w:val="002C1135"/>
    <w:rsid w:val="002C1E39"/>
    <w:rsid w:val="002C1E76"/>
    <w:rsid w:val="002C4F22"/>
    <w:rsid w:val="002C53EE"/>
    <w:rsid w:val="002C6BD6"/>
    <w:rsid w:val="002C6EB9"/>
    <w:rsid w:val="002D1F70"/>
    <w:rsid w:val="002D25CF"/>
    <w:rsid w:val="002D2F15"/>
    <w:rsid w:val="002D396E"/>
    <w:rsid w:val="002D39F0"/>
    <w:rsid w:val="002D3B25"/>
    <w:rsid w:val="002D3B44"/>
    <w:rsid w:val="002D3CF8"/>
    <w:rsid w:val="002D3E4B"/>
    <w:rsid w:val="002D3F84"/>
    <w:rsid w:val="002D3F9E"/>
    <w:rsid w:val="002D496E"/>
    <w:rsid w:val="002D5142"/>
    <w:rsid w:val="002D5604"/>
    <w:rsid w:val="002D5AE4"/>
    <w:rsid w:val="002D5E8C"/>
    <w:rsid w:val="002D60CE"/>
    <w:rsid w:val="002D6582"/>
    <w:rsid w:val="002D6F73"/>
    <w:rsid w:val="002D7492"/>
    <w:rsid w:val="002E09CC"/>
    <w:rsid w:val="002E0D5A"/>
    <w:rsid w:val="002E0DBC"/>
    <w:rsid w:val="002E0DE9"/>
    <w:rsid w:val="002E1330"/>
    <w:rsid w:val="002E1753"/>
    <w:rsid w:val="002E1E39"/>
    <w:rsid w:val="002E264F"/>
    <w:rsid w:val="002E3143"/>
    <w:rsid w:val="002E3EC8"/>
    <w:rsid w:val="002E3FF0"/>
    <w:rsid w:val="002E4A40"/>
    <w:rsid w:val="002E4E98"/>
    <w:rsid w:val="002E4F8B"/>
    <w:rsid w:val="002E5872"/>
    <w:rsid w:val="002E59F8"/>
    <w:rsid w:val="002E5BE2"/>
    <w:rsid w:val="002E5EA9"/>
    <w:rsid w:val="002E5FBE"/>
    <w:rsid w:val="002E6427"/>
    <w:rsid w:val="002E6459"/>
    <w:rsid w:val="002E6A6C"/>
    <w:rsid w:val="002E6AB9"/>
    <w:rsid w:val="002E6D28"/>
    <w:rsid w:val="002E74CC"/>
    <w:rsid w:val="002E78EC"/>
    <w:rsid w:val="002F063C"/>
    <w:rsid w:val="002F14A8"/>
    <w:rsid w:val="002F2177"/>
    <w:rsid w:val="002F3056"/>
    <w:rsid w:val="002F47CB"/>
    <w:rsid w:val="002F55B1"/>
    <w:rsid w:val="002F59DC"/>
    <w:rsid w:val="002F5B06"/>
    <w:rsid w:val="002F5DF2"/>
    <w:rsid w:val="002F6002"/>
    <w:rsid w:val="002F71EC"/>
    <w:rsid w:val="002F79B6"/>
    <w:rsid w:val="0030036E"/>
    <w:rsid w:val="00300412"/>
    <w:rsid w:val="0030053E"/>
    <w:rsid w:val="00300D51"/>
    <w:rsid w:val="00301453"/>
    <w:rsid w:val="0030198F"/>
    <w:rsid w:val="00302855"/>
    <w:rsid w:val="003028AA"/>
    <w:rsid w:val="00302DBD"/>
    <w:rsid w:val="00302FA7"/>
    <w:rsid w:val="0030335A"/>
    <w:rsid w:val="003036A6"/>
    <w:rsid w:val="0030410D"/>
    <w:rsid w:val="00304569"/>
    <w:rsid w:val="00304FA0"/>
    <w:rsid w:val="003053C9"/>
    <w:rsid w:val="003055F8"/>
    <w:rsid w:val="00305918"/>
    <w:rsid w:val="0030594A"/>
    <w:rsid w:val="0030689B"/>
    <w:rsid w:val="00306A78"/>
    <w:rsid w:val="00307531"/>
    <w:rsid w:val="0030765A"/>
    <w:rsid w:val="0030769E"/>
    <w:rsid w:val="003109CA"/>
    <w:rsid w:val="003109DF"/>
    <w:rsid w:val="00310B43"/>
    <w:rsid w:val="00311BA5"/>
    <w:rsid w:val="00311D56"/>
    <w:rsid w:val="00311DDD"/>
    <w:rsid w:val="003129ED"/>
    <w:rsid w:val="00313936"/>
    <w:rsid w:val="00313999"/>
    <w:rsid w:val="00314FF2"/>
    <w:rsid w:val="003157B6"/>
    <w:rsid w:val="00315DF9"/>
    <w:rsid w:val="00316302"/>
    <w:rsid w:val="0031644E"/>
    <w:rsid w:val="00316A94"/>
    <w:rsid w:val="00316F01"/>
    <w:rsid w:val="003175CF"/>
    <w:rsid w:val="00317FCA"/>
    <w:rsid w:val="003204D6"/>
    <w:rsid w:val="00320D4F"/>
    <w:rsid w:val="003212FB"/>
    <w:rsid w:val="00322145"/>
    <w:rsid w:val="00322248"/>
    <w:rsid w:val="003224A0"/>
    <w:rsid w:val="003229AE"/>
    <w:rsid w:val="00323CCA"/>
    <w:rsid w:val="00323D5E"/>
    <w:rsid w:val="00324448"/>
    <w:rsid w:val="0032531B"/>
    <w:rsid w:val="0032580C"/>
    <w:rsid w:val="00325FB2"/>
    <w:rsid w:val="00326074"/>
    <w:rsid w:val="00326FE6"/>
    <w:rsid w:val="00330E14"/>
    <w:rsid w:val="00331167"/>
    <w:rsid w:val="00332466"/>
    <w:rsid w:val="003326C9"/>
    <w:rsid w:val="00333E28"/>
    <w:rsid w:val="00334299"/>
    <w:rsid w:val="003348A1"/>
    <w:rsid w:val="00334FC9"/>
    <w:rsid w:val="00335E2E"/>
    <w:rsid w:val="00335F00"/>
    <w:rsid w:val="003363B0"/>
    <w:rsid w:val="0033652B"/>
    <w:rsid w:val="0033679B"/>
    <w:rsid w:val="0033785C"/>
    <w:rsid w:val="003378DA"/>
    <w:rsid w:val="00337C9D"/>
    <w:rsid w:val="003401D6"/>
    <w:rsid w:val="0034066B"/>
    <w:rsid w:val="00340C20"/>
    <w:rsid w:val="0034152D"/>
    <w:rsid w:val="00341B6E"/>
    <w:rsid w:val="0034245E"/>
    <w:rsid w:val="00342614"/>
    <w:rsid w:val="00342921"/>
    <w:rsid w:val="0034294F"/>
    <w:rsid w:val="003434A3"/>
    <w:rsid w:val="00343715"/>
    <w:rsid w:val="00343F5D"/>
    <w:rsid w:val="00344195"/>
    <w:rsid w:val="003448E1"/>
    <w:rsid w:val="003448EC"/>
    <w:rsid w:val="00344E09"/>
    <w:rsid w:val="00346094"/>
    <w:rsid w:val="003467BC"/>
    <w:rsid w:val="00347BFB"/>
    <w:rsid w:val="00347CBD"/>
    <w:rsid w:val="00347D11"/>
    <w:rsid w:val="00350193"/>
    <w:rsid w:val="00350352"/>
    <w:rsid w:val="0035136C"/>
    <w:rsid w:val="00351B70"/>
    <w:rsid w:val="00352B2B"/>
    <w:rsid w:val="003531B9"/>
    <w:rsid w:val="003538E2"/>
    <w:rsid w:val="00353EE1"/>
    <w:rsid w:val="003543F1"/>
    <w:rsid w:val="00354821"/>
    <w:rsid w:val="0035488B"/>
    <w:rsid w:val="00354966"/>
    <w:rsid w:val="003557C9"/>
    <w:rsid w:val="00355C5B"/>
    <w:rsid w:val="003565EB"/>
    <w:rsid w:val="00356B54"/>
    <w:rsid w:val="00356C4C"/>
    <w:rsid w:val="00357394"/>
    <w:rsid w:val="00357C3B"/>
    <w:rsid w:val="00357C74"/>
    <w:rsid w:val="00360838"/>
    <w:rsid w:val="003609B7"/>
    <w:rsid w:val="00360D4C"/>
    <w:rsid w:val="003611C2"/>
    <w:rsid w:val="00361A03"/>
    <w:rsid w:val="003622DF"/>
    <w:rsid w:val="00362B87"/>
    <w:rsid w:val="00362C3A"/>
    <w:rsid w:val="00363FE1"/>
    <w:rsid w:val="003654C7"/>
    <w:rsid w:val="00365CCC"/>
    <w:rsid w:val="00366A3E"/>
    <w:rsid w:val="00367471"/>
    <w:rsid w:val="00367990"/>
    <w:rsid w:val="00367CC3"/>
    <w:rsid w:val="00370F6F"/>
    <w:rsid w:val="00371DE1"/>
    <w:rsid w:val="003721CD"/>
    <w:rsid w:val="003724D4"/>
    <w:rsid w:val="003725B3"/>
    <w:rsid w:val="0037270F"/>
    <w:rsid w:val="00372EC4"/>
    <w:rsid w:val="0037316D"/>
    <w:rsid w:val="003744DD"/>
    <w:rsid w:val="00375978"/>
    <w:rsid w:val="0037702A"/>
    <w:rsid w:val="00377474"/>
    <w:rsid w:val="003801CA"/>
    <w:rsid w:val="00380286"/>
    <w:rsid w:val="00380322"/>
    <w:rsid w:val="00380652"/>
    <w:rsid w:val="0038148F"/>
    <w:rsid w:val="003826E0"/>
    <w:rsid w:val="003827FC"/>
    <w:rsid w:val="00383243"/>
    <w:rsid w:val="00383651"/>
    <w:rsid w:val="00383753"/>
    <w:rsid w:val="00384563"/>
    <w:rsid w:val="003848AB"/>
    <w:rsid w:val="00385104"/>
    <w:rsid w:val="00386A00"/>
    <w:rsid w:val="00387238"/>
    <w:rsid w:val="00391300"/>
    <w:rsid w:val="00391482"/>
    <w:rsid w:val="003914A9"/>
    <w:rsid w:val="00391684"/>
    <w:rsid w:val="00392200"/>
    <w:rsid w:val="00392217"/>
    <w:rsid w:val="00392513"/>
    <w:rsid w:val="003938CA"/>
    <w:rsid w:val="00393C8B"/>
    <w:rsid w:val="00393D43"/>
    <w:rsid w:val="003940D6"/>
    <w:rsid w:val="00394AFB"/>
    <w:rsid w:val="0039533A"/>
    <w:rsid w:val="00395EAF"/>
    <w:rsid w:val="0039652B"/>
    <w:rsid w:val="00396B6C"/>
    <w:rsid w:val="003972C0"/>
    <w:rsid w:val="00397B1B"/>
    <w:rsid w:val="003A017E"/>
    <w:rsid w:val="003A0555"/>
    <w:rsid w:val="003A1B71"/>
    <w:rsid w:val="003A2D04"/>
    <w:rsid w:val="003A2ED9"/>
    <w:rsid w:val="003A4637"/>
    <w:rsid w:val="003A4C86"/>
    <w:rsid w:val="003A5205"/>
    <w:rsid w:val="003A5373"/>
    <w:rsid w:val="003A5C59"/>
    <w:rsid w:val="003A6070"/>
    <w:rsid w:val="003A638F"/>
    <w:rsid w:val="003A67AB"/>
    <w:rsid w:val="003A68FE"/>
    <w:rsid w:val="003A7AAA"/>
    <w:rsid w:val="003A7D75"/>
    <w:rsid w:val="003A7FA7"/>
    <w:rsid w:val="003B0145"/>
    <w:rsid w:val="003B06BE"/>
    <w:rsid w:val="003B103E"/>
    <w:rsid w:val="003B13DB"/>
    <w:rsid w:val="003B210B"/>
    <w:rsid w:val="003B21B4"/>
    <w:rsid w:val="003B25AB"/>
    <w:rsid w:val="003B2849"/>
    <w:rsid w:val="003B2934"/>
    <w:rsid w:val="003B2C38"/>
    <w:rsid w:val="003B2F4B"/>
    <w:rsid w:val="003B3DB6"/>
    <w:rsid w:val="003B4120"/>
    <w:rsid w:val="003B43E3"/>
    <w:rsid w:val="003B5034"/>
    <w:rsid w:val="003B6574"/>
    <w:rsid w:val="003B66F2"/>
    <w:rsid w:val="003B7068"/>
    <w:rsid w:val="003B77A5"/>
    <w:rsid w:val="003B7A84"/>
    <w:rsid w:val="003B7D00"/>
    <w:rsid w:val="003C034A"/>
    <w:rsid w:val="003C041A"/>
    <w:rsid w:val="003C08E7"/>
    <w:rsid w:val="003C0962"/>
    <w:rsid w:val="003C131D"/>
    <w:rsid w:val="003C1759"/>
    <w:rsid w:val="003C24F1"/>
    <w:rsid w:val="003C2585"/>
    <w:rsid w:val="003C2606"/>
    <w:rsid w:val="003C3763"/>
    <w:rsid w:val="003C3BA7"/>
    <w:rsid w:val="003C65ED"/>
    <w:rsid w:val="003C67D8"/>
    <w:rsid w:val="003C6C28"/>
    <w:rsid w:val="003C7009"/>
    <w:rsid w:val="003C773A"/>
    <w:rsid w:val="003C7D9F"/>
    <w:rsid w:val="003C7FC2"/>
    <w:rsid w:val="003D010B"/>
    <w:rsid w:val="003D0D49"/>
    <w:rsid w:val="003D0DA4"/>
    <w:rsid w:val="003D159A"/>
    <w:rsid w:val="003D1C68"/>
    <w:rsid w:val="003D1DA8"/>
    <w:rsid w:val="003D22AB"/>
    <w:rsid w:val="003D274A"/>
    <w:rsid w:val="003D2786"/>
    <w:rsid w:val="003D29D0"/>
    <w:rsid w:val="003D2CA6"/>
    <w:rsid w:val="003D31E5"/>
    <w:rsid w:val="003D343A"/>
    <w:rsid w:val="003D387F"/>
    <w:rsid w:val="003D3D62"/>
    <w:rsid w:val="003D415B"/>
    <w:rsid w:val="003D48CE"/>
    <w:rsid w:val="003D4A69"/>
    <w:rsid w:val="003D4BAB"/>
    <w:rsid w:val="003D571F"/>
    <w:rsid w:val="003D6669"/>
    <w:rsid w:val="003D6B2C"/>
    <w:rsid w:val="003D78A3"/>
    <w:rsid w:val="003E0092"/>
    <w:rsid w:val="003E0393"/>
    <w:rsid w:val="003E0726"/>
    <w:rsid w:val="003E0F1E"/>
    <w:rsid w:val="003E1939"/>
    <w:rsid w:val="003E1C2D"/>
    <w:rsid w:val="003E2099"/>
    <w:rsid w:val="003E29DD"/>
    <w:rsid w:val="003E2F7E"/>
    <w:rsid w:val="003E4D29"/>
    <w:rsid w:val="003E57E7"/>
    <w:rsid w:val="003E62B3"/>
    <w:rsid w:val="003E7DB2"/>
    <w:rsid w:val="003E7EC1"/>
    <w:rsid w:val="003F09BB"/>
    <w:rsid w:val="003F0B1E"/>
    <w:rsid w:val="003F0C48"/>
    <w:rsid w:val="003F0E1F"/>
    <w:rsid w:val="003F0F62"/>
    <w:rsid w:val="003F3211"/>
    <w:rsid w:val="003F354F"/>
    <w:rsid w:val="003F3831"/>
    <w:rsid w:val="003F3A6D"/>
    <w:rsid w:val="003F562C"/>
    <w:rsid w:val="003F65FD"/>
    <w:rsid w:val="003F67C1"/>
    <w:rsid w:val="003F690E"/>
    <w:rsid w:val="003F6B67"/>
    <w:rsid w:val="003F767D"/>
    <w:rsid w:val="0040049A"/>
    <w:rsid w:val="00400883"/>
    <w:rsid w:val="00401339"/>
    <w:rsid w:val="0040175D"/>
    <w:rsid w:val="004017A3"/>
    <w:rsid w:val="00401A64"/>
    <w:rsid w:val="00402718"/>
    <w:rsid w:val="00402D70"/>
    <w:rsid w:val="00403375"/>
    <w:rsid w:val="004040BB"/>
    <w:rsid w:val="00405978"/>
    <w:rsid w:val="00405C4A"/>
    <w:rsid w:val="00405E1D"/>
    <w:rsid w:val="0040606E"/>
    <w:rsid w:val="004063A5"/>
    <w:rsid w:val="00406569"/>
    <w:rsid w:val="00406A24"/>
    <w:rsid w:val="004074E1"/>
    <w:rsid w:val="004075E1"/>
    <w:rsid w:val="00407EC4"/>
    <w:rsid w:val="00410B40"/>
    <w:rsid w:val="004110CF"/>
    <w:rsid w:val="004114A2"/>
    <w:rsid w:val="004117F1"/>
    <w:rsid w:val="00411BED"/>
    <w:rsid w:val="00411ED9"/>
    <w:rsid w:val="00412C13"/>
    <w:rsid w:val="00413845"/>
    <w:rsid w:val="00416435"/>
    <w:rsid w:val="00416794"/>
    <w:rsid w:val="004167C8"/>
    <w:rsid w:val="00416AD2"/>
    <w:rsid w:val="00416D96"/>
    <w:rsid w:val="00417239"/>
    <w:rsid w:val="004179BB"/>
    <w:rsid w:val="00417DB3"/>
    <w:rsid w:val="0042050F"/>
    <w:rsid w:val="004215D9"/>
    <w:rsid w:val="004216BD"/>
    <w:rsid w:val="004217E1"/>
    <w:rsid w:val="00421C4A"/>
    <w:rsid w:val="00422A99"/>
    <w:rsid w:val="00422D7A"/>
    <w:rsid w:val="0042354C"/>
    <w:rsid w:val="00424417"/>
    <w:rsid w:val="00424831"/>
    <w:rsid w:val="00424F9E"/>
    <w:rsid w:val="00425BFB"/>
    <w:rsid w:val="00425D43"/>
    <w:rsid w:val="00425E88"/>
    <w:rsid w:val="004263B8"/>
    <w:rsid w:val="004263F5"/>
    <w:rsid w:val="00426731"/>
    <w:rsid w:val="004269CC"/>
    <w:rsid w:val="004272DF"/>
    <w:rsid w:val="00427463"/>
    <w:rsid w:val="00427976"/>
    <w:rsid w:val="00427DCD"/>
    <w:rsid w:val="00427EA1"/>
    <w:rsid w:val="004303FF"/>
    <w:rsid w:val="004305FB"/>
    <w:rsid w:val="0043097D"/>
    <w:rsid w:val="00430D11"/>
    <w:rsid w:val="00430E43"/>
    <w:rsid w:val="00430F51"/>
    <w:rsid w:val="00431EE1"/>
    <w:rsid w:val="00432503"/>
    <w:rsid w:val="004327BD"/>
    <w:rsid w:val="0043282B"/>
    <w:rsid w:val="00432987"/>
    <w:rsid w:val="00432E6F"/>
    <w:rsid w:val="00433862"/>
    <w:rsid w:val="00433D9D"/>
    <w:rsid w:val="0043416A"/>
    <w:rsid w:val="00434983"/>
    <w:rsid w:val="00434E67"/>
    <w:rsid w:val="0043535D"/>
    <w:rsid w:val="00435E51"/>
    <w:rsid w:val="004366FE"/>
    <w:rsid w:val="00436879"/>
    <w:rsid w:val="00436C09"/>
    <w:rsid w:val="00436FC4"/>
    <w:rsid w:val="004374BE"/>
    <w:rsid w:val="00437CE2"/>
    <w:rsid w:val="004432D1"/>
    <w:rsid w:val="00443448"/>
    <w:rsid w:val="00443751"/>
    <w:rsid w:val="00443E21"/>
    <w:rsid w:val="00445DC3"/>
    <w:rsid w:val="00446840"/>
    <w:rsid w:val="0044687F"/>
    <w:rsid w:val="0044745A"/>
    <w:rsid w:val="004508A4"/>
    <w:rsid w:val="00451C08"/>
    <w:rsid w:val="004527DD"/>
    <w:rsid w:val="00452C31"/>
    <w:rsid w:val="00452CF8"/>
    <w:rsid w:val="004532D4"/>
    <w:rsid w:val="00453380"/>
    <w:rsid w:val="00453B71"/>
    <w:rsid w:val="00454564"/>
    <w:rsid w:val="00455FB5"/>
    <w:rsid w:val="004560AC"/>
    <w:rsid w:val="004564BF"/>
    <w:rsid w:val="00456C8E"/>
    <w:rsid w:val="00456D2F"/>
    <w:rsid w:val="004578FE"/>
    <w:rsid w:val="00457AFE"/>
    <w:rsid w:val="0046068B"/>
    <w:rsid w:val="00460B52"/>
    <w:rsid w:val="00461A74"/>
    <w:rsid w:val="00462A14"/>
    <w:rsid w:val="00463788"/>
    <w:rsid w:val="0046394B"/>
    <w:rsid w:val="00464038"/>
    <w:rsid w:val="0046516B"/>
    <w:rsid w:val="00465804"/>
    <w:rsid w:val="004666DE"/>
    <w:rsid w:val="004674A5"/>
    <w:rsid w:val="00470463"/>
    <w:rsid w:val="0047072A"/>
    <w:rsid w:val="00470A13"/>
    <w:rsid w:val="00471AC2"/>
    <w:rsid w:val="00471AE4"/>
    <w:rsid w:val="00471BE8"/>
    <w:rsid w:val="00471DDD"/>
    <w:rsid w:val="00472438"/>
    <w:rsid w:val="00472C50"/>
    <w:rsid w:val="0047393B"/>
    <w:rsid w:val="00473F74"/>
    <w:rsid w:val="00474A5E"/>
    <w:rsid w:val="00475421"/>
    <w:rsid w:val="004760BE"/>
    <w:rsid w:val="004768F1"/>
    <w:rsid w:val="00477B08"/>
    <w:rsid w:val="00477CB5"/>
    <w:rsid w:val="004801D3"/>
    <w:rsid w:val="004805AC"/>
    <w:rsid w:val="00480A2E"/>
    <w:rsid w:val="00480E70"/>
    <w:rsid w:val="00480F22"/>
    <w:rsid w:val="0048118D"/>
    <w:rsid w:val="00482B04"/>
    <w:rsid w:val="00483095"/>
    <w:rsid w:val="0048328A"/>
    <w:rsid w:val="00483EED"/>
    <w:rsid w:val="00484B53"/>
    <w:rsid w:val="00486F6C"/>
    <w:rsid w:val="0048713B"/>
    <w:rsid w:val="00487854"/>
    <w:rsid w:val="0048785B"/>
    <w:rsid w:val="004902C5"/>
    <w:rsid w:val="00490CBC"/>
    <w:rsid w:val="00490E4C"/>
    <w:rsid w:val="00491CCA"/>
    <w:rsid w:val="00491D20"/>
    <w:rsid w:val="00492194"/>
    <w:rsid w:val="00492D6F"/>
    <w:rsid w:val="00493430"/>
    <w:rsid w:val="004936A8"/>
    <w:rsid w:val="004937F6"/>
    <w:rsid w:val="0049656E"/>
    <w:rsid w:val="00497A8D"/>
    <w:rsid w:val="004A060D"/>
    <w:rsid w:val="004A160B"/>
    <w:rsid w:val="004A1D45"/>
    <w:rsid w:val="004A21BC"/>
    <w:rsid w:val="004A235D"/>
    <w:rsid w:val="004A30EE"/>
    <w:rsid w:val="004A30F8"/>
    <w:rsid w:val="004A33F8"/>
    <w:rsid w:val="004A3915"/>
    <w:rsid w:val="004A4076"/>
    <w:rsid w:val="004A48A6"/>
    <w:rsid w:val="004A53C6"/>
    <w:rsid w:val="004A5A1F"/>
    <w:rsid w:val="004A6716"/>
    <w:rsid w:val="004A6C98"/>
    <w:rsid w:val="004A72AF"/>
    <w:rsid w:val="004A7997"/>
    <w:rsid w:val="004A7E2C"/>
    <w:rsid w:val="004B03B0"/>
    <w:rsid w:val="004B0A7B"/>
    <w:rsid w:val="004B0FC5"/>
    <w:rsid w:val="004B100E"/>
    <w:rsid w:val="004B113D"/>
    <w:rsid w:val="004B1166"/>
    <w:rsid w:val="004B2A9E"/>
    <w:rsid w:val="004B2E6E"/>
    <w:rsid w:val="004B372E"/>
    <w:rsid w:val="004B395F"/>
    <w:rsid w:val="004B3A7A"/>
    <w:rsid w:val="004B4004"/>
    <w:rsid w:val="004B54B5"/>
    <w:rsid w:val="004B570C"/>
    <w:rsid w:val="004B6318"/>
    <w:rsid w:val="004B6FC5"/>
    <w:rsid w:val="004B7071"/>
    <w:rsid w:val="004B75AD"/>
    <w:rsid w:val="004C0264"/>
    <w:rsid w:val="004C0B0C"/>
    <w:rsid w:val="004C0BDB"/>
    <w:rsid w:val="004C1167"/>
    <w:rsid w:val="004C1529"/>
    <w:rsid w:val="004C195D"/>
    <w:rsid w:val="004C1FB9"/>
    <w:rsid w:val="004C2358"/>
    <w:rsid w:val="004C34BE"/>
    <w:rsid w:val="004C40C7"/>
    <w:rsid w:val="004C4A83"/>
    <w:rsid w:val="004C4B51"/>
    <w:rsid w:val="004C4BEA"/>
    <w:rsid w:val="004C5124"/>
    <w:rsid w:val="004C53D0"/>
    <w:rsid w:val="004C54BF"/>
    <w:rsid w:val="004C5C65"/>
    <w:rsid w:val="004C7D9E"/>
    <w:rsid w:val="004C7F8B"/>
    <w:rsid w:val="004D0445"/>
    <w:rsid w:val="004D0B67"/>
    <w:rsid w:val="004D12BB"/>
    <w:rsid w:val="004D1810"/>
    <w:rsid w:val="004D1E9A"/>
    <w:rsid w:val="004D1EDC"/>
    <w:rsid w:val="004D232E"/>
    <w:rsid w:val="004D260C"/>
    <w:rsid w:val="004D35B7"/>
    <w:rsid w:val="004D35C2"/>
    <w:rsid w:val="004D3829"/>
    <w:rsid w:val="004D3C90"/>
    <w:rsid w:val="004D5886"/>
    <w:rsid w:val="004D5C90"/>
    <w:rsid w:val="004D6132"/>
    <w:rsid w:val="004D6459"/>
    <w:rsid w:val="004D6D9F"/>
    <w:rsid w:val="004D740C"/>
    <w:rsid w:val="004D7411"/>
    <w:rsid w:val="004D78B3"/>
    <w:rsid w:val="004E0ADD"/>
    <w:rsid w:val="004E0C41"/>
    <w:rsid w:val="004E135B"/>
    <w:rsid w:val="004E1A3F"/>
    <w:rsid w:val="004E24EB"/>
    <w:rsid w:val="004E25B9"/>
    <w:rsid w:val="004E299B"/>
    <w:rsid w:val="004E2B11"/>
    <w:rsid w:val="004E2B54"/>
    <w:rsid w:val="004E2F69"/>
    <w:rsid w:val="004E327B"/>
    <w:rsid w:val="004E3593"/>
    <w:rsid w:val="004E3A0F"/>
    <w:rsid w:val="004E5800"/>
    <w:rsid w:val="004E583A"/>
    <w:rsid w:val="004E6FD6"/>
    <w:rsid w:val="004E762E"/>
    <w:rsid w:val="004F0119"/>
    <w:rsid w:val="004F0A38"/>
    <w:rsid w:val="004F0B14"/>
    <w:rsid w:val="004F0E2B"/>
    <w:rsid w:val="004F1B5A"/>
    <w:rsid w:val="004F232F"/>
    <w:rsid w:val="004F406A"/>
    <w:rsid w:val="004F47E3"/>
    <w:rsid w:val="004F4DFD"/>
    <w:rsid w:val="004F5355"/>
    <w:rsid w:val="004F546F"/>
    <w:rsid w:val="004F557F"/>
    <w:rsid w:val="004F593B"/>
    <w:rsid w:val="004F5F19"/>
    <w:rsid w:val="004F643D"/>
    <w:rsid w:val="004F6BD0"/>
    <w:rsid w:val="004F6FE9"/>
    <w:rsid w:val="004F7206"/>
    <w:rsid w:val="004F7AAD"/>
    <w:rsid w:val="005015AD"/>
    <w:rsid w:val="00502A81"/>
    <w:rsid w:val="005032D3"/>
    <w:rsid w:val="00504338"/>
    <w:rsid w:val="005046E5"/>
    <w:rsid w:val="00504A23"/>
    <w:rsid w:val="00504AF1"/>
    <w:rsid w:val="00505052"/>
    <w:rsid w:val="00505B9F"/>
    <w:rsid w:val="00505C10"/>
    <w:rsid w:val="005074FF"/>
    <w:rsid w:val="00507669"/>
    <w:rsid w:val="00510E89"/>
    <w:rsid w:val="005110F4"/>
    <w:rsid w:val="00511352"/>
    <w:rsid w:val="00511A58"/>
    <w:rsid w:val="00511A62"/>
    <w:rsid w:val="00512E2D"/>
    <w:rsid w:val="00513B3C"/>
    <w:rsid w:val="005143C1"/>
    <w:rsid w:val="0051465D"/>
    <w:rsid w:val="005146F4"/>
    <w:rsid w:val="00514B0D"/>
    <w:rsid w:val="005151FC"/>
    <w:rsid w:val="005157B8"/>
    <w:rsid w:val="00515C37"/>
    <w:rsid w:val="005168DC"/>
    <w:rsid w:val="005179A8"/>
    <w:rsid w:val="0052016B"/>
    <w:rsid w:val="005205E8"/>
    <w:rsid w:val="00521002"/>
    <w:rsid w:val="005214E3"/>
    <w:rsid w:val="005219A3"/>
    <w:rsid w:val="00521F21"/>
    <w:rsid w:val="005228CD"/>
    <w:rsid w:val="00522B21"/>
    <w:rsid w:val="00522C0E"/>
    <w:rsid w:val="005246F4"/>
    <w:rsid w:val="005257EA"/>
    <w:rsid w:val="00525930"/>
    <w:rsid w:val="005267DF"/>
    <w:rsid w:val="00526AB7"/>
    <w:rsid w:val="00526E20"/>
    <w:rsid w:val="00526EC9"/>
    <w:rsid w:val="005273E1"/>
    <w:rsid w:val="005309D1"/>
    <w:rsid w:val="00530A93"/>
    <w:rsid w:val="0053149D"/>
    <w:rsid w:val="00531C6C"/>
    <w:rsid w:val="005322AC"/>
    <w:rsid w:val="00532AFF"/>
    <w:rsid w:val="005330F7"/>
    <w:rsid w:val="0053319F"/>
    <w:rsid w:val="00533B69"/>
    <w:rsid w:val="00534C84"/>
    <w:rsid w:val="005356F2"/>
    <w:rsid w:val="00536267"/>
    <w:rsid w:val="00537668"/>
    <w:rsid w:val="005376C5"/>
    <w:rsid w:val="00540091"/>
    <w:rsid w:val="00540C89"/>
    <w:rsid w:val="00541CED"/>
    <w:rsid w:val="00541D9E"/>
    <w:rsid w:val="00541DA5"/>
    <w:rsid w:val="0054261A"/>
    <w:rsid w:val="00542764"/>
    <w:rsid w:val="00542C59"/>
    <w:rsid w:val="00542C84"/>
    <w:rsid w:val="00543E2A"/>
    <w:rsid w:val="00543FBB"/>
    <w:rsid w:val="0054456C"/>
    <w:rsid w:val="005458A4"/>
    <w:rsid w:val="0054696B"/>
    <w:rsid w:val="00546999"/>
    <w:rsid w:val="00547439"/>
    <w:rsid w:val="005476FC"/>
    <w:rsid w:val="00550964"/>
    <w:rsid w:val="005510C0"/>
    <w:rsid w:val="00551161"/>
    <w:rsid w:val="005522B9"/>
    <w:rsid w:val="005524C3"/>
    <w:rsid w:val="0055279B"/>
    <w:rsid w:val="00552C18"/>
    <w:rsid w:val="005530D1"/>
    <w:rsid w:val="0055331C"/>
    <w:rsid w:val="00553583"/>
    <w:rsid w:val="00554A97"/>
    <w:rsid w:val="00554EB8"/>
    <w:rsid w:val="005560B0"/>
    <w:rsid w:val="0055644B"/>
    <w:rsid w:val="00556CAD"/>
    <w:rsid w:val="00556FB8"/>
    <w:rsid w:val="005570CB"/>
    <w:rsid w:val="0055757D"/>
    <w:rsid w:val="00557D5E"/>
    <w:rsid w:val="00561438"/>
    <w:rsid w:val="00561C73"/>
    <w:rsid w:val="00561CA4"/>
    <w:rsid w:val="00562348"/>
    <w:rsid w:val="00562A3C"/>
    <w:rsid w:val="005630CA"/>
    <w:rsid w:val="005631EC"/>
    <w:rsid w:val="00563598"/>
    <w:rsid w:val="00563815"/>
    <w:rsid w:val="00563E48"/>
    <w:rsid w:val="005645E0"/>
    <w:rsid w:val="00564CF0"/>
    <w:rsid w:val="00565814"/>
    <w:rsid w:val="005661F3"/>
    <w:rsid w:val="00567189"/>
    <w:rsid w:val="00567E6E"/>
    <w:rsid w:val="00570258"/>
    <w:rsid w:val="00570435"/>
    <w:rsid w:val="00570AA2"/>
    <w:rsid w:val="00570EA4"/>
    <w:rsid w:val="0057141B"/>
    <w:rsid w:val="00571AE1"/>
    <w:rsid w:val="00571E6C"/>
    <w:rsid w:val="00572A07"/>
    <w:rsid w:val="00572B1B"/>
    <w:rsid w:val="00572B28"/>
    <w:rsid w:val="005730B7"/>
    <w:rsid w:val="0057383B"/>
    <w:rsid w:val="00573F94"/>
    <w:rsid w:val="00574D17"/>
    <w:rsid w:val="00574F16"/>
    <w:rsid w:val="005757FF"/>
    <w:rsid w:val="00575A8A"/>
    <w:rsid w:val="005773A7"/>
    <w:rsid w:val="005778DA"/>
    <w:rsid w:val="00580B35"/>
    <w:rsid w:val="0058185C"/>
    <w:rsid w:val="00581FEF"/>
    <w:rsid w:val="005829BF"/>
    <w:rsid w:val="005837B5"/>
    <w:rsid w:val="00583BFF"/>
    <w:rsid w:val="005846C7"/>
    <w:rsid w:val="005847DF"/>
    <w:rsid w:val="00584E04"/>
    <w:rsid w:val="00584F45"/>
    <w:rsid w:val="00585182"/>
    <w:rsid w:val="005859C0"/>
    <w:rsid w:val="00585C2E"/>
    <w:rsid w:val="005870B5"/>
    <w:rsid w:val="00587129"/>
    <w:rsid w:val="0059009B"/>
    <w:rsid w:val="00590CED"/>
    <w:rsid w:val="00590F91"/>
    <w:rsid w:val="00591632"/>
    <w:rsid w:val="00591C5A"/>
    <w:rsid w:val="00592662"/>
    <w:rsid w:val="00592B5C"/>
    <w:rsid w:val="00593D80"/>
    <w:rsid w:val="00595B3D"/>
    <w:rsid w:val="00595EC0"/>
    <w:rsid w:val="005968EB"/>
    <w:rsid w:val="00596BD0"/>
    <w:rsid w:val="00597379"/>
    <w:rsid w:val="00597744"/>
    <w:rsid w:val="00597992"/>
    <w:rsid w:val="005A018D"/>
    <w:rsid w:val="005A0447"/>
    <w:rsid w:val="005A124C"/>
    <w:rsid w:val="005A178A"/>
    <w:rsid w:val="005A1C26"/>
    <w:rsid w:val="005A2573"/>
    <w:rsid w:val="005A2951"/>
    <w:rsid w:val="005A3CBC"/>
    <w:rsid w:val="005A3E04"/>
    <w:rsid w:val="005A4CC2"/>
    <w:rsid w:val="005A5F4F"/>
    <w:rsid w:val="005A651C"/>
    <w:rsid w:val="005A66EB"/>
    <w:rsid w:val="005A69CE"/>
    <w:rsid w:val="005A6AA2"/>
    <w:rsid w:val="005A710F"/>
    <w:rsid w:val="005A723E"/>
    <w:rsid w:val="005A7782"/>
    <w:rsid w:val="005A7A5D"/>
    <w:rsid w:val="005A7B85"/>
    <w:rsid w:val="005B006B"/>
    <w:rsid w:val="005B0395"/>
    <w:rsid w:val="005B03E1"/>
    <w:rsid w:val="005B075A"/>
    <w:rsid w:val="005B131D"/>
    <w:rsid w:val="005B17D3"/>
    <w:rsid w:val="005B1C8E"/>
    <w:rsid w:val="005B1F40"/>
    <w:rsid w:val="005B2622"/>
    <w:rsid w:val="005B2D53"/>
    <w:rsid w:val="005B2F1A"/>
    <w:rsid w:val="005B307A"/>
    <w:rsid w:val="005B3822"/>
    <w:rsid w:val="005B419A"/>
    <w:rsid w:val="005B43C5"/>
    <w:rsid w:val="005B4751"/>
    <w:rsid w:val="005B54C7"/>
    <w:rsid w:val="005B55FC"/>
    <w:rsid w:val="005B5815"/>
    <w:rsid w:val="005B5B46"/>
    <w:rsid w:val="005B6406"/>
    <w:rsid w:val="005B6847"/>
    <w:rsid w:val="005B6A00"/>
    <w:rsid w:val="005B7368"/>
    <w:rsid w:val="005B77B9"/>
    <w:rsid w:val="005B7AEE"/>
    <w:rsid w:val="005C02B0"/>
    <w:rsid w:val="005C0A03"/>
    <w:rsid w:val="005C182B"/>
    <w:rsid w:val="005C18BB"/>
    <w:rsid w:val="005C18E1"/>
    <w:rsid w:val="005C1E35"/>
    <w:rsid w:val="005C200E"/>
    <w:rsid w:val="005C233C"/>
    <w:rsid w:val="005C262D"/>
    <w:rsid w:val="005C283A"/>
    <w:rsid w:val="005C345B"/>
    <w:rsid w:val="005C4233"/>
    <w:rsid w:val="005C4994"/>
    <w:rsid w:val="005C50C8"/>
    <w:rsid w:val="005C570B"/>
    <w:rsid w:val="005C65EA"/>
    <w:rsid w:val="005C6784"/>
    <w:rsid w:val="005C6E8E"/>
    <w:rsid w:val="005C7EE9"/>
    <w:rsid w:val="005D0418"/>
    <w:rsid w:val="005D05F5"/>
    <w:rsid w:val="005D0BFA"/>
    <w:rsid w:val="005D0F31"/>
    <w:rsid w:val="005D1278"/>
    <w:rsid w:val="005D1C1D"/>
    <w:rsid w:val="005D1D51"/>
    <w:rsid w:val="005D1E0D"/>
    <w:rsid w:val="005D2258"/>
    <w:rsid w:val="005D2D28"/>
    <w:rsid w:val="005D2F9C"/>
    <w:rsid w:val="005D3326"/>
    <w:rsid w:val="005D345E"/>
    <w:rsid w:val="005D3857"/>
    <w:rsid w:val="005D3D65"/>
    <w:rsid w:val="005D488F"/>
    <w:rsid w:val="005D549C"/>
    <w:rsid w:val="005D5AB5"/>
    <w:rsid w:val="005D5C9B"/>
    <w:rsid w:val="005D6D29"/>
    <w:rsid w:val="005D6E51"/>
    <w:rsid w:val="005D6E6F"/>
    <w:rsid w:val="005D7204"/>
    <w:rsid w:val="005E0D1C"/>
    <w:rsid w:val="005E1DAD"/>
    <w:rsid w:val="005E2706"/>
    <w:rsid w:val="005E2D32"/>
    <w:rsid w:val="005E354B"/>
    <w:rsid w:val="005E4D31"/>
    <w:rsid w:val="005E5A53"/>
    <w:rsid w:val="005E5EA5"/>
    <w:rsid w:val="005E5FAE"/>
    <w:rsid w:val="005E7313"/>
    <w:rsid w:val="005F00C7"/>
    <w:rsid w:val="005F1F45"/>
    <w:rsid w:val="005F26E0"/>
    <w:rsid w:val="005F38D3"/>
    <w:rsid w:val="005F3C1B"/>
    <w:rsid w:val="005F3C3F"/>
    <w:rsid w:val="005F456E"/>
    <w:rsid w:val="005F45CE"/>
    <w:rsid w:val="005F48B4"/>
    <w:rsid w:val="005F50ED"/>
    <w:rsid w:val="005F5A7A"/>
    <w:rsid w:val="005F6F0F"/>
    <w:rsid w:val="005F6F6A"/>
    <w:rsid w:val="005F7C42"/>
    <w:rsid w:val="005F7F70"/>
    <w:rsid w:val="0060059A"/>
    <w:rsid w:val="006005F8"/>
    <w:rsid w:val="00600B90"/>
    <w:rsid w:val="00601417"/>
    <w:rsid w:val="00602D5B"/>
    <w:rsid w:val="00602E98"/>
    <w:rsid w:val="006033DA"/>
    <w:rsid w:val="00603DA7"/>
    <w:rsid w:val="00604229"/>
    <w:rsid w:val="00604736"/>
    <w:rsid w:val="006054D8"/>
    <w:rsid w:val="00605A70"/>
    <w:rsid w:val="0060651F"/>
    <w:rsid w:val="006067A8"/>
    <w:rsid w:val="006069D9"/>
    <w:rsid w:val="00606F78"/>
    <w:rsid w:val="006071CB"/>
    <w:rsid w:val="006100C4"/>
    <w:rsid w:val="00610331"/>
    <w:rsid w:val="00610A17"/>
    <w:rsid w:val="00610FAE"/>
    <w:rsid w:val="00611F37"/>
    <w:rsid w:val="006120F5"/>
    <w:rsid w:val="00612540"/>
    <w:rsid w:val="00612B57"/>
    <w:rsid w:val="006136F1"/>
    <w:rsid w:val="00613853"/>
    <w:rsid w:val="00613A07"/>
    <w:rsid w:val="00613C13"/>
    <w:rsid w:val="0061410D"/>
    <w:rsid w:val="006143EC"/>
    <w:rsid w:val="006146B2"/>
    <w:rsid w:val="00615382"/>
    <w:rsid w:val="0061554C"/>
    <w:rsid w:val="00615EEB"/>
    <w:rsid w:val="0061633A"/>
    <w:rsid w:val="00617756"/>
    <w:rsid w:val="00617F7A"/>
    <w:rsid w:val="006209FE"/>
    <w:rsid w:val="00621AEF"/>
    <w:rsid w:val="00621DAF"/>
    <w:rsid w:val="00621EF7"/>
    <w:rsid w:val="00622566"/>
    <w:rsid w:val="00622A42"/>
    <w:rsid w:val="00622FA5"/>
    <w:rsid w:val="0062317A"/>
    <w:rsid w:val="00624219"/>
    <w:rsid w:val="00624B77"/>
    <w:rsid w:val="00625300"/>
    <w:rsid w:val="00625570"/>
    <w:rsid w:val="0062638A"/>
    <w:rsid w:val="00626E5F"/>
    <w:rsid w:val="006301D0"/>
    <w:rsid w:val="0063025C"/>
    <w:rsid w:val="0063026B"/>
    <w:rsid w:val="00630E48"/>
    <w:rsid w:val="006310A3"/>
    <w:rsid w:val="006315E4"/>
    <w:rsid w:val="00631958"/>
    <w:rsid w:val="00631BB0"/>
    <w:rsid w:val="006322ED"/>
    <w:rsid w:val="00632DD6"/>
    <w:rsid w:val="00632E0C"/>
    <w:rsid w:val="00634DC6"/>
    <w:rsid w:val="00635587"/>
    <w:rsid w:val="00635651"/>
    <w:rsid w:val="00635905"/>
    <w:rsid w:val="00636358"/>
    <w:rsid w:val="00636804"/>
    <w:rsid w:val="00636FC1"/>
    <w:rsid w:val="00641008"/>
    <w:rsid w:val="00641573"/>
    <w:rsid w:val="00641927"/>
    <w:rsid w:val="006424CD"/>
    <w:rsid w:val="006430EB"/>
    <w:rsid w:val="00643229"/>
    <w:rsid w:val="006437D3"/>
    <w:rsid w:val="00643A7A"/>
    <w:rsid w:val="00644194"/>
    <w:rsid w:val="0064567C"/>
    <w:rsid w:val="006456EC"/>
    <w:rsid w:val="006457E1"/>
    <w:rsid w:val="00645A27"/>
    <w:rsid w:val="00646278"/>
    <w:rsid w:val="00646BDD"/>
    <w:rsid w:val="00647065"/>
    <w:rsid w:val="006470B0"/>
    <w:rsid w:val="00647302"/>
    <w:rsid w:val="0064738C"/>
    <w:rsid w:val="00650B8A"/>
    <w:rsid w:val="006518BD"/>
    <w:rsid w:val="0065212D"/>
    <w:rsid w:val="00652364"/>
    <w:rsid w:val="00652675"/>
    <w:rsid w:val="00652A29"/>
    <w:rsid w:val="00652B66"/>
    <w:rsid w:val="00652C52"/>
    <w:rsid w:val="006530CE"/>
    <w:rsid w:val="0065312E"/>
    <w:rsid w:val="0065422B"/>
    <w:rsid w:val="00654770"/>
    <w:rsid w:val="00654DA2"/>
    <w:rsid w:val="0065505A"/>
    <w:rsid w:val="006551C2"/>
    <w:rsid w:val="006559F8"/>
    <w:rsid w:val="006565FB"/>
    <w:rsid w:val="006566E2"/>
    <w:rsid w:val="00656842"/>
    <w:rsid w:val="00656C83"/>
    <w:rsid w:val="00656E24"/>
    <w:rsid w:val="00656F39"/>
    <w:rsid w:val="0065793B"/>
    <w:rsid w:val="006603C2"/>
    <w:rsid w:val="00660A58"/>
    <w:rsid w:val="0066147B"/>
    <w:rsid w:val="00661875"/>
    <w:rsid w:val="006624D6"/>
    <w:rsid w:val="00662F23"/>
    <w:rsid w:val="006633A3"/>
    <w:rsid w:val="00663A18"/>
    <w:rsid w:val="006640AF"/>
    <w:rsid w:val="0066416E"/>
    <w:rsid w:val="006648BB"/>
    <w:rsid w:val="00664995"/>
    <w:rsid w:val="00665400"/>
    <w:rsid w:val="00665600"/>
    <w:rsid w:val="00665A90"/>
    <w:rsid w:val="00665C56"/>
    <w:rsid w:val="00666F27"/>
    <w:rsid w:val="00667B6C"/>
    <w:rsid w:val="00667F11"/>
    <w:rsid w:val="00670155"/>
    <w:rsid w:val="00670235"/>
    <w:rsid w:val="006705E3"/>
    <w:rsid w:val="00670B7D"/>
    <w:rsid w:val="00672463"/>
    <w:rsid w:val="00672525"/>
    <w:rsid w:val="006730F9"/>
    <w:rsid w:val="00673B52"/>
    <w:rsid w:val="006742B2"/>
    <w:rsid w:val="006743CB"/>
    <w:rsid w:val="00674BF0"/>
    <w:rsid w:val="00675C3C"/>
    <w:rsid w:val="00675DE2"/>
    <w:rsid w:val="00675E02"/>
    <w:rsid w:val="00675F60"/>
    <w:rsid w:val="00676854"/>
    <w:rsid w:val="00676B3D"/>
    <w:rsid w:val="00676BBD"/>
    <w:rsid w:val="006770F9"/>
    <w:rsid w:val="00677BB2"/>
    <w:rsid w:val="006809DA"/>
    <w:rsid w:val="00681B6C"/>
    <w:rsid w:val="00681D75"/>
    <w:rsid w:val="00682345"/>
    <w:rsid w:val="00682ECA"/>
    <w:rsid w:val="00683BE7"/>
    <w:rsid w:val="00685C10"/>
    <w:rsid w:val="0068613A"/>
    <w:rsid w:val="006863D2"/>
    <w:rsid w:val="00687B95"/>
    <w:rsid w:val="00690FAE"/>
    <w:rsid w:val="00691446"/>
    <w:rsid w:val="00692D1A"/>
    <w:rsid w:val="00693195"/>
    <w:rsid w:val="006936A1"/>
    <w:rsid w:val="00693A41"/>
    <w:rsid w:val="0069411D"/>
    <w:rsid w:val="006950F5"/>
    <w:rsid w:val="00695385"/>
    <w:rsid w:val="006953C0"/>
    <w:rsid w:val="00695AAD"/>
    <w:rsid w:val="00695BBF"/>
    <w:rsid w:val="00696257"/>
    <w:rsid w:val="006967AB"/>
    <w:rsid w:val="00696DE9"/>
    <w:rsid w:val="00696F94"/>
    <w:rsid w:val="00697489"/>
    <w:rsid w:val="006975CC"/>
    <w:rsid w:val="0069766C"/>
    <w:rsid w:val="0069797E"/>
    <w:rsid w:val="00697ED0"/>
    <w:rsid w:val="00697F00"/>
    <w:rsid w:val="006A0563"/>
    <w:rsid w:val="006A0651"/>
    <w:rsid w:val="006A0ACB"/>
    <w:rsid w:val="006A0B25"/>
    <w:rsid w:val="006A0BED"/>
    <w:rsid w:val="006A0D21"/>
    <w:rsid w:val="006A0DA4"/>
    <w:rsid w:val="006A0F38"/>
    <w:rsid w:val="006A137E"/>
    <w:rsid w:val="006A1794"/>
    <w:rsid w:val="006A1864"/>
    <w:rsid w:val="006A1BA6"/>
    <w:rsid w:val="006A217D"/>
    <w:rsid w:val="006A21EF"/>
    <w:rsid w:val="006A2802"/>
    <w:rsid w:val="006A2CD9"/>
    <w:rsid w:val="006A32BF"/>
    <w:rsid w:val="006A3839"/>
    <w:rsid w:val="006A55F6"/>
    <w:rsid w:val="006A5A84"/>
    <w:rsid w:val="006A5D1D"/>
    <w:rsid w:val="006A5EA8"/>
    <w:rsid w:val="006A7E37"/>
    <w:rsid w:val="006B061D"/>
    <w:rsid w:val="006B0B4A"/>
    <w:rsid w:val="006B0B93"/>
    <w:rsid w:val="006B0CC0"/>
    <w:rsid w:val="006B1A68"/>
    <w:rsid w:val="006B29EF"/>
    <w:rsid w:val="006B2F75"/>
    <w:rsid w:val="006B3028"/>
    <w:rsid w:val="006B3846"/>
    <w:rsid w:val="006B3EDF"/>
    <w:rsid w:val="006B52DD"/>
    <w:rsid w:val="006B6135"/>
    <w:rsid w:val="006B738E"/>
    <w:rsid w:val="006B75FA"/>
    <w:rsid w:val="006C0220"/>
    <w:rsid w:val="006C0328"/>
    <w:rsid w:val="006C0916"/>
    <w:rsid w:val="006C0EC4"/>
    <w:rsid w:val="006C130B"/>
    <w:rsid w:val="006C1BB6"/>
    <w:rsid w:val="006C2675"/>
    <w:rsid w:val="006C4352"/>
    <w:rsid w:val="006C4636"/>
    <w:rsid w:val="006C47D1"/>
    <w:rsid w:val="006C495B"/>
    <w:rsid w:val="006C4B15"/>
    <w:rsid w:val="006C4F87"/>
    <w:rsid w:val="006C5998"/>
    <w:rsid w:val="006C5D27"/>
    <w:rsid w:val="006C5EB0"/>
    <w:rsid w:val="006C6B13"/>
    <w:rsid w:val="006C6C08"/>
    <w:rsid w:val="006C7112"/>
    <w:rsid w:val="006C73E0"/>
    <w:rsid w:val="006D04FD"/>
    <w:rsid w:val="006D05D2"/>
    <w:rsid w:val="006D0F49"/>
    <w:rsid w:val="006D0F6F"/>
    <w:rsid w:val="006D10D2"/>
    <w:rsid w:val="006D28F7"/>
    <w:rsid w:val="006D2B60"/>
    <w:rsid w:val="006D4536"/>
    <w:rsid w:val="006D52A8"/>
    <w:rsid w:val="006D55C0"/>
    <w:rsid w:val="006D5D57"/>
    <w:rsid w:val="006D5F6B"/>
    <w:rsid w:val="006D66B3"/>
    <w:rsid w:val="006D74AB"/>
    <w:rsid w:val="006E0B4E"/>
    <w:rsid w:val="006E0CEF"/>
    <w:rsid w:val="006E0FF0"/>
    <w:rsid w:val="006E192D"/>
    <w:rsid w:val="006E1B5F"/>
    <w:rsid w:val="006E4D4C"/>
    <w:rsid w:val="006E4DB0"/>
    <w:rsid w:val="006E500D"/>
    <w:rsid w:val="006E5314"/>
    <w:rsid w:val="006E5957"/>
    <w:rsid w:val="006E5EA3"/>
    <w:rsid w:val="006E6B46"/>
    <w:rsid w:val="006F01DB"/>
    <w:rsid w:val="006F05EB"/>
    <w:rsid w:val="006F1442"/>
    <w:rsid w:val="006F14FD"/>
    <w:rsid w:val="006F1F37"/>
    <w:rsid w:val="006F23BC"/>
    <w:rsid w:val="006F2D3A"/>
    <w:rsid w:val="006F38D7"/>
    <w:rsid w:val="006F38F5"/>
    <w:rsid w:val="006F3CE8"/>
    <w:rsid w:val="006F45BD"/>
    <w:rsid w:val="006F5069"/>
    <w:rsid w:val="006F5169"/>
    <w:rsid w:val="006F560E"/>
    <w:rsid w:val="006F5EFB"/>
    <w:rsid w:val="006F6174"/>
    <w:rsid w:val="006F6C26"/>
    <w:rsid w:val="006F7851"/>
    <w:rsid w:val="006F7C26"/>
    <w:rsid w:val="007000B8"/>
    <w:rsid w:val="007003AA"/>
    <w:rsid w:val="007004D4"/>
    <w:rsid w:val="007005BD"/>
    <w:rsid w:val="00700824"/>
    <w:rsid w:val="00700D5F"/>
    <w:rsid w:val="0070198F"/>
    <w:rsid w:val="00701A4A"/>
    <w:rsid w:val="0070332D"/>
    <w:rsid w:val="00703A29"/>
    <w:rsid w:val="00703A91"/>
    <w:rsid w:val="00704731"/>
    <w:rsid w:val="00704E3D"/>
    <w:rsid w:val="007052B3"/>
    <w:rsid w:val="007057B8"/>
    <w:rsid w:val="00705D5C"/>
    <w:rsid w:val="00706198"/>
    <w:rsid w:val="00706981"/>
    <w:rsid w:val="007070D4"/>
    <w:rsid w:val="00707260"/>
    <w:rsid w:val="00707E2C"/>
    <w:rsid w:val="00707F50"/>
    <w:rsid w:val="00707FFB"/>
    <w:rsid w:val="00710212"/>
    <w:rsid w:val="0071033D"/>
    <w:rsid w:val="0071038D"/>
    <w:rsid w:val="00710BB4"/>
    <w:rsid w:val="00711264"/>
    <w:rsid w:val="00711A29"/>
    <w:rsid w:val="00711E2A"/>
    <w:rsid w:val="00711EBB"/>
    <w:rsid w:val="00711EEA"/>
    <w:rsid w:val="00712045"/>
    <w:rsid w:val="00712170"/>
    <w:rsid w:val="0071395F"/>
    <w:rsid w:val="00713B8E"/>
    <w:rsid w:val="00714CD3"/>
    <w:rsid w:val="007154D4"/>
    <w:rsid w:val="00716051"/>
    <w:rsid w:val="00716E2B"/>
    <w:rsid w:val="007179C6"/>
    <w:rsid w:val="007211A0"/>
    <w:rsid w:val="0072199F"/>
    <w:rsid w:val="00722559"/>
    <w:rsid w:val="00724336"/>
    <w:rsid w:val="0072554B"/>
    <w:rsid w:val="007267AD"/>
    <w:rsid w:val="00726988"/>
    <w:rsid w:val="00727AEF"/>
    <w:rsid w:val="00731387"/>
    <w:rsid w:val="00731704"/>
    <w:rsid w:val="00731806"/>
    <w:rsid w:val="007319C8"/>
    <w:rsid w:val="007319F7"/>
    <w:rsid w:val="00731CD3"/>
    <w:rsid w:val="0073210D"/>
    <w:rsid w:val="00732DC2"/>
    <w:rsid w:val="0073325B"/>
    <w:rsid w:val="007334C5"/>
    <w:rsid w:val="007377BE"/>
    <w:rsid w:val="007404F3"/>
    <w:rsid w:val="0074163B"/>
    <w:rsid w:val="007416DD"/>
    <w:rsid w:val="00741C8D"/>
    <w:rsid w:val="00741ECF"/>
    <w:rsid w:val="007430B5"/>
    <w:rsid w:val="007433AD"/>
    <w:rsid w:val="007436A3"/>
    <w:rsid w:val="0074432A"/>
    <w:rsid w:val="007445F6"/>
    <w:rsid w:val="007447D8"/>
    <w:rsid w:val="00745095"/>
    <w:rsid w:val="00745272"/>
    <w:rsid w:val="0074634C"/>
    <w:rsid w:val="0074652A"/>
    <w:rsid w:val="00746B65"/>
    <w:rsid w:val="00746C6D"/>
    <w:rsid w:val="00746CD5"/>
    <w:rsid w:val="00747192"/>
    <w:rsid w:val="00747362"/>
    <w:rsid w:val="00750974"/>
    <w:rsid w:val="00751EA7"/>
    <w:rsid w:val="007538E7"/>
    <w:rsid w:val="00754313"/>
    <w:rsid w:val="00754575"/>
    <w:rsid w:val="0075457D"/>
    <w:rsid w:val="007547AB"/>
    <w:rsid w:val="00754FF6"/>
    <w:rsid w:val="00755259"/>
    <w:rsid w:val="00755823"/>
    <w:rsid w:val="00755C08"/>
    <w:rsid w:val="00756423"/>
    <w:rsid w:val="00756427"/>
    <w:rsid w:val="00756442"/>
    <w:rsid w:val="007568B2"/>
    <w:rsid w:val="007569AC"/>
    <w:rsid w:val="00757144"/>
    <w:rsid w:val="007572E4"/>
    <w:rsid w:val="007574F8"/>
    <w:rsid w:val="00760B69"/>
    <w:rsid w:val="00761481"/>
    <w:rsid w:val="007616B3"/>
    <w:rsid w:val="007617E8"/>
    <w:rsid w:val="00761857"/>
    <w:rsid w:val="00761B6A"/>
    <w:rsid w:val="00762528"/>
    <w:rsid w:val="007634A6"/>
    <w:rsid w:val="00764012"/>
    <w:rsid w:val="00764462"/>
    <w:rsid w:val="00764DBE"/>
    <w:rsid w:val="00766185"/>
    <w:rsid w:val="00766579"/>
    <w:rsid w:val="007676E2"/>
    <w:rsid w:val="007677A0"/>
    <w:rsid w:val="00767A3C"/>
    <w:rsid w:val="00770AB3"/>
    <w:rsid w:val="00770FEB"/>
    <w:rsid w:val="007732D4"/>
    <w:rsid w:val="007738E6"/>
    <w:rsid w:val="007739BE"/>
    <w:rsid w:val="00774228"/>
    <w:rsid w:val="007745CC"/>
    <w:rsid w:val="0077468A"/>
    <w:rsid w:val="00774BEA"/>
    <w:rsid w:val="00775512"/>
    <w:rsid w:val="00775550"/>
    <w:rsid w:val="007763FC"/>
    <w:rsid w:val="007765A7"/>
    <w:rsid w:val="007768E5"/>
    <w:rsid w:val="00776A5F"/>
    <w:rsid w:val="00776EB8"/>
    <w:rsid w:val="00777B9C"/>
    <w:rsid w:val="00780B46"/>
    <w:rsid w:val="00780C66"/>
    <w:rsid w:val="00780EF8"/>
    <w:rsid w:val="00781F28"/>
    <w:rsid w:val="00782493"/>
    <w:rsid w:val="0078277F"/>
    <w:rsid w:val="00783185"/>
    <w:rsid w:val="00783D1C"/>
    <w:rsid w:val="0078437F"/>
    <w:rsid w:val="00784432"/>
    <w:rsid w:val="00784917"/>
    <w:rsid w:val="0078540B"/>
    <w:rsid w:val="007856C6"/>
    <w:rsid w:val="0078583B"/>
    <w:rsid w:val="00786115"/>
    <w:rsid w:val="0078652A"/>
    <w:rsid w:val="007867A3"/>
    <w:rsid w:val="007868DB"/>
    <w:rsid w:val="0078718C"/>
    <w:rsid w:val="00787327"/>
    <w:rsid w:val="007874C0"/>
    <w:rsid w:val="00790A96"/>
    <w:rsid w:val="00790B25"/>
    <w:rsid w:val="00791757"/>
    <w:rsid w:val="007919BB"/>
    <w:rsid w:val="00791AC8"/>
    <w:rsid w:val="00791B4E"/>
    <w:rsid w:val="00792E04"/>
    <w:rsid w:val="00793043"/>
    <w:rsid w:val="00793E5D"/>
    <w:rsid w:val="00793EAA"/>
    <w:rsid w:val="0079424A"/>
    <w:rsid w:val="0079527B"/>
    <w:rsid w:val="00795390"/>
    <w:rsid w:val="00795B9A"/>
    <w:rsid w:val="00796E90"/>
    <w:rsid w:val="0079701B"/>
    <w:rsid w:val="007A0088"/>
    <w:rsid w:val="007A0089"/>
    <w:rsid w:val="007A190C"/>
    <w:rsid w:val="007A1B3F"/>
    <w:rsid w:val="007A1B9B"/>
    <w:rsid w:val="007A2362"/>
    <w:rsid w:val="007A25B2"/>
    <w:rsid w:val="007A2ECD"/>
    <w:rsid w:val="007A2F3C"/>
    <w:rsid w:val="007A36E8"/>
    <w:rsid w:val="007A4182"/>
    <w:rsid w:val="007A41FA"/>
    <w:rsid w:val="007A4838"/>
    <w:rsid w:val="007A5027"/>
    <w:rsid w:val="007A5347"/>
    <w:rsid w:val="007A57E1"/>
    <w:rsid w:val="007A5939"/>
    <w:rsid w:val="007A5E6E"/>
    <w:rsid w:val="007A66D3"/>
    <w:rsid w:val="007A7AD8"/>
    <w:rsid w:val="007B055F"/>
    <w:rsid w:val="007B0A54"/>
    <w:rsid w:val="007B1683"/>
    <w:rsid w:val="007B1E13"/>
    <w:rsid w:val="007B2989"/>
    <w:rsid w:val="007B3450"/>
    <w:rsid w:val="007B3DB7"/>
    <w:rsid w:val="007B5CED"/>
    <w:rsid w:val="007B5E2B"/>
    <w:rsid w:val="007B64F1"/>
    <w:rsid w:val="007B7089"/>
    <w:rsid w:val="007B74EF"/>
    <w:rsid w:val="007B7D9F"/>
    <w:rsid w:val="007C0889"/>
    <w:rsid w:val="007C112E"/>
    <w:rsid w:val="007C11EA"/>
    <w:rsid w:val="007C2780"/>
    <w:rsid w:val="007C3588"/>
    <w:rsid w:val="007C5239"/>
    <w:rsid w:val="007C5536"/>
    <w:rsid w:val="007C565C"/>
    <w:rsid w:val="007C5CE4"/>
    <w:rsid w:val="007C5DBB"/>
    <w:rsid w:val="007C666D"/>
    <w:rsid w:val="007C677E"/>
    <w:rsid w:val="007C7360"/>
    <w:rsid w:val="007C7454"/>
    <w:rsid w:val="007C7A77"/>
    <w:rsid w:val="007C7BFB"/>
    <w:rsid w:val="007C7E84"/>
    <w:rsid w:val="007D06C6"/>
    <w:rsid w:val="007D06D0"/>
    <w:rsid w:val="007D102E"/>
    <w:rsid w:val="007D1416"/>
    <w:rsid w:val="007D1855"/>
    <w:rsid w:val="007D2A5A"/>
    <w:rsid w:val="007D2FE2"/>
    <w:rsid w:val="007D44A9"/>
    <w:rsid w:val="007D4AB9"/>
    <w:rsid w:val="007D54AC"/>
    <w:rsid w:val="007D553C"/>
    <w:rsid w:val="007D5BF0"/>
    <w:rsid w:val="007D6508"/>
    <w:rsid w:val="007D6B4E"/>
    <w:rsid w:val="007D6F1B"/>
    <w:rsid w:val="007D77D9"/>
    <w:rsid w:val="007E009E"/>
    <w:rsid w:val="007E1621"/>
    <w:rsid w:val="007E1751"/>
    <w:rsid w:val="007E2B39"/>
    <w:rsid w:val="007E2B3E"/>
    <w:rsid w:val="007E2F77"/>
    <w:rsid w:val="007E349E"/>
    <w:rsid w:val="007E3962"/>
    <w:rsid w:val="007E3A3D"/>
    <w:rsid w:val="007E45A6"/>
    <w:rsid w:val="007E491E"/>
    <w:rsid w:val="007E4F8A"/>
    <w:rsid w:val="007E5225"/>
    <w:rsid w:val="007E53CF"/>
    <w:rsid w:val="007E56B5"/>
    <w:rsid w:val="007E595E"/>
    <w:rsid w:val="007E641E"/>
    <w:rsid w:val="007E77AE"/>
    <w:rsid w:val="007E7AD0"/>
    <w:rsid w:val="007F0520"/>
    <w:rsid w:val="007F168D"/>
    <w:rsid w:val="007F16AB"/>
    <w:rsid w:val="007F2051"/>
    <w:rsid w:val="007F525F"/>
    <w:rsid w:val="007F56FA"/>
    <w:rsid w:val="007F5D1C"/>
    <w:rsid w:val="007F66F6"/>
    <w:rsid w:val="007F67B7"/>
    <w:rsid w:val="008006CC"/>
    <w:rsid w:val="00800BE5"/>
    <w:rsid w:val="00800ED8"/>
    <w:rsid w:val="008013A3"/>
    <w:rsid w:val="00802A0C"/>
    <w:rsid w:val="008038B5"/>
    <w:rsid w:val="00803CE1"/>
    <w:rsid w:val="00804ADE"/>
    <w:rsid w:val="0080629B"/>
    <w:rsid w:val="00806431"/>
    <w:rsid w:val="0080763A"/>
    <w:rsid w:val="00807791"/>
    <w:rsid w:val="008079B7"/>
    <w:rsid w:val="00810623"/>
    <w:rsid w:val="00810AE8"/>
    <w:rsid w:val="00811C0E"/>
    <w:rsid w:val="00812281"/>
    <w:rsid w:val="00813A21"/>
    <w:rsid w:val="008141F2"/>
    <w:rsid w:val="00814244"/>
    <w:rsid w:val="008156DF"/>
    <w:rsid w:val="00816434"/>
    <w:rsid w:val="0081652D"/>
    <w:rsid w:val="00816F59"/>
    <w:rsid w:val="00817A68"/>
    <w:rsid w:val="00817D84"/>
    <w:rsid w:val="00817ED5"/>
    <w:rsid w:val="00820CD3"/>
    <w:rsid w:val="00821217"/>
    <w:rsid w:val="008226C3"/>
    <w:rsid w:val="00822A31"/>
    <w:rsid w:val="00822CC3"/>
    <w:rsid w:val="008233A5"/>
    <w:rsid w:val="008237FF"/>
    <w:rsid w:val="008249E2"/>
    <w:rsid w:val="00825414"/>
    <w:rsid w:val="008255D1"/>
    <w:rsid w:val="008255EA"/>
    <w:rsid w:val="00825C3A"/>
    <w:rsid w:val="00825E30"/>
    <w:rsid w:val="00825FEE"/>
    <w:rsid w:val="00826008"/>
    <w:rsid w:val="00826747"/>
    <w:rsid w:val="00826D4A"/>
    <w:rsid w:val="008278D4"/>
    <w:rsid w:val="00830E6F"/>
    <w:rsid w:val="00831057"/>
    <w:rsid w:val="008314AE"/>
    <w:rsid w:val="00831DC2"/>
    <w:rsid w:val="00832C5F"/>
    <w:rsid w:val="008331B1"/>
    <w:rsid w:val="00833B41"/>
    <w:rsid w:val="00834019"/>
    <w:rsid w:val="008346E3"/>
    <w:rsid w:val="00834772"/>
    <w:rsid w:val="00834A67"/>
    <w:rsid w:val="00834B45"/>
    <w:rsid w:val="008355C0"/>
    <w:rsid w:val="00835BD5"/>
    <w:rsid w:val="00835D70"/>
    <w:rsid w:val="0083603C"/>
    <w:rsid w:val="00836924"/>
    <w:rsid w:val="00837582"/>
    <w:rsid w:val="00837A19"/>
    <w:rsid w:val="00840DAC"/>
    <w:rsid w:val="00841E61"/>
    <w:rsid w:val="00841FF0"/>
    <w:rsid w:val="008423AA"/>
    <w:rsid w:val="00843044"/>
    <w:rsid w:val="008447D9"/>
    <w:rsid w:val="008449F3"/>
    <w:rsid w:val="008449FC"/>
    <w:rsid w:val="00844FB5"/>
    <w:rsid w:val="00845558"/>
    <w:rsid w:val="00845BF2"/>
    <w:rsid w:val="0084657A"/>
    <w:rsid w:val="0084666B"/>
    <w:rsid w:val="00846F1C"/>
    <w:rsid w:val="008472BD"/>
    <w:rsid w:val="00850099"/>
    <w:rsid w:val="00850F10"/>
    <w:rsid w:val="00851058"/>
    <w:rsid w:val="008513C4"/>
    <w:rsid w:val="00853239"/>
    <w:rsid w:val="00853577"/>
    <w:rsid w:val="00853B4E"/>
    <w:rsid w:val="00853D69"/>
    <w:rsid w:val="00854541"/>
    <w:rsid w:val="008547B0"/>
    <w:rsid w:val="0085526D"/>
    <w:rsid w:val="0085539A"/>
    <w:rsid w:val="00855819"/>
    <w:rsid w:val="008559DF"/>
    <w:rsid w:val="00856201"/>
    <w:rsid w:val="00856789"/>
    <w:rsid w:val="0085699F"/>
    <w:rsid w:val="008574D5"/>
    <w:rsid w:val="008577D2"/>
    <w:rsid w:val="00857850"/>
    <w:rsid w:val="008605FD"/>
    <w:rsid w:val="00860F6F"/>
    <w:rsid w:val="00861A94"/>
    <w:rsid w:val="00861B1E"/>
    <w:rsid w:val="00861DE5"/>
    <w:rsid w:val="0086217F"/>
    <w:rsid w:val="0086226B"/>
    <w:rsid w:val="008624AD"/>
    <w:rsid w:val="008628F5"/>
    <w:rsid w:val="00862C04"/>
    <w:rsid w:val="00862F4B"/>
    <w:rsid w:val="00863ADF"/>
    <w:rsid w:val="00863CF0"/>
    <w:rsid w:val="00864E38"/>
    <w:rsid w:val="008653FF"/>
    <w:rsid w:val="00865592"/>
    <w:rsid w:val="00865751"/>
    <w:rsid w:val="00866103"/>
    <w:rsid w:val="00866716"/>
    <w:rsid w:val="008668EF"/>
    <w:rsid w:val="00867C7D"/>
    <w:rsid w:val="00867F88"/>
    <w:rsid w:val="00870055"/>
    <w:rsid w:val="00870E1E"/>
    <w:rsid w:val="00870F35"/>
    <w:rsid w:val="00871E93"/>
    <w:rsid w:val="0087316C"/>
    <w:rsid w:val="00873624"/>
    <w:rsid w:val="00873A23"/>
    <w:rsid w:val="00873D5E"/>
    <w:rsid w:val="008741B1"/>
    <w:rsid w:val="008747CE"/>
    <w:rsid w:val="00874D28"/>
    <w:rsid w:val="00874E90"/>
    <w:rsid w:val="008750E2"/>
    <w:rsid w:val="0087578F"/>
    <w:rsid w:val="0087651F"/>
    <w:rsid w:val="00877C6E"/>
    <w:rsid w:val="00877F0A"/>
    <w:rsid w:val="008800AE"/>
    <w:rsid w:val="00880341"/>
    <w:rsid w:val="008809FF"/>
    <w:rsid w:val="00880A80"/>
    <w:rsid w:val="00880B85"/>
    <w:rsid w:val="00880DC4"/>
    <w:rsid w:val="008810DA"/>
    <w:rsid w:val="008812B8"/>
    <w:rsid w:val="00882613"/>
    <w:rsid w:val="00882725"/>
    <w:rsid w:val="0088283C"/>
    <w:rsid w:val="00882BBF"/>
    <w:rsid w:val="0088312C"/>
    <w:rsid w:val="00883191"/>
    <w:rsid w:val="00883756"/>
    <w:rsid w:val="00883CB7"/>
    <w:rsid w:val="008841F0"/>
    <w:rsid w:val="00884DFB"/>
    <w:rsid w:val="00885144"/>
    <w:rsid w:val="00885BE0"/>
    <w:rsid w:val="008867FD"/>
    <w:rsid w:val="00886CEB"/>
    <w:rsid w:val="008871DF"/>
    <w:rsid w:val="0088744D"/>
    <w:rsid w:val="00887A23"/>
    <w:rsid w:val="008901AC"/>
    <w:rsid w:val="008904D2"/>
    <w:rsid w:val="008904E9"/>
    <w:rsid w:val="008906D3"/>
    <w:rsid w:val="00890CAF"/>
    <w:rsid w:val="00890D61"/>
    <w:rsid w:val="008911D0"/>
    <w:rsid w:val="0089151E"/>
    <w:rsid w:val="00891B9F"/>
    <w:rsid w:val="00892078"/>
    <w:rsid w:val="00893AFE"/>
    <w:rsid w:val="00893B8A"/>
    <w:rsid w:val="00894119"/>
    <w:rsid w:val="008944E0"/>
    <w:rsid w:val="00894942"/>
    <w:rsid w:val="00895010"/>
    <w:rsid w:val="00895609"/>
    <w:rsid w:val="00895700"/>
    <w:rsid w:val="00895965"/>
    <w:rsid w:val="00895AA7"/>
    <w:rsid w:val="00895B88"/>
    <w:rsid w:val="00895B91"/>
    <w:rsid w:val="00895BBD"/>
    <w:rsid w:val="0089623E"/>
    <w:rsid w:val="00896425"/>
    <w:rsid w:val="00897FFB"/>
    <w:rsid w:val="008A08DC"/>
    <w:rsid w:val="008A0967"/>
    <w:rsid w:val="008A0C5D"/>
    <w:rsid w:val="008A1B8A"/>
    <w:rsid w:val="008A1BD6"/>
    <w:rsid w:val="008A1D69"/>
    <w:rsid w:val="008A2730"/>
    <w:rsid w:val="008A366C"/>
    <w:rsid w:val="008A46F8"/>
    <w:rsid w:val="008A4B20"/>
    <w:rsid w:val="008A4D50"/>
    <w:rsid w:val="008A5238"/>
    <w:rsid w:val="008A54AD"/>
    <w:rsid w:val="008A55CD"/>
    <w:rsid w:val="008A5766"/>
    <w:rsid w:val="008A5D05"/>
    <w:rsid w:val="008A5E20"/>
    <w:rsid w:val="008A65D7"/>
    <w:rsid w:val="008A6A07"/>
    <w:rsid w:val="008B0AC3"/>
    <w:rsid w:val="008B1154"/>
    <w:rsid w:val="008B1589"/>
    <w:rsid w:val="008B18C5"/>
    <w:rsid w:val="008B1B57"/>
    <w:rsid w:val="008B1CCE"/>
    <w:rsid w:val="008B2A0E"/>
    <w:rsid w:val="008B2B09"/>
    <w:rsid w:val="008B3DB2"/>
    <w:rsid w:val="008B44FD"/>
    <w:rsid w:val="008B4A78"/>
    <w:rsid w:val="008B4B3B"/>
    <w:rsid w:val="008B4BCF"/>
    <w:rsid w:val="008B4CA4"/>
    <w:rsid w:val="008B5050"/>
    <w:rsid w:val="008B59FA"/>
    <w:rsid w:val="008B5AF2"/>
    <w:rsid w:val="008B622F"/>
    <w:rsid w:val="008B6508"/>
    <w:rsid w:val="008B7348"/>
    <w:rsid w:val="008B7CE8"/>
    <w:rsid w:val="008B7F2F"/>
    <w:rsid w:val="008C0579"/>
    <w:rsid w:val="008C1D64"/>
    <w:rsid w:val="008C20B3"/>
    <w:rsid w:val="008C2D88"/>
    <w:rsid w:val="008C2E73"/>
    <w:rsid w:val="008C3429"/>
    <w:rsid w:val="008C3546"/>
    <w:rsid w:val="008C40F6"/>
    <w:rsid w:val="008C495A"/>
    <w:rsid w:val="008C55E3"/>
    <w:rsid w:val="008C78CD"/>
    <w:rsid w:val="008D03BC"/>
    <w:rsid w:val="008D152B"/>
    <w:rsid w:val="008D25DF"/>
    <w:rsid w:val="008D2632"/>
    <w:rsid w:val="008D2C91"/>
    <w:rsid w:val="008D2E30"/>
    <w:rsid w:val="008D339B"/>
    <w:rsid w:val="008D3D2B"/>
    <w:rsid w:val="008D3ED0"/>
    <w:rsid w:val="008D5169"/>
    <w:rsid w:val="008D66E6"/>
    <w:rsid w:val="008D6D01"/>
    <w:rsid w:val="008D6E4F"/>
    <w:rsid w:val="008D7510"/>
    <w:rsid w:val="008D797A"/>
    <w:rsid w:val="008E03A5"/>
    <w:rsid w:val="008E04E8"/>
    <w:rsid w:val="008E0926"/>
    <w:rsid w:val="008E0C45"/>
    <w:rsid w:val="008E0D44"/>
    <w:rsid w:val="008E0D7D"/>
    <w:rsid w:val="008E11B3"/>
    <w:rsid w:val="008E191A"/>
    <w:rsid w:val="008E32DC"/>
    <w:rsid w:val="008E3434"/>
    <w:rsid w:val="008E34C9"/>
    <w:rsid w:val="008E3A74"/>
    <w:rsid w:val="008E449A"/>
    <w:rsid w:val="008E5E46"/>
    <w:rsid w:val="008E6F52"/>
    <w:rsid w:val="008E6FCF"/>
    <w:rsid w:val="008E71CE"/>
    <w:rsid w:val="008E72A2"/>
    <w:rsid w:val="008F10BE"/>
    <w:rsid w:val="008F176A"/>
    <w:rsid w:val="008F1AEA"/>
    <w:rsid w:val="008F2233"/>
    <w:rsid w:val="008F277C"/>
    <w:rsid w:val="008F2B12"/>
    <w:rsid w:val="008F2C2B"/>
    <w:rsid w:val="008F2EE2"/>
    <w:rsid w:val="008F39D8"/>
    <w:rsid w:val="008F457A"/>
    <w:rsid w:val="008F50FA"/>
    <w:rsid w:val="008F5363"/>
    <w:rsid w:val="008F67C9"/>
    <w:rsid w:val="008F7094"/>
    <w:rsid w:val="008F7228"/>
    <w:rsid w:val="008F72A4"/>
    <w:rsid w:val="008F7D8D"/>
    <w:rsid w:val="008F7EA9"/>
    <w:rsid w:val="009004F7"/>
    <w:rsid w:val="00900C4D"/>
    <w:rsid w:val="00900CD2"/>
    <w:rsid w:val="0090362D"/>
    <w:rsid w:val="00903D5B"/>
    <w:rsid w:val="00904ECC"/>
    <w:rsid w:val="00905AB5"/>
    <w:rsid w:val="0090648C"/>
    <w:rsid w:val="00906A4D"/>
    <w:rsid w:val="00906E29"/>
    <w:rsid w:val="009073F7"/>
    <w:rsid w:val="00910654"/>
    <w:rsid w:val="00910BC9"/>
    <w:rsid w:val="00911F1E"/>
    <w:rsid w:val="009120F8"/>
    <w:rsid w:val="00912249"/>
    <w:rsid w:val="00912393"/>
    <w:rsid w:val="00913736"/>
    <w:rsid w:val="00913FEA"/>
    <w:rsid w:val="00914130"/>
    <w:rsid w:val="00914863"/>
    <w:rsid w:val="00914B2B"/>
    <w:rsid w:val="009168D1"/>
    <w:rsid w:val="0091690B"/>
    <w:rsid w:val="0092134E"/>
    <w:rsid w:val="00922BD1"/>
    <w:rsid w:val="0092408F"/>
    <w:rsid w:val="00924484"/>
    <w:rsid w:val="00924D0F"/>
    <w:rsid w:val="00925E46"/>
    <w:rsid w:val="00926087"/>
    <w:rsid w:val="00926B0E"/>
    <w:rsid w:val="00926F16"/>
    <w:rsid w:val="009271F4"/>
    <w:rsid w:val="00927706"/>
    <w:rsid w:val="00927FD1"/>
    <w:rsid w:val="00930746"/>
    <w:rsid w:val="00930986"/>
    <w:rsid w:val="00931139"/>
    <w:rsid w:val="00931143"/>
    <w:rsid w:val="009311E4"/>
    <w:rsid w:val="00931323"/>
    <w:rsid w:val="009314BF"/>
    <w:rsid w:val="00931FCA"/>
    <w:rsid w:val="009320C9"/>
    <w:rsid w:val="00932470"/>
    <w:rsid w:val="00932510"/>
    <w:rsid w:val="009325CA"/>
    <w:rsid w:val="00933A49"/>
    <w:rsid w:val="00933A5A"/>
    <w:rsid w:val="00933FE0"/>
    <w:rsid w:val="00936E9D"/>
    <w:rsid w:val="00936F61"/>
    <w:rsid w:val="0093700B"/>
    <w:rsid w:val="00937566"/>
    <w:rsid w:val="00937591"/>
    <w:rsid w:val="0093772B"/>
    <w:rsid w:val="00937CC1"/>
    <w:rsid w:val="00937F01"/>
    <w:rsid w:val="0094099B"/>
    <w:rsid w:val="00940D30"/>
    <w:rsid w:val="00940DA8"/>
    <w:rsid w:val="009415CD"/>
    <w:rsid w:val="00942037"/>
    <w:rsid w:val="00942669"/>
    <w:rsid w:val="00942FED"/>
    <w:rsid w:val="009435D4"/>
    <w:rsid w:val="00943CEB"/>
    <w:rsid w:val="00943FB6"/>
    <w:rsid w:val="0094422C"/>
    <w:rsid w:val="00945624"/>
    <w:rsid w:val="00945A75"/>
    <w:rsid w:val="009461CC"/>
    <w:rsid w:val="009463DF"/>
    <w:rsid w:val="009469B3"/>
    <w:rsid w:val="00946E27"/>
    <w:rsid w:val="00947FE4"/>
    <w:rsid w:val="009502FD"/>
    <w:rsid w:val="00950430"/>
    <w:rsid w:val="00950C1B"/>
    <w:rsid w:val="00950D76"/>
    <w:rsid w:val="00952348"/>
    <w:rsid w:val="00953BA4"/>
    <w:rsid w:val="00953C5F"/>
    <w:rsid w:val="00954008"/>
    <w:rsid w:val="009542DA"/>
    <w:rsid w:val="00954B74"/>
    <w:rsid w:val="0095577D"/>
    <w:rsid w:val="009559B1"/>
    <w:rsid w:val="00955A5E"/>
    <w:rsid w:val="00955A6D"/>
    <w:rsid w:val="0095664E"/>
    <w:rsid w:val="00956B26"/>
    <w:rsid w:val="00956B9C"/>
    <w:rsid w:val="00956CB0"/>
    <w:rsid w:val="00956F4E"/>
    <w:rsid w:val="009576C2"/>
    <w:rsid w:val="00957B2F"/>
    <w:rsid w:val="0096001F"/>
    <w:rsid w:val="0096066B"/>
    <w:rsid w:val="009608F2"/>
    <w:rsid w:val="00960979"/>
    <w:rsid w:val="009612E3"/>
    <w:rsid w:val="00961512"/>
    <w:rsid w:val="00961DD6"/>
    <w:rsid w:val="009625B6"/>
    <w:rsid w:val="009626B0"/>
    <w:rsid w:val="009630D7"/>
    <w:rsid w:val="0096333F"/>
    <w:rsid w:val="009635C6"/>
    <w:rsid w:val="00963D08"/>
    <w:rsid w:val="00964326"/>
    <w:rsid w:val="00964C43"/>
    <w:rsid w:val="00964CCF"/>
    <w:rsid w:val="009654C0"/>
    <w:rsid w:val="00965918"/>
    <w:rsid w:val="00965D9F"/>
    <w:rsid w:val="00966103"/>
    <w:rsid w:val="0096648B"/>
    <w:rsid w:val="00970819"/>
    <w:rsid w:val="0097175F"/>
    <w:rsid w:val="00971AC8"/>
    <w:rsid w:val="00971B82"/>
    <w:rsid w:val="0097216C"/>
    <w:rsid w:val="00973EA0"/>
    <w:rsid w:val="0097486A"/>
    <w:rsid w:val="00974C64"/>
    <w:rsid w:val="00975EC3"/>
    <w:rsid w:val="0097619A"/>
    <w:rsid w:val="0097698B"/>
    <w:rsid w:val="00976CBF"/>
    <w:rsid w:val="00977418"/>
    <w:rsid w:val="0097769D"/>
    <w:rsid w:val="00977ED3"/>
    <w:rsid w:val="009807E8"/>
    <w:rsid w:val="00981967"/>
    <w:rsid w:val="00981C2B"/>
    <w:rsid w:val="009837E7"/>
    <w:rsid w:val="00983D30"/>
    <w:rsid w:val="00983F4B"/>
    <w:rsid w:val="0098424D"/>
    <w:rsid w:val="0098436F"/>
    <w:rsid w:val="00984E07"/>
    <w:rsid w:val="009851D2"/>
    <w:rsid w:val="00985435"/>
    <w:rsid w:val="009863DD"/>
    <w:rsid w:val="00986991"/>
    <w:rsid w:val="00987C6D"/>
    <w:rsid w:val="0099140C"/>
    <w:rsid w:val="009915BD"/>
    <w:rsid w:val="00991DBB"/>
    <w:rsid w:val="00992208"/>
    <w:rsid w:val="0099273C"/>
    <w:rsid w:val="00992E6B"/>
    <w:rsid w:val="00992EB4"/>
    <w:rsid w:val="009930CB"/>
    <w:rsid w:val="009936D7"/>
    <w:rsid w:val="00993A4E"/>
    <w:rsid w:val="00993AB9"/>
    <w:rsid w:val="009941DF"/>
    <w:rsid w:val="00994B50"/>
    <w:rsid w:val="00995343"/>
    <w:rsid w:val="009953C1"/>
    <w:rsid w:val="0099554E"/>
    <w:rsid w:val="00995BF4"/>
    <w:rsid w:val="00995CF5"/>
    <w:rsid w:val="00995F13"/>
    <w:rsid w:val="00995F97"/>
    <w:rsid w:val="00997CE9"/>
    <w:rsid w:val="00997CFA"/>
    <w:rsid w:val="00997FEA"/>
    <w:rsid w:val="009A06D3"/>
    <w:rsid w:val="009A0753"/>
    <w:rsid w:val="009A0CE4"/>
    <w:rsid w:val="009A3B4D"/>
    <w:rsid w:val="009A3BC9"/>
    <w:rsid w:val="009A5426"/>
    <w:rsid w:val="009A63C3"/>
    <w:rsid w:val="009A72B5"/>
    <w:rsid w:val="009A75F1"/>
    <w:rsid w:val="009A76F8"/>
    <w:rsid w:val="009B0955"/>
    <w:rsid w:val="009B1837"/>
    <w:rsid w:val="009B1960"/>
    <w:rsid w:val="009B2864"/>
    <w:rsid w:val="009B31F1"/>
    <w:rsid w:val="009B3F58"/>
    <w:rsid w:val="009B409C"/>
    <w:rsid w:val="009B45DE"/>
    <w:rsid w:val="009B466E"/>
    <w:rsid w:val="009B4731"/>
    <w:rsid w:val="009B4840"/>
    <w:rsid w:val="009B4DE6"/>
    <w:rsid w:val="009B6888"/>
    <w:rsid w:val="009B7E43"/>
    <w:rsid w:val="009C0027"/>
    <w:rsid w:val="009C0559"/>
    <w:rsid w:val="009C1079"/>
    <w:rsid w:val="009C2CB2"/>
    <w:rsid w:val="009C347C"/>
    <w:rsid w:val="009C3F27"/>
    <w:rsid w:val="009C404D"/>
    <w:rsid w:val="009C4090"/>
    <w:rsid w:val="009C43A9"/>
    <w:rsid w:val="009C4677"/>
    <w:rsid w:val="009C4AB6"/>
    <w:rsid w:val="009C4B47"/>
    <w:rsid w:val="009C4C61"/>
    <w:rsid w:val="009C72FB"/>
    <w:rsid w:val="009C7DAE"/>
    <w:rsid w:val="009D10B3"/>
    <w:rsid w:val="009D33E1"/>
    <w:rsid w:val="009D34A7"/>
    <w:rsid w:val="009D42D1"/>
    <w:rsid w:val="009D49BC"/>
    <w:rsid w:val="009D4EB6"/>
    <w:rsid w:val="009D5457"/>
    <w:rsid w:val="009D5FE5"/>
    <w:rsid w:val="009D6807"/>
    <w:rsid w:val="009D6AF7"/>
    <w:rsid w:val="009D73E3"/>
    <w:rsid w:val="009D76A6"/>
    <w:rsid w:val="009D790A"/>
    <w:rsid w:val="009E06F9"/>
    <w:rsid w:val="009E0906"/>
    <w:rsid w:val="009E0B21"/>
    <w:rsid w:val="009E1657"/>
    <w:rsid w:val="009E1EEC"/>
    <w:rsid w:val="009E2BCF"/>
    <w:rsid w:val="009E328A"/>
    <w:rsid w:val="009E336C"/>
    <w:rsid w:val="009E4B76"/>
    <w:rsid w:val="009E59DF"/>
    <w:rsid w:val="009E71C7"/>
    <w:rsid w:val="009E7827"/>
    <w:rsid w:val="009E7BCD"/>
    <w:rsid w:val="009E7C39"/>
    <w:rsid w:val="009F0298"/>
    <w:rsid w:val="009F05E1"/>
    <w:rsid w:val="009F0E82"/>
    <w:rsid w:val="009F18D9"/>
    <w:rsid w:val="009F213E"/>
    <w:rsid w:val="009F2373"/>
    <w:rsid w:val="009F2C2F"/>
    <w:rsid w:val="009F2ED0"/>
    <w:rsid w:val="009F3474"/>
    <w:rsid w:val="009F3A4D"/>
    <w:rsid w:val="009F4360"/>
    <w:rsid w:val="009F4CFF"/>
    <w:rsid w:val="00A00723"/>
    <w:rsid w:val="00A01522"/>
    <w:rsid w:val="00A01829"/>
    <w:rsid w:val="00A01C78"/>
    <w:rsid w:val="00A02354"/>
    <w:rsid w:val="00A02ADC"/>
    <w:rsid w:val="00A0373F"/>
    <w:rsid w:val="00A04017"/>
    <w:rsid w:val="00A041C0"/>
    <w:rsid w:val="00A04A00"/>
    <w:rsid w:val="00A04AAF"/>
    <w:rsid w:val="00A051F0"/>
    <w:rsid w:val="00A052B2"/>
    <w:rsid w:val="00A05624"/>
    <w:rsid w:val="00A05E3B"/>
    <w:rsid w:val="00A06C34"/>
    <w:rsid w:val="00A06E69"/>
    <w:rsid w:val="00A1066B"/>
    <w:rsid w:val="00A107D2"/>
    <w:rsid w:val="00A11639"/>
    <w:rsid w:val="00A12287"/>
    <w:rsid w:val="00A12F11"/>
    <w:rsid w:val="00A14155"/>
    <w:rsid w:val="00A14995"/>
    <w:rsid w:val="00A14E4A"/>
    <w:rsid w:val="00A15002"/>
    <w:rsid w:val="00A1515E"/>
    <w:rsid w:val="00A1526F"/>
    <w:rsid w:val="00A16B9F"/>
    <w:rsid w:val="00A175FD"/>
    <w:rsid w:val="00A17C6A"/>
    <w:rsid w:val="00A17D60"/>
    <w:rsid w:val="00A2020F"/>
    <w:rsid w:val="00A2062D"/>
    <w:rsid w:val="00A21813"/>
    <w:rsid w:val="00A22F7C"/>
    <w:rsid w:val="00A235A1"/>
    <w:rsid w:val="00A238E6"/>
    <w:rsid w:val="00A245D4"/>
    <w:rsid w:val="00A2510D"/>
    <w:rsid w:val="00A251BB"/>
    <w:rsid w:val="00A252FB"/>
    <w:rsid w:val="00A25675"/>
    <w:rsid w:val="00A26A0C"/>
    <w:rsid w:val="00A26C92"/>
    <w:rsid w:val="00A26D01"/>
    <w:rsid w:val="00A30029"/>
    <w:rsid w:val="00A312F8"/>
    <w:rsid w:val="00A31C27"/>
    <w:rsid w:val="00A3342E"/>
    <w:rsid w:val="00A33618"/>
    <w:rsid w:val="00A3403C"/>
    <w:rsid w:val="00A34291"/>
    <w:rsid w:val="00A352D7"/>
    <w:rsid w:val="00A353BF"/>
    <w:rsid w:val="00A373CF"/>
    <w:rsid w:val="00A37676"/>
    <w:rsid w:val="00A37A38"/>
    <w:rsid w:val="00A37B78"/>
    <w:rsid w:val="00A4085A"/>
    <w:rsid w:val="00A41A5E"/>
    <w:rsid w:val="00A42D83"/>
    <w:rsid w:val="00A42FBE"/>
    <w:rsid w:val="00A445BF"/>
    <w:rsid w:val="00A44C1F"/>
    <w:rsid w:val="00A45EE9"/>
    <w:rsid w:val="00A46CA2"/>
    <w:rsid w:val="00A471F0"/>
    <w:rsid w:val="00A47A18"/>
    <w:rsid w:val="00A503D5"/>
    <w:rsid w:val="00A509E2"/>
    <w:rsid w:val="00A5104B"/>
    <w:rsid w:val="00A52F93"/>
    <w:rsid w:val="00A52FBA"/>
    <w:rsid w:val="00A5309E"/>
    <w:rsid w:val="00A536C9"/>
    <w:rsid w:val="00A54B1C"/>
    <w:rsid w:val="00A55BF6"/>
    <w:rsid w:val="00A55C6B"/>
    <w:rsid w:val="00A56136"/>
    <w:rsid w:val="00A567AB"/>
    <w:rsid w:val="00A5796B"/>
    <w:rsid w:val="00A579C8"/>
    <w:rsid w:val="00A57CC0"/>
    <w:rsid w:val="00A57F3A"/>
    <w:rsid w:val="00A61152"/>
    <w:rsid w:val="00A61C3D"/>
    <w:rsid w:val="00A622C1"/>
    <w:rsid w:val="00A623B0"/>
    <w:rsid w:val="00A628DE"/>
    <w:rsid w:val="00A63014"/>
    <w:rsid w:val="00A63543"/>
    <w:rsid w:val="00A65B14"/>
    <w:rsid w:val="00A660CC"/>
    <w:rsid w:val="00A67005"/>
    <w:rsid w:val="00A674A4"/>
    <w:rsid w:val="00A677C3"/>
    <w:rsid w:val="00A67A0A"/>
    <w:rsid w:val="00A7055A"/>
    <w:rsid w:val="00A712EF"/>
    <w:rsid w:val="00A71544"/>
    <w:rsid w:val="00A7154D"/>
    <w:rsid w:val="00A71B69"/>
    <w:rsid w:val="00A727EC"/>
    <w:rsid w:val="00A72A85"/>
    <w:rsid w:val="00A72CF3"/>
    <w:rsid w:val="00A73613"/>
    <w:rsid w:val="00A73639"/>
    <w:rsid w:val="00A74E7F"/>
    <w:rsid w:val="00A75075"/>
    <w:rsid w:val="00A759D6"/>
    <w:rsid w:val="00A75F83"/>
    <w:rsid w:val="00A76723"/>
    <w:rsid w:val="00A77F12"/>
    <w:rsid w:val="00A80411"/>
    <w:rsid w:val="00A80824"/>
    <w:rsid w:val="00A80A17"/>
    <w:rsid w:val="00A80CAF"/>
    <w:rsid w:val="00A81095"/>
    <w:rsid w:val="00A81354"/>
    <w:rsid w:val="00A82A06"/>
    <w:rsid w:val="00A8312F"/>
    <w:rsid w:val="00A836DB"/>
    <w:rsid w:val="00A83987"/>
    <w:rsid w:val="00A85539"/>
    <w:rsid w:val="00A85C0C"/>
    <w:rsid w:val="00A85F53"/>
    <w:rsid w:val="00A86681"/>
    <w:rsid w:val="00A8684B"/>
    <w:rsid w:val="00A86D56"/>
    <w:rsid w:val="00A86D8C"/>
    <w:rsid w:val="00A878A4"/>
    <w:rsid w:val="00A87F0A"/>
    <w:rsid w:val="00A907D6"/>
    <w:rsid w:val="00A90B74"/>
    <w:rsid w:val="00A90C7A"/>
    <w:rsid w:val="00A90E6E"/>
    <w:rsid w:val="00A91171"/>
    <w:rsid w:val="00A91EDF"/>
    <w:rsid w:val="00A9211C"/>
    <w:rsid w:val="00A92807"/>
    <w:rsid w:val="00A92EFB"/>
    <w:rsid w:val="00A930CF"/>
    <w:rsid w:val="00A93FE1"/>
    <w:rsid w:val="00A94F80"/>
    <w:rsid w:val="00A95666"/>
    <w:rsid w:val="00A97017"/>
    <w:rsid w:val="00A974A1"/>
    <w:rsid w:val="00A97F09"/>
    <w:rsid w:val="00AA0055"/>
    <w:rsid w:val="00AA02B5"/>
    <w:rsid w:val="00AA1307"/>
    <w:rsid w:val="00AA15F5"/>
    <w:rsid w:val="00AA1A9B"/>
    <w:rsid w:val="00AA38FB"/>
    <w:rsid w:val="00AA3E4B"/>
    <w:rsid w:val="00AA3FF9"/>
    <w:rsid w:val="00AA5151"/>
    <w:rsid w:val="00AA578E"/>
    <w:rsid w:val="00AA5BE1"/>
    <w:rsid w:val="00AA5BFE"/>
    <w:rsid w:val="00AA6AF9"/>
    <w:rsid w:val="00AA6B03"/>
    <w:rsid w:val="00AA73CD"/>
    <w:rsid w:val="00AA7A02"/>
    <w:rsid w:val="00AA7BA7"/>
    <w:rsid w:val="00AB0461"/>
    <w:rsid w:val="00AB09B2"/>
    <w:rsid w:val="00AB0EB3"/>
    <w:rsid w:val="00AB0F26"/>
    <w:rsid w:val="00AB112F"/>
    <w:rsid w:val="00AB1156"/>
    <w:rsid w:val="00AB182F"/>
    <w:rsid w:val="00AB2EAB"/>
    <w:rsid w:val="00AB33CA"/>
    <w:rsid w:val="00AB36C6"/>
    <w:rsid w:val="00AB4060"/>
    <w:rsid w:val="00AB4428"/>
    <w:rsid w:val="00AB4E15"/>
    <w:rsid w:val="00AB5301"/>
    <w:rsid w:val="00AB5ADD"/>
    <w:rsid w:val="00AB5BC6"/>
    <w:rsid w:val="00AB6841"/>
    <w:rsid w:val="00AB6ED7"/>
    <w:rsid w:val="00AB6F23"/>
    <w:rsid w:val="00AB73A3"/>
    <w:rsid w:val="00AB7614"/>
    <w:rsid w:val="00AB79EB"/>
    <w:rsid w:val="00AB7B6B"/>
    <w:rsid w:val="00AC1420"/>
    <w:rsid w:val="00AC1B6B"/>
    <w:rsid w:val="00AC3166"/>
    <w:rsid w:val="00AC3508"/>
    <w:rsid w:val="00AC3D73"/>
    <w:rsid w:val="00AC3F81"/>
    <w:rsid w:val="00AC3F92"/>
    <w:rsid w:val="00AC42BC"/>
    <w:rsid w:val="00AC4941"/>
    <w:rsid w:val="00AC4A95"/>
    <w:rsid w:val="00AC5105"/>
    <w:rsid w:val="00AC55D0"/>
    <w:rsid w:val="00AC5778"/>
    <w:rsid w:val="00AC6174"/>
    <w:rsid w:val="00AC673C"/>
    <w:rsid w:val="00AC78FA"/>
    <w:rsid w:val="00AC7CA1"/>
    <w:rsid w:val="00AC7CA3"/>
    <w:rsid w:val="00AC7D0E"/>
    <w:rsid w:val="00AD10E9"/>
    <w:rsid w:val="00AD1B5E"/>
    <w:rsid w:val="00AD2B15"/>
    <w:rsid w:val="00AD2B7C"/>
    <w:rsid w:val="00AD2DD6"/>
    <w:rsid w:val="00AD3D0D"/>
    <w:rsid w:val="00AD4518"/>
    <w:rsid w:val="00AD4C0C"/>
    <w:rsid w:val="00AD4D67"/>
    <w:rsid w:val="00AD5240"/>
    <w:rsid w:val="00AD6A7C"/>
    <w:rsid w:val="00AD6A8C"/>
    <w:rsid w:val="00AD73A9"/>
    <w:rsid w:val="00AE08BD"/>
    <w:rsid w:val="00AE0933"/>
    <w:rsid w:val="00AE1DA2"/>
    <w:rsid w:val="00AE216C"/>
    <w:rsid w:val="00AE2611"/>
    <w:rsid w:val="00AE35A0"/>
    <w:rsid w:val="00AE3DC8"/>
    <w:rsid w:val="00AE3FCD"/>
    <w:rsid w:val="00AE4530"/>
    <w:rsid w:val="00AE4695"/>
    <w:rsid w:val="00AE4A25"/>
    <w:rsid w:val="00AE5042"/>
    <w:rsid w:val="00AE70B8"/>
    <w:rsid w:val="00AE78BB"/>
    <w:rsid w:val="00AF00BF"/>
    <w:rsid w:val="00AF01C0"/>
    <w:rsid w:val="00AF0332"/>
    <w:rsid w:val="00AF05D9"/>
    <w:rsid w:val="00AF1EE7"/>
    <w:rsid w:val="00AF33FF"/>
    <w:rsid w:val="00AF3752"/>
    <w:rsid w:val="00AF47A0"/>
    <w:rsid w:val="00AF649C"/>
    <w:rsid w:val="00AF666E"/>
    <w:rsid w:val="00AF678E"/>
    <w:rsid w:val="00AF6F82"/>
    <w:rsid w:val="00AF721A"/>
    <w:rsid w:val="00B0049D"/>
    <w:rsid w:val="00B0076E"/>
    <w:rsid w:val="00B00A25"/>
    <w:rsid w:val="00B0145B"/>
    <w:rsid w:val="00B01CE3"/>
    <w:rsid w:val="00B01D49"/>
    <w:rsid w:val="00B02552"/>
    <w:rsid w:val="00B0283D"/>
    <w:rsid w:val="00B02BEA"/>
    <w:rsid w:val="00B02C63"/>
    <w:rsid w:val="00B0304F"/>
    <w:rsid w:val="00B03789"/>
    <w:rsid w:val="00B03AD9"/>
    <w:rsid w:val="00B04409"/>
    <w:rsid w:val="00B0490E"/>
    <w:rsid w:val="00B0546B"/>
    <w:rsid w:val="00B06208"/>
    <w:rsid w:val="00B062E9"/>
    <w:rsid w:val="00B0644F"/>
    <w:rsid w:val="00B0650E"/>
    <w:rsid w:val="00B06C72"/>
    <w:rsid w:val="00B0736E"/>
    <w:rsid w:val="00B0758F"/>
    <w:rsid w:val="00B0768A"/>
    <w:rsid w:val="00B1095F"/>
    <w:rsid w:val="00B10C3F"/>
    <w:rsid w:val="00B1115D"/>
    <w:rsid w:val="00B11248"/>
    <w:rsid w:val="00B11E88"/>
    <w:rsid w:val="00B12090"/>
    <w:rsid w:val="00B139A5"/>
    <w:rsid w:val="00B14A50"/>
    <w:rsid w:val="00B14D19"/>
    <w:rsid w:val="00B15325"/>
    <w:rsid w:val="00B15C8C"/>
    <w:rsid w:val="00B167F4"/>
    <w:rsid w:val="00B16A9B"/>
    <w:rsid w:val="00B16AAB"/>
    <w:rsid w:val="00B1737A"/>
    <w:rsid w:val="00B175D2"/>
    <w:rsid w:val="00B17F63"/>
    <w:rsid w:val="00B2072E"/>
    <w:rsid w:val="00B20779"/>
    <w:rsid w:val="00B20907"/>
    <w:rsid w:val="00B20CE9"/>
    <w:rsid w:val="00B218A8"/>
    <w:rsid w:val="00B21B56"/>
    <w:rsid w:val="00B22134"/>
    <w:rsid w:val="00B223A9"/>
    <w:rsid w:val="00B22662"/>
    <w:rsid w:val="00B2317A"/>
    <w:rsid w:val="00B23B49"/>
    <w:rsid w:val="00B24091"/>
    <w:rsid w:val="00B24318"/>
    <w:rsid w:val="00B254FB"/>
    <w:rsid w:val="00B25606"/>
    <w:rsid w:val="00B2654F"/>
    <w:rsid w:val="00B27476"/>
    <w:rsid w:val="00B30097"/>
    <w:rsid w:val="00B30169"/>
    <w:rsid w:val="00B30253"/>
    <w:rsid w:val="00B31287"/>
    <w:rsid w:val="00B31CDB"/>
    <w:rsid w:val="00B3220B"/>
    <w:rsid w:val="00B32A36"/>
    <w:rsid w:val="00B333AB"/>
    <w:rsid w:val="00B3427A"/>
    <w:rsid w:val="00B343A0"/>
    <w:rsid w:val="00B343FD"/>
    <w:rsid w:val="00B34F60"/>
    <w:rsid w:val="00B35E5F"/>
    <w:rsid w:val="00B3630C"/>
    <w:rsid w:val="00B3670B"/>
    <w:rsid w:val="00B3673B"/>
    <w:rsid w:val="00B36D75"/>
    <w:rsid w:val="00B3728A"/>
    <w:rsid w:val="00B4146A"/>
    <w:rsid w:val="00B4174A"/>
    <w:rsid w:val="00B42008"/>
    <w:rsid w:val="00B42B98"/>
    <w:rsid w:val="00B430A8"/>
    <w:rsid w:val="00B441FC"/>
    <w:rsid w:val="00B45F02"/>
    <w:rsid w:val="00B4638F"/>
    <w:rsid w:val="00B471BD"/>
    <w:rsid w:val="00B476C9"/>
    <w:rsid w:val="00B47FBF"/>
    <w:rsid w:val="00B50644"/>
    <w:rsid w:val="00B507CA"/>
    <w:rsid w:val="00B50BFC"/>
    <w:rsid w:val="00B51320"/>
    <w:rsid w:val="00B5142A"/>
    <w:rsid w:val="00B51EBD"/>
    <w:rsid w:val="00B52278"/>
    <w:rsid w:val="00B5348D"/>
    <w:rsid w:val="00B53A52"/>
    <w:rsid w:val="00B53D81"/>
    <w:rsid w:val="00B546EB"/>
    <w:rsid w:val="00B5470F"/>
    <w:rsid w:val="00B55EDE"/>
    <w:rsid w:val="00B56359"/>
    <w:rsid w:val="00B56E10"/>
    <w:rsid w:val="00B57585"/>
    <w:rsid w:val="00B57E93"/>
    <w:rsid w:val="00B605BB"/>
    <w:rsid w:val="00B616AE"/>
    <w:rsid w:val="00B616D3"/>
    <w:rsid w:val="00B61B6A"/>
    <w:rsid w:val="00B62564"/>
    <w:rsid w:val="00B62C0A"/>
    <w:rsid w:val="00B62C34"/>
    <w:rsid w:val="00B62D1A"/>
    <w:rsid w:val="00B62D5F"/>
    <w:rsid w:val="00B640D7"/>
    <w:rsid w:val="00B6411A"/>
    <w:rsid w:val="00B659D2"/>
    <w:rsid w:val="00B66027"/>
    <w:rsid w:val="00B66ECE"/>
    <w:rsid w:val="00B67022"/>
    <w:rsid w:val="00B67920"/>
    <w:rsid w:val="00B706AE"/>
    <w:rsid w:val="00B708FF"/>
    <w:rsid w:val="00B70C17"/>
    <w:rsid w:val="00B71BBE"/>
    <w:rsid w:val="00B72279"/>
    <w:rsid w:val="00B72935"/>
    <w:rsid w:val="00B73518"/>
    <w:rsid w:val="00B73E15"/>
    <w:rsid w:val="00B74393"/>
    <w:rsid w:val="00B74CB3"/>
    <w:rsid w:val="00B74D33"/>
    <w:rsid w:val="00B74DF5"/>
    <w:rsid w:val="00B74E95"/>
    <w:rsid w:val="00B75452"/>
    <w:rsid w:val="00B7548F"/>
    <w:rsid w:val="00B7570F"/>
    <w:rsid w:val="00B757F7"/>
    <w:rsid w:val="00B75FBF"/>
    <w:rsid w:val="00B76A55"/>
    <w:rsid w:val="00B772A8"/>
    <w:rsid w:val="00B77D67"/>
    <w:rsid w:val="00B80D42"/>
    <w:rsid w:val="00B813C4"/>
    <w:rsid w:val="00B81C54"/>
    <w:rsid w:val="00B82A74"/>
    <w:rsid w:val="00B83074"/>
    <w:rsid w:val="00B83EEA"/>
    <w:rsid w:val="00B845D1"/>
    <w:rsid w:val="00B84658"/>
    <w:rsid w:val="00B848C2"/>
    <w:rsid w:val="00B867A5"/>
    <w:rsid w:val="00B8681C"/>
    <w:rsid w:val="00B872EA"/>
    <w:rsid w:val="00B91262"/>
    <w:rsid w:val="00B91BEE"/>
    <w:rsid w:val="00B91F91"/>
    <w:rsid w:val="00B933BA"/>
    <w:rsid w:val="00B94C7A"/>
    <w:rsid w:val="00B94CE5"/>
    <w:rsid w:val="00B9513D"/>
    <w:rsid w:val="00B96DEE"/>
    <w:rsid w:val="00B97C1E"/>
    <w:rsid w:val="00BA0F5F"/>
    <w:rsid w:val="00BA120C"/>
    <w:rsid w:val="00BA139F"/>
    <w:rsid w:val="00BA2FC9"/>
    <w:rsid w:val="00BA3269"/>
    <w:rsid w:val="00BA3ACC"/>
    <w:rsid w:val="00BA44EC"/>
    <w:rsid w:val="00BA5DD2"/>
    <w:rsid w:val="00BA6169"/>
    <w:rsid w:val="00BA65AB"/>
    <w:rsid w:val="00BA71B2"/>
    <w:rsid w:val="00BB00DE"/>
    <w:rsid w:val="00BB018F"/>
    <w:rsid w:val="00BB031D"/>
    <w:rsid w:val="00BB2683"/>
    <w:rsid w:val="00BB2C4C"/>
    <w:rsid w:val="00BB2CCC"/>
    <w:rsid w:val="00BB5C08"/>
    <w:rsid w:val="00BB64F1"/>
    <w:rsid w:val="00BB723B"/>
    <w:rsid w:val="00BB737F"/>
    <w:rsid w:val="00BB76CD"/>
    <w:rsid w:val="00BB786D"/>
    <w:rsid w:val="00BB7C62"/>
    <w:rsid w:val="00BB7FC0"/>
    <w:rsid w:val="00BC0044"/>
    <w:rsid w:val="00BC038E"/>
    <w:rsid w:val="00BC0DA3"/>
    <w:rsid w:val="00BC0E60"/>
    <w:rsid w:val="00BC1502"/>
    <w:rsid w:val="00BC195C"/>
    <w:rsid w:val="00BC1A6C"/>
    <w:rsid w:val="00BC1F07"/>
    <w:rsid w:val="00BC1FF2"/>
    <w:rsid w:val="00BC2B7C"/>
    <w:rsid w:val="00BC2D18"/>
    <w:rsid w:val="00BC3865"/>
    <w:rsid w:val="00BC49AA"/>
    <w:rsid w:val="00BC532E"/>
    <w:rsid w:val="00BC5617"/>
    <w:rsid w:val="00BC5D68"/>
    <w:rsid w:val="00BC5DCA"/>
    <w:rsid w:val="00BC6A6E"/>
    <w:rsid w:val="00BC768E"/>
    <w:rsid w:val="00BC7BE5"/>
    <w:rsid w:val="00BC7D15"/>
    <w:rsid w:val="00BD02B5"/>
    <w:rsid w:val="00BD02E9"/>
    <w:rsid w:val="00BD128D"/>
    <w:rsid w:val="00BD179F"/>
    <w:rsid w:val="00BD1958"/>
    <w:rsid w:val="00BD1C5C"/>
    <w:rsid w:val="00BD20BA"/>
    <w:rsid w:val="00BD2741"/>
    <w:rsid w:val="00BD2B7A"/>
    <w:rsid w:val="00BD2E14"/>
    <w:rsid w:val="00BD30CA"/>
    <w:rsid w:val="00BD3B11"/>
    <w:rsid w:val="00BD3B44"/>
    <w:rsid w:val="00BD4229"/>
    <w:rsid w:val="00BD4408"/>
    <w:rsid w:val="00BD44A1"/>
    <w:rsid w:val="00BD44C3"/>
    <w:rsid w:val="00BD4B33"/>
    <w:rsid w:val="00BD57AA"/>
    <w:rsid w:val="00BD5B1E"/>
    <w:rsid w:val="00BD668A"/>
    <w:rsid w:val="00BD6E37"/>
    <w:rsid w:val="00BD79DB"/>
    <w:rsid w:val="00BE01AF"/>
    <w:rsid w:val="00BE0230"/>
    <w:rsid w:val="00BE0A80"/>
    <w:rsid w:val="00BE0EA7"/>
    <w:rsid w:val="00BE14C1"/>
    <w:rsid w:val="00BE1A29"/>
    <w:rsid w:val="00BE2287"/>
    <w:rsid w:val="00BE2605"/>
    <w:rsid w:val="00BE2C43"/>
    <w:rsid w:val="00BE31F8"/>
    <w:rsid w:val="00BE3422"/>
    <w:rsid w:val="00BE3E36"/>
    <w:rsid w:val="00BE4CA9"/>
    <w:rsid w:val="00BE4F54"/>
    <w:rsid w:val="00BE50EF"/>
    <w:rsid w:val="00BE5E9B"/>
    <w:rsid w:val="00BE5F29"/>
    <w:rsid w:val="00BE6987"/>
    <w:rsid w:val="00BE6B7D"/>
    <w:rsid w:val="00BE6F3B"/>
    <w:rsid w:val="00BE743D"/>
    <w:rsid w:val="00BE7D83"/>
    <w:rsid w:val="00BF0014"/>
    <w:rsid w:val="00BF0425"/>
    <w:rsid w:val="00BF08DF"/>
    <w:rsid w:val="00BF16ED"/>
    <w:rsid w:val="00BF1A32"/>
    <w:rsid w:val="00BF216A"/>
    <w:rsid w:val="00BF2517"/>
    <w:rsid w:val="00BF29D3"/>
    <w:rsid w:val="00BF2EFD"/>
    <w:rsid w:val="00BF2F5A"/>
    <w:rsid w:val="00BF3085"/>
    <w:rsid w:val="00BF3159"/>
    <w:rsid w:val="00BF3266"/>
    <w:rsid w:val="00BF3278"/>
    <w:rsid w:val="00BF3369"/>
    <w:rsid w:val="00BF3A3D"/>
    <w:rsid w:val="00BF3F87"/>
    <w:rsid w:val="00BF4444"/>
    <w:rsid w:val="00BF5DC8"/>
    <w:rsid w:val="00BF5E68"/>
    <w:rsid w:val="00BF6527"/>
    <w:rsid w:val="00BF674E"/>
    <w:rsid w:val="00BF781D"/>
    <w:rsid w:val="00BF79F8"/>
    <w:rsid w:val="00BF7C31"/>
    <w:rsid w:val="00C003A5"/>
    <w:rsid w:val="00C007D1"/>
    <w:rsid w:val="00C019B5"/>
    <w:rsid w:val="00C019E2"/>
    <w:rsid w:val="00C0237E"/>
    <w:rsid w:val="00C02BA0"/>
    <w:rsid w:val="00C03009"/>
    <w:rsid w:val="00C03416"/>
    <w:rsid w:val="00C03DBF"/>
    <w:rsid w:val="00C04003"/>
    <w:rsid w:val="00C043EE"/>
    <w:rsid w:val="00C048B1"/>
    <w:rsid w:val="00C04E1C"/>
    <w:rsid w:val="00C05047"/>
    <w:rsid w:val="00C053D0"/>
    <w:rsid w:val="00C06565"/>
    <w:rsid w:val="00C068C9"/>
    <w:rsid w:val="00C06B07"/>
    <w:rsid w:val="00C07162"/>
    <w:rsid w:val="00C0746A"/>
    <w:rsid w:val="00C07606"/>
    <w:rsid w:val="00C07BEC"/>
    <w:rsid w:val="00C07FF6"/>
    <w:rsid w:val="00C10950"/>
    <w:rsid w:val="00C11361"/>
    <w:rsid w:val="00C11DD3"/>
    <w:rsid w:val="00C12041"/>
    <w:rsid w:val="00C12959"/>
    <w:rsid w:val="00C13214"/>
    <w:rsid w:val="00C136B2"/>
    <w:rsid w:val="00C13DFB"/>
    <w:rsid w:val="00C14585"/>
    <w:rsid w:val="00C149B8"/>
    <w:rsid w:val="00C14F22"/>
    <w:rsid w:val="00C15318"/>
    <w:rsid w:val="00C15971"/>
    <w:rsid w:val="00C179B3"/>
    <w:rsid w:val="00C20010"/>
    <w:rsid w:val="00C2025E"/>
    <w:rsid w:val="00C20999"/>
    <w:rsid w:val="00C20A0C"/>
    <w:rsid w:val="00C210EA"/>
    <w:rsid w:val="00C22602"/>
    <w:rsid w:val="00C229C4"/>
    <w:rsid w:val="00C22E68"/>
    <w:rsid w:val="00C23862"/>
    <w:rsid w:val="00C243D1"/>
    <w:rsid w:val="00C24FD3"/>
    <w:rsid w:val="00C25314"/>
    <w:rsid w:val="00C25DDA"/>
    <w:rsid w:val="00C25E64"/>
    <w:rsid w:val="00C26532"/>
    <w:rsid w:val="00C267D2"/>
    <w:rsid w:val="00C267FA"/>
    <w:rsid w:val="00C2719B"/>
    <w:rsid w:val="00C277E0"/>
    <w:rsid w:val="00C30DC7"/>
    <w:rsid w:val="00C30E47"/>
    <w:rsid w:val="00C31F85"/>
    <w:rsid w:val="00C323D0"/>
    <w:rsid w:val="00C334ED"/>
    <w:rsid w:val="00C3401B"/>
    <w:rsid w:val="00C34432"/>
    <w:rsid w:val="00C35A98"/>
    <w:rsid w:val="00C3629F"/>
    <w:rsid w:val="00C37CCD"/>
    <w:rsid w:val="00C37E1B"/>
    <w:rsid w:val="00C403F6"/>
    <w:rsid w:val="00C4055A"/>
    <w:rsid w:val="00C4092E"/>
    <w:rsid w:val="00C40D31"/>
    <w:rsid w:val="00C4138A"/>
    <w:rsid w:val="00C41C47"/>
    <w:rsid w:val="00C426BB"/>
    <w:rsid w:val="00C426EA"/>
    <w:rsid w:val="00C431F5"/>
    <w:rsid w:val="00C43C45"/>
    <w:rsid w:val="00C4436F"/>
    <w:rsid w:val="00C45914"/>
    <w:rsid w:val="00C4789F"/>
    <w:rsid w:val="00C50268"/>
    <w:rsid w:val="00C5042A"/>
    <w:rsid w:val="00C508F9"/>
    <w:rsid w:val="00C50E0E"/>
    <w:rsid w:val="00C52298"/>
    <w:rsid w:val="00C53A5D"/>
    <w:rsid w:val="00C53CEF"/>
    <w:rsid w:val="00C5458D"/>
    <w:rsid w:val="00C54CFF"/>
    <w:rsid w:val="00C55520"/>
    <w:rsid w:val="00C56661"/>
    <w:rsid w:val="00C56A9B"/>
    <w:rsid w:val="00C574A1"/>
    <w:rsid w:val="00C57562"/>
    <w:rsid w:val="00C57C5A"/>
    <w:rsid w:val="00C6026C"/>
    <w:rsid w:val="00C60512"/>
    <w:rsid w:val="00C6058A"/>
    <w:rsid w:val="00C61683"/>
    <w:rsid w:val="00C6176A"/>
    <w:rsid w:val="00C6233C"/>
    <w:rsid w:val="00C62513"/>
    <w:rsid w:val="00C6362F"/>
    <w:rsid w:val="00C64CE5"/>
    <w:rsid w:val="00C650C4"/>
    <w:rsid w:val="00C661F3"/>
    <w:rsid w:val="00C66D0A"/>
    <w:rsid w:val="00C67B48"/>
    <w:rsid w:val="00C67B71"/>
    <w:rsid w:val="00C67FE3"/>
    <w:rsid w:val="00C70639"/>
    <w:rsid w:val="00C70871"/>
    <w:rsid w:val="00C70C6A"/>
    <w:rsid w:val="00C711F0"/>
    <w:rsid w:val="00C71F3D"/>
    <w:rsid w:val="00C726CA"/>
    <w:rsid w:val="00C72F5B"/>
    <w:rsid w:val="00C73862"/>
    <w:rsid w:val="00C74031"/>
    <w:rsid w:val="00C74F6F"/>
    <w:rsid w:val="00C77A74"/>
    <w:rsid w:val="00C77CC0"/>
    <w:rsid w:val="00C80075"/>
    <w:rsid w:val="00C80DF9"/>
    <w:rsid w:val="00C8125E"/>
    <w:rsid w:val="00C828EF"/>
    <w:rsid w:val="00C831B3"/>
    <w:rsid w:val="00C84200"/>
    <w:rsid w:val="00C85B39"/>
    <w:rsid w:val="00C87662"/>
    <w:rsid w:val="00C877D0"/>
    <w:rsid w:val="00C87CF2"/>
    <w:rsid w:val="00C90979"/>
    <w:rsid w:val="00C90C86"/>
    <w:rsid w:val="00C910ED"/>
    <w:rsid w:val="00C921DB"/>
    <w:rsid w:val="00C92611"/>
    <w:rsid w:val="00C9293D"/>
    <w:rsid w:val="00C93A03"/>
    <w:rsid w:val="00C93C78"/>
    <w:rsid w:val="00C93CF5"/>
    <w:rsid w:val="00C94751"/>
    <w:rsid w:val="00C95592"/>
    <w:rsid w:val="00C95A48"/>
    <w:rsid w:val="00C95BF0"/>
    <w:rsid w:val="00C96126"/>
    <w:rsid w:val="00C96302"/>
    <w:rsid w:val="00C97C56"/>
    <w:rsid w:val="00CA211C"/>
    <w:rsid w:val="00CA2345"/>
    <w:rsid w:val="00CA272B"/>
    <w:rsid w:val="00CA2BF3"/>
    <w:rsid w:val="00CA445E"/>
    <w:rsid w:val="00CA4F83"/>
    <w:rsid w:val="00CA5205"/>
    <w:rsid w:val="00CA590A"/>
    <w:rsid w:val="00CA601C"/>
    <w:rsid w:val="00CA674F"/>
    <w:rsid w:val="00CB0ACA"/>
    <w:rsid w:val="00CB38EE"/>
    <w:rsid w:val="00CB4CDA"/>
    <w:rsid w:val="00CB5026"/>
    <w:rsid w:val="00CB50EF"/>
    <w:rsid w:val="00CB5BA5"/>
    <w:rsid w:val="00CB6AF5"/>
    <w:rsid w:val="00CB7911"/>
    <w:rsid w:val="00CB7F55"/>
    <w:rsid w:val="00CC01C1"/>
    <w:rsid w:val="00CC0973"/>
    <w:rsid w:val="00CC1283"/>
    <w:rsid w:val="00CC1D06"/>
    <w:rsid w:val="00CC1F75"/>
    <w:rsid w:val="00CC2A0C"/>
    <w:rsid w:val="00CC2E29"/>
    <w:rsid w:val="00CC3290"/>
    <w:rsid w:val="00CC369A"/>
    <w:rsid w:val="00CC43F3"/>
    <w:rsid w:val="00CC5C59"/>
    <w:rsid w:val="00CC5ED5"/>
    <w:rsid w:val="00CC6956"/>
    <w:rsid w:val="00CC6DEA"/>
    <w:rsid w:val="00CC7268"/>
    <w:rsid w:val="00CD0D91"/>
    <w:rsid w:val="00CD0E62"/>
    <w:rsid w:val="00CD287B"/>
    <w:rsid w:val="00CD2E42"/>
    <w:rsid w:val="00CD2F79"/>
    <w:rsid w:val="00CD31F7"/>
    <w:rsid w:val="00CD366B"/>
    <w:rsid w:val="00CD3A43"/>
    <w:rsid w:val="00CD3F7C"/>
    <w:rsid w:val="00CD484F"/>
    <w:rsid w:val="00CD49A3"/>
    <w:rsid w:val="00CD4ADF"/>
    <w:rsid w:val="00CD4BEB"/>
    <w:rsid w:val="00CD50CB"/>
    <w:rsid w:val="00CD52D2"/>
    <w:rsid w:val="00CD5D82"/>
    <w:rsid w:val="00CE0FDC"/>
    <w:rsid w:val="00CE1C4E"/>
    <w:rsid w:val="00CE2BCC"/>
    <w:rsid w:val="00CE2FD2"/>
    <w:rsid w:val="00CE3475"/>
    <w:rsid w:val="00CE3F45"/>
    <w:rsid w:val="00CE4442"/>
    <w:rsid w:val="00CE6284"/>
    <w:rsid w:val="00CE6791"/>
    <w:rsid w:val="00CE7821"/>
    <w:rsid w:val="00CF03EE"/>
    <w:rsid w:val="00CF0DE4"/>
    <w:rsid w:val="00CF0E47"/>
    <w:rsid w:val="00CF158C"/>
    <w:rsid w:val="00CF3FC9"/>
    <w:rsid w:val="00CF467E"/>
    <w:rsid w:val="00CF4B55"/>
    <w:rsid w:val="00CF5204"/>
    <w:rsid w:val="00CF53F9"/>
    <w:rsid w:val="00CF5A8B"/>
    <w:rsid w:val="00CF6CA9"/>
    <w:rsid w:val="00CF72FC"/>
    <w:rsid w:val="00CF7968"/>
    <w:rsid w:val="00CF7B00"/>
    <w:rsid w:val="00D005F9"/>
    <w:rsid w:val="00D0065F"/>
    <w:rsid w:val="00D00881"/>
    <w:rsid w:val="00D00E5F"/>
    <w:rsid w:val="00D00EBF"/>
    <w:rsid w:val="00D00F0F"/>
    <w:rsid w:val="00D01246"/>
    <w:rsid w:val="00D0141B"/>
    <w:rsid w:val="00D01C7F"/>
    <w:rsid w:val="00D0256B"/>
    <w:rsid w:val="00D031B3"/>
    <w:rsid w:val="00D05123"/>
    <w:rsid w:val="00D05F26"/>
    <w:rsid w:val="00D05FF0"/>
    <w:rsid w:val="00D065D8"/>
    <w:rsid w:val="00D065E4"/>
    <w:rsid w:val="00D07750"/>
    <w:rsid w:val="00D11ADE"/>
    <w:rsid w:val="00D12537"/>
    <w:rsid w:val="00D12BF5"/>
    <w:rsid w:val="00D13129"/>
    <w:rsid w:val="00D132B3"/>
    <w:rsid w:val="00D1352D"/>
    <w:rsid w:val="00D14F29"/>
    <w:rsid w:val="00D15170"/>
    <w:rsid w:val="00D15AA5"/>
    <w:rsid w:val="00D16B9E"/>
    <w:rsid w:val="00D16E17"/>
    <w:rsid w:val="00D17054"/>
    <w:rsid w:val="00D1720D"/>
    <w:rsid w:val="00D17CC8"/>
    <w:rsid w:val="00D20089"/>
    <w:rsid w:val="00D205F1"/>
    <w:rsid w:val="00D207B9"/>
    <w:rsid w:val="00D20BC4"/>
    <w:rsid w:val="00D219C0"/>
    <w:rsid w:val="00D21A29"/>
    <w:rsid w:val="00D225F4"/>
    <w:rsid w:val="00D22BF7"/>
    <w:rsid w:val="00D236C9"/>
    <w:rsid w:val="00D23EBF"/>
    <w:rsid w:val="00D25181"/>
    <w:rsid w:val="00D25C49"/>
    <w:rsid w:val="00D25D16"/>
    <w:rsid w:val="00D25F3C"/>
    <w:rsid w:val="00D26772"/>
    <w:rsid w:val="00D30CDB"/>
    <w:rsid w:val="00D316AE"/>
    <w:rsid w:val="00D31D7F"/>
    <w:rsid w:val="00D32185"/>
    <w:rsid w:val="00D3261F"/>
    <w:rsid w:val="00D32810"/>
    <w:rsid w:val="00D32A3F"/>
    <w:rsid w:val="00D32F76"/>
    <w:rsid w:val="00D33840"/>
    <w:rsid w:val="00D3398A"/>
    <w:rsid w:val="00D344F9"/>
    <w:rsid w:val="00D350EE"/>
    <w:rsid w:val="00D3519B"/>
    <w:rsid w:val="00D35B10"/>
    <w:rsid w:val="00D36202"/>
    <w:rsid w:val="00D36E44"/>
    <w:rsid w:val="00D37252"/>
    <w:rsid w:val="00D40787"/>
    <w:rsid w:val="00D41485"/>
    <w:rsid w:val="00D4161B"/>
    <w:rsid w:val="00D41A1F"/>
    <w:rsid w:val="00D420FF"/>
    <w:rsid w:val="00D4213F"/>
    <w:rsid w:val="00D4217B"/>
    <w:rsid w:val="00D421EF"/>
    <w:rsid w:val="00D4296B"/>
    <w:rsid w:val="00D42D0F"/>
    <w:rsid w:val="00D42D99"/>
    <w:rsid w:val="00D434C5"/>
    <w:rsid w:val="00D43740"/>
    <w:rsid w:val="00D43E6A"/>
    <w:rsid w:val="00D4404F"/>
    <w:rsid w:val="00D44604"/>
    <w:rsid w:val="00D45091"/>
    <w:rsid w:val="00D45234"/>
    <w:rsid w:val="00D45282"/>
    <w:rsid w:val="00D45DD5"/>
    <w:rsid w:val="00D46B30"/>
    <w:rsid w:val="00D46ED9"/>
    <w:rsid w:val="00D47695"/>
    <w:rsid w:val="00D50751"/>
    <w:rsid w:val="00D5244B"/>
    <w:rsid w:val="00D52991"/>
    <w:rsid w:val="00D537E4"/>
    <w:rsid w:val="00D53AF3"/>
    <w:rsid w:val="00D54C8F"/>
    <w:rsid w:val="00D54F78"/>
    <w:rsid w:val="00D55333"/>
    <w:rsid w:val="00D55D59"/>
    <w:rsid w:val="00D56B3E"/>
    <w:rsid w:val="00D56B62"/>
    <w:rsid w:val="00D57546"/>
    <w:rsid w:val="00D602A3"/>
    <w:rsid w:val="00D6080D"/>
    <w:rsid w:val="00D60FC7"/>
    <w:rsid w:val="00D61BB6"/>
    <w:rsid w:val="00D62786"/>
    <w:rsid w:val="00D631E5"/>
    <w:rsid w:val="00D63E95"/>
    <w:rsid w:val="00D652C1"/>
    <w:rsid w:val="00D65D90"/>
    <w:rsid w:val="00D66905"/>
    <w:rsid w:val="00D66C5C"/>
    <w:rsid w:val="00D677F6"/>
    <w:rsid w:val="00D679D1"/>
    <w:rsid w:val="00D70416"/>
    <w:rsid w:val="00D709D5"/>
    <w:rsid w:val="00D70B52"/>
    <w:rsid w:val="00D71274"/>
    <w:rsid w:val="00D71353"/>
    <w:rsid w:val="00D71BCD"/>
    <w:rsid w:val="00D71CBC"/>
    <w:rsid w:val="00D73CE8"/>
    <w:rsid w:val="00D7473C"/>
    <w:rsid w:val="00D74FD3"/>
    <w:rsid w:val="00D75451"/>
    <w:rsid w:val="00D75FEB"/>
    <w:rsid w:val="00D7616E"/>
    <w:rsid w:val="00D775C2"/>
    <w:rsid w:val="00D77746"/>
    <w:rsid w:val="00D80221"/>
    <w:rsid w:val="00D80883"/>
    <w:rsid w:val="00D811D6"/>
    <w:rsid w:val="00D82768"/>
    <w:rsid w:val="00D82A2B"/>
    <w:rsid w:val="00D82F62"/>
    <w:rsid w:val="00D84856"/>
    <w:rsid w:val="00D85186"/>
    <w:rsid w:val="00D85620"/>
    <w:rsid w:val="00D85E33"/>
    <w:rsid w:val="00D8664D"/>
    <w:rsid w:val="00D86EA0"/>
    <w:rsid w:val="00D870CD"/>
    <w:rsid w:val="00D9085F"/>
    <w:rsid w:val="00D90C58"/>
    <w:rsid w:val="00D91384"/>
    <w:rsid w:val="00D915A2"/>
    <w:rsid w:val="00D91CF0"/>
    <w:rsid w:val="00D91DEF"/>
    <w:rsid w:val="00D93128"/>
    <w:rsid w:val="00D93725"/>
    <w:rsid w:val="00D93A10"/>
    <w:rsid w:val="00D93EAC"/>
    <w:rsid w:val="00D940A0"/>
    <w:rsid w:val="00D948AF"/>
    <w:rsid w:val="00D967A3"/>
    <w:rsid w:val="00D96AFA"/>
    <w:rsid w:val="00D9719F"/>
    <w:rsid w:val="00D9758F"/>
    <w:rsid w:val="00D976F8"/>
    <w:rsid w:val="00D97F16"/>
    <w:rsid w:val="00DA2770"/>
    <w:rsid w:val="00DA3C69"/>
    <w:rsid w:val="00DA3CDF"/>
    <w:rsid w:val="00DA4544"/>
    <w:rsid w:val="00DA5B38"/>
    <w:rsid w:val="00DA5B3F"/>
    <w:rsid w:val="00DA5FDA"/>
    <w:rsid w:val="00DA62AF"/>
    <w:rsid w:val="00DA66AC"/>
    <w:rsid w:val="00DA714F"/>
    <w:rsid w:val="00DA7873"/>
    <w:rsid w:val="00DA7BD0"/>
    <w:rsid w:val="00DA7ED6"/>
    <w:rsid w:val="00DB043C"/>
    <w:rsid w:val="00DB1F0E"/>
    <w:rsid w:val="00DB281E"/>
    <w:rsid w:val="00DB37B7"/>
    <w:rsid w:val="00DB37FF"/>
    <w:rsid w:val="00DB3862"/>
    <w:rsid w:val="00DB3B65"/>
    <w:rsid w:val="00DB4A2F"/>
    <w:rsid w:val="00DB4AF3"/>
    <w:rsid w:val="00DB4C2A"/>
    <w:rsid w:val="00DB5A30"/>
    <w:rsid w:val="00DB5FD2"/>
    <w:rsid w:val="00DB6615"/>
    <w:rsid w:val="00DB67CE"/>
    <w:rsid w:val="00DB7A55"/>
    <w:rsid w:val="00DB7DE9"/>
    <w:rsid w:val="00DB7EFA"/>
    <w:rsid w:val="00DC044C"/>
    <w:rsid w:val="00DC06B5"/>
    <w:rsid w:val="00DC09AE"/>
    <w:rsid w:val="00DC0CB9"/>
    <w:rsid w:val="00DC0D3C"/>
    <w:rsid w:val="00DC0E3D"/>
    <w:rsid w:val="00DC124D"/>
    <w:rsid w:val="00DC1394"/>
    <w:rsid w:val="00DC23EA"/>
    <w:rsid w:val="00DC2CA0"/>
    <w:rsid w:val="00DC356B"/>
    <w:rsid w:val="00DC3B87"/>
    <w:rsid w:val="00DC3B96"/>
    <w:rsid w:val="00DC3D51"/>
    <w:rsid w:val="00DC4436"/>
    <w:rsid w:val="00DC48EE"/>
    <w:rsid w:val="00DC4A71"/>
    <w:rsid w:val="00DC4B9A"/>
    <w:rsid w:val="00DC5642"/>
    <w:rsid w:val="00DC5898"/>
    <w:rsid w:val="00DC698B"/>
    <w:rsid w:val="00DC6A21"/>
    <w:rsid w:val="00DC6D55"/>
    <w:rsid w:val="00DC6E75"/>
    <w:rsid w:val="00DC735F"/>
    <w:rsid w:val="00DC74AC"/>
    <w:rsid w:val="00DC79A8"/>
    <w:rsid w:val="00DC7D85"/>
    <w:rsid w:val="00DD05C6"/>
    <w:rsid w:val="00DD07FD"/>
    <w:rsid w:val="00DD08B7"/>
    <w:rsid w:val="00DD13F3"/>
    <w:rsid w:val="00DD17F4"/>
    <w:rsid w:val="00DD1FBB"/>
    <w:rsid w:val="00DD2420"/>
    <w:rsid w:val="00DD2D71"/>
    <w:rsid w:val="00DD315B"/>
    <w:rsid w:val="00DD3E44"/>
    <w:rsid w:val="00DD4123"/>
    <w:rsid w:val="00DD4B1F"/>
    <w:rsid w:val="00DD5FF0"/>
    <w:rsid w:val="00DD6944"/>
    <w:rsid w:val="00DD6F10"/>
    <w:rsid w:val="00DD79A1"/>
    <w:rsid w:val="00DD7E90"/>
    <w:rsid w:val="00DE01CB"/>
    <w:rsid w:val="00DE036C"/>
    <w:rsid w:val="00DE136C"/>
    <w:rsid w:val="00DE1992"/>
    <w:rsid w:val="00DE1AD5"/>
    <w:rsid w:val="00DE1C59"/>
    <w:rsid w:val="00DE21B7"/>
    <w:rsid w:val="00DE247B"/>
    <w:rsid w:val="00DE2828"/>
    <w:rsid w:val="00DE2964"/>
    <w:rsid w:val="00DE29F7"/>
    <w:rsid w:val="00DE3E7D"/>
    <w:rsid w:val="00DE41C0"/>
    <w:rsid w:val="00DE46B1"/>
    <w:rsid w:val="00DE4FB2"/>
    <w:rsid w:val="00DE5E3B"/>
    <w:rsid w:val="00DE63C2"/>
    <w:rsid w:val="00DE68FF"/>
    <w:rsid w:val="00DE6AE3"/>
    <w:rsid w:val="00DE743D"/>
    <w:rsid w:val="00DE7711"/>
    <w:rsid w:val="00DE7AFE"/>
    <w:rsid w:val="00DE7C23"/>
    <w:rsid w:val="00DF024A"/>
    <w:rsid w:val="00DF0B64"/>
    <w:rsid w:val="00DF278E"/>
    <w:rsid w:val="00DF2862"/>
    <w:rsid w:val="00DF316A"/>
    <w:rsid w:val="00DF327F"/>
    <w:rsid w:val="00DF33A4"/>
    <w:rsid w:val="00DF3977"/>
    <w:rsid w:val="00DF4D41"/>
    <w:rsid w:val="00DF4F82"/>
    <w:rsid w:val="00DF6027"/>
    <w:rsid w:val="00DF6258"/>
    <w:rsid w:val="00DF66FE"/>
    <w:rsid w:val="00DF6CAF"/>
    <w:rsid w:val="00DF6E6C"/>
    <w:rsid w:val="00DF7490"/>
    <w:rsid w:val="00DF778A"/>
    <w:rsid w:val="00E00ED5"/>
    <w:rsid w:val="00E01496"/>
    <w:rsid w:val="00E01ACF"/>
    <w:rsid w:val="00E01FC1"/>
    <w:rsid w:val="00E0313E"/>
    <w:rsid w:val="00E038C9"/>
    <w:rsid w:val="00E04720"/>
    <w:rsid w:val="00E0475B"/>
    <w:rsid w:val="00E04F2D"/>
    <w:rsid w:val="00E05042"/>
    <w:rsid w:val="00E05F27"/>
    <w:rsid w:val="00E06547"/>
    <w:rsid w:val="00E076CD"/>
    <w:rsid w:val="00E07AF2"/>
    <w:rsid w:val="00E07CCA"/>
    <w:rsid w:val="00E10455"/>
    <w:rsid w:val="00E108E4"/>
    <w:rsid w:val="00E11AF1"/>
    <w:rsid w:val="00E123F1"/>
    <w:rsid w:val="00E13264"/>
    <w:rsid w:val="00E133E7"/>
    <w:rsid w:val="00E13865"/>
    <w:rsid w:val="00E13CDA"/>
    <w:rsid w:val="00E14027"/>
    <w:rsid w:val="00E14270"/>
    <w:rsid w:val="00E14411"/>
    <w:rsid w:val="00E14D83"/>
    <w:rsid w:val="00E14F74"/>
    <w:rsid w:val="00E151FC"/>
    <w:rsid w:val="00E15963"/>
    <w:rsid w:val="00E15B9C"/>
    <w:rsid w:val="00E16AFB"/>
    <w:rsid w:val="00E16BDD"/>
    <w:rsid w:val="00E17127"/>
    <w:rsid w:val="00E174BD"/>
    <w:rsid w:val="00E1763C"/>
    <w:rsid w:val="00E17732"/>
    <w:rsid w:val="00E17BD4"/>
    <w:rsid w:val="00E17F49"/>
    <w:rsid w:val="00E2109B"/>
    <w:rsid w:val="00E2125D"/>
    <w:rsid w:val="00E22128"/>
    <w:rsid w:val="00E22A60"/>
    <w:rsid w:val="00E231A5"/>
    <w:rsid w:val="00E234BF"/>
    <w:rsid w:val="00E23598"/>
    <w:rsid w:val="00E244C4"/>
    <w:rsid w:val="00E251B9"/>
    <w:rsid w:val="00E2595D"/>
    <w:rsid w:val="00E25BC5"/>
    <w:rsid w:val="00E263E5"/>
    <w:rsid w:val="00E2698C"/>
    <w:rsid w:val="00E26ABB"/>
    <w:rsid w:val="00E26AFA"/>
    <w:rsid w:val="00E3183E"/>
    <w:rsid w:val="00E32087"/>
    <w:rsid w:val="00E325A5"/>
    <w:rsid w:val="00E32A4C"/>
    <w:rsid w:val="00E32F39"/>
    <w:rsid w:val="00E33159"/>
    <w:rsid w:val="00E34C1C"/>
    <w:rsid w:val="00E34E3A"/>
    <w:rsid w:val="00E35393"/>
    <w:rsid w:val="00E36044"/>
    <w:rsid w:val="00E36794"/>
    <w:rsid w:val="00E3738E"/>
    <w:rsid w:val="00E37780"/>
    <w:rsid w:val="00E37A10"/>
    <w:rsid w:val="00E40443"/>
    <w:rsid w:val="00E40B49"/>
    <w:rsid w:val="00E40B70"/>
    <w:rsid w:val="00E41EA5"/>
    <w:rsid w:val="00E4261B"/>
    <w:rsid w:val="00E42713"/>
    <w:rsid w:val="00E42ED0"/>
    <w:rsid w:val="00E43773"/>
    <w:rsid w:val="00E4386B"/>
    <w:rsid w:val="00E43E32"/>
    <w:rsid w:val="00E44295"/>
    <w:rsid w:val="00E4448E"/>
    <w:rsid w:val="00E444D0"/>
    <w:rsid w:val="00E44D60"/>
    <w:rsid w:val="00E46130"/>
    <w:rsid w:val="00E467AE"/>
    <w:rsid w:val="00E47034"/>
    <w:rsid w:val="00E4711A"/>
    <w:rsid w:val="00E4719F"/>
    <w:rsid w:val="00E47345"/>
    <w:rsid w:val="00E50025"/>
    <w:rsid w:val="00E500CF"/>
    <w:rsid w:val="00E50C6D"/>
    <w:rsid w:val="00E5131F"/>
    <w:rsid w:val="00E5188E"/>
    <w:rsid w:val="00E519A8"/>
    <w:rsid w:val="00E533CF"/>
    <w:rsid w:val="00E536D3"/>
    <w:rsid w:val="00E53BAD"/>
    <w:rsid w:val="00E54642"/>
    <w:rsid w:val="00E5585A"/>
    <w:rsid w:val="00E5597E"/>
    <w:rsid w:val="00E55CDD"/>
    <w:rsid w:val="00E56340"/>
    <w:rsid w:val="00E56595"/>
    <w:rsid w:val="00E57543"/>
    <w:rsid w:val="00E5774E"/>
    <w:rsid w:val="00E6008D"/>
    <w:rsid w:val="00E60210"/>
    <w:rsid w:val="00E6033E"/>
    <w:rsid w:val="00E60644"/>
    <w:rsid w:val="00E606CC"/>
    <w:rsid w:val="00E6118B"/>
    <w:rsid w:val="00E6174D"/>
    <w:rsid w:val="00E61884"/>
    <w:rsid w:val="00E6225A"/>
    <w:rsid w:val="00E6282A"/>
    <w:rsid w:val="00E6314A"/>
    <w:rsid w:val="00E631FD"/>
    <w:rsid w:val="00E64341"/>
    <w:rsid w:val="00E64BA1"/>
    <w:rsid w:val="00E65887"/>
    <w:rsid w:val="00E66226"/>
    <w:rsid w:val="00E663DD"/>
    <w:rsid w:val="00E6663E"/>
    <w:rsid w:val="00E666FD"/>
    <w:rsid w:val="00E66CB9"/>
    <w:rsid w:val="00E67847"/>
    <w:rsid w:val="00E705A2"/>
    <w:rsid w:val="00E7071D"/>
    <w:rsid w:val="00E70813"/>
    <w:rsid w:val="00E7107B"/>
    <w:rsid w:val="00E71B46"/>
    <w:rsid w:val="00E722FB"/>
    <w:rsid w:val="00E725D1"/>
    <w:rsid w:val="00E72932"/>
    <w:rsid w:val="00E736E9"/>
    <w:rsid w:val="00E73BA2"/>
    <w:rsid w:val="00E74851"/>
    <w:rsid w:val="00E74FD9"/>
    <w:rsid w:val="00E75613"/>
    <w:rsid w:val="00E75783"/>
    <w:rsid w:val="00E75EAB"/>
    <w:rsid w:val="00E7631E"/>
    <w:rsid w:val="00E76646"/>
    <w:rsid w:val="00E77A9E"/>
    <w:rsid w:val="00E8087E"/>
    <w:rsid w:val="00E80F3A"/>
    <w:rsid w:val="00E81CED"/>
    <w:rsid w:val="00E81FFF"/>
    <w:rsid w:val="00E8257D"/>
    <w:rsid w:val="00E83A75"/>
    <w:rsid w:val="00E83E5D"/>
    <w:rsid w:val="00E85CC2"/>
    <w:rsid w:val="00E86054"/>
    <w:rsid w:val="00E867A2"/>
    <w:rsid w:val="00E876A9"/>
    <w:rsid w:val="00E87AC3"/>
    <w:rsid w:val="00E9020E"/>
    <w:rsid w:val="00E91E66"/>
    <w:rsid w:val="00E91E67"/>
    <w:rsid w:val="00E924C5"/>
    <w:rsid w:val="00E92BA4"/>
    <w:rsid w:val="00E9381C"/>
    <w:rsid w:val="00E949A1"/>
    <w:rsid w:val="00E94F62"/>
    <w:rsid w:val="00E951E3"/>
    <w:rsid w:val="00E953B8"/>
    <w:rsid w:val="00E9561B"/>
    <w:rsid w:val="00E95DEA"/>
    <w:rsid w:val="00E95E2E"/>
    <w:rsid w:val="00E97D71"/>
    <w:rsid w:val="00E97F40"/>
    <w:rsid w:val="00EA0178"/>
    <w:rsid w:val="00EA1133"/>
    <w:rsid w:val="00EA12C2"/>
    <w:rsid w:val="00EA154F"/>
    <w:rsid w:val="00EA1913"/>
    <w:rsid w:val="00EA1FE1"/>
    <w:rsid w:val="00EA206C"/>
    <w:rsid w:val="00EA36A3"/>
    <w:rsid w:val="00EA3D97"/>
    <w:rsid w:val="00EA4C61"/>
    <w:rsid w:val="00EA4FE0"/>
    <w:rsid w:val="00EA5A83"/>
    <w:rsid w:val="00EA7126"/>
    <w:rsid w:val="00EA72D7"/>
    <w:rsid w:val="00EA76B6"/>
    <w:rsid w:val="00EB06AB"/>
    <w:rsid w:val="00EB1700"/>
    <w:rsid w:val="00EB1ED8"/>
    <w:rsid w:val="00EB2681"/>
    <w:rsid w:val="00EB3172"/>
    <w:rsid w:val="00EB3CA0"/>
    <w:rsid w:val="00EB473F"/>
    <w:rsid w:val="00EB4A8A"/>
    <w:rsid w:val="00EB5924"/>
    <w:rsid w:val="00EB5D58"/>
    <w:rsid w:val="00EB5FFF"/>
    <w:rsid w:val="00EB65B4"/>
    <w:rsid w:val="00EB6C1F"/>
    <w:rsid w:val="00EB6F74"/>
    <w:rsid w:val="00EC0411"/>
    <w:rsid w:val="00EC06A8"/>
    <w:rsid w:val="00EC0AB5"/>
    <w:rsid w:val="00EC15B2"/>
    <w:rsid w:val="00EC23AE"/>
    <w:rsid w:val="00EC2482"/>
    <w:rsid w:val="00EC24DE"/>
    <w:rsid w:val="00EC2BF3"/>
    <w:rsid w:val="00EC32BB"/>
    <w:rsid w:val="00EC387D"/>
    <w:rsid w:val="00EC3E4D"/>
    <w:rsid w:val="00EC46E7"/>
    <w:rsid w:val="00EC4F04"/>
    <w:rsid w:val="00EC54B8"/>
    <w:rsid w:val="00EC55E4"/>
    <w:rsid w:val="00EC56C5"/>
    <w:rsid w:val="00EC5A1C"/>
    <w:rsid w:val="00EC61AA"/>
    <w:rsid w:val="00EC67B5"/>
    <w:rsid w:val="00EC6EE1"/>
    <w:rsid w:val="00EC7CF2"/>
    <w:rsid w:val="00ED00FC"/>
    <w:rsid w:val="00ED0289"/>
    <w:rsid w:val="00ED0627"/>
    <w:rsid w:val="00ED0707"/>
    <w:rsid w:val="00ED08E4"/>
    <w:rsid w:val="00ED0C77"/>
    <w:rsid w:val="00ED23C5"/>
    <w:rsid w:val="00ED26D7"/>
    <w:rsid w:val="00ED38D4"/>
    <w:rsid w:val="00ED3B4F"/>
    <w:rsid w:val="00ED405E"/>
    <w:rsid w:val="00ED5C91"/>
    <w:rsid w:val="00ED7A6F"/>
    <w:rsid w:val="00ED7CEE"/>
    <w:rsid w:val="00EE01DD"/>
    <w:rsid w:val="00EE1307"/>
    <w:rsid w:val="00EE1B98"/>
    <w:rsid w:val="00EE2082"/>
    <w:rsid w:val="00EE298A"/>
    <w:rsid w:val="00EE2BC1"/>
    <w:rsid w:val="00EE3427"/>
    <w:rsid w:val="00EE364F"/>
    <w:rsid w:val="00EE4363"/>
    <w:rsid w:val="00EE521E"/>
    <w:rsid w:val="00EE556F"/>
    <w:rsid w:val="00EE5D97"/>
    <w:rsid w:val="00EE6402"/>
    <w:rsid w:val="00EE69AB"/>
    <w:rsid w:val="00EE6EDB"/>
    <w:rsid w:val="00EE7BD0"/>
    <w:rsid w:val="00EE7D9B"/>
    <w:rsid w:val="00EF0502"/>
    <w:rsid w:val="00EF1C65"/>
    <w:rsid w:val="00EF238D"/>
    <w:rsid w:val="00EF35B7"/>
    <w:rsid w:val="00EF3B2D"/>
    <w:rsid w:val="00EF3B9F"/>
    <w:rsid w:val="00EF4742"/>
    <w:rsid w:val="00EF4A8F"/>
    <w:rsid w:val="00EF5D51"/>
    <w:rsid w:val="00EF5D67"/>
    <w:rsid w:val="00EF6AEB"/>
    <w:rsid w:val="00EF6C6A"/>
    <w:rsid w:val="00EF7153"/>
    <w:rsid w:val="00EF745A"/>
    <w:rsid w:val="00F0305A"/>
    <w:rsid w:val="00F04260"/>
    <w:rsid w:val="00F04479"/>
    <w:rsid w:val="00F04B3D"/>
    <w:rsid w:val="00F04BE8"/>
    <w:rsid w:val="00F04C20"/>
    <w:rsid w:val="00F04E4B"/>
    <w:rsid w:val="00F04EBD"/>
    <w:rsid w:val="00F04F39"/>
    <w:rsid w:val="00F056C1"/>
    <w:rsid w:val="00F05962"/>
    <w:rsid w:val="00F066D0"/>
    <w:rsid w:val="00F06AB2"/>
    <w:rsid w:val="00F07339"/>
    <w:rsid w:val="00F0756C"/>
    <w:rsid w:val="00F1006E"/>
    <w:rsid w:val="00F11435"/>
    <w:rsid w:val="00F115FA"/>
    <w:rsid w:val="00F118AA"/>
    <w:rsid w:val="00F118DB"/>
    <w:rsid w:val="00F12D9C"/>
    <w:rsid w:val="00F137C7"/>
    <w:rsid w:val="00F13E16"/>
    <w:rsid w:val="00F14435"/>
    <w:rsid w:val="00F144C4"/>
    <w:rsid w:val="00F145AE"/>
    <w:rsid w:val="00F15AA3"/>
    <w:rsid w:val="00F16608"/>
    <w:rsid w:val="00F17008"/>
    <w:rsid w:val="00F17139"/>
    <w:rsid w:val="00F17510"/>
    <w:rsid w:val="00F231D3"/>
    <w:rsid w:val="00F23370"/>
    <w:rsid w:val="00F24868"/>
    <w:rsid w:val="00F24917"/>
    <w:rsid w:val="00F2527A"/>
    <w:rsid w:val="00F25B29"/>
    <w:rsid w:val="00F25E90"/>
    <w:rsid w:val="00F26D39"/>
    <w:rsid w:val="00F2747A"/>
    <w:rsid w:val="00F279ED"/>
    <w:rsid w:val="00F27F47"/>
    <w:rsid w:val="00F3107F"/>
    <w:rsid w:val="00F3109D"/>
    <w:rsid w:val="00F31CD8"/>
    <w:rsid w:val="00F31E5A"/>
    <w:rsid w:val="00F3226B"/>
    <w:rsid w:val="00F3279F"/>
    <w:rsid w:val="00F33338"/>
    <w:rsid w:val="00F33D7F"/>
    <w:rsid w:val="00F34099"/>
    <w:rsid w:val="00F34C5D"/>
    <w:rsid w:val="00F34E2E"/>
    <w:rsid w:val="00F358A5"/>
    <w:rsid w:val="00F362BE"/>
    <w:rsid w:val="00F37494"/>
    <w:rsid w:val="00F4269C"/>
    <w:rsid w:val="00F42D67"/>
    <w:rsid w:val="00F43013"/>
    <w:rsid w:val="00F430CB"/>
    <w:rsid w:val="00F437D4"/>
    <w:rsid w:val="00F437E8"/>
    <w:rsid w:val="00F43B7B"/>
    <w:rsid w:val="00F44373"/>
    <w:rsid w:val="00F44D38"/>
    <w:rsid w:val="00F45147"/>
    <w:rsid w:val="00F457AC"/>
    <w:rsid w:val="00F45B3D"/>
    <w:rsid w:val="00F45B82"/>
    <w:rsid w:val="00F45E71"/>
    <w:rsid w:val="00F46840"/>
    <w:rsid w:val="00F47DC7"/>
    <w:rsid w:val="00F501A3"/>
    <w:rsid w:val="00F50569"/>
    <w:rsid w:val="00F5340E"/>
    <w:rsid w:val="00F53D01"/>
    <w:rsid w:val="00F541CA"/>
    <w:rsid w:val="00F547A0"/>
    <w:rsid w:val="00F54B36"/>
    <w:rsid w:val="00F54D40"/>
    <w:rsid w:val="00F55560"/>
    <w:rsid w:val="00F55C04"/>
    <w:rsid w:val="00F55FF3"/>
    <w:rsid w:val="00F56D63"/>
    <w:rsid w:val="00F57024"/>
    <w:rsid w:val="00F57CAE"/>
    <w:rsid w:val="00F6022A"/>
    <w:rsid w:val="00F616AC"/>
    <w:rsid w:val="00F6179C"/>
    <w:rsid w:val="00F62826"/>
    <w:rsid w:val="00F6358C"/>
    <w:rsid w:val="00F63777"/>
    <w:rsid w:val="00F6394D"/>
    <w:rsid w:val="00F64A10"/>
    <w:rsid w:val="00F64D50"/>
    <w:rsid w:val="00F6629C"/>
    <w:rsid w:val="00F66E56"/>
    <w:rsid w:val="00F66FEB"/>
    <w:rsid w:val="00F6765F"/>
    <w:rsid w:val="00F67DD6"/>
    <w:rsid w:val="00F7098C"/>
    <w:rsid w:val="00F70C15"/>
    <w:rsid w:val="00F70C29"/>
    <w:rsid w:val="00F715E4"/>
    <w:rsid w:val="00F72B7D"/>
    <w:rsid w:val="00F72C4F"/>
    <w:rsid w:val="00F72C55"/>
    <w:rsid w:val="00F73281"/>
    <w:rsid w:val="00F73993"/>
    <w:rsid w:val="00F74663"/>
    <w:rsid w:val="00F74755"/>
    <w:rsid w:val="00F764C7"/>
    <w:rsid w:val="00F76C90"/>
    <w:rsid w:val="00F76D0D"/>
    <w:rsid w:val="00F76DE9"/>
    <w:rsid w:val="00F76F16"/>
    <w:rsid w:val="00F77081"/>
    <w:rsid w:val="00F77C25"/>
    <w:rsid w:val="00F77EC3"/>
    <w:rsid w:val="00F77F61"/>
    <w:rsid w:val="00F800E1"/>
    <w:rsid w:val="00F804BD"/>
    <w:rsid w:val="00F80655"/>
    <w:rsid w:val="00F80823"/>
    <w:rsid w:val="00F80A0A"/>
    <w:rsid w:val="00F81B4A"/>
    <w:rsid w:val="00F81F70"/>
    <w:rsid w:val="00F82BCB"/>
    <w:rsid w:val="00F833C5"/>
    <w:rsid w:val="00F8375B"/>
    <w:rsid w:val="00F838B6"/>
    <w:rsid w:val="00F83960"/>
    <w:rsid w:val="00F85A16"/>
    <w:rsid w:val="00F86899"/>
    <w:rsid w:val="00F86B9F"/>
    <w:rsid w:val="00F86E8F"/>
    <w:rsid w:val="00F8707E"/>
    <w:rsid w:val="00F904B0"/>
    <w:rsid w:val="00F908BD"/>
    <w:rsid w:val="00F90F43"/>
    <w:rsid w:val="00F9198A"/>
    <w:rsid w:val="00F9219B"/>
    <w:rsid w:val="00F9305F"/>
    <w:rsid w:val="00F949D2"/>
    <w:rsid w:val="00F94C1D"/>
    <w:rsid w:val="00F95098"/>
    <w:rsid w:val="00F96EB7"/>
    <w:rsid w:val="00F970E2"/>
    <w:rsid w:val="00F971A3"/>
    <w:rsid w:val="00F972A5"/>
    <w:rsid w:val="00F97BA9"/>
    <w:rsid w:val="00F97ED9"/>
    <w:rsid w:val="00FA0695"/>
    <w:rsid w:val="00FA11C8"/>
    <w:rsid w:val="00FA1E96"/>
    <w:rsid w:val="00FA2381"/>
    <w:rsid w:val="00FA251F"/>
    <w:rsid w:val="00FA2D87"/>
    <w:rsid w:val="00FA2ED6"/>
    <w:rsid w:val="00FA4352"/>
    <w:rsid w:val="00FA4815"/>
    <w:rsid w:val="00FA59B4"/>
    <w:rsid w:val="00FA5D0D"/>
    <w:rsid w:val="00FA6E63"/>
    <w:rsid w:val="00FA737B"/>
    <w:rsid w:val="00FA7765"/>
    <w:rsid w:val="00FB19D8"/>
    <w:rsid w:val="00FB1D1E"/>
    <w:rsid w:val="00FB27DB"/>
    <w:rsid w:val="00FB2E82"/>
    <w:rsid w:val="00FB31CB"/>
    <w:rsid w:val="00FB3293"/>
    <w:rsid w:val="00FB33B9"/>
    <w:rsid w:val="00FB3AD9"/>
    <w:rsid w:val="00FB3AF9"/>
    <w:rsid w:val="00FB5F2C"/>
    <w:rsid w:val="00FB63B8"/>
    <w:rsid w:val="00FB67BF"/>
    <w:rsid w:val="00FB704D"/>
    <w:rsid w:val="00FB74C6"/>
    <w:rsid w:val="00FB754B"/>
    <w:rsid w:val="00FC14B9"/>
    <w:rsid w:val="00FC1FF2"/>
    <w:rsid w:val="00FC2283"/>
    <w:rsid w:val="00FC23E9"/>
    <w:rsid w:val="00FC272C"/>
    <w:rsid w:val="00FC31A4"/>
    <w:rsid w:val="00FC3824"/>
    <w:rsid w:val="00FC41B7"/>
    <w:rsid w:val="00FC43B3"/>
    <w:rsid w:val="00FC537A"/>
    <w:rsid w:val="00FC6429"/>
    <w:rsid w:val="00FC68A7"/>
    <w:rsid w:val="00FC7041"/>
    <w:rsid w:val="00FC710E"/>
    <w:rsid w:val="00FC79C9"/>
    <w:rsid w:val="00FD0A38"/>
    <w:rsid w:val="00FD1272"/>
    <w:rsid w:val="00FD1457"/>
    <w:rsid w:val="00FD1793"/>
    <w:rsid w:val="00FD1DE4"/>
    <w:rsid w:val="00FD1F6C"/>
    <w:rsid w:val="00FD20CA"/>
    <w:rsid w:val="00FD2B7C"/>
    <w:rsid w:val="00FD3734"/>
    <w:rsid w:val="00FD3C94"/>
    <w:rsid w:val="00FD4EAD"/>
    <w:rsid w:val="00FD5212"/>
    <w:rsid w:val="00FD55B7"/>
    <w:rsid w:val="00FD55DB"/>
    <w:rsid w:val="00FD6D21"/>
    <w:rsid w:val="00FD7320"/>
    <w:rsid w:val="00FD74B4"/>
    <w:rsid w:val="00FE00E5"/>
    <w:rsid w:val="00FE04C8"/>
    <w:rsid w:val="00FE1FC9"/>
    <w:rsid w:val="00FE24D5"/>
    <w:rsid w:val="00FE2892"/>
    <w:rsid w:val="00FE2B4A"/>
    <w:rsid w:val="00FE2F0D"/>
    <w:rsid w:val="00FE3BF0"/>
    <w:rsid w:val="00FE4049"/>
    <w:rsid w:val="00FE484F"/>
    <w:rsid w:val="00FE51C0"/>
    <w:rsid w:val="00FE5A0C"/>
    <w:rsid w:val="00FE6921"/>
    <w:rsid w:val="00FE7801"/>
    <w:rsid w:val="00FE7EC8"/>
    <w:rsid w:val="00FF0A9B"/>
    <w:rsid w:val="00FF1857"/>
    <w:rsid w:val="00FF3C99"/>
    <w:rsid w:val="00FF4379"/>
    <w:rsid w:val="00FF43C1"/>
    <w:rsid w:val="00FF48B5"/>
    <w:rsid w:val="00FF4D84"/>
    <w:rsid w:val="00FF5FD9"/>
    <w:rsid w:val="00FF6106"/>
    <w:rsid w:val="00FF611C"/>
    <w:rsid w:val="00FF6E6A"/>
    <w:rsid w:val="00FF703D"/>
    <w:rsid w:val="00FF72DB"/>
    <w:rsid w:val="00FF7320"/>
    <w:rsid w:val="00FF7907"/>
    <w:rsid w:val="051539C0"/>
    <w:rsid w:val="06A48A6F"/>
    <w:rsid w:val="086D316E"/>
    <w:rsid w:val="0BF52A8B"/>
    <w:rsid w:val="0F0E472F"/>
    <w:rsid w:val="0FF7640F"/>
    <w:rsid w:val="149A3190"/>
    <w:rsid w:val="1BE1D46C"/>
    <w:rsid w:val="1C68F2DE"/>
    <w:rsid w:val="1F7C93E0"/>
    <w:rsid w:val="24392F9E"/>
    <w:rsid w:val="27CBDEDE"/>
    <w:rsid w:val="28CDD443"/>
    <w:rsid w:val="299C4AD3"/>
    <w:rsid w:val="30554931"/>
    <w:rsid w:val="3416049C"/>
    <w:rsid w:val="34ED6356"/>
    <w:rsid w:val="356EEF46"/>
    <w:rsid w:val="36FFA279"/>
    <w:rsid w:val="37797D32"/>
    <w:rsid w:val="394CF1FF"/>
    <w:rsid w:val="3D127BC5"/>
    <w:rsid w:val="3E03B54C"/>
    <w:rsid w:val="3EAEFA5F"/>
    <w:rsid w:val="3F60331A"/>
    <w:rsid w:val="414D6718"/>
    <w:rsid w:val="46097392"/>
    <w:rsid w:val="476FB9EE"/>
    <w:rsid w:val="4A4EC0A9"/>
    <w:rsid w:val="4A5C9BD5"/>
    <w:rsid w:val="4BCCA035"/>
    <w:rsid w:val="4C635990"/>
    <w:rsid w:val="50D489C6"/>
    <w:rsid w:val="57D29872"/>
    <w:rsid w:val="580C7681"/>
    <w:rsid w:val="58415A43"/>
    <w:rsid w:val="5CD30717"/>
    <w:rsid w:val="5E25A5E3"/>
    <w:rsid w:val="5F4AC1B3"/>
    <w:rsid w:val="5FBD06A2"/>
    <w:rsid w:val="62837DBD"/>
    <w:rsid w:val="65429BC3"/>
    <w:rsid w:val="67A58FA3"/>
    <w:rsid w:val="6914B199"/>
    <w:rsid w:val="6926A26D"/>
    <w:rsid w:val="6FC3F263"/>
    <w:rsid w:val="6FD7C01F"/>
    <w:rsid w:val="751BB53A"/>
    <w:rsid w:val="788489DF"/>
    <w:rsid w:val="7C655FE3"/>
    <w:rsid w:val="7E07EAEE"/>
    <w:rsid w:val="7F9412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F44BE"/>
  <w15:chartTrackingRefBased/>
  <w15:docId w15:val="{BD888251-1A22-484B-83E3-E7C87508D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069"/>
    <w:rPr>
      <w:lang w:val="en-GB"/>
    </w:rPr>
  </w:style>
  <w:style w:type="paragraph" w:styleId="Heading1">
    <w:name w:val="heading 1"/>
    <w:basedOn w:val="Title1"/>
    <w:next w:val="Normal"/>
    <w:link w:val="Heading1Char"/>
    <w:uiPriority w:val="9"/>
    <w:qFormat/>
    <w:rsid w:val="00E14027"/>
    <w:pPr>
      <w:outlineLvl w:val="0"/>
    </w:pPr>
    <w:rPr>
      <w:caps w:val="0"/>
    </w:rPr>
  </w:style>
  <w:style w:type="paragraph" w:styleId="Heading2">
    <w:name w:val="heading 2"/>
    <w:basedOn w:val="Normal"/>
    <w:next w:val="Normal"/>
    <w:link w:val="Heading2Char"/>
    <w:uiPriority w:val="9"/>
    <w:semiHidden/>
    <w:unhideWhenUsed/>
    <w:qFormat/>
    <w:rsid w:val="006432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432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9"/>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customStyle="1" w:styleId="Mention1">
    <w:name w:val="Mention1"/>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customStyle="1" w:styleId="UnresolvedMention1">
    <w:name w:val="Unresolved Mention1"/>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character" w:customStyle="1" w:styleId="Heading1Char">
    <w:name w:val="Heading 1 Char"/>
    <w:basedOn w:val="DefaultParagraphFont"/>
    <w:link w:val="Heading1"/>
    <w:uiPriority w:val="9"/>
    <w:rsid w:val="00E14027"/>
    <w:rPr>
      <w:rFonts w:eastAsia="Times New Roman" w:cs="Arial"/>
      <w:b/>
      <w:lang w:val="en-GB"/>
    </w:rPr>
  </w:style>
  <w:style w:type="paragraph" w:styleId="TOCHeading">
    <w:name w:val="TOC Heading"/>
    <w:basedOn w:val="Heading1"/>
    <w:next w:val="Normal"/>
    <w:uiPriority w:val="39"/>
    <w:unhideWhenUsed/>
    <w:qFormat/>
    <w:rsid w:val="00DB3B65"/>
    <w:pPr>
      <w:outlineLvl w:val="9"/>
    </w:pPr>
    <w:rPr>
      <w:lang w:val="nl-NL" w:eastAsia="nl-NL"/>
    </w:rPr>
  </w:style>
  <w:style w:type="paragraph" w:styleId="TOC2">
    <w:name w:val="toc 2"/>
    <w:basedOn w:val="Normal"/>
    <w:next w:val="Normal"/>
    <w:autoRedefine/>
    <w:uiPriority w:val="39"/>
    <w:unhideWhenUsed/>
    <w:rsid w:val="00DB3B65"/>
    <w:pPr>
      <w:spacing w:after="100"/>
      <w:ind w:left="220"/>
    </w:pPr>
  </w:style>
  <w:style w:type="character" w:customStyle="1" w:styleId="Heading2Char">
    <w:name w:val="Heading 2 Char"/>
    <w:basedOn w:val="DefaultParagraphFont"/>
    <w:link w:val="Heading2"/>
    <w:uiPriority w:val="9"/>
    <w:semiHidden/>
    <w:rsid w:val="00643229"/>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643229"/>
    <w:rPr>
      <w:rFonts w:asciiTheme="majorHAnsi" w:eastAsiaTheme="majorEastAsia" w:hAnsiTheme="majorHAnsi" w:cstheme="majorBidi"/>
      <w:color w:val="1F3763" w:themeColor="accent1" w:themeShade="7F"/>
      <w:sz w:val="24"/>
      <w:szCs w:val="24"/>
      <w:lang w:val="en-GB"/>
    </w:rPr>
  </w:style>
  <w:style w:type="paragraph" w:styleId="TOC1">
    <w:name w:val="toc 1"/>
    <w:basedOn w:val="Normal"/>
    <w:next w:val="Normal"/>
    <w:autoRedefine/>
    <w:uiPriority w:val="39"/>
    <w:unhideWhenUsed/>
    <w:rsid w:val="00643229"/>
    <w:pPr>
      <w:spacing w:after="100"/>
    </w:pPr>
    <w:rPr>
      <w:rFonts w:asciiTheme="minorHAnsi" w:eastAsiaTheme="minorEastAsia" w:hAnsiTheme="minorHAnsi" w:cs="Times New Roman"/>
      <w:lang w:val="nl-NL" w:eastAsia="nl-NL"/>
    </w:rPr>
  </w:style>
  <w:style w:type="paragraph" w:styleId="TOC3">
    <w:name w:val="toc 3"/>
    <w:basedOn w:val="Normal"/>
    <w:next w:val="Normal"/>
    <w:autoRedefine/>
    <w:uiPriority w:val="39"/>
    <w:unhideWhenUsed/>
    <w:rsid w:val="00643229"/>
    <w:pPr>
      <w:spacing w:after="100"/>
      <w:ind w:left="440"/>
    </w:pPr>
    <w:rPr>
      <w:rFonts w:asciiTheme="minorHAnsi" w:eastAsiaTheme="minorEastAsia" w:hAnsiTheme="minorHAnsi" w:cs="Times New Roman"/>
      <w:lang w:val="nl-NL" w:eastAsia="nl-NL"/>
    </w:rPr>
  </w:style>
  <w:style w:type="table" w:styleId="TableGrid">
    <w:name w:val="Table Grid"/>
    <w:basedOn w:val="TableNormal"/>
    <w:uiPriority w:val="39"/>
    <w:rsid w:val="00DA714F"/>
    <w:pPr>
      <w:spacing w:after="0" w:line="240" w:lineRule="auto"/>
    </w:pPr>
    <w:rPr>
      <w:rFonts w:asciiTheme="minorHAnsi" w:hAnsiTheme="minorHAnsi"/>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2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322440291">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68404312">
      <w:bodyDiv w:val="1"/>
      <w:marLeft w:val="0"/>
      <w:marRight w:val="0"/>
      <w:marTop w:val="0"/>
      <w:marBottom w:val="0"/>
      <w:divBdr>
        <w:top w:val="none" w:sz="0" w:space="0" w:color="auto"/>
        <w:left w:val="none" w:sz="0" w:space="0" w:color="auto"/>
        <w:bottom w:val="none" w:sz="0" w:space="0" w:color="auto"/>
        <w:right w:val="none" w:sz="0" w:space="0" w:color="auto"/>
      </w:divBdr>
    </w:div>
    <w:div w:id="536045360">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37165098">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83977967">
      <w:bodyDiv w:val="1"/>
      <w:marLeft w:val="0"/>
      <w:marRight w:val="0"/>
      <w:marTop w:val="0"/>
      <w:marBottom w:val="0"/>
      <w:divBdr>
        <w:top w:val="none" w:sz="0" w:space="0" w:color="auto"/>
        <w:left w:val="none" w:sz="0" w:space="0" w:color="auto"/>
        <w:bottom w:val="none" w:sz="0" w:space="0" w:color="auto"/>
        <w:right w:val="none" w:sz="0" w:space="0" w:color="auto"/>
      </w:divBdr>
    </w:div>
    <w:div w:id="936602068">
      <w:bodyDiv w:val="1"/>
      <w:marLeft w:val="0"/>
      <w:marRight w:val="0"/>
      <w:marTop w:val="0"/>
      <w:marBottom w:val="0"/>
      <w:divBdr>
        <w:top w:val="none" w:sz="0" w:space="0" w:color="auto"/>
        <w:left w:val="none" w:sz="0" w:space="0" w:color="auto"/>
        <w:bottom w:val="none" w:sz="0" w:space="0" w:color="auto"/>
        <w:right w:val="none" w:sz="0" w:space="0" w:color="auto"/>
      </w:divBdr>
    </w:div>
    <w:div w:id="977801308">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40325951">
      <w:bodyDiv w:val="1"/>
      <w:marLeft w:val="0"/>
      <w:marRight w:val="0"/>
      <w:marTop w:val="0"/>
      <w:marBottom w:val="0"/>
      <w:divBdr>
        <w:top w:val="none" w:sz="0" w:space="0" w:color="auto"/>
        <w:left w:val="none" w:sz="0" w:space="0" w:color="auto"/>
        <w:bottom w:val="none" w:sz="0" w:space="0" w:color="auto"/>
        <w:right w:val="none" w:sz="0" w:space="0" w:color="auto"/>
      </w:divBdr>
    </w:div>
    <w:div w:id="1060589594">
      <w:bodyDiv w:val="1"/>
      <w:marLeft w:val="0"/>
      <w:marRight w:val="0"/>
      <w:marTop w:val="0"/>
      <w:marBottom w:val="0"/>
      <w:divBdr>
        <w:top w:val="none" w:sz="0" w:space="0" w:color="auto"/>
        <w:left w:val="none" w:sz="0" w:space="0" w:color="auto"/>
        <w:bottom w:val="none" w:sz="0" w:space="0" w:color="auto"/>
        <w:right w:val="none" w:sz="0" w:space="0" w:color="auto"/>
      </w:divBdr>
    </w:div>
    <w:div w:id="1157844858">
      <w:bodyDiv w:val="1"/>
      <w:marLeft w:val="0"/>
      <w:marRight w:val="0"/>
      <w:marTop w:val="0"/>
      <w:marBottom w:val="0"/>
      <w:divBdr>
        <w:top w:val="none" w:sz="0" w:space="0" w:color="auto"/>
        <w:left w:val="none" w:sz="0" w:space="0" w:color="auto"/>
        <w:bottom w:val="none" w:sz="0" w:space="0" w:color="auto"/>
        <w:right w:val="none" w:sz="0" w:space="0" w:color="auto"/>
      </w:divBdr>
    </w:div>
    <w:div w:id="1276324127">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58703145">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698119760">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78256447">
      <w:bodyDiv w:val="1"/>
      <w:marLeft w:val="0"/>
      <w:marRight w:val="0"/>
      <w:marTop w:val="0"/>
      <w:marBottom w:val="0"/>
      <w:divBdr>
        <w:top w:val="none" w:sz="0" w:space="0" w:color="auto"/>
        <w:left w:val="none" w:sz="0" w:space="0" w:color="auto"/>
        <w:bottom w:val="none" w:sz="0" w:space="0" w:color="auto"/>
        <w:right w:val="none" w:sz="0" w:space="0" w:color="auto"/>
      </w:divBdr>
    </w:div>
    <w:div w:id="1859584174">
      <w:bodyDiv w:val="1"/>
      <w:marLeft w:val="0"/>
      <w:marRight w:val="0"/>
      <w:marTop w:val="0"/>
      <w:marBottom w:val="0"/>
      <w:divBdr>
        <w:top w:val="none" w:sz="0" w:space="0" w:color="auto"/>
        <w:left w:val="none" w:sz="0" w:space="0" w:color="auto"/>
        <w:bottom w:val="none" w:sz="0" w:space="0" w:color="auto"/>
        <w:right w:val="none" w:sz="0" w:space="0" w:color="auto"/>
      </w:divBdr>
    </w:div>
    <w:div w:id="197290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ms.int/document/report-2nd-iwc-cms-workshop-cetacean-ecosystem-functioning" TargetMode="External"/><Relationship Id="rId21" Type="http://schemas.openxmlformats.org/officeDocument/2006/relationships/hyperlink" Target="https://www.cms.int/document/review-support-development-second-cms-cetacean-programme-work-2024-2035" TargetMode="External"/><Relationship Id="rId42" Type="http://schemas.openxmlformats.org/officeDocument/2006/relationships/header" Target="header12.xml"/><Relationship Id="rId47" Type="http://schemas.openxmlformats.org/officeDocument/2006/relationships/header" Target="header15.xml"/><Relationship Id="rId63" Type="http://schemas.openxmlformats.org/officeDocument/2006/relationships/hyperlink" Target="https://www.cms.int/document/conservation-priorities-cetaceans-3" TargetMode="External"/><Relationship Id="rId68" Type="http://schemas.openxmlformats.org/officeDocument/2006/relationships/header" Target="header16.xml"/><Relationship Id="rId16" Type="http://schemas.openxmlformats.org/officeDocument/2006/relationships/hyperlink" Target="https://www.cms.int/en/document/cetacean-action-plans" TargetMode="External"/><Relationship Id="rId11" Type="http://schemas.openxmlformats.org/officeDocument/2006/relationships/image" Target="media/image1.wmf"/><Relationship Id="rId24" Type="http://schemas.openxmlformats.org/officeDocument/2006/relationships/hyperlink" Target="https://www.cms.int/document/compilation-recommendations-could-be-directed-scientific-council-cop14-and-future-cops" TargetMode="External"/><Relationship Id="rId32" Type="http://schemas.openxmlformats.org/officeDocument/2006/relationships/header" Target="header6.xml"/><Relationship Id="rId37" Type="http://schemas.openxmlformats.org/officeDocument/2006/relationships/header" Target="header8.xml"/><Relationship Id="rId40" Type="http://schemas.openxmlformats.org/officeDocument/2006/relationships/header" Target="header10.xml"/><Relationship Id="rId45" Type="http://schemas.openxmlformats.org/officeDocument/2006/relationships/header" Target="header13.xml"/><Relationship Id="rId53" Type="http://schemas.openxmlformats.org/officeDocument/2006/relationships/hyperlink" Target="https://www.cms.int/document/conservation-priorities-cetaceans-3" TargetMode="External"/><Relationship Id="rId58" Type="http://schemas.openxmlformats.org/officeDocument/2006/relationships/hyperlink" Target="https://www.cms.int/document/marine-pollution-0" TargetMode="External"/><Relationship Id="rId66" Type="http://schemas.openxmlformats.org/officeDocument/2006/relationships/hyperlink" Target="https://www.cms.int/en/document/priorities-area-based-conservation-marine-migratory-species" TargetMode="External"/><Relationship Id="rId74" Type="http://schemas.openxmlformats.org/officeDocument/2006/relationships/header" Target="header22.xml"/><Relationship Id="rId5" Type="http://schemas.openxmlformats.org/officeDocument/2006/relationships/numbering" Target="numbering.xml"/><Relationship Id="rId61" Type="http://schemas.openxmlformats.org/officeDocument/2006/relationships/hyperlink" Target="https://www.cms.int/en/document/priorities-area-based-conservation-marine-migratory-species" TargetMode="External"/><Relationship Id="rId19" Type="http://schemas.openxmlformats.org/officeDocument/2006/relationships/hyperlink" Target="https://www.cms.int/en/document/quantification-contemporary-whaling-and-aquatic-wild-meat-takes-all-cms-appendix-i-listed" TargetMode="External"/><Relationship Id="rId14" Type="http://schemas.openxmlformats.org/officeDocument/2006/relationships/footer" Target="footer1.xml"/><Relationship Id="rId22" Type="http://schemas.openxmlformats.org/officeDocument/2006/relationships/hyperlink" Target="https://doi.org/10.1016/j.marpol.2025.106652" TargetMode="External"/><Relationship Id="rId27" Type="http://schemas.openxmlformats.org/officeDocument/2006/relationships/hyperlink" Target="https://www.cms.int/document/review-support-development-second-cms-cetacean-programme-work-2024-2035" TargetMode="External"/><Relationship Id="rId30" Type="http://schemas.openxmlformats.org/officeDocument/2006/relationships/header" Target="header5.xml"/><Relationship Id="rId35" Type="http://schemas.openxmlformats.org/officeDocument/2006/relationships/hyperlink" Target="https://www.cms.int/document/conservation-priorities-cetaceans-2" TargetMode="External"/><Relationship Id="rId43" Type="http://schemas.openxmlformats.org/officeDocument/2006/relationships/hyperlink" Target="https://doi.org/10.1016/j.marpol.2025.106652" TargetMode="External"/><Relationship Id="rId48" Type="http://schemas.openxmlformats.org/officeDocument/2006/relationships/hyperlink" Target="https://www.cms.int/fr/node/31313" TargetMode="External"/><Relationship Id="rId56" Type="http://schemas.openxmlformats.org/officeDocument/2006/relationships/hyperlink" Target="https://www.cms.int/en/document/priorities-area-based-conservation-marine-migratory-species" TargetMode="External"/><Relationship Id="rId64" Type="http://schemas.openxmlformats.org/officeDocument/2006/relationships/hyperlink" Target="https://www.cms.int/en/document/deep-sea-mining-2" TargetMode="External"/><Relationship Id="rId69" Type="http://schemas.openxmlformats.org/officeDocument/2006/relationships/header" Target="header17.xm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cms.int/document/conservation-priorities-cetaceans-3" TargetMode="External"/><Relationship Id="rId72" Type="http://schemas.openxmlformats.org/officeDocument/2006/relationships/header" Target="header20.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en/document/priorities-area-based-conservation-marine-migratory-species" TargetMode="External"/><Relationship Id="rId25" Type="http://schemas.openxmlformats.org/officeDocument/2006/relationships/hyperlink" Target="https://www.cms.int/document/role-cetaceans-ecosystem-functioning" TargetMode="External"/><Relationship Id="rId33" Type="http://schemas.openxmlformats.org/officeDocument/2006/relationships/footer" Target="footer3.xml"/><Relationship Id="rId38" Type="http://schemas.openxmlformats.org/officeDocument/2006/relationships/header" Target="header9.xml"/><Relationship Id="rId46" Type="http://schemas.openxmlformats.org/officeDocument/2006/relationships/header" Target="header14.xml"/><Relationship Id="rId59" Type="http://schemas.openxmlformats.org/officeDocument/2006/relationships/hyperlink" Target="https://www.cms.int/document/2522-underwater-noise" TargetMode="External"/><Relationship Id="rId67" Type="http://schemas.openxmlformats.org/officeDocument/2006/relationships/hyperlink" Target="https://www.cms.int/en/document/priorities-area-based-conservation-marine-migratory-species" TargetMode="External"/><Relationship Id="rId20" Type="http://schemas.openxmlformats.org/officeDocument/2006/relationships/hyperlink" Target="https://www.cms.int/en/document/report-impacts-climate-change-cetacean-welfare-and-conservation" TargetMode="External"/><Relationship Id="rId41" Type="http://schemas.openxmlformats.org/officeDocument/2006/relationships/header" Target="header11.xml"/><Relationship Id="rId54" Type="http://schemas.openxmlformats.org/officeDocument/2006/relationships/hyperlink" Target="https://www.cms.int/document/conservation-priorities-cetaceans-3" TargetMode="External"/><Relationship Id="rId62" Type="http://schemas.openxmlformats.org/officeDocument/2006/relationships/hyperlink" Target="https://www.cms.int/document/review-decisions-5" TargetMode="External"/><Relationship Id="rId70" Type="http://schemas.openxmlformats.org/officeDocument/2006/relationships/header" Target="header18.xml"/><Relationship Id="rId75"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cms.int/document/out-habitat-marine-mammals-identification-causes-and-management-recommendations-0" TargetMode="External"/><Relationship Id="rId28" Type="http://schemas.openxmlformats.org/officeDocument/2006/relationships/hyperlink" Target="https://www.cms.int/document/conservation-priorities-cetaceans-2" TargetMode="External"/><Relationship Id="rId36" Type="http://schemas.openxmlformats.org/officeDocument/2006/relationships/header" Target="header7.xml"/><Relationship Id="rId49" Type="http://schemas.openxmlformats.org/officeDocument/2006/relationships/hyperlink" Target="https://www.cms.int/fr/node/31312" TargetMode="External"/><Relationship Id="rId57" Type="http://schemas.openxmlformats.org/officeDocument/2006/relationships/hyperlink" Target="https://www.cms.int/document/marine-pollution-0" TargetMode="External"/><Relationship Id="rId10" Type="http://schemas.openxmlformats.org/officeDocument/2006/relationships/endnotes" Target="endnotes.xml"/><Relationship Id="rId31" Type="http://schemas.openxmlformats.org/officeDocument/2006/relationships/footer" Target="footer2.xml"/><Relationship Id="rId44" Type="http://schemas.openxmlformats.org/officeDocument/2006/relationships/hyperlink" Target="https://www.cms.int/document/out-habitat-marine-mammals-identification-causes-and-management-recommendations-0" TargetMode="External"/><Relationship Id="rId52" Type="http://schemas.openxmlformats.org/officeDocument/2006/relationships/hyperlink" Target="https://www.cms.int/en/document/quantification-contemporary-whaling-and-aquatic-wild-meat-takes-all-cms-appendix-i-listed" TargetMode="External"/><Relationship Id="rId60" Type="http://schemas.openxmlformats.org/officeDocument/2006/relationships/hyperlink" Target="https://www.cms.int/en/document/priorities-area-based-conservation-marine-migratory-species" TargetMode="External"/><Relationship Id="rId65" Type="http://schemas.openxmlformats.org/officeDocument/2006/relationships/hyperlink" Target="https://www.cms.int/document/out-habitat-marine-mammals-identification-causes-and-management-recommendations-0" TargetMode="External"/><Relationship Id="rId73" Type="http://schemas.openxmlformats.org/officeDocument/2006/relationships/header" Target="header21.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cms.int/fr/node/25252" TargetMode="External"/><Relationship Id="rId39" Type="http://schemas.openxmlformats.org/officeDocument/2006/relationships/hyperlink" Target="https://www.cms.int/en/document/report-impacts-climate-change-cetacean-welfare-and-conservation" TargetMode="External"/><Relationship Id="rId34" Type="http://schemas.openxmlformats.org/officeDocument/2006/relationships/hyperlink" Target="https://www.cms.int/en/document/quantification-contemporary-whaling-and-aquatic-wild-meat-takes-all-cms-appendix-i-listed" TargetMode="External"/><Relationship Id="rId50" Type="http://schemas.openxmlformats.org/officeDocument/2006/relationships/hyperlink" Target="https://www.cms.int/en/document/bycatch-and-other-fisheries-induced-mortality" TargetMode="External"/><Relationship Id="rId55" Type="http://schemas.openxmlformats.org/officeDocument/2006/relationships/hyperlink" Target="https://www.cms.int/en/document/report-impacts-climate-change-cetacean-welfare-and-conservation" TargetMode="External"/><Relationship Id="rId76" Type="http://schemas.openxmlformats.org/officeDocument/2006/relationships/header" Target="header24.xml"/><Relationship Id="rId7" Type="http://schemas.openxmlformats.org/officeDocument/2006/relationships/settings" Target="settings.xml"/><Relationship Id="rId71" Type="http://schemas.openxmlformats.org/officeDocument/2006/relationships/header" Target="header19.xml"/><Relationship Id="rId2" Type="http://schemas.openxmlformats.org/officeDocument/2006/relationships/customXml" Target="../customXml/item2.xml"/><Relationship Id="rId29"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iwc.int/management-and-conservation/strandings/strandings-initiative?visLang=fr" TargetMode="External"/><Relationship Id="rId2" Type="http://schemas.openxmlformats.org/officeDocument/2006/relationships/hyperlink" Target="https://accobams.org/wp-content/uploads/2020/01/MOP7.Res_.7.14_Surveillance-et-gestion-des-echouages.pdf" TargetMode="External"/><Relationship Id="rId1" Type="http://schemas.openxmlformats.org/officeDocument/2006/relationships/hyperlink" Target="https://www.ascobans.org/en/document/small-cetacean-stranding-response-0" TargetMode="External"/><Relationship Id="rId6" Type="http://schemas.openxmlformats.org/officeDocument/2006/relationships/hyperlink" Target="https://www.oceancare.org/wp-content/uploads/2023/03/Out-of-Habitat-Report-2-.pdf" TargetMode="External"/><Relationship Id="rId5" Type="http://schemas.openxmlformats.org/officeDocument/2006/relationships/hyperlink" Target="https://wildanimalwelfare.files.wordpress.com/2021/12/out-of-habitat-marine-mammals-workshop-report-final-1.pdf" TargetMode="External"/><Relationship Id="rId4" Type="http://schemas.openxmlformats.org/officeDocument/2006/relationships/hyperlink" Target="https://doi.org/10.3389/fvets.2020.00057"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5AC78227-7A4B-47FF-8BF2-38A5649FDF65}">
  <ds:schemaRefs>
    <ds:schemaRef ds:uri="http://schemas.openxmlformats.org/officeDocument/2006/bibliography"/>
  </ds:schemaRefs>
</ds:datastoreItem>
</file>

<file path=customXml/itemProps3.xml><?xml version="1.0" encoding="utf-8"?>
<ds:datastoreItem xmlns:ds="http://schemas.openxmlformats.org/officeDocument/2006/customXml" ds:itemID="{CB47BF64-6802-497D-A889-2AF88CCF2A09}"/>
</file>

<file path=customXml/itemProps4.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29</TotalTime>
  <Pages>27</Pages>
  <Words>10434</Words>
  <Characters>59478</Characters>
  <Application>Microsoft Office Word</Application>
  <DocSecurity>0</DocSecurity>
  <Lines>495</Lines>
  <Paragraphs>139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69773</CharactersWithSpaces>
  <SharedDoc>false</SharedDoc>
  <HLinks>
    <vt:vector size="144" baseType="variant">
      <vt:variant>
        <vt:i4>2555952</vt:i4>
      </vt:variant>
      <vt:variant>
        <vt:i4>30</vt:i4>
      </vt:variant>
      <vt:variant>
        <vt:i4>0</vt:i4>
      </vt:variant>
      <vt:variant>
        <vt:i4>5</vt:i4>
      </vt:variant>
      <vt:variant>
        <vt:lpwstr>https://www.cms.int/en/document/review-support-development-second-cms-cetacean-programme-work-2024-2035</vt:lpwstr>
      </vt:variant>
      <vt:variant>
        <vt:lpwstr/>
      </vt:variant>
      <vt:variant>
        <vt:i4>5963871</vt:i4>
      </vt:variant>
      <vt:variant>
        <vt:i4>27</vt:i4>
      </vt:variant>
      <vt:variant>
        <vt:i4>0</vt:i4>
      </vt:variant>
      <vt:variant>
        <vt:i4>5</vt:i4>
      </vt:variant>
      <vt:variant>
        <vt:lpwstr>https://doi.org/10.1016/j.marpol.2025.106652</vt:lpwstr>
      </vt:variant>
      <vt:variant>
        <vt:lpwstr/>
      </vt:variant>
      <vt:variant>
        <vt:i4>7471148</vt:i4>
      </vt:variant>
      <vt:variant>
        <vt:i4>24</vt:i4>
      </vt:variant>
      <vt:variant>
        <vt:i4>0</vt:i4>
      </vt:variant>
      <vt:variant>
        <vt:i4>5</vt:i4>
      </vt:variant>
      <vt:variant>
        <vt:lpwstr>https://www.cms.int/en/document/conservation-priorities-cetaceans-2</vt:lpwstr>
      </vt:variant>
      <vt:variant>
        <vt:lpwstr/>
      </vt:variant>
      <vt:variant>
        <vt:i4>7471148</vt:i4>
      </vt:variant>
      <vt:variant>
        <vt:i4>21</vt:i4>
      </vt:variant>
      <vt:variant>
        <vt:i4>0</vt:i4>
      </vt:variant>
      <vt:variant>
        <vt:i4>5</vt:i4>
      </vt:variant>
      <vt:variant>
        <vt:lpwstr>https://www.cms.int/en/document/conservation-priorities-cetaceans-2</vt:lpwstr>
      </vt:variant>
      <vt:variant>
        <vt:lpwstr/>
      </vt:variant>
      <vt:variant>
        <vt:i4>2555952</vt:i4>
      </vt:variant>
      <vt:variant>
        <vt:i4>18</vt:i4>
      </vt:variant>
      <vt:variant>
        <vt:i4>0</vt:i4>
      </vt:variant>
      <vt:variant>
        <vt:i4>5</vt:i4>
      </vt:variant>
      <vt:variant>
        <vt:lpwstr>https://www.cms.int/en/document/review-support-development-second-cms-cetacean-programme-work-2024-2035</vt:lpwstr>
      </vt:variant>
      <vt:variant>
        <vt:lpwstr/>
      </vt:variant>
      <vt:variant>
        <vt:i4>7405688</vt:i4>
      </vt:variant>
      <vt:variant>
        <vt:i4>15</vt:i4>
      </vt:variant>
      <vt:variant>
        <vt:i4>0</vt:i4>
      </vt:variant>
      <vt:variant>
        <vt:i4>5</vt:i4>
      </vt:variant>
      <vt:variant>
        <vt:lpwstr>https://www.cms.int/en/document/report-2nd-iwc-cms-workshop-cetacean-ecosystem-functioning</vt:lpwstr>
      </vt:variant>
      <vt:variant>
        <vt:lpwstr/>
      </vt:variant>
      <vt:variant>
        <vt:i4>1310793</vt:i4>
      </vt:variant>
      <vt:variant>
        <vt:i4>12</vt:i4>
      </vt:variant>
      <vt:variant>
        <vt:i4>0</vt:i4>
      </vt:variant>
      <vt:variant>
        <vt:i4>5</vt:i4>
      </vt:variant>
      <vt:variant>
        <vt:lpwstr>https://www.cms.int/en/document/role-cetaceans-ecosystem-functioning</vt:lpwstr>
      </vt:variant>
      <vt:variant>
        <vt:lpwstr/>
      </vt:variant>
      <vt:variant>
        <vt:i4>3997741</vt:i4>
      </vt:variant>
      <vt:variant>
        <vt:i4>9</vt:i4>
      </vt:variant>
      <vt:variant>
        <vt:i4>0</vt:i4>
      </vt:variant>
      <vt:variant>
        <vt:i4>5</vt:i4>
      </vt:variant>
      <vt:variant>
        <vt:lpwstr>https://eur02.safelinks.protection.outlook.com/?url=https%3A%2F%2Fwww.cms.int%2Fen%2Fdocument%2Fcompilation-recommendations-could-be-directed-scientific-council-cop14-and-future-cops&amp;data=05%7C02%7Cjennifer.deleur%40un.org%7C95c504e6455a474c2f9708ddba34bb8d%7C0f9e35db544f4f60bdcc5ea416e6dc70%7C0%7C0%7C638871457817154749%7CUnknown%7CTWFpbGZsb3d8eyJFbXB0eU1hcGkiOnRydWUsIlYiOiIwLjAuMDAwMCIsIlAiOiJXaW4zMiIsIkFOIjoiTWFpbCIsIldUIjoyfQ%3D%3D%7C0%7C%7C%7C&amp;sdata=y%2Bk06KKChWItmFbcpk8UNHx15jritz7JWo9crhfaa8g%3D&amp;reserved=0</vt:lpwstr>
      </vt:variant>
      <vt:variant>
        <vt:lpwstr/>
      </vt:variant>
      <vt:variant>
        <vt:i4>5963871</vt:i4>
      </vt:variant>
      <vt:variant>
        <vt:i4>6</vt:i4>
      </vt:variant>
      <vt:variant>
        <vt:i4>0</vt:i4>
      </vt:variant>
      <vt:variant>
        <vt:i4>5</vt:i4>
      </vt:variant>
      <vt:variant>
        <vt:lpwstr>https://doi.org/10.1016/j.marpol.2025.106652</vt:lpwstr>
      </vt:variant>
      <vt:variant>
        <vt:lpwstr/>
      </vt:variant>
      <vt:variant>
        <vt:i4>2555952</vt:i4>
      </vt:variant>
      <vt:variant>
        <vt:i4>3</vt:i4>
      </vt:variant>
      <vt:variant>
        <vt:i4>0</vt:i4>
      </vt:variant>
      <vt:variant>
        <vt:i4>5</vt:i4>
      </vt:variant>
      <vt:variant>
        <vt:lpwstr>https://www.cms.int/en/document/review-support-development-second-cms-cetacean-programme-work-2024-2035</vt:lpwstr>
      </vt:variant>
      <vt:variant>
        <vt:lpwstr/>
      </vt:variant>
      <vt:variant>
        <vt:i4>7471148</vt:i4>
      </vt:variant>
      <vt:variant>
        <vt:i4>0</vt:i4>
      </vt:variant>
      <vt:variant>
        <vt:i4>0</vt:i4>
      </vt:variant>
      <vt:variant>
        <vt:i4>5</vt:i4>
      </vt:variant>
      <vt:variant>
        <vt:lpwstr>https://www.cms.int/en/document/conservation-priorities-cetaceans-2</vt:lpwstr>
      </vt:variant>
      <vt:variant>
        <vt:lpwstr/>
      </vt:variant>
      <vt:variant>
        <vt:i4>4718676</vt:i4>
      </vt:variant>
      <vt:variant>
        <vt:i4>12</vt:i4>
      </vt:variant>
      <vt:variant>
        <vt:i4>0</vt:i4>
      </vt:variant>
      <vt:variant>
        <vt:i4>5</vt:i4>
      </vt:variant>
      <vt:variant>
        <vt:lpwstr>https://www.oceancare.org/wp-content/uploads/2023/03/Out-of-Habitat-Report-2-.pdf</vt:lpwstr>
      </vt:variant>
      <vt:variant>
        <vt:lpwstr/>
      </vt:variant>
      <vt:variant>
        <vt:i4>8257577</vt:i4>
      </vt:variant>
      <vt:variant>
        <vt:i4>9</vt:i4>
      </vt:variant>
      <vt:variant>
        <vt:i4>0</vt:i4>
      </vt:variant>
      <vt:variant>
        <vt:i4>5</vt:i4>
      </vt:variant>
      <vt:variant>
        <vt:lpwstr>https://wildanimalwelfare.files.wordpress.com/2021/12/out-of-habitat-marine-mammals-workshop-report-final-1.pdf</vt:lpwstr>
      </vt:variant>
      <vt:variant>
        <vt:lpwstr/>
      </vt:variant>
      <vt:variant>
        <vt:i4>327711</vt:i4>
      </vt:variant>
      <vt:variant>
        <vt:i4>6</vt:i4>
      </vt:variant>
      <vt:variant>
        <vt:i4>0</vt:i4>
      </vt:variant>
      <vt:variant>
        <vt:i4>5</vt:i4>
      </vt:variant>
      <vt:variant>
        <vt:lpwstr>https://iwc.int/management-and-conservation/strandings/strandings-initiative</vt:lpwstr>
      </vt:variant>
      <vt:variant>
        <vt:lpwstr/>
      </vt:variant>
      <vt:variant>
        <vt:i4>7798799</vt:i4>
      </vt:variant>
      <vt:variant>
        <vt:i4>3</vt:i4>
      </vt:variant>
      <vt:variant>
        <vt:i4>0</vt:i4>
      </vt:variant>
      <vt:variant>
        <vt:i4>5</vt:i4>
      </vt:variant>
      <vt:variant>
        <vt:lpwstr>https://accobams.org/wp-content/uploads/2019/12/Res.7.14_-Best-Practices-Strandings.pdf</vt:lpwstr>
      </vt:variant>
      <vt:variant>
        <vt:lpwstr/>
      </vt:variant>
      <vt:variant>
        <vt:i4>5570570</vt:i4>
      </vt:variant>
      <vt:variant>
        <vt:i4>0</vt:i4>
      </vt:variant>
      <vt:variant>
        <vt:i4>0</vt:i4>
      </vt:variant>
      <vt:variant>
        <vt:i4>5</vt:i4>
      </vt:variant>
      <vt:variant>
        <vt:lpwstr>https://www.ascobans.org/en/document/small-cetacean-stranding-response-0</vt:lpwstr>
      </vt:variant>
      <vt:variant>
        <vt:lpwstr/>
      </vt:variant>
      <vt:variant>
        <vt:i4>3735646</vt:i4>
      </vt:variant>
      <vt:variant>
        <vt:i4>21</vt:i4>
      </vt:variant>
      <vt:variant>
        <vt:i4>0</vt:i4>
      </vt:variant>
      <vt:variant>
        <vt:i4>5</vt:i4>
      </vt:variant>
      <vt:variant>
        <vt:lpwstr>mailto:david.mcdevitt@un.org</vt:lpwstr>
      </vt:variant>
      <vt:variant>
        <vt:lpwstr/>
      </vt:variant>
      <vt:variant>
        <vt:i4>3735646</vt:i4>
      </vt:variant>
      <vt:variant>
        <vt:i4>18</vt:i4>
      </vt:variant>
      <vt:variant>
        <vt:i4>0</vt:i4>
      </vt:variant>
      <vt:variant>
        <vt:i4>5</vt:i4>
      </vt:variant>
      <vt:variant>
        <vt:lpwstr>mailto:david.mcdevitt@un.org</vt:lpwstr>
      </vt:variant>
      <vt:variant>
        <vt:lpwstr/>
      </vt:variant>
      <vt:variant>
        <vt:i4>262203</vt:i4>
      </vt:variant>
      <vt:variant>
        <vt:i4>15</vt:i4>
      </vt:variant>
      <vt:variant>
        <vt:i4>0</vt:i4>
      </vt:variant>
      <vt:variant>
        <vt:i4>5</vt:i4>
      </vt:variant>
      <vt:variant>
        <vt:lpwstr>mailto:heidrun.frisch-nwakanma@un.org</vt:lpwstr>
      </vt:variant>
      <vt:variant>
        <vt:lpwstr/>
      </vt:variant>
      <vt:variant>
        <vt:i4>2031721</vt:i4>
      </vt:variant>
      <vt:variant>
        <vt:i4>12</vt:i4>
      </vt:variant>
      <vt:variant>
        <vt:i4>0</vt:i4>
      </vt:variant>
      <vt:variant>
        <vt:i4>5</vt:i4>
      </vt:variant>
      <vt:variant>
        <vt:lpwstr>mailto:jennifer.deleur@un.org</vt:lpwstr>
      </vt:variant>
      <vt:variant>
        <vt:lpwstr/>
      </vt:variant>
      <vt:variant>
        <vt:i4>3735646</vt:i4>
      </vt:variant>
      <vt:variant>
        <vt:i4>9</vt:i4>
      </vt:variant>
      <vt:variant>
        <vt:i4>0</vt:i4>
      </vt:variant>
      <vt:variant>
        <vt:i4>5</vt:i4>
      </vt:variant>
      <vt:variant>
        <vt:lpwstr>mailto:david.mcdevitt@un.org</vt:lpwstr>
      </vt:variant>
      <vt:variant>
        <vt:lpwstr/>
      </vt:variant>
      <vt:variant>
        <vt:i4>262203</vt:i4>
      </vt:variant>
      <vt:variant>
        <vt:i4>6</vt:i4>
      </vt:variant>
      <vt:variant>
        <vt:i4>0</vt:i4>
      </vt:variant>
      <vt:variant>
        <vt:i4>5</vt:i4>
      </vt:variant>
      <vt:variant>
        <vt:lpwstr>mailto:heidrun.frisch-nwakanma@un.org</vt:lpwstr>
      </vt:variant>
      <vt:variant>
        <vt:lpwstr/>
      </vt:variant>
      <vt:variant>
        <vt:i4>2031721</vt:i4>
      </vt:variant>
      <vt:variant>
        <vt:i4>3</vt:i4>
      </vt:variant>
      <vt:variant>
        <vt:i4>0</vt:i4>
      </vt:variant>
      <vt:variant>
        <vt:i4>5</vt:i4>
      </vt:variant>
      <vt:variant>
        <vt:lpwstr>mailto:jennifer.deleur@un.org</vt:lpwstr>
      </vt:variant>
      <vt:variant>
        <vt:lpwstr/>
      </vt:variant>
      <vt:variant>
        <vt:i4>4784170</vt:i4>
      </vt:variant>
      <vt:variant>
        <vt:i4>0</vt:i4>
      </vt:variant>
      <vt:variant>
        <vt:i4>0</vt:i4>
      </vt:variant>
      <vt:variant>
        <vt:i4>5</vt:i4>
      </vt:variant>
      <vt:variant>
        <vt:lpwstr>mailto:jenny.renell@un.org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38</cp:revision>
  <cp:lastPrinted>2019-09-24T17:54:00Z</cp:lastPrinted>
  <dcterms:created xsi:type="dcterms:W3CDTF">2025-12-22T10:03:00Z</dcterms:created>
  <dcterms:modified xsi:type="dcterms:W3CDTF">2025-12-22T10:36:00Z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