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20300C">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20300C">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20300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20300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20300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705D83B0" w:rsidR="00002A97" w:rsidRPr="00140982" w:rsidRDefault="00002A97" w:rsidP="0020300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140982">
              <w:rPr>
                <w:rFonts w:eastAsia="Times New Roman" w:cs="Arial"/>
                <w:szCs w:val="24"/>
                <w:lang w:val="es-ES" w:eastAsia="es-ES"/>
              </w:rPr>
              <w:t>UNEP/CMS/COP1</w:t>
            </w:r>
            <w:r w:rsidR="00C22155" w:rsidRPr="00140982">
              <w:rPr>
                <w:rFonts w:eastAsia="Times New Roman" w:cs="Arial"/>
                <w:szCs w:val="24"/>
                <w:lang w:val="es-ES" w:eastAsia="es-ES"/>
              </w:rPr>
              <w:t>5</w:t>
            </w:r>
            <w:r w:rsidRPr="00140982">
              <w:rPr>
                <w:rFonts w:eastAsia="Times New Roman" w:cs="Arial"/>
                <w:szCs w:val="24"/>
                <w:lang w:val="es-ES" w:eastAsia="es-ES"/>
              </w:rPr>
              <w:t>/</w:t>
            </w:r>
            <w:r w:rsidR="00800CB3" w:rsidRPr="00140982">
              <w:rPr>
                <w:rFonts w:eastAsia="Times New Roman" w:cs="Arial"/>
                <w:szCs w:val="24"/>
                <w:lang w:val="es-ES" w:eastAsia="es-ES"/>
              </w:rPr>
              <w:t>Doc</w:t>
            </w:r>
            <w:r w:rsidRPr="00140982">
              <w:rPr>
                <w:rFonts w:eastAsia="Times New Roman" w:cs="Arial"/>
                <w:szCs w:val="24"/>
                <w:lang w:val="es-ES" w:eastAsia="es-ES"/>
              </w:rPr>
              <w:t>.</w:t>
            </w:r>
            <w:r w:rsidR="00DA18BE" w:rsidRPr="00140982">
              <w:rPr>
                <w:rFonts w:eastAsia="Times New Roman" w:cs="Arial"/>
                <w:szCs w:val="24"/>
                <w:lang w:val="es-ES" w:eastAsia="es-ES"/>
              </w:rPr>
              <w:t>25.3.1</w:t>
            </w:r>
          </w:p>
          <w:p w14:paraId="5F9B9DE6" w14:textId="4B64297C" w:rsidR="00002A97" w:rsidRPr="00140982" w:rsidRDefault="0002553F" w:rsidP="0020300C">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140982">
              <w:rPr>
                <w:rFonts w:eastAsia="Times New Roman" w:cs="Arial"/>
                <w:szCs w:val="24"/>
                <w:lang w:val="es-ES" w:eastAsia="es-ES"/>
              </w:rPr>
              <w:t>11 de se</w:t>
            </w:r>
            <w:r w:rsidR="002066E1" w:rsidRPr="00140982">
              <w:rPr>
                <w:rFonts w:eastAsia="Times New Roman" w:cs="Arial"/>
                <w:szCs w:val="24"/>
                <w:lang w:val="es-ES" w:eastAsia="es-ES"/>
              </w:rPr>
              <w:t>ptiembre</w:t>
            </w:r>
            <w:r w:rsidR="00EF1D13" w:rsidRPr="00140982">
              <w:rPr>
                <w:rFonts w:eastAsia="Times New Roman" w:cs="Arial"/>
                <w:szCs w:val="24"/>
                <w:lang w:val="es-ES" w:eastAsia="es-ES"/>
              </w:rPr>
              <w:t xml:space="preserve"> </w:t>
            </w:r>
            <w:r w:rsidR="00002A97" w:rsidRPr="00140982">
              <w:rPr>
                <w:rFonts w:eastAsia="Times New Roman" w:cs="Arial"/>
                <w:szCs w:val="24"/>
                <w:lang w:val="es-ES" w:eastAsia="es-ES"/>
              </w:rPr>
              <w:t>20</w:t>
            </w:r>
            <w:r w:rsidR="000F4BDA" w:rsidRPr="00140982">
              <w:rPr>
                <w:rFonts w:eastAsia="Times New Roman" w:cs="Arial"/>
                <w:szCs w:val="24"/>
                <w:lang w:val="es-ES" w:eastAsia="es-ES"/>
              </w:rPr>
              <w:t>2</w:t>
            </w:r>
            <w:r w:rsidR="00BE6C85" w:rsidRPr="00140982">
              <w:rPr>
                <w:rFonts w:eastAsia="Times New Roman" w:cs="Arial"/>
                <w:szCs w:val="24"/>
                <w:lang w:val="es-ES" w:eastAsia="es-ES"/>
              </w:rPr>
              <w:t>5</w:t>
            </w:r>
          </w:p>
          <w:p w14:paraId="70056628" w14:textId="77777777" w:rsidR="00002A97" w:rsidRPr="00002A97" w:rsidRDefault="00002A97" w:rsidP="0020300C">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20300C">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20300C">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20300C">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20300C">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20300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1DC7F5DC" w:rsidR="00002A97" w:rsidRPr="00002A97" w:rsidRDefault="00002A97" w:rsidP="0020300C">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DA18BE">
        <w:rPr>
          <w:rFonts w:eastAsia="Times New Roman" w:cs="Arial"/>
          <w:szCs w:val="24"/>
          <w:lang w:val="es-ES" w:eastAsia="es-ES"/>
        </w:rPr>
        <w:t>25.3.1</w:t>
      </w:r>
      <w:r w:rsidRPr="00002A97">
        <w:rPr>
          <w:rFonts w:eastAsia="Times New Roman" w:cs="Arial"/>
          <w:szCs w:val="24"/>
          <w:lang w:val="es-ES" w:eastAsia="es-ES"/>
        </w:rPr>
        <w:t xml:space="preserve"> del orden del día</w:t>
      </w:r>
    </w:p>
    <w:p w14:paraId="7D24E2F1" w14:textId="77777777" w:rsidR="00002A97" w:rsidRDefault="00002A97" w:rsidP="0020300C">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20300C">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00C97C3E" w:rsidR="00002A97" w:rsidRPr="00140982" w:rsidRDefault="00140982" w:rsidP="0020300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140982">
        <w:rPr>
          <w:rFonts w:eastAsia="Times New Roman" w:cs="Arial"/>
          <w:b/>
          <w:caps/>
          <w:lang w:val="es-ES"/>
        </w:rPr>
        <w:t>Prioridades para la conservación por áreas de las especies migratorias marinas</w:t>
      </w:r>
    </w:p>
    <w:p w14:paraId="649BC530" w14:textId="62EED1DF" w:rsidR="00002A97" w:rsidRPr="00606A45" w:rsidRDefault="002D5F2A" w:rsidP="0020300C">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140982">
        <w:rPr>
          <w:rFonts w:eastAsia="Times New Roman" w:cs="Arial"/>
          <w:i/>
          <w:szCs w:val="24"/>
          <w:lang w:val="es-ES" w:eastAsia="es-ES"/>
        </w:rPr>
        <w:t xml:space="preserve"> </w:t>
      </w:r>
      <w:r w:rsidR="00E77A9F" w:rsidRPr="00606A45">
        <w:rPr>
          <w:rFonts w:eastAsia="Times New Roman" w:cs="Arial"/>
          <w:i/>
          <w:szCs w:val="24"/>
          <w:lang w:val="es-ES" w:eastAsia="es-ES"/>
        </w:rPr>
        <w:t xml:space="preserve">(Preparado por la </w:t>
      </w:r>
      <w:r w:rsidR="00800CB3" w:rsidRPr="00606A45">
        <w:rPr>
          <w:rFonts w:eastAsia="Times New Roman" w:cs="Arial"/>
          <w:i/>
          <w:szCs w:val="24"/>
          <w:lang w:val="es-ES" w:eastAsia="es-ES"/>
        </w:rPr>
        <w:t>Secretaría</w:t>
      </w:r>
      <w:r w:rsidR="00E77A9F" w:rsidRPr="00606A45">
        <w:rPr>
          <w:rFonts w:eastAsia="Times New Roman" w:cs="Arial"/>
          <w:i/>
          <w:szCs w:val="24"/>
          <w:lang w:val="es-ES" w:eastAsia="es-ES"/>
        </w:rPr>
        <w:t>)</w:t>
      </w:r>
      <w:r w:rsidR="00002A97" w:rsidRPr="00606A45">
        <w:rPr>
          <w:rFonts w:eastAsia="Times New Roman" w:cs="Arial"/>
          <w:i/>
          <w:szCs w:val="24"/>
          <w:lang w:val="es-ES" w:eastAsia="es-ES"/>
        </w:rPr>
        <w:t xml:space="preserve"> </w:t>
      </w:r>
    </w:p>
    <w:p w14:paraId="6A23E363" w14:textId="77777777" w:rsidR="00002A97" w:rsidRPr="00606A45" w:rsidRDefault="00002A97" w:rsidP="0020300C">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606A45" w:rsidRDefault="002D5F2A" w:rsidP="0020300C">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7DEC919D">
                <wp:simplePos x="0" y="0"/>
                <wp:positionH relativeFrom="column">
                  <wp:posOffset>971550</wp:posOffset>
                </wp:positionH>
                <wp:positionV relativeFrom="paragraph">
                  <wp:posOffset>148590</wp:posOffset>
                </wp:positionV>
                <wp:extent cx="4304666" cy="26574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657475"/>
                        </a:xfrm>
                        <a:prstGeom prst="rect">
                          <a:avLst/>
                        </a:prstGeom>
                        <a:solidFill>
                          <a:srgbClr val="FFFFFF"/>
                        </a:solidFill>
                        <a:ln w="3172">
                          <a:solidFill>
                            <a:srgbClr val="000000"/>
                          </a:solidFill>
                          <a:prstDash val="solid"/>
                        </a:ln>
                      </wps:spPr>
                      <wps:txbx>
                        <w:txbxContent>
                          <w:p w14:paraId="78EFDF6D" w14:textId="1DCE26E8" w:rsidR="002D5F2A" w:rsidRPr="00606A45" w:rsidRDefault="002D5F2A" w:rsidP="002D5F2A">
                            <w:pPr>
                              <w:spacing w:after="0"/>
                              <w:rPr>
                                <w:lang w:val="es-ES"/>
                              </w:rPr>
                            </w:pPr>
                            <w:r w:rsidRPr="00606A45">
                              <w:rPr>
                                <w:rFonts w:eastAsia="Arial" w:cs="Arial"/>
                                <w:lang w:val="es-ES"/>
                              </w:rPr>
                              <w:t>Resumen:</w:t>
                            </w:r>
                          </w:p>
                          <w:p w14:paraId="255B4E63" w14:textId="77777777" w:rsidR="002D5F2A" w:rsidRPr="00606A45" w:rsidRDefault="002D5F2A" w:rsidP="002D5F2A">
                            <w:pPr>
                              <w:spacing w:after="0"/>
                              <w:rPr>
                                <w:rFonts w:cs="Arial"/>
                                <w:lang w:val="es-ES"/>
                              </w:rPr>
                            </w:pPr>
                          </w:p>
                          <w:p w14:paraId="65EA44CA" w14:textId="77777777" w:rsidR="00C15C03" w:rsidRPr="00151A51" w:rsidRDefault="00C15C03" w:rsidP="00C15C03">
                            <w:pPr>
                              <w:spacing w:after="0" w:line="240" w:lineRule="auto"/>
                              <w:jc w:val="both"/>
                              <w:rPr>
                                <w:rFonts w:cs="Arial"/>
                                <w:lang w:val="es-ES"/>
                              </w:rPr>
                            </w:pPr>
                            <w:r w:rsidRPr="00151A51">
                              <w:rPr>
                                <w:rFonts w:cs="Arial"/>
                                <w:lang w:val="es-ES"/>
                              </w:rPr>
                              <w:t>En el presente documento se informa sobre los progresos para implementar las Decisiones 14.57</w:t>
                            </w:r>
                            <w:r w:rsidRPr="00151A51">
                              <w:rPr>
                                <w:rFonts w:cs="Arial"/>
                                <w:iCs/>
                                <w:lang w:val="es-ES"/>
                              </w:rPr>
                              <w:t>–</w:t>
                            </w:r>
                            <w:r w:rsidRPr="00151A51">
                              <w:rPr>
                                <w:rFonts w:cs="Arial"/>
                                <w:lang w:val="es-ES"/>
                              </w:rPr>
                              <w:t>14.60</w:t>
                            </w:r>
                            <w:r w:rsidRPr="00151A51">
                              <w:rPr>
                                <w:rFonts w:cs="Arial"/>
                                <w:i/>
                                <w:iCs/>
                                <w:lang w:val="es-ES"/>
                              </w:rPr>
                              <w:t xml:space="preserve"> </w:t>
                            </w:r>
                            <w:r w:rsidRPr="00151A51">
                              <w:rPr>
                                <w:rFonts w:cs="Arial"/>
                                <w:i/>
                                <w:lang w:val="es-ES"/>
                              </w:rPr>
                              <w:t xml:space="preserve">Áreas importantes para los mamíferos marinos (AIMM) </w:t>
                            </w:r>
                            <w:r w:rsidRPr="00151A51">
                              <w:rPr>
                                <w:rFonts w:cs="Arial"/>
                                <w:iCs/>
                                <w:lang w:val="es-ES"/>
                              </w:rPr>
                              <w:t>y las</w:t>
                            </w:r>
                            <w:r w:rsidRPr="00151A51">
                              <w:rPr>
                                <w:rFonts w:cs="Arial"/>
                                <w:i/>
                                <w:lang w:val="es-ES"/>
                              </w:rPr>
                              <w:t xml:space="preserve"> </w:t>
                            </w:r>
                            <w:r w:rsidRPr="00151A51">
                              <w:rPr>
                                <w:rFonts w:cs="Arial"/>
                                <w:lang w:val="es-ES"/>
                              </w:rPr>
                              <w:t>Decisiones 14.61</w:t>
                            </w:r>
                            <w:r w:rsidRPr="00151A51">
                              <w:rPr>
                                <w:rFonts w:cs="Arial"/>
                                <w:iCs/>
                                <w:lang w:val="es-ES"/>
                              </w:rPr>
                              <w:t>–</w:t>
                            </w:r>
                            <w:r w:rsidRPr="00151A51">
                              <w:rPr>
                                <w:rFonts w:cs="Arial"/>
                                <w:lang w:val="es-ES"/>
                              </w:rPr>
                              <w:t xml:space="preserve">14.64 </w:t>
                            </w:r>
                            <w:r w:rsidRPr="00151A51">
                              <w:rPr>
                                <w:rFonts w:cs="Arial"/>
                                <w:i/>
                                <w:iCs/>
                                <w:lang w:val="es-ES"/>
                              </w:rPr>
                              <w:t>Áreas importantes para los tiburones y rayas (ISRA)</w:t>
                            </w:r>
                            <w:r w:rsidRPr="00151A51">
                              <w:rPr>
                                <w:rFonts w:cs="Arial"/>
                                <w:lang w:val="es-ES"/>
                              </w:rPr>
                              <w:t xml:space="preserve">, además de proponer un nuevo proyecto de Decisiones para su adopción. Paralelamente, propone un proyecto de Resolución sobre las </w:t>
                            </w:r>
                            <w:r w:rsidRPr="00151A51">
                              <w:rPr>
                                <w:rFonts w:cs="Arial"/>
                                <w:i/>
                                <w:iCs/>
                                <w:lang w:val="es-ES"/>
                              </w:rPr>
                              <w:t xml:space="preserve">Áreas importantes para las tortugas marinas (AITM) </w:t>
                            </w:r>
                            <w:r w:rsidRPr="00151A51">
                              <w:rPr>
                                <w:rFonts w:cs="Arial"/>
                                <w:lang w:val="es-ES"/>
                              </w:rPr>
                              <w:t xml:space="preserve">y un proyecto de Resolución sobre las </w:t>
                            </w:r>
                            <w:r w:rsidRPr="00151A51">
                              <w:rPr>
                                <w:i/>
                                <w:lang w:val="es-ES"/>
                              </w:rPr>
                              <w:t>Prioridades para la Conservación por áreas de las especies migratorias marinas</w:t>
                            </w:r>
                            <w:r w:rsidRPr="00151A51">
                              <w:rPr>
                                <w:rFonts w:cs="Arial"/>
                                <w:lang w:val="es-ES"/>
                              </w:rPr>
                              <w:t xml:space="preserve">.  </w:t>
                            </w:r>
                          </w:p>
                          <w:p w14:paraId="675DE667" w14:textId="77777777" w:rsidR="00C15C03" w:rsidRPr="00151A51" w:rsidRDefault="00C15C03" w:rsidP="00C15C03">
                            <w:pPr>
                              <w:spacing w:after="0" w:line="240" w:lineRule="auto"/>
                              <w:jc w:val="both"/>
                              <w:rPr>
                                <w:rFonts w:cs="Arial"/>
                                <w:lang w:val="es-ES"/>
                              </w:rPr>
                            </w:pPr>
                          </w:p>
                          <w:p w14:paraId="369AA64A" w14:textId="185CE246" w:rsidR="00C15C03" w:rsidRPr="00C15C03" w:rsidRDefault="00C15C03" w:rsidP="00C15C03">
                            <w:pPr>
                              <w:spacing w:after="0"/>
                              <w:jc w:val="both"/>
                              <w:rPr>
                                <w:rFonts w:cs="Arial"/>
                                <w:lang w:val="es-ES"/>
                              </w:rPr>
                            </w:pPr>
                            <w:r w:rsidRPr="00151A51">
                              <w:rPr>
                                <w:rFonts w:cs="Arial"/>
                                <w:iCs/>
                                <w:lang w:val="es-ES"/>
                              </w:rPr>
                              <w:t>El proyecto de resolución y de decisiones adjunto respaldaría el logro de las Met</w:t>
                            </w:r>
                            <w:r>
                              <w:rPr>
                                <w:rFonts w:cs="Arial"/>
                                <w:iCs/>
                                <w:lang w:val="es-ES"/>
                              </w:rPr>
                              <w:t>as 2.1-2.3, 5.1 y 5.5 del Plan E</w:t>
                            </w:r>
                            <w:r w:rsidRPr="00151A51">
                              <w:rPr>
                                <w:rFonts w:cs="Arial"/>
                                <w:iCs/>
                                <w:lang w:val="es-ES"/>
                              </w:rPr>
                              <w:t>str</w:t>
                            </w:r>
                            <w:r>
                              <w:rPr>
                                <w:rFonts w:cs="Arial"/>
                                <w:iCs/>
                                <w:lang w:val="es-ES"/>
                              </w:rPr>
                              <w:t>atégico de Samarcanda para las Especies M</w:t>
                            </w:r>
                            <w:r w:rsidRPr="00151A51">
                              <w:rPr>
                                <w:rFonts w:cs="Arial"/>
                                <w:iCs/>
                                <w:lang w:val="es-ES"/>
                              </w:rPr>
                              <w:t>igratorias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7pt;width:338.95pt;height:209.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" strokeweight=".08811mm">
                <v:textbox>
                  <w:txbxContent>
                    <w:p w14:paraId="78EFDF6D" w14:textId="1DCE26E8" w:rsidR="002D5F2A" w:rsidRPr="00606A45" w:rsidRDefault="002D5F2A" w:rsidP="002D5F2A">
                      <w:pPr>
                        <w:spacing w:after="0"/>
                        <w:rPr>
                          <w:lang w:val="es-ES"/>
                        </w:rPr>
                      </w:pPr>
                      <w:r w:rsidRPr="00606A45">
                        <w:rPr>
                          <w:rFonts w:eastAsia="Arial" w:cs="Arial"/>
                          <w:lang w:val="es-ES"/>
                        </w:rPr>
                        <w:t>Resumen:</w:t>
                      </w:r>
                    </w:p>
                    <w:p w14:paraId="255B4E63" w14:textId="77777777" w:rsidR="002D5F2A" w:rsidRPr="00606A45" w:rsidRDefault="002D5F2A" w:rsidP="002D5F2A">
                      <w:pPr>
                        <w:spacing w:after="0"/>
                        <w:rPr>
                          <w:rFonts w:cs="Arial"/>
                          <w:lang w:val="es-ES"/>
                        </w:rPr>
                      </w:pPr>
                    </w:p>
                    <w:p w14:paraId="65EA44CA" w14:textId="77777777" w:rsidR="00C15C03" w:rsidRPr="00151A51" w:rsidRDefault="00C15C03" w:rsidP="00C15C03">
                      <w:pPr>
                        <w:spacing w:after="0" w:line="240" w:lineRule="auto"/>
                        <w:jc w:val="both"/>
                        <w:rPr>
                          <w:rFonts w:cs="Arial"/>
                          <w:lang w:val="es-ES"/>
                        </w:rPr>
                      </w:pPr>
                      <w:r w:rsidRPr="00151A51">
                        <w:rPr>
                          <w:rFonts w:cs="Arial"/>
                          <w:lang w:val="es-ES"/>
                        </w:rPr>
                        <w:t>En el presente documento se informa sobre los progresos para implementar las Decisiones 14.57</w:t>
                      </w:r>
                      <w:r w:rsidRPr="00151A51">
                        <w:rPr>
                          <w:rFonts w:cs="Arial"/>
                          <w:iCs/>
                          <w:lang w:val="es-ES"/>
                        </w:rPr>
                        <w:t>–</w:t>
                      </w:r>
                      <w:r w:rsidRPr="00151A51">
                        <w:rPr>
                          <w:rFonts w:cs="Arial"/>
                          <w:lang w:val="es-ES"/>
                        </w:rPr>
                        <w:t>14.60</w:t>
                      </w:r>
                      <w:r w:rsidRPr="00151A51">
                        <w:rPr>
                          <w:rFonts w:cs="Arial"/>
                          <w:i/>
                          <w:iCs/>
                          <w:lang w:val="es-ES"/>
                        </w:rPr>
                        <w:t xml:space="preserve"> </w:t>
                      </w:r>
                      <w:r w:rsidRPr="00151A51">
                        <w:rPr>
                          <w:rFonts w:cs="Arial"/>
                          <w:i/>
                          <w:lang w:val="es-ES"/>
                        </w:rPr>
                        <w:t xml:space="preserve">Áreas importantes para los mamíferos marinos (AIMM) </w:t>
                      </w:r>
                      <w:r w:rsidRPr="00151A51">
                        <w:rPr>
                          <w:rFonts w:cs="Arial"/>
                          <w:iCs/>
                          <w:lang w:val="es-ES"/>
                        </w:rPr>
                        <w:t>y las</w:t>
                      </w:r>
                      <w:r w:rsidRPr="00151A51">
                        <w:rPr>
                          <w:rFonts w:cs="Arial"/>
                          <w:i/>
                          <w:lang w:val="es-ES"/>
                        </w:rPr>
                        <w:t xml:space="preserve"> </w:t>
                      </w:r>
                      <w:r w:rsidRPr="00151A51">
                        <w:rPr>
                          <w:rFonts w:cs="Arial"/>
                          <w:lang w:val="es-ES"/>
                        </w:rPr>
                        <w:t>Decisiones 14.61</w:t>
                      </w:r>
                      <w:r w:rsidRPr="00151A51">
                        <w:rPr>
                          <w:rFonts w:cs="Arial"/>
                          <w:iCs/>
                          <w:lang w:val="es-ES"/>
                        </w:rPr>
                        <w:t>–</w:t>
                      </w:r>
                      <w:r w:rsidRPr="00151A51">
                        <w:rPr>
                          <w:rFonts w:cs="Arial"/>
                          <w:lang w:val="es-ES"/>
                        </w:rPr>
                        <w:t xml:space="preserve">14.64 </w:t>
                      </w:r>
                      <w:r w:rsidRPr="00151A51">
                        <w:rPr>
                          <w:rFonts w:cs="Arial"/>
                          <w:i/>
                          <w:iCs/>
                          <w:lang w:val="es-ES"/>
                        </w:rPr>
                        <w:t>Áreas importantes para los tiburones y rayas (ISRA)</w:t>
                      </w:r>
                      <w:r w:rsidRPr="00151A51">
                        <w:rPr>
                          <w:rFonts w:cs="Arial"/>
                          <w:lang w:val="es-ES"/>
                        </w:rPr>
                        <w:t xml:space="preserve">, además de proponer un nuevo proyecto de Decisiones para su adopción. Paralelamente, propone un proyecto de Resolución sobre las </w:t>
                      </w:r>
                      <w:r w:rsidRPr="00151A51">
                        <w:rPr>
                          <w:rFonts w:cs="Arial"/>
                          <w:i/>
                          <w:iCs/>
                          <w:lang w:val="es-ES"/>
                        </w:rPr>
                        <w:t xml:space="preserve">Áreas importantes para las tortugas marinas (AITM) </w:t>
                      </w:r>
                      <w:r w:rsidRPr="00151A51">
                        <w:rPr>
                          <w:rFonts w:cs="Arial"/>
                          <w:lang w:val="es-ES"/>
                        </w:rPr>
                        <w:t xml:space="preserve">y un proyecto de Resolución sobre las </w:t>
                      </w:r>
                      <w:r w:rsidRPr="00151A51">
                        <w:rPr>
                          <w:i/>
                          <w:lang w:val="es-ES"/>
                        </w:rPr>
                        <w:t>Prioridades para la Conservación por áreas de las especies migratorias marinas</w:t>
                      </w:r>
                      <w:r w:rsidRPr="00151A51">
                        <w:rPr>
                          <w:rFonts w:cs="Arial"/>
                          <w:lang w:val="es-ES"/>
                        </w:rPr>
                        <w:t xml:space="preserve">.  </w:t>
                      </w:r>
                    </w:p>
                    <w:p w14:paraId="675DE667" w14:textId="77777777" w:rsidR="00C15C03" w:rsidRPr="00151A51" w:rsidRDefault="00C15C03" w:rsidP="00C15C03">
                      <w:pPr>
                        <w:spacing w:after="0" w:line="240" w:lineRule="auto"/>
                        <w:jc w:val="both"/>
                        <w:rPr>
                          <w:rFonts w:cs="Arial"/>
                          <w:lang w:val="es-ES"/>
                        </w:rPr>
                      </w:pPr>
                    </w:p>
                    <w:p w14:paraId="369AA64A" w14:textId="185CE246" w:rsidR="00C15C03" w:rsidRPr="00C15C03" w:rsidRDefault="00C15C03" w:rsidP="00C15C03">
                      <w:pPr>
                        <w:spacing w:after="0"/>
                        <w:jc w:val="both"/>
                        <w:rPr>
                          <w:rFonts w:cs="Arial"/>
                          <w:lang w:val="es-ES"/>
                        </w:rPr>
                      </w:pPr>
                      <w:r w:rsidRPr="00151A51">
                        <w:rPr>
                          <w:rFonts w:cs="Arial"/>
                          <w:iCs/>
                          <w:lang w:val="es-ES"/>
                        </w:rPr>
                        <w:t>El proyecto de resolución y de decisiones adjunto respaldaría el logro de las Met</w:t>
                      </w:r>
                      <w:r>
                        <w:rPr>
                          <w:rFonts w:cs="Arial"/>
                          <w:iCs/>
                          <w:lang w:val="es-ES"/>
                        </w:rPr>
                        <w:t>as 2.1-2.3, 5.1 y 5.5 del Plan E</w:t>
                      </w:r>
                      <w:r w:rsidRPr="00151A51">
                        <w:rPr>
                          <w:rFonts w:cs="Arial"/>
                          <w:iCs/>
                          <w:lang w:val="es-ES"/>
                        </w:rPr>
                        <w:t>str</w:t>
                      </w:r>
                      <w:r>
                        <w:rPr>
                          <w:rFonts w:cs="Arial"/>
                          <w:iCs/>
                          <w:lang w:val="es-ES"/>
                        </w:rPr>
                        <w:t>atégico de Samarcanda para las Especies M</w:t>
                      </w:r>
                      <w:r w:rsidRPr="00151A51">
                        <w:rPr>
                          <w:rFonts w:cs="Arial"/>
                          <w:iCs/>
                          <w:lang w:val="es-ES"/>
                        </w:rPr>
                        <w:t>igratorias 2024-2032.</w:t>
                      </w:r>
                    </w:p>
                  </w:txbxContent>
                </v:textbox>
              </v:shape>
            </w:pict>
          </mc:Fallback>
        </mc:AlternateContent>
      </w:r>
    </w:p>
    <w:p w14:paraId="446B2251" w14:textId="3D106049"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606A45" w:rsidRDefault="002D5F2A" w:rsidP="0020300C">
      <w:pPr>
        <w:spacing w:line="240" w:lineRule="auto"/>
        <w:rPr>
          <w:rFonts w:eastAsia="Times New Roman" w:cs="Arial"/>
          <w:lang w:val="es-ES" w:eastAsia="es-ES"/>
        </w:rPr>
      </w:pPr>
      <w:r w:rsidRPr="00606A45">
        <w:rPr>
          <w:rFonts w:eastAsia="Times New Roman" w:cs="Arial"/>
          <w:lang w:val="es-ES" w:eastAsia="es-ES"/>
        </w:rPr>
        <w:br w:type="page"/>
      </w:r>
    </w:p>
    <w:p w14:paraId="1028E78D" w14:textId="6CDC99D9" w:rsidR="00FA447A" w:rsidRPr="00461B7C" w:rsidRDefault="00055BB2" w:rsidP="00FA447A">
      <w:pPr>
        <w:suppressAutoHyphens/>
        <w:autoSpaceDN w:val="0"/>
        <w:spacing w:after="0" w:line="240" w:lineRule="auto"/>
        <w:jc w:val="center"/>
        <w:textAlignment w:val="baseline"/>
        <w:rPr>
          <w:rFonts w:eastAsia="Calibri" w:cs="Arial"/>
          <w:b/>
          <w:bCs/>
          <w:lang w:val="es-ES"/>
        </w:rPr>
      </w:pPr>
      <w:r w:rsidRPr="00461B7C">
        <w:rPr>
          <w:b/>
          <w:bCs/>
          <w:lang w:val="es-ES"/>
        </w:rPr>
        <w:lastRenderedPageBreak/>
        <w:t>PRIORIDADES PARA LA CONSERVACIÓN POR ÁREAS DE LAS ESPECIES MIGRATORIAS MARINAS</w:t>
      </w:r>
    </w:p>
    <w:p w14:paraId="0C47CCF7" w14:textId="77777777" w:rsidR="00FA447A" w:rsidRPr="00461B7C" w:rsidRDefault="00FA447A" w:rsidP="00FA447A">
      <w:pPr>
        <w:suppressAutoHyphens/>
        <w:autoSpaceDN w:val="0"/>
        <w:spacing w:after="0" w:line="240" w:lineRule="auto"/>
        <w:textAlignment w:val="baseline"/>
        <w:rPr>
          <w:rFonts w:eastAsia="Calibri" w:cs="Arial"/>
          <w:lang w:val="es-ES"/>
        </w:rPr>
      </w:pPr>
    </w:p>
    <w:p w14:paraId="398ED0CF" w14:textId="77777777" w:rsidR="00FA447A" w:rsidRPr="00461B7C" w:rsidRDefault="00FA447A" w:rsidP="00FA447A">
      <w:pPr>
        <w:suppressAutoHyphens/>
        <w:autoSpaceDN w:val="0"/>
        <w:spacing w:after="0" w:line="240" w:lineRule="auto"/>
        <w:textAlignment w:val="baseline"/>
        <w:rPr>
          <w:rFonts w:eastAsia="Calibri" w:cs="Arial"/>
          <w:lang w:val="es-ES"/>
        </w:rPr>
      </w:pPr>
    </w:p>
    <w:p w14:paraId="36ED6E11" w14:textId="77777777" w:rsidR="00FA447A" w:rsidRPr="00461B7C" w:rsidRDefault="00FA447A" w:rsidP="00FA447A">
      <w:pPr>
        <w:spacing w:after="0" w:line="240" w:lineRule="auto"/>
        <w:jc w:val="both"/>
        <w:rPr>
          <w:rFonts w:cs="Arial"/>
          <w:u w:val="single"/>
          <w:lang w:val="es-ES"/>
        </w:rPr>
      </w:pPr>
      <w:r w:rsidRPr="00461B7C">
        <w:rPr>
          <w:rFonts w:cs="Arial"/>
          <w:u w:val="single"/>
          <w:lang w:val="es-ES"/>
        </w:rPr>
        <w:t>Antecedentes</w:t>
      </w:r>
    </w:p>
    <w:p w14:paraId="4DA445FC" w14:textId="77777777" w:rsidR="00FA447A" w:rsidRPr="00461B7C" w:rsidRDefault="00FA447A" w:rsidP="00FA447A">
      <w:pPr>
        <w:spacing w:after="0" w:line="240" w:lineRule="auto"/>
        <w:rPr>
          <w:lang w:val="es-ES"/>
        </w:rPr>
      </w:pPr>
    </w:p>
    <w:p w14:paraId="321DBD26" w14:textId="77777777" w:rsidR="00FA447A" w:rsidRPr="00461B7C" w:rsidRDefault="00FA447A" w:rsidP="00FA447A">
      <w:pPr>
        <w:widowControl w:val="0"/>
        <w:numPr>
          <w:ilvl w:val="0"/>
          <w:numId w:val="14"/>
        </w:numPr>
        <w:autoSpaceDE w:val="0"/>
        <w:autoSpaceDN w:val="0"/>
        <w:adjustRightInd w:val="0"/>
        <w:spacing w:after="0" w:line="240" w:lineRule="auto"/>
        <w:ind w:left="567" w:hanging="567"/>
        <w:jc w:val="both"/>
        <w:rPr>
          <w:rFonts w:cs="Arial"/>
          <w:iCs/>
          <w:lang w:val="es-ES"/>
        </w:rPr>
      </w:pPr>
      <w:r w:rsidRPr="00461B7C">
        <w:rPr>
          <w:rFonts w:cs="Arial"/>
          <w:iCs/>
          <w:lang w:val="es-ES"/>
        </w:rPr>
        <w:t>Este documento combina medidas de conservación basadas en áreas que se han desglosado en dos documentos previamente. El objetivo de esta consolidación es crear un enfoque de gestión exhaustivo basado en áreas para las especies migratorias acuáticas.</w:t>
      </w:r>
    </w:p>
    <w:p w14:paraId="39EE2429" w14:textId="77777777" w:rsidR="00FA447A" w:rsidRPr="00461B7C" w:rsidRDefault="00FA447A" w:rsidP="00FA447A">
      <w:pPr>
        <w:widowControl w:val="0"/>
        <w:autoSpaceDE w:val="0"/>
        <w:autoSpaceDN w:val="0"/>
        <w:adjustRightInd w:val="0"/>
        <w:spacing w:after="0" w:line="240" w:lineRule="auto"/>
        <w:ind w:left="567"/>
        <w:jc w:val="both"/>
        <w:rPr>
          <w:rFonts w:cs="Arial"/>
          <w:iCs/>
          <w:lang w:val="es-ES"/>
        </w:rPr>
      </w:pPr>
    </w:p>
    <w:p w14:paraId="7FEE0C10" w14:textId="77777777" w:rsidR="00FA447A" w:rsidRPr="00461B7C" w:rsidRDefault="00FA447A" w:rsidP="00FA447A">
      <w:pPr>
        <w:pStyle w:val="ListParagraph"/>
        <w:numPr>
          <w:ilvl w:val="0"/>
          <w:numId w:val="14"/>
        </w:numPr>
        <w:spacing w:after="80" w:line="240" w:lineRule="auto"/>
        <w:ind w:left="567" w:hanging="567"/>
        <w:contextualSpacing w:val="0"/>
        <w:jc w:val="both"/>
        <w:rPr>
          <w:lang w:val="es-ES"/>
        </w:rPr>
      </w:pPr>
      <w:r w:rsidRPr="00461B7C">
        <w:rPr>
          <w:lang w:val="es-ES"/>
        </w:rPr>
        <w:t>Este documento contiene las siguientes secciones que informan sobre las Decisiones pertinentes de la COP14:</w:t>
      </w:r>
    </w:p>
    <w:p w14:paraId="6A51B37A" w14:textId="77777777" w:rsidR="00FA447A" w:rsidRPr="00606A45" w:rsidRDefault="00FA447A" w:rsidP="00FA447A">
      <w:pPr>
        <w:pStyle w:val="ListParagraph"/>
        <w:numPr>
          <w:ilvl w:val="0"/>
          <w:numId w:val="20"/>
        </w:numPr>
        <w:spacing w:after="80" w:line="240" w:lineRule="auto"/>
        <w:contextualSpacing w:val="0"/>
        <w:rPr>
          <w:rFonts w:cs="Arial"/>
          <w:iCs/>
          <w:lang w:val="pt-PT"/>
        </w:rPr>
      </w:pPr>
      <w:r w:rsidRPr="00606A45">
        <w:rPr>
          <w:rFonts w:cs="Arial"/>
          <w:iCs/>
          <w:lang w:val="pt-PT"/>
        </w:rPr>
        <w:t>Áreas importantes para los mamíferos marinos (AIMM)</w:t>
      </w:r>
    </w:p>
    <w:p w14:paraId="5B5F3E4A" w14:textId="77777777" w:rsidR="00FA447A" w:rsidRPr="00461B7C" w:rsidRDefault="00FA447A" w:rsidP="00FA447A">
      <w:pPr>
        <w:pStyle w:val="ListParagraph"/>
        <w:numPr>
          <w:ilvl w:val="0"/>
          <w:numId w:val="20"/>
        </w:numPr>
        <w:spacing w:after="80" w:line="240" w:lineRule="auto"/>
        <w:contextualSpacing w:val="0"/>
        <w:rPr>
          <w:rFonts w:cs="Arial"/>
          <w:iCs/>
          <w:lang w:val="es-ES"/>
        </w:rPr>
      </w:pPr>
      <w:r w:rsidRPr="00461B7C">
        <w:rPr>
          <w:rFonts w:cs="Arial"/>
          <w:iCs/>
          <w:lang w:val="es-ES"/>
        </w:rPr>
        <w:t>Áreas importantes para los tiburones y rayas (ISRA)</w:t>
      </w:r>
    </w:p>
    <w:p w14:paraId="6FE57718" w14:textId="77777777" w:rsidR="00FA447A" w:rsidRPr="00461B7C" w:rsidRDefault="00FA447A" w:rsidP="00FA447A">
      <w:pPr>
        <w:pStyle w:val="ListParagraph"/>
        <w:numPr>
          <w:ilvl w:val="0"/>
          <w:numId w:val="20"/>
        </w:numPr>
        <w:spacing w:after="80" w:line="240" w:lineRule="auto"/>
        <w:contextualSpacing w:val="0"/>
        <w:rPr>
          <w:rFonts w:cs="Arial"/>
          <w:iCs/>
          <w:lang w:val="es-ES"/>
        </w:rPr>
      </w:pPr>
      <w:r w:rsidRPr="00461B7C">
        <w:rPr>
          <w:rFonts w:cs="Arial"/>
          <w:iCs/>
          <w:lang w:val="es-ES"/>
        </w:rPr>
        <w:t>Áreas importantes para las tortugas marinas (AITM)</w:t>
      </w:r>
    </w:p>
    <w:p w14:paraId="5116C83B" w14:textId="77777777" w:rsidR="00FA447A" w:rsidRPr="00461B7C" w:rsidRDefault="00FA447A" w:rsidP="00FA447A">
      <w:pPr>
        <w:pStyle w:val="ListParagraph"/>
        <w:numPr>
          <w:ilvl w:val="0"/>
          <w:numId w:val="20"/>
        </w:numPr>
        <w:spacing w:after="0" w:line="240" w:lineRule="auto"/>
        <w:contextualSpacing w:val="0"/>
        <w:jc w:val="both"/>
        <w:rPr>
          <w:rFonts w:cs="Arial"/>
          <w:lang w:val="es-ES"/>
        </w:rPr>
      </w:pPr>
      <w:r w:rsidRPr="00461B7C">
        <w:rPr>
          <w:rFonts w:cs="Arial"/>
          <w:iCs/>
          <w:lang w:val="es-ES"/>
        </w:rPr>
        <w:t>Acuerdo en el marco de la Convención de las Naciones Unidas sobre el Derecho del Mar relativo a la Conservación y el Uso Sostenible de la Diversidad Biológica Marina de las Zonas Situadas Fuera de la Jurisdicción Nacional (Acuerdo BBNJ)</w:t>
      </w:r>
    </w:p>
    <w:p w14:paraId="720C6AA7" w14:textId="77777777" w:rsidR="00FA447A" w:rsidRPr="00461B7C" w:rsidRDefault="00FA447A" w:rsidP="00FA447A">
      <w:pPr>
        <w:widowControl w:val="0"/>
        <w:autoSpaceDE w:val="0"/>
        <w:autoSpaceDN w:val="0"/>
        <w:adjustRightInd w:val="0"/>
        <w:spacing w:after="0" w:line="240" w:lineRule="auto"/>
        <w:jc w:val="both"/>
        <w:rPr>
          <w:rFonts w:cs="Arial"/>
          <w:iCs/>
          <w:lang w:val="es-ES"/>
        </w:rPr>
      </w:pPr>
    </w:p>
    <w:p w14:paraId="61648619" w14:textId="77777777" w:rsidR="00FA447A" w:rsidRPr="00461B7C" w:rsidRDefault="00FA447A" w:rsidP="00FA447A">
      <w:pPr>
        <w:widowControl w:val="0"/>
        <w:numPr>
          <w:ilvl w:val="0"/>
          <w:numId w:val="14"/>
        </w:numPr>
        <w:autoSpaceDE w:val="0"/>
        <w:autoSpaceDN w:val="0"/>
        <w:adjustRightInd w:val="0"/>
        <w:spacing w:after="0" w:line="240" w:lineRule="auto"/>
        <w:ind w:left="567" w:hanging="567"/>
        <w:jc w:val="both"/>
        <w:rPr>
          <w:rFonts w:cs="Arial"/>
          <w:iCs/>
          <w:lang w:val="es-ES"/>
        </w:rPr>
      </w:pPr>
      <w:r w:rsidRPr="00461B7C">
        <w:rPr>
          <w:rFonts w:cs="Arial"/>
          <w:iCs/>
          <w:lang w:val="es-ES"/>
        </w:rPr>
        <w:t>El Acuerdo BBNJ fue adoptado el 19 de junio de 2023 por la Conferencia Intergubernamental sobre Diversidad Biológica Marina de las Zonas Situadas Fuera de la Jurisdicción Nacional, convocada bajo el auspicio de las Naciones Unidas. Este Acuerdo tiene como objetivo general la conservación y el uso sostenible de la diversidad biológica marina de zonas situadas fuera de la jurisdicción nacional. Para ello, se centra en cuatro áreas principales, unas de las cuales cubre las medidas como las herramientas de gestión por zonas incluyendo las zonas marinas protegidas.</w:t>
      </w:r>
    </w:p>
    <w:p w14:paraId="6879499E" w14:textId="77777777" w:rsidR="00FA447A" w:rsidRPr="00461B7C" w:rsidRDefault="00FA447A" w:rsidP="00FA447A">
      <w:pPr>
        <w:widowControl w:val="0"/>
        <w:autoSpaceDE w:val="0"/>
        <w:autoSpaceDN w:val="0"/>
        <w:adjustRightInd w:val="0"/>
        <w:spacing w:after="0" w:line="240" w:lineRule="auto"/>
        <w:jc w:val="both"/>
        <w:rPr>
          <w:rFonts w:cs="Arial"/>
          <w:iCs/>
          <w:lang w:val="es-ES"/>
        </w:rPr>
      </w:pPr>
    </w:p>
    <w:p w14:paraId="100A18C1" w14:textId="77777777" w:rsidR="00FA447A" w:rsidRPr="00461B7C" w:rsidRDefault="00FA447A" w:rsidP="00FA447A">
      <w:pPr>
        <w:widowControl w:val="0"/>
        <w:numPr>
          <w:ilvl w:val="0"/>
          <w:numId w:val="14"/>
        </w:numPr>
        <w:autoSpaceDE w:val="0"/>
        <w:autoSpaceDN w:val="0"/>
        <w:adjustRightInd w:val="0"/>
        <w:spacing w:after="0" w:line="240" w:lineRule="auto"/>
        <w:ind w:left="567" w:hanging="567"/>
        <w:jc w:val="both"/>
        <w:rPr>
          <w:rFonts w:cs="Arial"/>
          <w:iCs/>
          <w:lang w:val="es-ES"/>
        </w:rPr>
      </w:pPr>
      <w:r w:rsidRPr="00461B7C">
        <w:rPr>
          <w:rFonts w:cs="Arial"/>
          <w:iCs/>
          <w:lang w:val="es-ES"/>
        </w:rPr>
        <w:t>El Marco Mundial para la Biodiversidad de Kunming-Montreal (KMGBF), adoptado el 19 de diciembre de 2022, incluye el Objetivo 3, que exige la conservación y la gestión efectiva de al menos el 30 por ciento de las zonas terrestres, aguas continentales, costas y zonas marinas para el año 2030. Este instrumento enfatiza la importancia de las áreas críticas para las funciones y los servicios del ecosistema y la biodiversidad, y fomenta sistemas regulados, ecológicamente representativos, bien conectados y gobernados de forma equitativa de las zonas protegidas y otras medidas de conservación efectivas por zonas.</w:t>
      </w:r>
    </w:p>
    <w:p w14:paraId="6E645C3B" w14:textId="77777777" w:rsidR="00FA447A" w:rsidRPr="00461B7C" w:rsidRDefault="00FA447A" w:rsidP="00FA447A">
      <w:pPr>
        <w:widowControl w:val="0"/>
        <w:autoSpaceDE w:val="0"/>
        <w:autoSpaceDN w:val="0"/>
        <w:adjustRightInd w:val="0"/>
        <w:spacing w:after="0" w:line="240" w:lineRule="auto"/>
        <w:jc w:val="both"/>
        <w:rPr>
          <w:rFonts w:cs="Arial"/>
          <w:iCs/>
          <w:lang w:val="es-ES"/>
        </w:rPr>
      </w:pPr>
    </w:p>
    <w:p w14:paraId="1B334583" w14:textId="77777777" w:rsidR="00FA447A" w:rsidRPr="00461B7C" w:rsidRDefault="00FA447A" w:rsidP="00FA447A">
      <w:pPr>
        <w:widowControl w:val="0"/>
        <w:numPr>
          <w:ilvl w:val="0"/>
          <w:numId w:val="14"/>
        </w:numPr>
        <w:autoSpaceDE w:val="0"/>
        <w:autoSpaceDN w:val="0"/>
        <w:adjustRightInd w:val="0"/>
        <w:spacing w:after="0" w:line="240" w:lineRule="auto"/>
        <w:ind w:left="567" w:hanging="567"/>
        <w:jc w:val="both"/>
        <w:rPr>
          <w:rFonts w:cs="Arial"/>
          <w:iCs/>
          <w:lang w:val="es-ES"/>
        </w:rPr>
      </w:pPr>
      <w:r w:rsidRPr="00461B7C">
        <w:rPr>
          <w:rFonts w:cs="Arial"/>
          <w:iCs/>
          <w:lang w:val="es-ES"/>
        </w:rPr>
        <w:t xml:space="preserve">En diversas zonas se ha demostrado la eficacia de las medidas de conservación y gestión marinas por zonas como herramientas para la conservación de las especies migratorias acuáticas. El proceso empleado para identificar AIMM, ISRA y AITM </w:t>
      </w:r>
      <w:r w:rsidRPr="00461B7C">
        <w:rPr>
          <w:rFonts w:cs="Arial"/>
          <w:lang w:val="es-ES"/>
        </w:rPr>
        <w:t xml:space="preserve">proporciona la orientación </w:t>
      </w:r>
      <w:r w:rsidRPr="00461B7C">
        <w:rPr>
          <w:rFonts w:cs="Arial"/>
          <w:iCs/>
          <w:lang w:val="es-ES"/>
        </w:rPr>
        <w:t>necesaria</w:t>
      </w:r>
      <w:r w:rsidRPr="00461B7C">
        <w:rPr>
          <w:rFonts w:cs="Arial"/>
          <w:lang w:val="es-ES"/>
        </w:rPr>
        <w:t xml:space="preserve"> para </w:t>
      </w:r>
      <w:r w:rsidRPr="00461B7C">
        <w:rPr>
          <w:rFonts w:cs="Arial"/>
          <w:iCs/>
          <w:lang w:val="es-ES"/>
        </w:rPr>
        <w:t>desarrollar</w:t>
      </w:r>
      <w:r w:rsidRPr="00461B7C">
        <w:rPr>
          <w:rFonts w:cs="Arial"/>
          <w:lang w:val="es-ES"/>
        </w:rPr>
        <w:t xml:space="preserve"> estas iniciativas de conservación para cetáceos</w:t>
      </w:r>
      <w:r w:rsidRPr="00461B7C">
        <w:rPr>
          <w:rFonts w:cs="Arial"/>
          <w:iCs/>
          <w:lang w:val="es-ES"/>
        </w:rPr>
        <w:t xml:space="preserve">, tiburones, rayas, pinnípedos, sirenios, nutrias, peces y osos polares enumerados en la CMS. </w:t>
      </w:r>
    </w:p>
    <w:p w14:paraId="18FE72A8" w14:textId="77777777" w:rsidR="00FA447A" w:rsidRPr="00461B7C" w:rsidRDefault="00FA447A" w:rsidP="00FA447A">
      <w:pPr>
        <w:widowControl w:val="0"/>
        <w:autoSpaceDE w:val="0"/>
        <w:autoSpaceDN w:val="0"/>
        <w:adjustRightInd w:val="0"/>
        <w:spacing w:after="0" w:line="240" w:lineRule="auto"/>
        <w:ind w:left="567"/>
        <w:jc w:val="both"/>
        <w:rPr>
          <w:rFonts w:cs="Arial"/>
          <w:lang w:val="es-ES"/>
        </w:rPr>
      </w:pPr>
    </w:p>
    <w:p w14:paraId="7481561E" w14:textId="77777777" w:rsidR="00FA447A" w:rsidRPr="00606A45" w:rsidRDefault="00FA447A" w:rsidP="00FA447A">
      <w:pPr>
        <w:pStyle w:val="ListParagraph"/>
        <w:numPr>
          <w:ilvl w:val="0"/>
          <w:numId w:val="21"/>
        </w:numPr>
        <w:spacing w:after="0" w:line="240" w:lineRule="auto"/>
        <w:ind w:left="567" w:hanging="567"/>
        <w:contextualSpacing w:val="0"/>
        <w:rPr>
          <w:rFonts w:cs="Arial"/>
          <w:lang w:val="pt-PT"/>
        </w:rPr>
      </w:pPr>
      <w:r w:rsidRPr="00606A45">
        <w:rPr>
          <w:rFonts w:cs="Arial"/>
          <w:u w:val="single"/>
          <w:lang w:val="pt-PT"/>
        </w:rPr>
        <w:t>Áreas importantes para los mamíferos marinos (AIMM)</w:t>
      </w:r>
    </w:p>
    <w:p w14:paraId="20D1BADB" w14:textId="77777777" w:rsidR="00FA447A" w:rsidRPr="00606A45" w:rsidRDefault="00FA447A" w:rsidP="00FA447A">
      <w:pPr>
        <w:widowControl w:val="0"/>
        <w:autoSpaceDE w:val="0"/>
        <w:autoSpaceDN w:val="0"/>
        <w:adjustRightInd w:val="0"/>
        <w:spacing w:after="0" w:line="240" w:lineRule="auto"/>
        <w:ind w:left="567"/>
        <w:jc w:val="both"/>
        <w:rPr>
          <w:rFonts w:cs="Arial"/>
          <w:lang w:val="pt-PT"/>
        </w:rPr>
      </w:pPr>
    </w:p>
    <w:p w14:paraId="28FA2413" w14:textId="77777777" w:rsidR="00FA447A" w:rsidRPr="00461B7C" w:rsidRDefault="00FA447A" w:rsidP="00FA447A">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 xml:space="preserve">COP12 (2017) adoptó la </w:t>
      </w:r>
      <w:hyperlink r:id="rId12" w:history="1">
        <w:r w:rsidRPr="00461B7C">
          <w:rPr>
            <w:rStyle w:val="Hyperlink"/>
            <w:rFonts w:cs="Arial"/>
            <w:lang w:val="es-ES"/>
          </w:rPr>
          <w:t>Resolución 12.13</w:t>
        </w:r>
      </w:hyperlink>
      <w:r w:rsidRPr="00461B7C">
        <w:rPr>
          <w:rFonts w:cs="Arial"/>
          <w:lang w:val="es-ES"/>
        </w:rPr>
        <w:t xml:space="preserve"> </w:t>
      </w:r>
      <w:r w:rsidRPr="00461B7C">
        <w:rPr>
          <w:rFonts w:cs="Arial"/>
          <w:i/>
          <w:iCs/>
          <w:lang w:val="es-ES"/>
        </w:rPr>
        <w:t xml:space="preserve">Áreas importantes para los mamíferos marinos (AIMM), </w:t>
      </w:r>
      <w:r w:rsidRPr="00461B7C">
        <w:rPr>
          <w:rFonts w:cs="Arial"/>
          <w:lang w:val="es-ES"/>
        </w:rPr>
        <w:t>que solicitó a las Partes e invitó a los Estados del área de distribución, las organizaciones intergubernamentales y los socios a identificar las zonas específicas que podrían beneficiarse especialmente de una designación de AIMM.</w:t>
      </w:r>
    </w:p>
    <w:p w14:paraId="1F46AF71" w14:textId="77777777" w:rsidR="00FA447A" w:rsidRPr="00461B7C" w:rsidRDefault="00FA447A" w:rsidP="00FA447A">
      <w:pPr>
        <w:pStyle w:val="ListParagraph"/>
        <w:spacing w:after="0" w:line="240" w:lineRule="auto"/>
        <w:contextualSpacing w:val="0"/>
        <w:rPr>
          <w:rFonts w:cs="Arial"/>
          <w:lang w:val="es-ES"/>
        </w:rPr>
      </w:pPr>
      <w:r w:rsidRPr="00461B7C">
        <w:rPr>
          <w:rFonts w:cs="Arial"/>
          <w:lang w:val="es-ES"/>
        </w:rPr>
        <w:br w:type="page"/>
      </w:r>
    </w:p>
    <w:p w14:paraId="309797A8" w14:textId="75C540EA" w:rsidR="00ED3CA2" w:rsidRPr="00FA447A" w:rsidRDefault="00FA447A" w:rsidP="00FA447A">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lastRenderedPageBreak/>
        <w:t>Con respecto a esta cuestión, la COP14 adoptó las siguientes Decisiones</w:t>
      </w:r>
      <w:r w:rsidR="00ED3CA2" w:rsidRPr="00FA447A">
        <w:rPr>
          <w:rFonts w:cs="Arial"/>
          <w:lang w:val="es-ES"/>
        </w:rPr>
        <w:t>:</w:t>
      </w:r>
    </w:p>
    <w:p w14:paraId="42A1DB80" w14:textId="77777777" w:rsidR="00ED3CA2" w:rsidRPr="00FA447A" w:rsidRDefault="00ED3CA2" w:rsidP="0020300C">
      <w:pPr>
        <w:widowControl w:val="0"/>
        <w:autoSpaceDE w:val="0"/>
        <w:autoSpaceDN w:val="0"/>
        <w:adjustRightInd w:val="0"/>
        <w:spacing w:after="0" w:line="240" w:lineRule="auto"/>
        <w:ind w:left="363" w:firstLine="204"/>
        <w:jc w:val="both"/>
        <w:rPr>
          <w:rFonts w:cs="Arial"/>
          <w:b/>
          <w:i/>
          <w:sz w:val="20"/>
          <w:szCs w:val="20"/>
          <w:lang w:val="es-ES"/>
        </w:rPr>
      </w:pPr>
    </w:p>
    <w:p w14:paraId="566EA4AD" w14:textId="43BE284B" w:rsidR="00ED3CA2" w:rsidRPr="00140982" w:rsidRDefault="00ED3CA2" w:rsidP="0020300C">
      <w:pPr>
        <w:widowControl w:val="0"/>
        <w:autoSpaceDE w:val="0"/>
        <w:autoSpaceDN w:val="0"/>
        <w:adjustRightInd w:val="0"/>
        <w:spacing w:after="0" w:line="240" w:lineRule="auto"/>
        <w:ind w:left="720"/>
        <w:jc w:val="both"/>
        <w:rPr>
          <w:rFonts w:cs="Arial"/>
          <w:b/>
          <w:i/>
          <w:sz w:val="20"/>
          <w:szCs w:val="20"/>
          <w:lang w:val="es-ES"/>
        </w:rPr>
      </w:pPr>
      <w:r w:rsidRPr="00140982">
        <w:rPr>
          <w:rFonts w:cs="Arial"/>
          <w:b/>
          <w:i/>
          <w:sz w:val="20"/>
          <w:szCs w:val="20"/>
          <w:lang w:val="es-ES"/>
        </w:rPr>
        <w:t xml:space="preserve">14.57 </w:t>
      </w:r>
      <w:r w:rsidR="00570C9B" w:rsidRPr="00140982">
        <w:rPr>
          <w:rFonts w:cs="Arial"/>
          <w:b/>
          <w:i/>
          <w:sz w:val="20"/>
          <w:szCs w:val="20"/>
          <w:lang w:val="es-ES"/>
        </w:rPr>
        <w:t>dirigida a las Partes</w:t>
      </w:r>
    </w:p>
    <w:p w14:paraId="6DB05F41" w14:textId="77777777" w:rsidR="00ED3CA2" w:rsidRPr="00140982" w:rsidRDefault="00ED3CA2" w:rsidP="0020300C">
      <w:pPr>
        <w:widowControl w:val="0"/>
        <w:autoSpaceDE w:val="0"/>
        <w:autoSpaceDN w:val="0"/>
        <w:adjustRightInd w:val="0"/>
        <w:spacing w:after="0" w:line="240" w:lineRule="auto"/>
        <w:ind w:left="720"/>
        <w:jc w:val="both"/>
        <w:rPr>
          <w:rFonts w:cs="Arial"/>
          <w:i/>
          <w:sz w:val="20"/>
          <w:szCs w:val="20"/>
          <w:lang w:val="es-ES"/>
        </w:rPr>
      </w:pPr>
    </w:p>
    <w:p w14:paraId="286BBEAB" w14:textId="77777777" w:rsidR="007B24F4" w:rsidRPr="007B24F4" w:rsidRDefault="007B24F4" w:rsidP="0020300C">
      <w:pPr>
        <w:pStyle w:val="ListParagraph"/>
        <w:widowControl w:val="0"/>
        <w:autoSpaceDE w:val="0"/>
        <w:autoSpaceDN w:val="0"/>
        <w:adjustRightInd w:val="0"/>
        <w:spacing w:after="0" w:line="240" w:lineRule="auto"/>
        <w:jc w:val="both"/>
        <w:rPr>
          <w:rFonts w:cs="Arial"/>
          <w:i/>
          <w:sz w:val="20"/>
          <w:szCs w:val="20"/>
          <w:lang w:val="es-ES"/>
        </w:rPr>
      </w:pPr>
      <w:r w:rsidRPr="007B24F4">
        <w:rPr>
          <w:rFonts w:cs="Arial"/>
          <w:i/>
          <w:sz w:val="20"/>
          <w:szCs w:val="20"/>
          <w:lang w:val="es-ES"/>
        </w:rPr>
        <w:t xml:space="preserve">Se solicita a las Partes que: </w:t>
      </w:r>
    </w:p>
    <w:p w14:paraId="487E6480" w14:textId="77777777" w:rsidR="007B24F4" w:rsidRPr="007B24F4" w:rsidRDefault="007B24F4" w:rsidP="0020300C">
      <w:pPr>
        <w:pStyle w:val="ListParagraph"/>
        <w:widowControl w:val="0"/>
        <w:autoSpaceDE w:val="0"/>
        <w:autoSpaceDN w:val="0"/>
        <w:adjustRightInd w:val="0"/>
        <w:spacing w:after="0" w:line="240" w:lineRule="auto"/>
        <w:jc w:val="both"/>
        <w:rPr>
          <w:rFonts w:cs="Arial"/>
          <w:i/>
          <w:sz w:val="20"/>
          <w:szCs w:val="20"/>
          <w:lang w:val="es-ES"/>
        </w:rPr>
      </w:pPr>
    </w:p>
    <w:p w14:paraId="33E25170" w14:textId="77777777" w:rsidR="007B24F4" w:rsidRPr="007B24F4" w:rsidRDefault="007B24F4" w:rsidP="0020300C">
      <w:pPr>
        <w:pStyle w:val="ListParagraph"/>
        <w:widowControl w:val="0"/>
        <w:numPr>
          <w:ilvl w:val="0"/>
          <w:numId w:val="16"/>
        </w:numPr>
        <w:autoSpaceDE w:val="0"/>
        <w:autoSpaceDN w:val="0"/>
        <w:adjustRightInd w:val="0"/>
        <w:spacing w:after="80" w:line="240" w:lineRule="auto"/>
        <w:ind w:left="1080" w:hanging="360"/>
        <w:contextualSpacing w:val="0"/>
        <w:jc w:val="both"/>
        <w:rPr>
          <w:rFonts w:cs="Arial"/>
          <w:i/>
          <w:sz w:val="20"/>
          <w:szCs w:val="20"/>
          <w:lang w:val="es-ES"/>
        </w:rPr>
      </w:pPr>
      <w:r w:rsidRPr="007B24F4">
        <w:rPr>
          <w:rFonts w:cs="Arial"/>
          <w:i/>
          <w:sz w:val="20"/>
          <w:szCs w:val="20"/>
          <w:lang w:val="es-ES"/>
        </w:rPr>
        <w:t>que utilicen, según proceda, las áreas importantes para mamíferos marinos (AIMM) identificadas y publicadas en el sitio web del Grupo de Trabajo conjunto de la Comisión Supervivencia de Especies/Comisión Mundial de Áreas Protegidas (CSE/CMAP) de la UICN sobre áreas protegidas para los mamíferos marinos (www.marinemammalhabitat.org) cuando se trate de identificar los hábitats en riesgo o de diseñar medidas de mitigación de amenazas y al designar áreas marinas protegidas o en general con fines de planificación espacial de las áreas marinas para apoyar la conservación de los mamíferos marinos; y</w:t>
      </w:r>
    </w:p>
    <w:p w14:paraId="03836B71" w14:textId="3E049423" w:rsidR="00ED3CA2" w:rsidRPr="007B24F4" w:rsidRDefault="007B24F4" w:rsidP="0020300C">
      <w:pPr>
        <w:pStyle w:val="ListParagraph"/>
        <w:widowControl w:val="0"/>
        <w:numPr>
          <w:ilvl w:val="0"/>
          <w:numId w:val="16"/>
        </w:numPr>
        <w:autoSpaceDE w:val="0"/>
        <w:autoSpaceDN w:val="0"/>
        <w:adjustRightInd w:val="0"/>
        <w:spacing w:after="0" w:line="240" w:lineRule="auto"/>
        <w:ind w:left="1080" w:hanging="360"/>
        <w:contextualSpacing w:val="0"/>
        <w:jc w:val="both"/>
        <w:rPr>
          <w:rFonts w:cs="Arial"/>
          <w:i/>
          <w:sz w:val="20"/>
          <w:szCs w:val="20"/>
          <w:lang w:val="es-ES"/>
        </w:rPr>
      </w:pPr>
      <w:r w:rsidRPr="007B24F4">
        <w:rPr>
          <w:rFonts w:cs="Arial"/>
          <w:i/>
          <w:sz w:val="20"/>
          <w:szCs w:val="20"/>
          <w:lang w:val="es-ES"/>
        </w:rPr>
        <w:t>informen a la Conferencia de las Partes en su 15.ª reunión sobre los progresos realizados en la aplicación de la decisión.</w:t>
      </w:r>
    </w:p>
    <w:p w14:paraId="63BD8439" w14:textId="77777777" w:rsidR="00ED3CA2" w:rsidRPr="007B24F4" w:rsidRDefault="00ED3CA2" w:rsidP="0020300C">
      <w:pPr>
        <w:widowControl w:val="0"/>
        <w:autoSpaceDE w:val="0"/>
        <w:autoSpaceDN w:val="0"/>
        <w:adjustRightInd w:val="0"/>
        <w:spacing w:after="0" w:line="240" w:lineRule="auto"/>
        <w:ind w:left="1276" w:hanging="425"/>
        <w:jc w:val="both"/>
        <w:rPr>
          <w:rFonts w:cs="Arial"/>
          <w:i/>
          <w:sz w:val="20"/>
          <w:szCs w:val="20"/>
          <w:lang w:val="es-ES"/>
        </w:rPr>
      </w:pPr>
    </w:p>
    <w:p w14:paraId="7886650E" w14:textId="4806BB5A" w:rsidR="00ED3CA2" w:rsidRPr="00534DAA" w:rsidRDefault="00ED3CA2" w:rsidP="0020300C">
      <w:pPr>
        <w:widowControl w:val="0"/>
        <w:autoSpaceDE w:val="0"/>
        <w:autoSpaceDN w:val="0"/>
        <w:adjustRightInd w:val="0"/>
        <w:spacing w:after="0" w:line="240" w:lineRule="auto"/>
        <w:ind w:left="720"/>
        <w:jc w:val="both"/>
        <w:rPr>
          <w:rFonts w:cs="Arial"/>
          <w:b/>
          <w:i/>
          <w:sz w:val="20"/>
          <w:szCs w:val="20"/>
          <w:lang w:val="es-ES"/>
        </w:rPr>
      </w:pPr>
      <w:r w:rsidRPr="00534DAA">
        <w:rPr>
          <w:rFonts w:cs="Arial"/>
          <w:b/>
          <w:i/>
          <w:sz w:val="20"/>
          <w:szCs w:val="20"/>
          <w:lang w:val="es-ES"/>
        </w:rPr>
        <w:t xml:space="preserve">14.58 </w:t>
      </w:r>
      <w:r w:rsidR="00E07BFC" w:rsidRPr="00534DAA">
        <w:rPr>
          <w:rFonts w:cs="Arial"/>
          <w:b/>
          <w:i/>
          <w:sz w:val="20"/>
          <w:szCs w:val="20"/>
          <w:lang w:val="es-ES"/>
        </w:rPr>
        <w:t>dirigida a las Partes</w:t>
      </w:r>
    </w:p>
    <w:p w14:paraId="56DFCEEF" w14:textId="77777777" w:rsidR="00ED3CA2" w:rsidRPr="00534DAA" w:rsidRDefault="00ED3CA2" w:rsidP="0020300C">
      <w:pPr>
        <w:widowControl w:val="0"/>
        <w:autoSpaceDE w:val="0"/>
        <w:autoSpaceDN w:val="0"/>
        <w:adjustRightInd w:val="0"/>
        <w:spacing w:after="0" w:line="240" w:lineRule="auto"/>
        <w:ind w:left="720"/>
        <w:jc w:val="both"/>
        <w:rPr>
          <w:rFonts w:cs="Arial"/>
          <w:i/>
          <w:sz w:val="20"/>
          <w:szCs w:val="20"/>
          <w:lang w:val="es-ES"/>
        </w:rPr>
      </w:pPr>
    </w:p>
    <w:p w14:paraId="6312829C" w14:textId="57CAC097" w:rsidR="00ED3CA2" w:rsidRPr="00534DAA" w:rsidRDefault="00534DAA" w:rsidP="0020300C">
      <w:pPr>
        <w:widowControl w:val="0"/>
        <w:autoSpaceDE w:val="0"/>
        <w:autoSpaceDN w:val="0"/>
        <w:adjustRightInd w:val="0"/>
        <w:spacing w:after="0" w:line="240" w:lineRule="auto"/>
        <w:ind w:left="720"/>
        <w:jc w:val="both"/>
        <w:rPr>
          <w:rFonts w:cs="Arial"/>
          <w:i/>
          <w:sz w:val="20"/>
          <w:szCs w:val="20"/>
          <w:lang w:val="es-ES"/>
        </w:rPr>
      </w:pPr>
      <w:r w:rsidRPr="00534DAA">
        <w:rPr>
          <w:rFonts w:cs="Arial"/>
          <w:i/>
          <w:sz w:val="20"/>
          <w:szCs w:val="20"/>
          <w:lang w:val="es-ES"/>
        </w:rPr>
        <w:t>Se alienta a las Partes a que apliquen los criterios relativos a las AIMM para identificar zonas importantes para los mamíferos marinos, incluso en regiones que aún no han sido evaluadas por la CSE/CMAP de la UICN</w:t>
      </w:r>
      <w:r w:rsidR="00ED3CA2" w:rsidRPr="00534DAA">
        <w:rPr>
          <w:rFonts w:cs="Arial"/>
          <w:i/>
          <w:sz w:val="20"/>
          <w:szCs w:val="20"/>
          <w:lang w:val="es-ES"/>
        </w:rPr>
        <w:t>.</w:t>
      </w:r>
    </w:p>
    <w:p w14:paraId="58298811" w14:textId="77777777" w:rsidR="00ED3CA2" w:rsidRPr="00534DAA" w:rsidRDefault="00ED3CA2" w:rsidP="0020300C">
      <w:pPr>
        <w:widowControl w:val="0"/>
        <w:autoSpaceDE w:val="0"/>
        <w:autoSpaceDN w:val="0"/>
        <w:adjustRightInd w:val="0"/>
        <w:spacing w:after="0" w:line="240" w:lineRule="auto"/>
        <w:ind w:left="720"/>
        <w:jc w:val="both"/>
        <w:rPr>
          <w:rFonts w:cs="Arial"/>
          <w:i/>
          <w:sz w:val="20"/>
          <w:szCs w:val="20"/>
          <w:lang w:val="es-ES"/>
        </w:rPr>
      </w:pPr>
    </w:p>
    <w:p w14:paraId="4C55D582" w14:textId="65F6107E" w:rsidR="00ED3CA2" w:rsidRPr="00F34713" w:rsidRDefault="00ED3CA2" w:rsidP="0020300C">
      <w:pPr>
        <w:widowControl w:val="0"/>
        <w:autoSpaceDE w:val="0"/>
        <w:autoSpaceDN w:val="0"/>
        <w:adjustRightInd w:val="0"/>
        <w:spacing w:after="0" w:line="240" w:lineRule="auto"/>
        <w:ind w:left="720"/>
        <w:jc w:val="both"/>
        <w:rPr>
          <w:rFonts w:cs="Arial"/>
          <w:b/>
          <w:i/>
          <w:sz w:val="20"/>
          <w:szCs w:val="20"/>
          <w:lang w:val="es-ES"/>
        </w:rPr>
      </w:pPr>
      <w:r w:rsidRPr="00F34713">
        <w:rPr>
          <w:rFonts w:cs="Arial"/>
          <w:b/>
          <w:i/>
          <w:sz w:val="20"/>
          <w:szCs w:val="20"/>
          <w:lang w:val="es-ES"/>
        </w:rPr>
        <w:t xml:space="preserve">14.59 </w:t>
      </w:r>
      <w:r w:rsidR="005A135C" w:rsidRPr="00F34713">
        <w:rPr>
          <w:rFonts w:cs="Arial"/>
          <w:b/>
          <w:i/>
          <w:sz w:val="20"/>
          <w:szCs w:val="20"/>
          <w:lang w:val="es-ES"/>
        </w:rPr>
        <w:t>dirigida al Consejo Científico</w:t>
      </w:r>
    </w:p>
    <w:p w14:paraId="13ECB432" w14:textId="77777777" w:rsidR="00ED3CA2" w:rsidRPr="00F34713" w:rsidRDefault="00ED3CA2" w:rsidP="0020300C">
      <w:pPr>
        <w:widowControl w:val="0"/>
        <w:autoSpaceDE w:val="0"/>
        <w:autoSpaceDN w:val="0"/>
        <w:adjustRightInd w:val="0"/>
        <w:spacing w:after="0" w:line="240" w:lineRule="auto"/>
        <w:ind w:left="720"/>
        <w:jc w:val="both"/>
        <w:rPr>
          <w:rFonts w:cs="Arial"/>
          <w:i/>
          <w:sz w:val="20"/>
          <w:szCs w:val="20"/>
          <w:lang w:val="es-ES"/>
        </w:rPr>
      </w:pPr>
    </w:p>
    <w:p w14:paraId="7AC99F14" w14:textId="2E5D0C3C" w:rsidR="00ED3CA2" w:rsidRPr="00F34713" w:rsidRDefault="00F34713" w:rsidP="0020300C">
      <w:pPr>
        <w:widowControl w:val="0"/>
        <w:autoSpaceDE w:val="0"/>
        <w:autoSpaceDN w:val="0"/>
        <w:adjustRightInd w:val="0"/>
        <w:spacing w:after="0" w:line="240" w:lineRule="auto"/>
        <w:ind w:left="720"/>
        <w:jc w:val="both"/>
        <w:rPr>
          <w:rFonts w:cs="Arial"/>
          <w:i/>
          <w:sz w:val="20"/>
          <w:szCs w:val="20"/>
          <w:lang w:val="es-ES"/>
        </w:rPr>
      </w:pPr>
      <w:r w:rsidRPr="00F34713">
        <w:rPr>
          <w:rFonts w:cs="Arial"/>
          <w:i/>
          <w:sz w:val="20"/>
          <w:szCs w:val="20"/>
          <w:lang w:val="es-ES"/>
        </w:rPr>
        <w:t>Se solicita al Consejo Científico que colabore con el Grupo de Trabajo conjunto de la CSE/CMAP de la UICN sobre áreas protegidas para los mamíferos marinos con el fin de incluir datos sobre los mamíferos marinos incluidos en la CMS en la identificación de las AIMM</w:t>
      </w:r>
      <w:r w:rsidR="00ED3CA2" w:rsidRPr="00F34713">
        <w:rPr>
          <w:rFonts w:cs="Arial"/>
          <w:i/>
          <w:sz w:val="20"/>
          <w:szCs w:val="20"/>
          <w:lang w:val="es-ES"/>
        </w:rPr>
        <w:t>.</w:t>
      </w:r>
    </w:p>
    <w:p w14:paraId="23E8B5F5" w14:textId="77777777" w:rsidR="00ED3CA2" w:rsidRPr="00F34713" w:rsidRDefault="00ED3CA2" w:rsidP="0020300C">
      <w:pPr>
        <w:widowControl w:val="0"/>
        <w:autoSpaceDE w:val="0"/>
        <w:autoSpaceDN w:val="0"/>
        <w:adjustRightInd w:val="0"/>
        <w:spacing w:after="0" w:line="240" w:lineRule="auto"/>
        <w:ind w:left="720"/>
        <w:jc w:val="both"/>
        <w:rPr>
          <w:rFonts w:cs="Arial"/>
          <w:i/>
          <w:sz w:val="20"/>
          <w:szCs w:val="20"/>
          <w:lang w:val="es-ES"/>
        </w:rPr>
      </w:pPr>
    </w:p>
    <w:p w14:paraId="31993CDD" w14:textId="58C398BD" w:rsidR="00ED3CA2" w:rsidRPr="00140982" w:rsidRDefault="00ED3CA2" w:rsidP="0020300C">
      <w:pPr>
        <w:widowControl w:val="0"/>
        <w:autoSpaceDE w:val="0"/>
        <w:autoSpaceDN w:val="0"/>
        <w:adjustRightInd w:val="0"/>
        <w:spacing w:after="0" w:line="240" w:lineRule="auto"/>
        <w:ind w:left="720"/>
        <w:jc w:val="both"/>
        <w:rPr>
          <w:rFonts w:cs="Arial"/>
          <w:b/>
          <w:i/>
          <w:sz w:val="20"/>
          <w:szCs w:val="20"/>
          <w:lang w:val="es-ES"/>
        </w:rPr>
      </w:pPr>
      <w:r w:rsidRPr="00140982">
        <w:rPr>
          <w:rFonts w:cs="Arial"/>
          <w:b/>
          <w:i/>
          <w:sz w:val="20"/>
          <w:szCs w:val="20"/>
          <w:lang w:val="es-ES"/>
        </w:rPr>
        <w:t xml:space="preserve">14.60 </w:t>
      </w:r>
      <w:r w:rsidR="00674A67" w:rsidRPr="00140982">
        <w:rPr>
          <w:rFonts w:cs="Arial"/>
          <w:b/>
          <w:i/>
          <w:sz w:val="20"/>
          <w:szCs w:val="20"/>
          <w:lang w:val="es-ES"/>
        </w:rPr>
        <w:t>dirigida a la Secretaría</w:t>
      </w:r>
    </w:p>
    <w:p w14:paraId="5EC0C15A" w14:textId="77777777" w:rsidR="00ED3CA2" w:rsidRPr="00140982" w:rsidRDefault="00ED3CA2" w:rsidP="0020300C">
      <w:pPr>
        <w:widowControl w:val="0"/>
        <w:autoSpaceDE w:val="0"/>
        <w:autoSpaceDN w:val="0"/>
        <w:adjustRightInd w:val="0"/>
        <w:spacing w:after="0" w:line="240" w:lineRule="auto"/>
        <w:ind w:left="720"/>
        <w:jc w:val="both"/>
        <w:rPr>
          <w:rFonts w:cs="Arial"/>
          <w:i/>
          <w:sz w:val="20"/>
          <w:szCs w:val="20"/>
          <w:lang w:val="es-ES"/>
        </w:rPr>
      </w:pPr>
    </w:p>
    <w:p w14:paraId="3018EF0C" w14:textId="77777777" w:rsidR="00267AC6" w:rsidRPr="00140982" w:rsidRDefault="00267AC6" w:rsidP="0020300C">
      <w:pPr>
        <w:pStyle w:val="ListParagraph"/>
        <w:widowControl w:val="0"/>
        <w:autoSpaceDE w:val="0"/>
        <w:autoSpaceDN w:val="0"/>
        <w:adjustRightInd w:val="0"/>
        <w:spacing w:after="0" w:line="240" w:lineRule="auto"/>
        <w:jc w:val="both"/>
        <w:rPr>
          <w:rFonts w:cs="Arial"/>
          <w:i/>
          <w:sz w:val="20"/>
          <w:szCs w:val="20"/>
          <w:lang w:val="es-ES"/>
        </w:rPr>
      </w:pPr>
      <w:r w:rsidRPr="00140982">
        <w:rPr>
          <w:rFonts w:cs="Arial"/>
          <w:i/>
          <w:sz w:val="20"/>
          <w:szCs w:val="20"/>
          <w:lang w:val="es-ES"/>
        </w:rPr>
        <w:t>La Secretaría deberá:</w:t>
      </w:r>
    </w:p>
    <w:p w14:paraId="47975F46" w14:textId="77777777" w:rsidR="00267AC6" w:rsidRPr="00140982" w:rsidRDefault="00267AC6" w:rsidP="0020300C">
      <w:pPr>
        <w:pStyle w:val="ListParagraph"/>
        <w:widowControl w:val="0"/>
        <w:autoSpaceDE w:val="0"/>
        <w:autoSpaceDN w:val="0"/>
        <w:adjustRightInd w:val="0"/>
        <w:spacing w:after="0" w:line="240" w:lineRule="auto"/>
        <w:jc w:val="both"/>
        <w:rPr>
          <w:rFonts w:cs="Arial"/>
          <w:i/>
          <w:sz w:val="20"/>
          <w:szCs w:val="20"/>
          <w:lang w:val="es-ES"/>
        </w:rPr>
      </w:pPr>
    </w:p>
    <w:p w14:paraId="152ED7F3" w14:textId="77777777" w:rsidR="00267AC6" w:rsidRPr="00267AC6" w:rsidRDefault="00267AC6" w:rsidP="0020300C">
      <w:pPr>
        <w:pStyle w:val="ListParagraph"/>
        <w:widowControl w:val="0"/>
        <w:numPr>
          <w:ilvl w:val="0"/>
          <w:numId w:val="15"/>
        </w:numPr>
        <w:autoSpaceDE w:val="0"/>
        <w:autoSpaceDN w:val="0"/>
        <w:adjustRightInd w:val="0"/>
        <w:spacing w:after="80" w:line="240" w:lineRule="auto"/>
        <w:ind w:left="1080"/>
        <w:contextualSpacing w:val="0"/>
        <w:jc w:val="both"/>
        <w:rPr>
          <w:rFonts w:cs="Arial"/>
          <w:i/>
          <w:sz w:val="20"/>
          <w:szCs w:val="20"/>
          <w:lang w:val="es-ES"/>
        </w:rPr>
      </w:pPr>
      <w:r w:rsidRPr="00267AC6">
        <w:rPr>
          <w:rFonts w:cs="Arial"/>
          <w:i/>
          <w:sz w:val="20"/>
          <w:szCs w:val="20"/>
          <w:lang w:val="es-ES"/>
        </w:rPr>
        <w:t>informar a las Partes de las AIMM recientemente identificadas y de las especies pertinentes incluidas en la CMS;</w:t>
      </w:r>
    </w:p>
    <w:p w14:paraId="66B70B70" w14:textId="77777777" w:rsidR="00267AC6" w:rsidRPr="00267AC6" w:rsidRDefault="00267AC6" w:rsidP="0020300C">
      <w:pPr>
        <w:pStyle w:val="ListParagraph"/>
        <w:widowControl w:val="0"/>
        <w:numPr>
          <w:ilvl w:val="0"/>
          <w:numId w:val="15"/>
        </w:numPr>
        <w:autoSpaceDE w:val="0"/>
        <w:autoSpaceDN w:val="0"/>
        <w:adjustRightInd w:val="0"/>
        <w:spacing w:after="80" w:line="240" w:lineRule="auto"/>
        <w:ind w:left="1080"/>
        <w:contextualSpacing w:val="0"/>
        <w:jc w:val="both"/>
        <w:rPr>
          <w:rFonts w:cs="Arial"/>
          <w:i/>
          <w:sz w:val="20"/>
          <w:szCs w:val="20"/>
          <w:lang w:val="es-ES"/>
        </w:rPr>
      </w:pPr>
      <w:r w:rsidRPr="00267AC6">
        <w:rPr>
          <w:rFonts w:cs="Arial"/>
          <w:i/>
          <w:sz w:val="20"/>
          <w:szCs w:val="20"/>
          <w:lang w:val="es-ES"/>
        </w:rPr>
        <w:t>establecer contacto con otras organizaciones regionales e internacionales competentes para señalar a su atención el valor de la identificación de las AIMM para la planificación de la conservación, así como de las AIMM ya identificadas; y</w:t>
      </w:r>
    </w:p>
    <w:p w14:paraId="4F8EF9A8" w14:textId="5B0C2F97" w:rsidR="00ED3CA2" w:rsidRPr="00267AC6" w:rsidRDefault="00267AC6" w:rsidP="0020300C">
      <w:pPr>
        <w:pStyle w:val="ListParagraph"/>
        <w:widowControl w:val="0"/>
        <w:numPr>
          <w:ilvl w:val="0"/>
          <w:numId w:val="15"/>
        </w:numPr>
        <w:autoSpaceDE w:val="0"/>
        <w:autoSpaceDN w:val="0"/>
        <w:adjustRightInd w:val="0"/>
        <w:spacing w:after="0" w:line="240" w:lineRule="auto"/>
        <w:ind w:left="1080"/>
        <w:contextualSpacing w:val="0"/>
        <w:jc w:val="both"/>
        <w:rPr>
          <w:rFonts w:cs="Arial"/>
          <w:i/>
          <w:sz w:val="20"/>
          <w:szCs w:val="20"/>
          <w:lang w:val="es-ES"/>
        </w:rPr>
      </w:pPr>
      <w:r w:rsidRPr="00267AC6">
        <w:rPr>
          <w:rFonts w:cs="Arial"/>
          <w:i/>
          <w:sz w:val="20"/>
          <w:szCs w:val="20"/>
          <w:lang w:val="es-ES"/>
        </w:rPr>
        <w:t>buscar una mayor cooperación y coordinación con el Acuerdo en el marco de la Convención de las Naciones Unidas sobre el Derecho del Mar relativo a la conservación y el uso sostenible de la diversidad biológica marina de las zonas situadas fuera de la jurisdicción nacional</w:t>
      </w:r>
      <w:r w:rsidR="00ED3CA2" w:rsidRPr="00267AC6">
        <w:rPr>
          <w:rFonts w:cs="Arial"/>
          <w:i/>
          <w:sz w:val="20"/>
          <w:szCs w:val="20"/>
          <w:lang w:val="es-ES"/>
        </w:rPr>
        <w:t>.</w:t>
      </w:r>
    </w:p>
    <w:p w14:paraId="3B0C8670" w14:textId="77777777" w:rsidR="00ED3CA2" w:rsidRPr="00267AC6" w:rsidRDefault="00ED3CA2" w:rsidP="0020300C">
      <w:pPr>
        <w:widowControl w:val="0"/>
        <w:autoSpaceDE w:val="0"/>
        <w:autoSpaceDN w:val="0"/>
        <w:adjustRightInd w:val="0"/>
        <w:spacing w:after="0" w:line="240" w:lineRule="auto"/>
        <w:jc w:val="both"/>
        <w:rPr>
          <w:rFonts w:cs="Arial"/>
          <w:lang w:val="es-ES"/>
        </w:rPr>
      </w:pPr>
    </w:p>
    <w:p w14:paraId="3B5D24A3" w14:textId="77777777" w:rsidR="00A737F3" w:rsidRPr="00461B7C" w:rsidRDefault="00A737F3" w:rsidP="00A737F3">
      <w:pPr>
        <w:spacing w:after="0" w:line="240" w:lineRule="auto"/>
        <w:rPr>
          <w:rFonts w:cs="Arial"/>
          <w:u w:val="single"/>
          <w:lang w:val="es-ES"/>
        </w:rPr>
      </w:pPr>
      <w:r w:rsidRPr="00461B7C" w:rsidDel="005D4A8E">
        <w:rPr>
          <w:rFonts w:cs="Arial"/>
          <w:u w:val="single"/>
          <w:lang w:val="es-ES"/>
        </w:rPr>
        <w:t>I</w:t>
      </w:r>
      <w:r w:rsidRPr="00461B7C">
        <w:rPr>
          <w:rFonts w:cs="Arial"/>
          <w:u w:val="single"/>
          <w:lang w:val="es-ES"/>
        </w:rPr>
        <w:t>mplementación y actividades relacionadas con las AIMM</w:t>
      </w:r>
    </w:p>
    <w:p w14:paraId="7F535103" w14:textId="77777777" w:rsidR="00A737F3" w:rsidRPr="00461B7C" w:rsidRDefault="00A737F3" w:rsidP="00A737F3">
      <w:pPr>
        <w:spacing w:after="0" w:line="240" w:lineRule="auto"/>
        <w:rPr>
          <w:rFonts w:cs="Arial"/>
          <w:u w:val="single"/>
          <w:lang w:val="es-ES"/>
        </w:rPr>
      </w:pPr>
    </w:p>
    <w:p w14:paraId="3A57CB17" w14:textId="77777777" w:rsidR="00A737F3" w:rsidRPr="00461B7C" w:rsidRDefault="00A737F3" w:rsidP="00A737F3">
      <w:pPr>
        <w:widowControl w:val="0"/>
        <w:numPr>
          <w:ilvl w:val="0"/>
          <w:numId w:val="14"/>
        </w:numPr>
        <w:autoSpaceDE w:val="0"/>
        <w:autoSpaceDN w:val="0"/>
        <w:adjustRightInd w:val="0"/>
        <w:spacing w:after="80" w:line="240" w:lineRule="auto"/>
        <w:ind w:left="567" w:hanging="567"/>
        <w:jc w:val="both"/>
        <w:rPr>
          <w:rFonts w:cs="Arial"/>
          <w:lang w:val="es-ES"/>
        </w:rPr>
      </w:pPr>
      <w:r w:rsidRPr="00461B7C">
        <w:rPr>
          <w:rFonts w:cs="Arial"/>
          <w:lang w:val="es-ES"/>
        </w:rPr>
        <w:t>Desde COP14, se han identificado 43 nuevas AIMM, principalmente en el Océano Atlántico Noroeste y la Región del Gran Caribe. Existen nueve especies adicionales incluidas en la CMS en las nuevas AIMM identificadas:</w:t>
      </w:r>
    </w:p>
    <w:p w14:paraId="5516F384" w14:textId="77777777" w:rsidR="00A737F3" w:rsidRPr="00606A45" w:rsidRDefault="00A737F3" w:rsidP="00055BB2">
      <w:pPr>
        <w:widowControl w:val="0"/>
        <w:numPr>
          <w:ilvl w:val="0"/>
          <w:numId w:val="19"/>
        </w:numPr>
        <w:autoSpaceDE w:val="0"/>
        <w:autoSpaceDN w:val="0"/>
        <w:adjustRightInd w:val="0"/>
        <w:spacing w:after="80" w:line="240" w:lineRule="auto"/>
        <w:jc w:val="both"/>
        <w:rPr>
          <w:rFonts w:cs="Arial"/>
          <w:lang w:val="it-IT"/>
        </w:rPr>
      </w:pPr>
      <w:r w:rsidRPr="00606A45">
        <w:rPr>
          <w:rFonts w:cs="Arial"/>
          <w:lang w:val="it-IT"/>
        </w:rPr>
        <w:t>Ballena franca pigmea (</w:t>
      </w:r>
      <w:r w:rsidRPr="00606A45">
        <w:rPr>
          <w:rFonts w:cs="Arial"/>
          <w:i/>
          <w:iCs/>
          <w:lang w:val="it-IT"/>
        </w:rPr>
        <w:t>Caperea marginata</w:t>
      </w:r>
      <w:r w:rsidRPr="00606A45">
        <w:rPr>
          <w:rFonts w:cs="Arial"/>
          <w:lang w:val="it-IT"/>
        </w:rPr>
        <w:t>, Apéndice II) </w:t>
      </w:r>
    </w:p>
    <w:p w14:paraId="6C88F7B3" w14:textId="77777777" w:rsidR="00A737F3" w:rsidRPr="00461B7C" w:rsidRDefault="00A737F3" w:rsidP="00055BB2">
      <w:pPr>
        <w:widowControl w:val="0"/>
        <w:numPr>
          <w:ilvl w:val="0"/>
          <w:numId w:val="19"/>
        </w:numPr>
        <w:autoSpaceDE w:val="0"/>
        <w:autoSpaceDN w:val="0"/>
        <w:adjustRightInd w:val="0"/>
        <w:spacing w:after="80" w:line="240" w:lineRule="auto"/>
        <w:jc w:val="both"/>
        <w:rPr>
          <w:rFonts w:cs="Arial"/>
          <w:lang w:val="es-ES"/>
        </w:rPr>
      </w:pPr>
      <w:r w:rsidRPr="00461B7C">
        <w:rPr>
          <w:rFonts w:cs="Arial"/>
          <w:lang w:val="es-ES"/>
        </w:rPr>
        <w:t>Beluga (</w:t>
      </w:r>
      <w:r w:rsidRPr="00461B7C">
        <w:rPr>
          <w:rFonts w:cs="Arial"/>
          <w:i/>
          <w:iCs/>
          <w:lang w:val="es-ES"/>
        </w:rPr>
        <w:t>Delphinapterus leucas</w:t>
      </w:r>
      <w:r w:rsidRPr="00461B7C">
        <w:rPr>
          <w:rFonts w:cs="Arial"/>
          <w:lang w:val="es-ES"/>
        </w:rPr>
        <w:t>, Apéndice II) </w:t>
      </w:r>
    </w:p>
    <w:p w14:paraId="5D938BAE" w14:textId="77777777" w:rsidR="00A737F3" w:rsidRPr="00461B7C" w:rsidRDefault="00A737F3" w:rsidP="00055BB2">
      <w:pPr>
        <w:widowControl w:val="0"/>
        <w:numPr>
          <w:ilvl w:val="0"/>
          <w:numId w:val="19"/>
        </w:numPr>
        <w:autoSpaceDE w:val="0"/>
        <w:autoSpaceDN w:val="0"/>
        <w:adjustRightInd w:val="0"/>
        <w:spacing w:after="80" w:line="240" w:lineRule="auto"/>
        <w:jc w:val="both"/>
        <w:rPr>
          <w:rFonts w:cs="Arial"/>
          <w:lang w:val="es-ES"/>
        </w:rPr>
      </w:pPr>
      <w:r w:rsidRPr="00461B7C">
        <w:rPr>
          <w:rFonts w:cs="Arial"/>
          <w:lang w:val="es-ES"/>
        </w:rPr>
        <w:t>Ballena franca del Norte (</w:t>
      </w:r>
      <w:r w:rsidRPr="00461B7C">
        <w:rPr>
          <w:rFonts w:cs="Arial"/>
          <w:i/>
          <w:iCs/>
          <w:lang w:val="es-ES"/>
        </w:rPr>
        <w:t>Eubalaena glacialis</w:t>
      </w:r>
      <w:r w:rsidRPr="00461B7C">
        <w:rPr>
          <w:rFonts w:cs="Arial"/>
          <w:lang w:val="es-ES"/>
        </w:rPr>
        <w:t>, Apéndice I) </w:t>
      </w:r>
    </w:p>
    <w:p w14:paraId="00628395" w14:textId="77777777" w:rsidR="00A737F3" w:rsidRPr="00461B7C" w:rsidRDefault="00A737F3" w:rsidP="00055BB2">
      <w:pPr>
        <w:widowControl w:val="0"/>
        <w:numPr>
          <w:ilvl w:val="0"/>
          <w:numId w:val="19"/>
        </w:numPr>
        <w:autoSpaceDE w:val="0"/>
        <w:autoSpaceDN w:val="0"/>
        <w:adjustRightInd w:val="0"/>
        <w:spacing w:after="80" w:line="240" w:lineRule="auto"/>
        <w:jc w:val="both"/>
        <w:rPr>
          <w:rFonts w:cs="Arial"/>
          <w:lang w:val="es-ES"/>
        </w:rPr>
      </w:pPr>
      <w:r w:rsidRPr="00461B7C">
        <w:rPr>
          <w:rFonts w:cs="Arial"/>
          <w:lang w:val="es-ES"/>
        </w:rPr>
        <w:t>Ballena hocico de botella del norte (</w:t>
      </w:r>
      <w:r w:rsidRPr="00461B7C">
        <w:rPr>
          <w:rFonts w:cs="Arial"/>
          <w:i/>
          <w:iCs/>
          <w:lang w:val="es-ES"/>
        </w:rPr>
        <w:t>Hyperoodon ampullatus</w:t>
      </w:r>
      <w:r w:rsidRPr="00461B7C">
        <w:rPr>
          <w:rFonts w:cs="Arial"/>
          <w:lang w:val="es-ES"/>
        </w:rPr>
        <w:t>, Apéndice II) </w:t>
      </w:r>
    </w:p>
    <w:p w14:paraId="5E5E97C9" w14:textId="77777777" w:rsidR="00A737F3" w:rsidRPr="00461B7C" w:rsidRDefault="00A737F3" w:rsidP="00055BB2">
      <w:pPr>
        <w:widowControl w:val="0"/>
        <w:numPr>
          <w:ilvl w:val="0"/>
          <w:numId w:val="19"/>
        </w:numPr>
        <w:autoSpaceDE w:val="0"/>
        <w:autoSpaceDN w:val="0"/>
        <w:adjustRightInd w:val="0"/>
        <w:spacing w:after="80" w:line="240" w:lineRule="auto"/>
        <w:jc w:val="both"/>
        <w:rPr>
          <w:rFonts w:cs="Arial"/>
          <w:lang w:val="es-ES"/>
        </w:rPr>
      </w:pPr>
      <w:r w:rsidRPr="00461B7C">
        <w:rPr>
          <w:rFonts w:cs="Arial"/>
          <w:lang w:val="es-ES"/>
        </w:rPr>
        <w:t>Bufeo (</w:t>
      </w:r>
      <w:r w:rsidRPr="00461B7C">
        <w:rPr>
          <w:rFonts w:cs="Arial"/>
          <w:i/>
          <w:iCs/>
          <w:lang w:val="es-ES"/>
        </w:rPr>
        <w:t>Inia geoffrensis</w:t>
      </w:r>
      <w:r w:rsidRPr="00461B7C">
        <w:rPr>
          <w:rFonts w:cs="Arial"/>
          <w:lang w:val="es-ES"/>
        </w:rPr>
        <w:t>, Apéndice II) </w:t>
      </w:r>
    </w:p>
    <w:p w14:paraId="6DF1DDC0" w14:textId="77777777" w:rsidR="00A737F3" w:rsidRPr="00461B7C" w:rsidRDefault="00A737F3" w:rsidP="00055BB2">
      <w:pPr>
        <w:widowControl w:val="0"/>
        <w:numPr>
          <w:ilvl w:val="0"/>
          <w:numId w:val="19"/>
        </w:numPr>
        <w:autoSpaceDE w:val="0"/>
        <w:autoSpaceDN w:val="0"/>
        <w:adjustRightInd w:val="0"/>
        <w:spacing w:after="80" w:line="240" w:lineRule="auto"/>
        <w:jc w:val="both"/>
        <w:rPr>
          <w:rFonts w:cs="Arial"/>
          <w:lang w:val="es-ES"/>
        </w:rPr>
      </w:pPr>
      <w:r w:rsidRPr="00461B7C">
        <w:rPr>
          <w:rFonts w:cs="Arial"/>
          <w:lang w:val="es-ES"/>
        </w:rPr>
        <w:t>Foca común (</w:t>
      </w:r>
      <w:r w:rsidRPr="00461B7C">
        <w:rPr>
          <w:rFonts w:cs="Arial"/>
          <w:i/>
          <w:iCs/>
          <w:lang w:val="es-ES"/>
        </w:rPr>
        <w:t>Phoca vitulina</w:t>
      </w:r>
      <w:r w:rsidRPr="00461B7C">
        <w:rPr>
          <w:rFonts w:cs="Arial"/>
          <w:lang w:val="es-ES"/>
        </w:rPr>
        <w:t>, Apéndice II) </w:t>
      </w:r>
    </w:p>
    <w:p w14:paraId="72D4EDE8" w14:textId="77777777" w:rsidR="00A737F3" w:rsidRPr="00461B7C" w:rsidRDefault="00A737F3" w:rsidP="00055BB2">
      <w:pPr>
        <w:widowControl w:val="0"/>
        <w:numPr>
          <w:ilvl w:val="0"/>
          <w:numId w:val="19"/>
        </w:numPr>
        <w:autoSpaceDE w:val="0"/>
        <w:autoSpaceDN w:val="0"/>
        <w:adjustRightInd w:val="0"/>
        <w:spacing w:after="80" w:line="240" w:lineRule="auto"/>
        <w:jc w:val="both"/>
        <w:rPr>
          <w:rFonts w:cs="Arial"/>
          <w:lang w:val="es-ES"/>
        </w:rPr>
      </w:pPr>
      <w:r w:rsidRPr="00461B7C">
        <w:rPr>
          <w:rFonts w:cs="Arial"/>
          <w:lang w:val="es-ES"/>
        </w:rPr>
        <w:t>Delfín de la Plata (</w:t>
      </w:r>
      <w:r w:rsidRPr="00461B7C">
        <w:rPr>
          <w:rFonts w:cs="Arial"/>
          <w:i/>
          <w:lang w:val="es-ES"/>
        </w:rPr>
        <w:t>Pontoporia blainvillei</w:t>
      </w:r>
      <w:r w:rsidRPr="00461B7C">
        <w:rPr>
          <w:rFonts w:cs="Arial"/>
          <w:lang w:val="es-ES"/>
        </w:rPr>
        <w:t>, Apéndices I y II) </w:t>
      </w:r>
    </w:p>
    <w:p w14:paraId="6DB7D17E" w14:textId="77777777" w:rsidR="00A737F3" w:rsidRPr="00461B7C" w:rsidRDefault="00A737F3" w:rsidP="00055BB2">
      <w:pPr>
        <w:widowControl w:val="0"/>
        <w:numPr>
          <w:ilvl w:val="0"/>
          <w:numId w:val="19"/>
        </w:numPr>
        <w:autoSpaceDE w:val="0"/>
        <w:autoSpaceDN w:val="0"/>
        <w:adjustRightInd w:val="0"/>
        <w:spacing w:after="80" w:line="240" w:lineRule="auto"/>
        <w:jc w:val="both"/>
        <w:rPr>
          <w:rFonts w:cs="Arial"/>
          <w:lang w:val="es-ES"/>
        </w:rPr>
      </w:pPr>
      <w:r w:rsidRPr="00461B7C">
        <w:rPr>
          <w:rFonts w:cs="Arial"/>
          <w:lang w:val="es-ES"/>
        </w:rPr>
        <w:lastRenderedPageBreak/>
        <w:t>Bufeo africano (</w:t>
      </w:r>
      <w:r w:rsidRPr="00461B7C">
        <w:rPr>
          <w:rFonts w:cs="Arial"/>
          <w:i/>
          <w:iCs/>
          <w:lang w:val="es-ES"/>
        </w:rPr>
        <w:t>Sousa teuszii</w:t>
      </w:r>
      <w:r w:rsidRPr="00461B7C">
        <w:rPr>
          <w:rFonts w:cs="Arial"/>
          <w:lang w:val="es-ES"/>
        </w:rPr>
        <w:t>, Apéndice I)</w:t>
      </w:r>
    </w:p>
    <w:p w14:paraId="3FECC47C" w14:textId="77777777" w:rsidR="00A737F3" w:rsidRDefault="00A737F3" w:rsidP="00A737F3">
      <w:pPr>
        <w:widowControl w:val="0"/>
        <w:numPr>
          <w:ilvl w:val="0"/>
          <w:numId w:val="19"/>
        </w:numPr>
        <w:autoSpaceDE w:val="0"/>
        <w:autoSpaceDN w:val="0"/>
        <w:adjustRightInd w:val="0"/>
        <w:spacing w:after="0" w:line="240" w:lineRule="auto"/>
        <w:jc w:val="both"/>
        <w:rPr>
          <w:rFonts w:cs="Arial"/>
          <w:lang w:val="es-ES"/>
        </w:rPr>
      </w:pPr>
      <w:r w:rsidRPr="00461B7C">
        <w:rPr>
          <w:rFonts w:cs="Arial"/>
          <w:lang w:val="es-ES"/>
        </w:rPr>
        <w:t>Oso polar (</w:t>
      </w:r>
      <w:r w:rsidRPr="00461B7C">
        <w:rPr>
          <w:rFonts w:cs="Arial"/>
          <w:i/>
          <w:iCs/>
          <w:lang w:val="es-ES"/>
        </w:rPr>
        <w:t>Ursus maritimus</w:t>
      </w:r>
      <w:r w:rsidRPr="00461B7C">
        <w:rPr>
          <w:rFonts w:cs="Arial"/>
          <w:lang w:val="es-ES"/>
        </w:rPr>
        <w:t>, Apéndice II)</w:t>
      </w:r>
    </w:p>
    <w:p w14:paraId="27C4807D" w14:textId="77777777" w:rsidR="00CF0C59" w:rsidRPr="00461B7C" w:rsidRDefault="00CF0C59" w:rsidP="00CF0C59">
      <w:pPr>
        <w:widowControl w:val="0"/>
        <w:autoSpaceDE w:val="0"/>
        <w:autoSpaceDN w:val="0"/>
        <w:adjustRightInd w:val="0"/>
        <w:spacing w:after="0" w:line="240" w:lineRule="auto"/>
        <w:ind w:left="1080"/>
        <w:jc w:val="both"/>
        <w:rPr>
          <w:rFonts w:cs="Arial"/>
          <w:lang w:val="es-ES"/>
        </w:rPr>
      </w:pPr>
    </w:p>
    <w:p w14:paraId="793AB0AB" w14:textId="77777777" w:rsidR="00A737F3" w:rsidRPr="00461B7C" w:rsidRDefault="00A737F3" w:rsidP="00A737F3">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 xml:space="preserve">En total, existen AIMM de relevancia para 47 especies incluidas en la CMS. Puede consultar una panorámica de todas las AIMM (323 en total) en la </w:t>
      </w:r>
      <w:hyperlink r:id="rId13" w:history="1">
        <w:r w:rsidRPr="00461B7C">
          <w:rPr>
            <w:rStyle w:val="Hyperlink"/>
            <w:rFonts w:cs="Arial"/>
            <w:lang w:val="es-ES"/>
          </w:rPr>
          <w:t>página web</w:t>
        </w:r>
      </w:hyperlink>
      <w:r w:rsidRPr="00461B7C">
        <w:rPr>
          <w:rFonts w:cs="Arial"/>
          <w:lang w:val="es-ES"/>
        </w:rPr>
        <w:t xml:space="preserve"> del Grupo de Trabajo sobre Áreas Protegidas de Mamíferos Marinos/Comisión para la Supervivencia de Especies Globales de la UICN (SSC/WCPA). El Grupo de Trabajo también ha publicado un informe sobre los resultados de las pruebas de la Herramienta de monitorización de las AIMM para ayudar a evaluar el estado de las AIMM.</w:t>
      </w:r>
      <w:r w:rsidRPr="00461B7C">
        <w:rPr>
          <w:rStyle w:val="FootnoteReference"/>
          <w:rFonts w:cs="Arial"/>
          <w:lang w:val="es-ES"/>
        </w:rPr>
        <w:footnoteReference w:id="1"/>
      </w:r>
    </w:p>
    <w:p w14:paraId="5B989857" w14:textId="77777777" w:rsidR="00A737F3" w:rsidRPr="00461B7C" w:rsidRDefault="00A737F3" w:rsidP="00A737F3">
      <w:pPr>
        <w:pStyle w:val="ListParagraph"/>
        <w:spacing w:after="0" w:line="240" w:lineRule="auto"/>
        <w:contextualSpacing w:val="0"/>
        <w:rPr>
          <w:rFonts w:cs="Arial"/>
          <w:lang w:val="es-ES"/>
        </w:rPr>
      </w:pPr>
    </w:p>
    <w:p w14:paraId="08192424" w14:textId="4BFDC43D" w:rsidR="00A737F3" w:rsidRPr="00461B7C" w:rsidRDefault="00A737F3" w:rsidP="00A737F3">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 xml:space="preserve">Tal y como se estipula en la Decisión 14.60 (a), la Secretaría informa a las Partes de las nuevas AIMM identificadas por medio del informe en </w:t>
      </w:r>
      <w:hyperlink r:id="rId14" w:history="1">
        <w:r w:rsidR="002913D9" w:rsidRPr="002913D9">
          <w:rPr>
            <w:rStyle w:val="Hyperlink"/>
            <w:rFonts w:cs="Arial"/>
            <w:lang w:val="es-ES"/>
          </w:rPr>
          <w:t>UNEP/CMS/COP15/Inf.25.3.1a</w:t>
        </w:r>
      </w:hyperlink>
      <w:r w:rsidRPr="00461B7C">
        <w:rPr>
          <w:rFonts w:cs="Arial"/>
          <w:lang w:val="es-ES"/>
        </w:rPr>
        <w:t>, y ha participado activamente en el proceso de las AIMM, asistiendo a reuniones y ayudando a promocionar las AIMM. La Secretaría también ha promocionado las AIMM durante eventos paralelos celebrados en otros foros.</w:t>
      </w:r>
    </w:p>
    <w:p w14:paraId="478C2715" w14:textId="77777777" w:rsidR="00A737F3" w:rsidRPr="00461B7C" w:rsidRDefault="00A737F3" w:rsidP="00A737F3">
      <w:pPr>
        <w:widowControl w:val="0"/>
        <w:autoSpaceDE w:val="0"/>
        <w:autoSpaceDN w:val="0"/>
        <w:adjustRightInd w:val="0"/>
        <w:spacing w:after="0" w:line="240" w:lineRule="auto"/>
        <w:ind w:left="567"/>
        <w:jc w:val="both"/>
        <w:rPr>
          <w:rFonts w:cs="Arial"/>
          <w:lang w:val="es-ES"/>
        </w:rPr>
      </w:pPr>
    </w:p>
    <w:p w14:paraId="66C43EB2" w14:textId="77777777" w:rsidR="00A737F3" w:rsidRPr="00461B7C" w:rsidRDefault="00A737F3" w:rsidP="00A737F3">
      <w:pPr>
        <w:pStyle w:val="ListParagraph"/>
        <w:widowControl w:val="0"/>
        <w:numPr>
          <w:ilvl w:val="0"/>
          <w:numId w:val="21"/>
        </w:numPr>
        <w:autoSpaceDE w:val="0"/>
        <w:autoSpaceDN w:val="0"/>
        <w:adjustRightInd w:val="0"/>
        <w:spacing w:after="0" w:line="240" w:lineRule="auto"/>
        <w:ind w:left="567" w:hanging="567"/>
        <w:contextualSpacing w:val="0"/>
        <w:jc w:val="both"/>
        <w:rPr>
          <w:rFonts w:cs="Arial"/>
          <w:sz w:val="20"/>
          <w:szCs w:val="20"/>
          <w:u w:val="single"/>
          <w:lang w:val="es-ES"/>
        </w:rPr>
      </w:pPr>
      <w:r w:rsidRPr="00461B7C">
        <w:rPr>
          <w:rFonts w:cs="Arial"/>
          <w:u w:val="single"/>
          <w:lang w:val="es-ES"/>
        </w:rPr>
        <w:t>Áreas importantes para los tiburones y rayas (ISRA)</w:t>
      </w:r>
    </w:p>
    <w:p w14:paraId="11A62C5A" w14:textId="77777777" w:rsidR="00A737F3" w:rsidRPr="00461B7C" w:rsidRDefault="00A737F3" w:rsidP="00A737F3">
      <w:pPr>
        <w:spacing w:after="0" w:line="240" w:lineRule="auto"/>
        <w:rPr>
          <w:rFonts w:cs="Arial"/>
          <w:lang w:val="es-ES"/>
        </w:rPr>
      </w:pPr>
    </w:p>
    <w:p w14:paraId="2F002B93" w14:textId="1DECB682" w:rsidR="00A737F3" w:rsidRPr="00461B7C" w:rsidRDefault="00A737F3" w:rsidP="00A737F3">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 xml:space="preserve">COP14 adoptó la </w:t>
      </w:r>
      <w:hyperlink r:id="rId15" w:history="1">
        <w:r w:rsidRPr="00125735">
          <w:rPr>
            <w:rStyle w:val="Hyperlink"/>
            <w:rFonts w:cs="Arial"/>
            <w:lang w:val="es-ES"/>
          </w:rPr>
          <w:t>Resolución 14.7</w:t>
        </w:r>
      </w:hyperlink>
      <w:r w:rsidRPr="00461B7C">
        <w:rPr>
          <w:rFonts w:cs="Arial"/>
          <w:lang w:val="es-ES"/>
        </w:rPr>
        <w:t xml:space="preserve"> </w:t>
      </w:r>
      <w:r w:rsidRPr="00461B7C">
        <w:rPr>
          <w:rFonts w:cs="Arial"/>
          <w:i/>
          <w:iCs/>
          <w:lang w:val="es-ES"/>
        </w:rPr>
        <w:t>Áreas importantes para los tiburones y rayas (ISRA)</w:t>
      </w:r>
      <w:r w:rsidRPr="00461B7C">
        <w:rPr>
          <w:rFonts w:cs="Arial"/>
          <w:lang w:val="es-ES"/>
        </w:rPr>
        <w:t>, donde se reconoce a las ISRA como una clasificación de referencia realizada por expertos que se aplica a los océanos del mundo y las extensiones de aguas continentales relevantes. Están formadas por secciones discretas del hábitat que son importantes para las especies de tiburones, rayas y quimeras, y que tienen el potencial de ser delimitadas y gestionadas para su conservación.</w:t>
      </w:r>
    </w:p>
    <w:p w14:paraId="349466B1" w14:textId="77777777" w:rsidR="00A737F3" w:rsidRPr="00461B7C" w:rsidRDefault="00A737F3" w:rsidP="00A737F3">
      <w:pPr>
        <w:widowControl w:val="0"/>
        <w:autoSpaceDE w:val="0"/>
        <w:autoSpaceDN w:val="0"/>
        <w:adjustRightInd w:val="0"/>
        <w:spacing w:after="0" w:line="240" w:lineRule="auto"/>
        <w:jc w:val="both"/>
        <w:rPr>
          <w:lang w:val="es-ES"/>
        </w:rPr>
      </w:pPr>
    </w:p>
    <w:p w14:paraId="75D05C04" w14:textId="3C34684C" w:rsidR="00ED3CA2" w:rsidRPr="00A737F3" w:rsidRDefault="00A737F3" w:rsidP="00A737F3">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Con respecto a esta cuestión, la COP14 adoptó las siguientes decisiones</w:t>
      </w:r>
      <w:r w:rsidR="00ED3CA2" w:rsidRPr="00A737F3">
        <w:rPr>
          <w:rFonts w:cs="Arial"/>
          <w:lang w:val="es-ES"/>
        </w:rPr>
        <w:t>:</w:t>
      </w:r>
    </w:p>
    <w:p w14:paraId="55670B80" w14:textId="77777777" w:rsidR="00ED3CA2" w:rsidRPr="00A737F3" w:rsidRDefault="00ED3CA2" w:rsidP="0020300C">
      <w:pPr>
        <w:widowControl w:val="0"/>
        <w:autoSpaceDE w:val="0"/>
        <w:autoSpaceDN w:val="0"/>
        <w:adjustRightInd w:val="0"/>
        <w:spacing w:after="0" w:line="240" w:lineRule="auto"/>
        <w:ind w:left="567"/>
        <w:jc w:val="both"/>
        <w:rPr>
          <w:rFonts w:cs="Arial"/>
          <w:lang w:val="es-ES"/>
        </w:rPr>
      </w:pPr>
    </w:p>
    <w:p w14:paraId="6D3105B0" w14:textId="241E39F9" w:rsidR="00ED3CA2" w:rsidRPr="00140982" w:rsidRDefault="00ED3CA2" w:rsidP="0020300C">
      <w:pPr>
        <w:widowControl w:val="0"/>
        <w:autoSpaceDE w:val="0"/>
        <w:autoSpaceDN w:val="0"/>
        <w:adjustRightInd w:val="0"/>
        <w:spacing w:after="0" w:line="240" w:lineRule="auto"/>
        <w:ind w:left="720"/>
        <w:jc w:val="both"/>
        <w:rPr>
          <w:rFonts w:cs="Arial"/>
          <w:b/>
          <w:bCs/>
          <w:i/>
          <w:iCs/>
          <w:sz w:val="20"/>
          <w:szCs w:val="20"/>
          <w:lang w:val="es-ES"/>
        </w:rPr>
      </w:pPr>
      <w:r w:rsidRPr="00140982">
        <w:rPr>
          <w:rFonts w:cs="Arial"/>
          <w:b/>
          <w:bCs/>
          <w:i/>
          <w:iCs/>
          <w:sz w:val="20"/>
          <w:szCs w:val="20"/>
          <w:lang w:val="es-ES"/>
        </w:rPr>
        <w:t xml:space="preserve">14.61 </w:t>
      </w:r>
      <w:r w:rsidR="00593E18" w:rsidRPr="00140982">
        <w:rPr>
          <w:rFonts w:cs="Arial"/>
          <w:b/>
          <w:bCs/>
          <w:i/>
          <w:iCs/>
          <w:sz w:val="20"/>
          <w:szCs w:val="20"/>
          <w:lang w:val="es-ES"/>
        </w:rPr>
        <w:t>dirigida a las Partes</w:t>
      </w:r>
    </w:p>
    <w:p w14:paraId="0CB42920" w14:textId="77777777" w:rsidR="00ED3CA2" w:rsidRPr="00140982" w:rsidRDefault="00ED3CA2" w:rsidP="0020300C">
      <w:pPr>
        <w:widowControl w:val="0"/>
        <w:autoSpaceDE w:val="0"/>
        <w:autoSpaceDN w:val="0"/>
        <w:adjustRightInd w:val="0"/>
        <w:spacing w:after="0" w:line="240" w:lineRule="auto"/>
        <w:ind w:left="720"/>
        <w:jc w:val="both"/>
        <w:rPr>
          <w:rFonts w:cs="Arial"/>
          <w:i/>
          <w:iCs/>
          <w:sz w:val="20"/>
          <w:szCs w:val="20"/>
          <w:lang w:val="es-ES"/>
        </w:rPr>
      </w:pPr>
    </w:p>
    <w:p w14:paraId="70B1E7B7" w14:textId="77777777" w:rsidR="00395348" w:rsidRPr="00395348" w:rsidRDefault="00395348" w:rsidP="0020300C">
      <w:pPr>
        <w:pStyle w:val="ListParagraph"/>
        <w:widowControl w:val="0"/>
        <w:autoSpaceDE w:val="0"/>
        <w:autoSpaceDN w:val="0"/>
        <w:adjustRightInd w:val="0"/>
        <w:spacing w:after="0" w:line="240" w:lineRule="auto"/>
        <w:jc w:val="both"/>
        <w:rPr>
          <w:rFonts w:cs="Arial"/>
          <w:i/>
          <w:iCs/>
          <w:sz w:val="20"/>
          <w:szCs w:val="20"/>
          <w:lang w:val="es-ES"/>
        </w:rPr>
      </w:pPr>
      <w:r w:rsidRPr="00395348">
        <w:rPr>
          <w:rFonts w:cs="Arial"/>
          <w:i/>
          <w:iCs/>
          <w:sz w:val="20"/>
          <w:szCs w:val="20"/>
          <w:lang w:val="es-ES"/>
        </w:rPr>
        <w:t>Se solicita a las Partes:</w:t>
      </w:r>
    </w:p>
    <w:p w14:paraId="741357FB" w14:textId="77777777" w:rsidR="00395348" w:rsidRPr="00395348" w:rsidRDefault="00395348" w:rsidP="0020300C">
      <w:pPr>
        <w:pStyle w:val="ListParagraph"/>
        <w:widowControl w:val="0"/>
        <w:autoSpaceDE w:val="0"/>
        <w:autoSpaceDN w:val="0"/>
        <w:adjustRightInd w:val="0"/>
        <w:spacing w:after="0" w:line="240" w:lineRule="auto"/>
        <w:jc w:val="both"/>
        <w:rPr>
          <w:rFonts w:cs="Arial"/>
          <w:i/>
          <w:iCs/>
          <w:sz w:val="20"/>
          <w:szCs w:val="20"/>
          <w:lang w:val="es-ES"/>
        </w:rPr>
      </w:pPr>
    </w:p>
    <w:p w14:paraId="252325CE" w14:textId="77777777" w:rsidR="00395348" w:rsidRPr="00395348" w:rsidRDefault="00395348" w:rsidP="00055BB2">
      <w:pPr>
        <w:pStyle w:val="ListParagraph"/>
        <w:widowControl w:val="0"/>
        <w:numPr>
          <w:ilvl w:val="0"/>
          <w:numId w:val="17"/>
        </w:numPr>
        <w:autoSpaceDE w:val="0"/>
        <w:autoSpaceDN w:val="0"/>
        <w:adjustRightInd w:val="0"/>
        <w:spacing w:after="80" w:line="240" w:lineRule="auto"/>
        <w:ind w:left="1080"/>
        <w:contextualSpacing w:val="0"/>
        <w:jc w:val="both"/>
        <w:rPr>
          <w:rFonts w:cs="Arial"/>
          <w:i/>
          <w:iCs/>
          <w:sz w:val="20"/>
          <w:szCs w:val="20"/>
          <w:lang w:val="es-ES"/>
        </w:rPr>
      </w:pPr>
      <w:r w:rsidRPr="00395348">
        <w:rPr>
          <w:rFonts w:cs="Arial"/>
          <w:i/>
          <w:iCs/>
          <w:sz w:val="20"/>
          <w:szCs w:val="20"/>
          <w:lang w:val="es-ES"/>
        </w:rPr>
        <w:t>apoyen la identificación de nuevas ISRA;</w:t>
      </w:r>
    </w:p>
    <w:p w14:paraId="2BC63498" w14:textId="77777777" w:rsidR="00395348" w:rsidRPr="00395348" w:rsidRDefault="00395348" w:rsidP="00055BB2">
      <w:pPr>
        <w:pStyle w:val="ListParagraph"/>
        <w:widowControl w:val="0"/>
        <w:numPr>
          <w:ilvl w:val="0"/>
          <w:numId w:val="17"/>
        </w:numPr>
        <w:autoSpaceDE w:val="0"/>
        <w:autoSpaceDN w:val="0"/>
        <w:adjustRightInd w:val="0"/>
        <w:spacing w:after="80" w:line="240" w:lineRule="auto"/>
        <w:ind w:left="1080"/>
        <w:contextualSpacing w:val="0"/>
        <w:jc w:val="both"/>
        <w:rPr>
          <w:rFonts w:cs="Arial"/>
          <w:i/>
          <w:iCs/>
          <w:sz w:val="20"/>
          <w:szCs w:val="20"/>
          <w:lang w:val="es-ES"/>
        </w:rPr>
      </w:pPr>
      <w:r w:rsidRPr="00395348">
        <w:rPr>
          <w:rFonts w:cs="Arial"/>
          <w:i/>
          <w:iCs/>
          <w:sz w:val="20"/>
          <w:szCs w:val="20"/>
          <w:lang w:val="es-ES"/>
        </w:rPr>
        <w:t>tengan en cuenta las ISRA identificadas para la planificación espacial y las acciones de conservación con vistas a la aplicación de las Metas 1 y 3 del Marco Mundial para la Diversidad Biológica, incluso a través de las Estrategias y Planes de Acción Nacionales en materia de Diversidad Biológica (EPANB); e</w:t>
      </w:r>
    </w:p>
    <w:p w14:paraId="0396B954" w14:textId="77A802C7" w:rsidR="00ED3CA2" w:rsidRPr="00395348" w:rsidRDefault="00395348" w:rsidP="0020300C">
      <w:pPr>
        <w:pStyle w:val="ListParagraph"/>
        <w:widowControl w:val="0"/>
        <w:numPr>
          <w:ilvl w:val="0"/>
          <w:numId w:val="17"/>
        </w:numPr>
        <w:autoSpaceDE w:val="0"/>
        <w:autoSpaceDN w:val="0"/>
        <w:adjustRightInd w:val="0"/>
        <w:spacing w:after="0" w:line="240" w:lineRule="auto"/>
        <w:ind w:left="1080"/>
        <w:contextualSpacing w:val="0"/>
        <w:jc w:val="both"/>
        <w:rPr>
          <w:rFonts w:cs="Arial"/>
          <w:i/>
          <w:iCs/>
          <w:sz w:val="20"/>
          <w:szCs w:val="20"/>
          <w:lang w:val="es-ES"/>
        </w:rPr>
      </w:pPr>
      <w:r w:rsidRPr="00395348">
        <w:rPr>
          <w:rFonts w:cs="Arial"/>
          <w:i/>
          <w:iCs/>
          <w:sz w:val="20"/>
          <w:szCs w:val="20"/>
          <w:lang w:val="es-ES"/>
        </w:rPr>
        <w:t>informen a la Conferencia de las Partes en su 15ª reunión sobre los progresos realizados en la aplicación de la decisión de mitigar las amenazas a las ISRA a través de sus Informes Nacionale</w:t>
      </w:r>
      <w:r w:rsidR="00ED3CA2" w:rsidRPr="00395348">
        <w:rPr>
          <w:rFonts w:cs="Arial"/>
          <w:i/>
          <w:iCs/>
          <w:sz w:val="20"/>
          <w:szCs w:val="20"/>
          <w:lang w:val="es-ES"/>
        </w:rPr>
        <w:t>s.</w:t>
      </w:r>
    </w:p>
    <w:p w14:paraId="48508583" w14:textId="77777777" w:rsidR="00ED3CA2" w:rsidRPr="00395348" w:rsidRDefault="00ED3CA2" w:rsidP="0020300C">
      <w:pPr>
        <w:widowControl w:val="0"/>
        <w:autoSpaceDE w:val="0"/>
        <w:autoSpaceDN w:val="0"/>
        <w:adjustRightInd w:val="0"/>
        <w:spacing w:after="0" w:line="240" w:lineRule="auto"/>
        <w:ind w:left="851"/>
        <w:jc w:val="both"/>
        <w:rPr>
          <w:rFonts w:cs="Arial"/>
          <w:i/>
          <w:iCs/>
          <w:sz w:val="20"/>
          <w:szCs w:val="20"/>
          <w:lang w:val="es-ES"/>
        </w:rPr>
      </w:pPr>
    </w:p>
    <w:p w14:paraId="541EBCB1" w14:textId="4C73F484" w:rsidR="00ED3CA2" w:rsidRPr="000D1A04" w:rsidRDefault="00ED3CA2" w:rsidP="0020300C">
      <w:pPr>
        <w:widowControl w:val="0"/>
        <w:autoSpaceDE w:val="0"/>
        <w:autoSpaceDN w:val="0"/>
        <w:adjustRightInd w:val="0"/>
        <w:spacing w:after="0" w:line="240" w:lineRule="auto"/>
        <w:ind w:left="851"/>
        <w:jc w:val="both"/>
        <w:rPr>
          <w:rFonts w:cs="Arial"/>
          <w:b/>
          <w:bCs/>
          <w:i/>
          <w:iCs/>
          <w:sz w:val="20"/>
          <w:szCs w:val="20"/>
          <w:lang w:val="es-ES"/>
        </w:rPr>
      </w:pPr>
      <w:r w:rsidRPr="000D1A04">
        <w:rPr>
          <w:rFonts w:cs="Arial"/>
          <w:b/>
          <w:bCs/>
          <w:i/>
          <w:iCs/>
          <w:sz w:val="20"/>
          <w:szCs w:val="20"/>
          <w:lang w:val="es-ES"/>
        </w:rPr>
        <w:t xml:space="preserve">14.62 </w:t>
      </w:r>
      <w:r w:rsidR="000D1A04">
        <w:rPr>
          <w:rFonts w:cs="Arial"/>
          <w:b/>
          <w:bCs/>
          <w:i/>
          <w:iCs/>
          <w:sz w:val="20"/>
          <w:szCs w:val="20"/>
          <w:lang w:val="es-ES"/>
        </w:rPr>
        <w:t>d</w:t>
      </w:r>
      <w:r w:rsidR="000D1A04" w:rsidRPr="000D1A04">
        <w:rPr>
          <w:rFonts w:cs="Arial"/>
          <w:b/>
          <w:bCs/>
          <w:i/>
          <w:iCs/>
          <w:sz w:val="20"/>
          <w:szCs w:val="20"/>
          <w:lang w:val="es-ES"/>
        </w:rPr>
        <w:t>irigid</w:t>
      </w:r>
      <w:r w:rsidR="000D1A04">
        <w:rPr>
          <w:rFonts w:cs="Arial"/>
          <w:b/>
          <w:bCs/>
          <w:i/>
          <w:iCs/>
          <w:sz w:val="20"/>
          <w:szCs w:val="20"/>
          <w:lang w:val="es-ES"/>
        </w:rPr>
        <w:t>a</w:t>
      </w:r>
      <w:r w:rsidR="000D1A04" w:rsidRPr="000D1A04">
        <w:rPr>
          <w:rFonts w:cs="Arial"/>
          <w:b/>
          <w:bCs/>
          <w:i/>
          <w:iCs/>
          <w:sz w:val="20"/>
          <w:szCs w:val="20"/>
          <w:lang w:val="es-ES"/>
        </w:rPr>
        <w:t xml:space="preserve"> a las Partes, organizaciones intergubernamentales y no gubernamentales</w:t>
      </w:r>
    </w:p>
    <w:p w14:paraId="3A39C4CB" w14:textId="77777777" w:rsidR="00ED3CA2" w:rsidRPr="000D1A04" w:rsidRDefault="00ED3CA2" w:rsidP="0020300C">
      <w:pPr>
        <w:widowControl w:val="0"/>
        <w:autoSpaceDE w:val="0"/>
        <w:autoSpaceDN w:val="0"/>
        <w:adjustRightInd w:val="0"/>
        <w:spacing w:after="0" w:line="240" w:lineRule="auto"/>
        <w:ind w:left="851"/>
        <w:jc w:val="both"/>
        <w:rPr>
          <w:rFonts w:cs="Arial"/>
          <w:i/>
          <w:iCs/>
          <w:sz w:val="20"/>
          <w:szCs w:val="20"/>
          <w:lang w:val="es-ES"/>
        </w:rPr>
      </w:pPr>
    </w:p>
    <w:p w14:paraId="553F6833" w14:textId="69F89BB6" w:rsidR="00ED3CA2" w:rsidRPr="009A115B" w:rsidRDefault="009A115B" w:rsidP="0020300C">
      <w:pPr>
        <w:widowControl w:val="0"/>
        <w:autoSpaceDE w:val="0"/>
        <w:autoSpaceDN w:val="0"/>
        <w:adjustRightInd w:val="0"/>
        <w:spacing w:after="0" w:line="240" w:lineRule="auto"/>
        <w:ind w:left="851"/>
        <w:jc w:val="both"/>
        <w:rPr>
          <w:rFonts w:cs="Arial"/>
          <w:i/>
          <w:iCs/>
          <w:sz w:val="20"/>
          <w:szCs w:val="20"/>
          <w:lang w:val="es-ES"/>
        </w:rPr>
      </w:pPr>
      <w:r w:rsidRPr="009A115B">
        <w:rPr>
          <w:rFonts w:cs="Arial"/>
          <w:i/>
          <w:iCs/>
          <w:sz w:val="20"/>
          <w:szCs w:val="20"/>
          <w:lang w:val="es-ES"/>
        </w:rPr>
        <w:t>Se alienta a las Partes, a las organizaciones intergubernamentales y no gubernamentales a colaborar activamente con el Grupo de Especialistas en Tiburones de la CSE de la UICN y prestarle apoyo técnico en el proceso de identificación de áreas importantes para los tiburones y rayas a escala mundial</w:t>
      </w:r>
      <w:r>
        <w:rPr>
          <w:rFonts w:cs="Arial"/>
          <w:i/>
          <w:iCs/>
          <w:sz w:val="20"/>
          <w:szCs w:val="20"/>
          <w:lang w:val="es-ES"/>
        </w:rPr>
        <w:t>.</w:t>
      </w:r>
    </w:p>
    <w:p w14:paraId="7C8D5F2A" w14:textId="77777777" w:rsidR="00ED3CA2" w:rsidRPr="009A115B" w:rsidRDefault="00ED3CA2" w:rsidP="0020300C">
      <w:pPr>
        <w:widowControl w:val="0"/>
        <w:autoSpaceDE w:val="0"/>
        <w:autoSpaceDN w:val="0"/>
        <w:adjustRightInd w:val="0"/>
        <w:spacing w:after="0" w:line="240" w:lineRule="auto"/>
        <w:ind w:left="851"/>
        <w:jc w:val="both"/>
        <w:rPr>
          <w:rFonts w:cs="Arial"/>
          <w:i/>
          <w:iCs/>
          <w:sz w:val="20"/>
          <w:szCs w:val="20"/>
          <w:lang w:val="es-ES"/>
        </w:rPr>
      </w:pPr>
    </w:p>
    <w:p w14:paraId="0259C38A" w14:textId="77777777" w:rsidR="00485FE6" w:rsidRDefault="00485FE6">
      <w:pPr>
        <w:rPr>
          <w:rFonts w:cs="Arial"/>
          <w:b/>
          <w:bCs/>
          <w:i/>
          <w:iCs/>
          <w:sz w:val="20"/>
          <w:szCs w:val="20"/>
          <w:lang w:val="es-ES"/>
        </w:rPr>
      </w:pPr>
      <w:r>
        <w:rPr>
          <w:rFonts w:cs="Arial"/>
          <w:b/>
          <w:bCs/>
          <w:i/>
          <w:iCs/>
          <w:sz w:val="20"/>
          <w:szCs w:val="20"/>
          <w:lang w:val="es-ES"/>
        </w:rPr>
        <w:br w:type="page"/>
      </w:r>
    </w:p>
    <w:p w14:paraId="5688CB03" w14:textId="4CB62296" w:rsidR="00ED3CA2" w:rsidRPr="00F16424" w:rsidRDefault="00ED3CA2" w:rsidP="0020300C">
      <w:pPr>
        <w:widowControl w:val="0"/>
        <w:autoSpaceDE w:val="0"/>
        <w:autoSpaceDN w:val="0"/>
        <w:adjustRightInd w:val="0"/>
        <w:spacing w:after="0" w:line="240" w:lineRule="auto"/>
        <w:ind w:left="851"/>
        <w:jc w:val="both"/>
        <w:rPr>
          <w:rFonts w:cs="Arial"/>
          <w:b/>
          <w:bCs/>
          <w:i/>
          <w:iCs/>
          <w:sz w:val="20"/>
          <w:szCs w:val="20"/>
          <w:lang w:val="es-ES"/>
        </w:rPr>
      </w:pPr>
      <w:r w:rsidRPr="00F16424">
        <w:rPr>
          <w:rFonts w:cs="Arial"/>
          <w:b/>
          <w:bCs/>
          <w:i/>
          <w:iCs/>
          <w:sz w:val="20"/>
          <w:szCs w:val="20"/>
          <w:lang w:val="es-ES"/>
        </w:rPr>
        <w:lastRenderedPageBreak/>
        <w:t xml:space="preserve">14.63 </w:t>
      </w:r>
      <w:r w:rsidR="008571D3" w:rsidRPr="00F16424">
        <w:rPr>
          <w:rFonts w:cs="Arial"/>
          <w:b/>
          <w:bCs/>
          <w:i/>
          <w:iCs/>
          <w:sz w:val="20"/>
          <w:szCs w:val="20"/>
          <w:lang w:val="es-ES"/>
        </w:rPr>
        <w:t>dirigida al Consejo Científico</w:t>
      </w:r>
    </w:p>
    <w:p w14:paraId="58E11C90" w14:textId="77777777" w:rsidR="00ED3CA2" w:rsidRPr="00F16424" w:rsidRDefault="00ED3CA2" w:rsidP="0020300C">
      <w:pPr>
        <w:widowControl w:val="0"/>
        <w:autoSpaceDE w:val="0"/>
        <w:autoSpaceDN w:val="0"/>
        <w:adjustRightInd w:val="0"/>
        <w:spacing w:after="0" w:line="240" w:lineRule="auto"/>
        <w:ind w:left="851"/>
        <w:jc w:val="both"/>
        <w:rPr>
          <w:rFonts w:cs="Arial"/>
          <w:i/>
          <w:iCs/>
          <w:sz w:val="20"/>
          <w:szCs w:val="20"/>
          <w:lang w:val="es-ES"/>
        </w:rPr>
      </w:pPr>
    </w:p>
    <w:p w14:paraId="4F119E6C" w14:textId="02ADE441" w:rsidR="00ED3CA2" w:rsidRPr="00F16424" w:rsidRDefault="00F16424" w:rsidP="0020300C">
      <w:pPr>
        <w:widowControl w:val="0"/>
        <w:autoSpaceDE w:val="0"/>
        <w:autoSpaceDN w:val="0"/>
        <w:adjustRightInd w:val="0"/>
        <w:spacing w:after="0" w:line="240" w:lineRule="auto"/>
        <w:ind w:left="851"/>
        <w:jc w:val="both"/>
        <w:rPr>
          <w:rFonts w:cs="Arial"/>
          <w:i/>
          <w:iCs/>
          <w:sz w:val="20"/>
          <w:szCs w:val="20"/>
          <w:lang w:val="es-ES"/>
        </w:rPr>
      </w:pPr>
      <w:r w:rsidRPr="00F16424">
        <w:rPr>
          <w:rFonts w:cs="Arial"/>
          <w:i/>
          <w:iCs/>
          <w:sz w:val="20"/>
          <w:szCs w:val="20"/>
          <w:lang w:val="es-ES"/>
        </w:rPr>
        <w:t>Se solicita al Consejo Científico trabajar con el Grupo de Especialistas en Tiburones de la CSE de la UICN, en colaboración con expertos de los organismos de gestión de la pesca y órganos asesores, grupos (especialistas) de la Convención de los Mares Regionales y el Comité Asesor del MdE sobre tiburones, de manera rentable y sin duplicaciones, en la identificación de las ISRA para las especies de tiburones y rayas incluidas en la lista de la CMS, compartiendo información y datos y contribuyendo a los talleres de expertos en ISRA</w:t>
      </w:r>
      <w:r w:rsidR="00ED3CA2" w:rsidRPr="00F16424">
        <w:rPr>
          <w:rFonts w:cs="Arial"/>
          <w:i/>
          <w:iCs/>
          <w:sz w:val="20"/>
          <w:szCs w:val="20"/>
          <w:lang w:val="es-ES"/>
        </w:rPr>
        <w:t>.</w:t>
      </w:r>
    </w:p>
    <w:p w14:paraId="71F77477" w14:textId="5486C200" w:rsidR="00ED3CA2" w:rsidRPr="00F16424" w:rsidRDefault="00ED3CA2" w:rsidP="0020300C">
      <w:pPr>
        <w:widowControl w:val="0"/>
        <w:autoSpaceDE w:val="0"/>
        <w:autoSpaceDN w:val="0"/>
        <w:adjustRightInd w:val="0"/>
        <w:spacing w:after="0" w:line="240" w:lineRule="auto"/>
        <w:ind w:left="709"/>
        <w:jc w:val="both"/>
        <w:rPr>
          <w:rFonts w:cs="Arial"/>
          <w:i/>
          <w:iCs/>
          <w:sz w:val="20"/>
          <w:szCs w:val="20"/>
          <w:lang w:val="es-ES"/>
        </w:rPr>
      </w:pPr>
    </w:p>
    <w:p w14:paraId="3D3BF443" w14:textId="37379269" w:rsidR="00ED3CA2" w:rsidRPr="00140982" w:rsidRDefault="00ED3CA2" w:rsidP="0020300C">
      <w:pPr>
        <w:widowControl w:val="0"/>
        <w:autoSpaceDE w:val="0"/>
        <w:autoSpaceDN w:val="0"/>
        <w:adjustRightInd w:val="0"/>
        <w:spacing w:after="0" w:line="240" w:lineRule="auto"/>
        <w:ind w:left="720"/>
        <w:jc w:val="both"/>
        <w:rPr>
          <w:rFonts w:cs="Arial"/>
          <w:b/>
          <w:bCs/>
          <w:i/>
          <w:iCs/>
          <w:sz w:val="20"/>
          <w:szCs w:val="20"/>
          <w:lang w:val="es-ES"/>
        </w:rPr>
      </w:pPr>
      <w:r w:rsidRPr="00140982">
        <w:rPr>
          <w:rFonts w:cs="Arial"/>
          <w:b/>
          <w:bCs/>
          <w:i/>
          <w:iCs/>
          <w:sz w:val="20"/>
          <w:szCs w:val="20"/>
          <w:lang w:val="es-ES"/>
        </w:rPr>
        <w:t xml:space="preserve">14.64 </w:t>
      </w:r>
      <w:r w:rsidR="00A569C9" w:rsidRPr="00140982">
        <w:rPr>
          <w:rFonts w:cs="Arial"/>
          <w:b/>
          <w:bCs/>
          <w:i/>
          <w:iCs/>
          <w:sz w:val="20"/>
          <w:szCs w:val="20"/>
          <w:lang w:val="es-ES"/>
        </w:rPr>
        <w:t>dirigida a la Secretaría</w:t>
      </w:r>
      <w:r w:rsidRPr="00140982">
        <w:rPr>
          <w:rFonts w:cs="Arial"/>
          <w:b/>
          <w:bCs/>
          <w:i/>
          <w:iCs/>
          <w:sz w:val="20"/>
          <w:szCs w:val="20"/>
          <w:lang w:val="es-ES"/>
        </w:rPr>
        <w:t xml:space="preserve"> </w:t>
      </w:r>
    </w:p>
    <w:p w14:paraId="40169212" w14:textId="77777777" w:rsidR="00ED3CA2" w:rsidRPr="00140982" w:rsidRDefault="00ED3CA2" w:rsidP="0020300C">
      <w:pPr>
        <w:widowControl w:val="0"/>
        <w:autoSpaceDE w:val="0"/>
        <w:autoSpaceDN w:val="0"/>
        <w:adjustRightInd w:val="0"/>
        <w:spacing w:after="0" w:line="240" w:lineRule="auto"/>
        <w:ind w:left="720"/>
        <w:jc w:val="both"/>
        <w:rPr>
          <w:rFonts w:cs="Arial"/>
          <w:i/>
          <w:iCs/>
          <w:sz w:val="20"/>
          <w:szCs w:val="20"/>
          <w:lang w:val="es-ES"/>
        </w:rPr>
      </w:pPr>
    </w:p>
    <w:p w14:paraId="63718B7D" w14:textId="77777777" w:rsidR="00E55553" w:rsidRPr="00140982" w:rsidRDefault="00E55553" w:rsidP="0020300C">
      <w:pPr>
        <w:pStyle w:val="ListParagraph"/>
        <w:widowControl w:val="0"/>
        <w:autoSpaceDE w:val="0"/>
        <w:autoSpaceDN w:val="0"/>
        <w:adjustRightInd w:val="0"/>
        <w:spacing w:after="0" w:line="240" w:lineRule="auto"/>
        <w:jc w:val="both"/>
        <w:rPr>
          <w:rFonts w:cs="Arial"/>
          <w:i/>
          <w:iCs/>
          <w:sz w:val="20"/>
          <w:szCs w:val="20"/>
          <w:lang w:val="es-ES"/>
        </w:rPr>
      </w:pPr>
      <w:r w:rsidRPr="00140982">
        <w:rPr>
          <w:rFonts w:cs="Arial"/>
          <w:i/>
          <w:iCs/>
          <w:sz w:val="20"/>
          <w:szCs w:val="20"/>
          <w:lang w:val="es-ES"/>
        </w:rPr>
        <w:t>La Secretaría deberá:</w:t>
      </w:r>
    </w:p>
    <w:p w14:paraId="16011A8C" w14:textId="77777777" w:rsidR="00E55553" w:rsidRPr="00140982" w:rsidRDefault="00E55553" w:rsidP="0020300C">
      <w:pPr>
        <w:pStyle w:val="ListParagraph"/>
        <w:widowControl w:val="0"/>
        <w:autoSpaceDE w:val="0"/>
        <w:autoSpaceDN w:val="0"/>
        <w:adjustRightInd w:val="0"/>
        <w:spacing w:after="0" w:line="240" w:lineRule="auto"/>
        <w:jc w:val="both"/>
        <w:rPr>
          <w:rFonts w:cs="Arial"/>
          <w:i/>
          <w:iCs/>
          <w:sz w:val="20"/>
          <w:szCs w:val="20"/>
          <w:lang w:val="es-ES"/>
        </w:rPr>
      </w:pPr>
    </w:p>
    <w:p w14:paraId="4364220F" w14:textId="77777777" w:rsidR="00E55553" w:rsidRPr="00E55553" w:rsidRDefault="00E55553" w:rsidP="0020300C">
      <w:pPr>
        <w:pStyle w:val="ListParagraph"/>
        <w:widowControl w:val="0"/>
        <w:numPr>
          <w:ilvl w:val="0"/>
          <w:numId w:val="18"/>
        </w:numPr>
        <w:autoSpaceDE w:val="0"/>
        <w:autoSpaceDN w:val="0"/>
        <w:adjustRightInd w:val="0"/>
        <w:spacing w:after="80" w:line="240" w:lineRule="auto"/>
        <w:ind w:left="1080"/>
        <w:contextualSpacing w:val="0"/>
        <w:jc w:val="both"/>
        <w:rPr>
          <w:rFonts w:cs="Arial"/>
          <w:i/>
          <w:iCs/>
          <w:sz w:val="20"/>
          <w:szCs w:val="20"/>
          <w:lang w:val="es-ES"/>
        </w:rPr>
      </w:pPr>
      <w:r w:rsidRPr="00E55553">
        <w:rPr>
          <w:rFonts w:cs="Arial"/>
          <w:i/>
          <w:iCs/>
          <w:sz w:val="20"/>
          <w:szCs w:val="20"/>
          <w:lang w:val="es-ES"/>
        </w:rPr>
        <w:t>seguir en contacto con el Grupo de Especialistas en Tiburones de la CSE de la UICN para promover el valor de las ISRA para la conservación de los tiburones y rayas incluidos en las listas de la CMS;</w:t>
      </w:r>
    </w:p>
    <w:p w14:paraId="61CEF1E1" w14:textId="77777777" w:rsidR="00E55553" w:rsidRPr="00E55553" w:rsidRDefault="00E55553" w:rsidP="0020300C">
      <w:pPr>
        <w:pStyle w:val="ListParagraph"/>
        <w:widowControl w:val="0"/>
        <w:numPr>
          <w:ilvl w:val="0"/>
          <w:numId w:val="18"/>
        </w:numPr>
        <w:autoSpaceDE w:val="0"/>
        <w:autoSpaceDN w:val="0"/>
        <w:adjustRightInd w:val="0"/>
        <w:spacing w:after="80" w:line="240" w:lineRule="auto"/>
        <w:ind w:left="1080"/>
        <w:contextualSpacing w:val="0"/>
        <w:jc w:val="both"/>
        <w:rPr>
          <w:rFonts w:cs="Arial"/>
          <w:i/>
          <w:iCs/>
          <w:sz w:val="20"/>
          <w:szCs w:val="20"/>
          <w:lang w:val="es-ES"/>
        </w:rPr>
      </w:pPr>
      <w:r w:rsidRPr="00E55553">
        <w:rPr>
          <w:rFonts w:cs="Arial"/>
          <w:i/>
          <w:iCs/>
          <w:sz w:val="20"/>
          <w:szCs w:val="20"/>
          <w:lang w:val="es-ES"/>
        </w:rPr>
        <w:t>promover las consultas y la coordinación entre el Grupo de Especialistas en Tiburones de la CSE de la UICN, las Partes, los Estados del área de distribución, las organizaciones internacionales y regionales pertinentes y los órganos consultivos y de gestión de la pesca pertinentes, con miras a apoyar mutuamente el objetivo de la conservación basada en la ciencia y la sostenibilidad de la pesca de tiburones y rayas a partir de un enfoque basado en la ciencia y en el ecosistema;</w:t>
      </w:r>
    </w:p>
    <w:p w14:paraId="4C48A865" w14:textId="77777777" w:rsidR="00E55553" w:rsidRPr="00E55553" w:rsidRDefault="00E55553" w:rsidP="0020300C">
      <w:pPr>
        <w:pStyle w:val="ListParagraph"/>
        <w:widowControl w:val="0"/>
        <w:numPr>
          <w:ilvl w:val="0"/>
          <w:numId w:val="18"/>
        </w:numPr>
        <w:autoSpaceDE w:val="0"/>
        <w:autoSpaceDN w:val="0"/>
        <w:adjustRightInd w:val="0"/>
        <w:spacing w:after="80" w:line="240" w:lineRule="auto"/>
        <w:ind w:left="1080"/>
        <w:contextualSpacing w:val="0"/>
        <w:jc w:val="both"/>
        <w:rPr>
          <w:rFonts w:cs="Arial"/>
          <w:i/>
          <w:iCs/>
          <w:sz w:val="20"/>
          <w:szCs w:val="20"/>
          <w:lang w:val="es-ES"/>
        </w:rPr>
      </w:pPr>
      <w:r w:rsidRPr="00E55553">
        <w:rPr>
          <w:rFonts w:cs="Arial"/>
          <w:i/>
          <w:iCs/>
          <w:sz w:val="20"/>
          <w:szCs w:val="20"/>
          <w:lang w:val="es-ES"/>
        </w:rPr>
        <w:t>informar al Consejo Científico, a las Partes y otros órganos competentes, de las nuevas ISRA identificadas; e</w:t>
      </w:r>
    </w:p>
    <w:p w14:paraId="3901B6AB" w14:textId="7E6B5431" w:rsidR="00ED3CA2" w:rsidRPr="00E55553" w:rsidRDefault="00E55553" w:rsidP="0020300C">
      <w:pPr>
        <w:pStyle w:val="ListParagraph"/>
        <w:widowControl w:val="0"/>
        <w:numPr>
          <w:ilvl w:val="0"/>
          <w:numId w:val="18"/>
        </w:numPr>
        <w:autoSpaceDE w:val="0"/>
        <w:autoSpaceDN w:val="0"/>
        <w:adjustRightInd w:val="0"/>
        <w:spacing w:after="0" w:line="240" w:lineRule="auto"/>
        <w:ind w:left="1080"/>
        <w:contextualSpacing w:val="0"/>
        <w:jc w:val="both"/>
        <w:rPr>
          <w:rFonts w:cs="Arial"/>
          <w:i/>
          <w:iCs/>
          <w:sz w:val="20"/>
          <w:szCs w:val="20"/>
          <w:lang w:val="es-ES"/>
        </w:rPr>
      </w:pPr>
      <w:r w:rsidRPr="00E55553">
        <w:rPr>
          <w:rFonts w:cs="Arial"/>
          <w:i/>
          <w:iCs/>
          <w:sz w:val="20"/>
          <w:szCs w:val="20"/>
          <w:lang w:val="es-ES"/>
        </w:rPr>
        <w:t>informar a la Conferencia de las Partes en su 15.ª Reunión sobre la aplicación de esta Decisión</w:t>
      </w:r>
      <w:r w:rsidR="00ED3CA2" w:rsidRPr="00E55553">
        <w:rPr>
          <w:rFonts w:cs="Arial"/>
          <w:i/>
          <w:iCs/>
          <w:sz w:val="20"/>
          <w:szCs w:val="20"/>
          <w:lang w:val="es-ES"/>
        </w:rPr>
        <w:t>.</w:t>
      </w:r>
    </w:p>
    <w:p w14:paraId="11C991E5" w14:textId="77777777" w:rsidR="00ED3CA2" w:rsidRPr="00E55553" w:rsidRDefault="00ED3CA2" w:rsidP="0020300C">
      <w:pPr>
        <w:widowControl w:val="0"/>
        <w:autoSpaceDE w:val="0"/>
        <w:autoSpaceDN w:val="0"/>
        <w:adjustRightInd w:val="0"/>
        <w:spacing w:after="0" w:line="240" w:lineRule="auto"/>
        <w:jc w:val="both"/>
        <w:rPr>
          <w:rFonts w:cs="Arial"/>
          <w:lang w:val="es-ES"/>
        </w:rPr>
      </w:pPr>
    </w:p>
    <w:p w14:paraId="4D463403" w14:textId="77777777" w:rsidR="00B26BB8" w:rsidRPr="00461B7C" w:rsidRDefault="00B26BB8" w:rsidP="00B26BB8">
      <w:pPr>
        <w:spacing w:after="0" w:line="240" w:lineRule="auto"/>
        <w:rPr>
          <w:rFonts w:cs="Arial"/>
          <w:u w:val="single"/>
          <w:lang w:val="es-ES"/>
        </w:rPr>
      </w:pPr>
      <w:r w:rsidRPr="00461B7C">
        <w:rPr>
          <w:rFonts w:cs="Arial"/>
          <w:u w:val="single"/>
          <w:lang w:val="es-ES"/>
        </w:rPr>
        <w:t>Actividades en ISRA</w:t>
      </w:r>
    </w:p>
    <w:p w14:paraId="194639FF" w14:textId="77777777" w:rsidR="00B26BB8" w:rsidRPr="00461B7C" w:rsidRDefault="00B26BB8" w:rsidP="00B26BB8">
      <w:pPr>
        <w:widowControl w:val="0"/>
        <w:autoSpaceDE w:val="0"/>
        <w:autoSpaceDN w:val="0"/>
        <w:adjustRightInd w:val="0"/>
        <w:spacing w:after="0" w:line="240" w:lineRule="auto"/>
        <w:ind w:left="567"/>
        <w:jc w:val="both"/>
        <w:rPr>
          <w:rFonts w:cs="Arial"/>
          <w:lang w:val="es-ES"/>
        </w:rPr>
      </w:pPr>
    </w:p>
    <w:p w14:paraId="362BBC7C"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eastAsia="Inter Tight" w:cs="Arial"/>
          <w:lang w:val="es-ES"/>
        </w:rPr>
        <w:t>En total se han identificado 686 ISRA hasta el momento que cubren 327 especies de tiburones, lo que representa cerca del 25 % de todas las especies conocidas. Todas excepto dos de las especies de tiburones y rayas enumeradas en la CMS se han incluido como «especies elegibles» en las ISRA delimitadas. Esto significa que, para la amplia mayoría de especies de la CMS, se ha identificado un hábitat crítico en al menos una parte de su rango geográfico, excepto el tiburón marrajo carite (</w:t>
      </w:r>
      <w:r w:rsidRPr="00461B7C">
        <w:rPr>
          <w:i/>
          <w:lang w:val="es-ES"/>
        </w:rPr>
        <w:t>Isurus paucus</w:t>
      </w:r>
      <w:r w:rsidRPr="00461B7C">
        <w:rPr>
          <w:rFonts w:eastAsia="Inter Tight" w:cs="Arial"/>
          <w:lang w:val="es-ES"/>
        </w:rPr>
        <w:t>) y el pez sierra (</w:t>
      </w:r>
      <w:r w:rsidRPr="00461B7C">
        <w:rPr>
          <w:i/>
          <w:lang w:val="es-ES"/>
        </w:rPr>
        <w:t>Pristis pectinata</w:t>
      </w:r>
      <w:r w:rsidRPr="00461B7C">
        <w:rPr>
          <w:rFonts w:eastAsia="Inter Tight" w:cs="Arial"/>
          <w:lang w:val="es-ES"/>
        </w:rPr>
        <w:t xml:space="preserve">). Aunque será complicado identificar áreas del hábitat crítico para el marrajo carite debido a la falta de datos disponibles, se prevé una cantidad considerable de propuestas para las ISRA centradas en el pez sierra cuando el proyecto evalúe la región de Norteamérica y el Atlántico Caribe. </w:t>
      </w:r>
    </w:p>
    <w:p w14:paraId="46EABA83" w14:textId="77777777" w:rsidR="00B26BB8" w:rsidRPr="00461B7C" w:rsidRDefault="00B26BB8" w:rsidP="00B26BB8">
      <w:pPr>
        <w:pStyle w:val="ListParagraph"/>
        <w:widowControl w:val="0"/>
        <w:autoSpaceDE w:val="0"/>
        <w:autoSpaceDN w:val="0"/>
        <w:adjustRightInd w:val="0"/>
        <w:spacing w:after="0" w:line="240" w:lineRule="auto"/>
        <w:ind w:left="567"/>
        <w:contextualSpacing w:val="0"/>
        <w:jc w:val="both"/>
        <w:rPr>
          <w:rFonts w:cs="Arial"/>
          <w:highlight w:val="yellow"/>
          <w:lang w:val="es-ES"/>
        </w:rPr>
      </w:pPr>
    </w:p>
    <w:p w14:paraId="360208C9"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La delimitación de las ISRA se ha realizado para las siguientes regiones, que cubren el 80 % de las aguas globales</w:t>
      </w:r>
      <w:r w:rsidRPr="005859DE">
        <w:rPr>
          <w:rStyle w:val="FootnoteReference"/>
          <w:rFonts w:cs="Arial"/>
          <w:vertAlign w:val="superscript"/>
          <w:lang w:val="es-ES"/>
        </w:rPr>
        <w:footnoteReference w:id="2"/>
      </w:r>
      <w:r w:rsidRPr="00461B7C">
        <w:rPr>
          <w:rFonts w:cs="Arial"/>
          <w:lang w:val="es-ES"/>
        </w:rPr>
        <w:t xml:space="preserve">: </w:t>
      </w:r>
    </w:p>
    <w:p w14:paraId="0717CEA8" w14:textId="77777777" w:rsidR="00B26BB8" w:rsidRPr="00461B7C" w:rsidRDefault="00B26BB8" w:rsidP="005E606D">
      <w:pPr>
        <w:widowControl w:val="0"/>
        <w:numPr>
          <w:ilvl w:val="0"/>
          <w:numId w:val="22"/>
        </w:numPr>
        <w:autoSpaceDE w:val="0"/>
        <w:autoSpaceDN w:val="0"/>
        <w:adjustRightInd w:val="0"/>
        <w:spacing w:after="80" w:line="240" w:lineRule="auto"/>
        <w:ind w:left="922"/>
        <w:jc w:val="both"/>
        <w:rPr>
          <w:rFonts w:cs="Arial"/>
          <w:lang w:val="es-ES"/>
        </w:rPr>
      </w:pPr>
      <w:r w:rsidRPr="00461B7C">
        <w:rPr>
          <w:rFonts w:cs="Arial"/>
          <w:lang w:val="es-ES"/>
        </w:rPr>
        <w:t>Atlántico de Sudamérica y aguas continentales de Sudamérica</w:t>
      </w:r>
    </w:p>
    <w:p w14:paraId="375FA905" w14:textId="77777777" w:rsidR="00B26BB8" w:rsidRPr="00461B7C" w:rsidRDefault="00B26BB8" w:rsidP="005E606D">
      <w:pPr>
        <w:widowControl w:val="0"/>
        <w:numPr>
          <w:ilvl w:val="0"/>
          <w:numId w:val="22"/>
        </w:numPr>
        <w:autoSpaceDE w:val="0"/>
        <w:autoSpaceDN w:val="0"/>
        <w:adjustRightInd w:val="0"/>
        <w:spacing w:after="80" w:line="240" w:lineRule="auto"/>
        <w:ind w:left="922"/>
        <w:jc w:val="both"/>
        <w:rPr>
          <w:rFonts w:cs="Arial"/>
          <w:lang w:val="es-ES"/>
        </w:rPr>
      </w:pPr>
      <w:r w:rsidRPr="00461B7C">
        <w:rPr>
          <w:rFonts w:cs="Arial"/>
          <w:lang w:val="es-ES"/>
        </w:rPr>
        <w:t>Nueva Zelanda e Islas del Pacífico</w:t>
      </w:r>
    </w:p>
    <w:p w14:paraId="6BE4022D" w14:textId="77777777" w:rsidR="00B26BB8" w:rsidRPr="00461B7C" w:rsidRDefault="00B26BB8" w:rsidP="005E606D">
      <w:pPr>
        <w:widowControl w:val="0"/>
        <w:numPr>
          <w:ilvl w:val="0"/>
          <w:numId w:val="22"/>
        </w:numPr>
        <w:autoSpaceDE w:val="0"/>
        <w:autoSpaceDN w:val="0"/>
        <w:adjustRightInd w:val="0"/>
        <w:spacing w:after="80" w:line="240" w:lineRule="auto"/>
        <w:ind w:left="922"/>
        <w:jc w:val="both"/>
        <w:rPr>
          <w:rFonts w:cs="Arial"/>
          <w:lang w:val="es-ES"/>
        </w:rPr>
      </w:pPr>
      <w:r w:rsidRPr="00461B7C">
        <w:rPr>
          <w:rFonts w:cs="Arial"/>
          <w:lang w:val="es-ES"/>
        </w:rPr>
        <w:t>Aguas polares</w:t>
      </w:r>
    </w:p>
    <w:p w14:paraId="25345EA0" w14:textId="77777777" w:rsidR="00B26BB8" w:rsidRPr="00461B7C" w:rsidRDefault="00B26BB8" w:rsidP="005E606D">
      <w:pPr>
        <w:widowControl w:val="0"/>
        <w:numPr>
          <w:ilvl w:val="0"/>
          <w:numId w:val="22"/>
        </w:numPr>
        <w:autoSpaceDE w:val="0"/>
        <w:autoSpaceDN w:val="0"/>
        <w:adjustRightInd w:val="0"/>
        <w:spacing w:after="80" w:line="240" w:lineRule="auto"/>
        <w:ind w:left="922"/>
        <w:jc w:val="both"/>
        <w:rPr>
          <w:rFonts w:cs="Arial"/>
          <w:lang w:val="es-ES"/>
        </w:rPr>
      </w:pPr>
      <w:r w:rsidRPr="00461B7C">
        <w:rPr>
          <w:rFonts w:cs="Arial"/>
          <w:lang w:val="es-ES"/>
        </w:rPr>
        <w:t>Asia</w:t>
      </w:r>
    </w:p>
    <w:p w14:paraId="651EF7B7" w14:textId="77777777" w:rsidR="00B26BB8" w:rsidRPr="00461B7C" w:rsidRDefault="00B26BB8" w:rsidP="005E606D">
      <w:pPr>
        <w:widowControl w:val="0"/>
        <w:numPr>
          <w:ilvl w:val="0"/>
          <w:numId w:val="22"/>
        </w:numPr>
        <w:autoSpaceDE w:val="0"/>
        <w:autoSpaceDN w:val="0"/>
        <w:adjustRightInd w:val="0"/>
        <w:spacing w:after="80" w:line="240" w:lineRule="auto"/>
        <w:ind w:left="922"/>
        <w:jc w:val="both"/>
        <w:rPr>
          <w:rFonts w:cs="Arial"/>
          <w:lang w:val="es-ES"/>
        </w:rPr>
      </w:pPr>
      <w:r w:rsidRPr="00461B7C">
        <w:rPr>
          <w:rFonts w:cs="Arial"/>
          <w:lang w:val="es-ES"/>
        </w:rPr>
        <w:t>Océano Índico Occidental</w:t>
      </w:r>
    </w:p>
    <w:p w14:paraId="70120E48" w14:textId="77777777" w:rsidR="00B26BB8" w:rsidRPr="00461B7C" w:rsidRDefault="00B26BB8" w:rsidP="005E606D">
      <w:pPr>
        <w:widowControl w:val="0"/>
        <w:numPr>
          <w:ilvl w:val="0"/>
          <w:numId w:val="22"/>
        </w:numPr>
        <w:autoSpaceDE w:val="0"/>
        <w:autoSpaceDN w:val="0"/>
        <w:adjustRightInd w:val="0"/>
        <w:spacing w:after="80" w:line="240" w:lineRule="auto"/>
        <w:ind w:left="922"/>
        <w:jc w:val="both"/>
        <w:rPr>
          <w:rFonts w:cs="Arial"/>
          <w:lang w:val="es-ES"/>
        </w:rPr>
      </w:pPr>
      <w:r w:rsidRPr="00461B7C">
        <w:rPr>
          <w:rFonts w:cs="Arial"/>
          <w:lang w:val="es-ES"/>
        </w:rPr>
        <w:t>Mar Mediterráneo y Mar Negro</w:t>
      </w:r>
    </w:p>
    <w:p w14:paraId="7FBAC215" w14:textId="77777777" w:rsidR="00B26BB8" w:rsidRPr="00461B7C" w:rsidRDefault="00B26BB8" w:rsidP="00B26BB8">
      <w:pPr>
        <w:widowControl w:val="0"/>
        <w:numPr>
          <w:ilvl w:val="0"/>
          <w:numId w:val="22"/>
        </w:numPr>
        <w:autoSpaceDE w:val="0"/>
        <w:autoSpaceDN w:val="0"/>
        <w:adjustRightInd w:val="0"/>
        <w:spacing w:after="0" w:line="240" w:lineRule="auto"/>
        <w:jc w:val="both"/>
        <w:rPr>
          <w:rFonts w:cs="Arial"/>
          <w:lang w:val="es-ES"/>
        </w:rPr>
      </w:pPr>
      <w:r w:rsidRPr="00461B7C">
        <w:rPr>
          <w:rFonts w:cs="Arial"/>
          <w:lang w:val="es-ES"/>
        </w:rPr>
        <w:t>Pacífico Central y de Sudamérica</w:t>
      </w:r>
    </w:p>
    <w:p w14:paraId="3AB4AF6B" w14:textId="77777777" w:rsidR="00B26BB8" w:rsidRDefault="00B26BB8" w:rsidP="00B26BB8">
      <w:pPr>
        <w:widowControl w:val="0"/>
        <w:autoSpaceDE w:val="0"/>
        <w:autoSpaceDN w:val="0"/>
        <w:adjustRightInd w:val="0"/>
        <w:spacing w:after="0" w:line="240" w:lineRule="auto"/>
        <w:ind w:left="927"/>
        <w:jc w:val="both"/>
        <w:rPr>
          <w:rFonts w:cs="Arial"/>
          <w:lang w:val="es-ES"/>
        </w:rPr>
      </w:pPr>
    </w:p>
    <w:p w14:paraId="320C59B3" w14:textId="77777777" w:rsidR="005E606D" w:rsidRDefault="005E606D" w:rsidP="00B26BB8">
      <w:pPr>
        <w:widowControl w:val="0"/>
        <w:autoSpaceDE w:val="0"/>
        <w:autoSpaceDN w:val="0"/>
        <w:adjustRightInd w:val="0"/>
        <w:spacing w:after="0" w:line="240" w:lineRule="auto"/>
        <w:ind w:left="927"/>
        <w:jc w:val="both"/>
        <w:rPr>
          <w:rFonts w:cs="Arial"/>
          <w:lang w:val="es-ES"/>
        </w:rPr>
      </w:pPr>
    </w:p>
    <w:p w14:paraId="2CDFA651" w14:textId="77777777" w:rsidR="005E606D" w:rsidRPr="00461B7C" w:rsidRDefault="005E606D" w:rsidP="00B26BB8">
      <w:pPr>
        <w:widowControl w:val="0"/>
        <w:autoSpaceDE w:val="0"/>
        <w:autoSpaceDN w:val="0"/>
        <w:adjustRightInd w:val="0"/>
        <w:spacing w:after="0" w:line="240" w:lineRule="auto"/>
        <w:ind w:left="927"/>
        <w:jc w:val="both"/>
        <w:rPr>
          <w:rFonts w:cs="Arial"/>
          <w:lang w:val="es-ES"/>
        </w:rPr>
      </w:pPr>
    </w:p>
    <w:p w14:paraId="40BA653A" w14:textId="397A1E53" w:rsidR="00B26BB8" w:rsidRPr="00461B7C" w:rsidRDefault="004B674A" w:rsidP="00B26BB8">
      <w:pPr>
        <w:pStyle w:val="ListParagraph"/>
        <w:widowControl w:val="0"/>
        <w:numPr>
          <w:ilvl w:val="0"/>
          <w:numId w:val="14"/>
        </w:numPr>
        <w:autoSpaceDE w:val="0"/>
        <w:autoSpaceDN w:val="0"/>
        <w:adjustRightInd w:val="0"/>
        <w:spacing w:after="0" w:line="240" w:lineRule="auto"/>
        <w:ind w:left="567" w:hanging="567"/>
        <w:contextualSpacing w:val="0"/>
        <w:jc w:val="both"/>
        <w:rPr>
          <w:lang w:val="es-ES"/>
        </w:rPr>
      </w:pPr>
      <w:hyperlink r:id="rId16" w:history="1">
        <w:r w:rsidRPr="0027547F">
          <w:rPr>
            <w:rStyle w:val="Hyperlink"/>
            <w:lang w:val="es-ES"/>
          </w:rPr>
          <w:t>UNEP/CMS/COP15/Inf.25.3.1b</w:t>
        </w:r>
      </w:hyperlink>
      <w:r w:rsidRPr="004B674A">
        <w:rPr>
          <w:lang w:val="es-ES"/>
        </w:rPr>
        <w:t xml:space="preserve"> </w:t>
      </w:r>
      <w:r w:rsidR="00B26BB8" w:rsidRPr="00461B7C">
        <w:rPr>
          <w:lang w:val="es-ES"/>
        </w:rPr>
        <w:t xml:space="preserve">proporciona una panorámica de las ISRA identificadas para tiburones y rayas enumerados en la CMS y el Memorando de Entendimiento sobre la Conservación de Tiburones Migratorios (MdE sobre tiburones), donde se destacan las áreas principales que desempeñan un papel fundamental en su historia de vida. Identifica las regiones y zonas prioritarias en las que la protección y la gestión pueden facilitar la recuperación, la resiliencia y la conectividad ecológica para estas especies migratorias vulnerables. Puede consultar un mapa interactivo de todas las ISRA identificadas actualmente en el </w:t>
      </w:r>
      <w:hyperlink r:id="rId17" w:history="1">
        <w:r w:rsidR="00B26BB8" w:rsidRPr="00461B7C">
          <w:rPr>
            <w:rStyle w:val="Hyperlink"/>
            <w:lang w:val="es-ES"/>
          </w:rPr>
          <w:t>Atlas de ISRA</w:t>
        </w:r>
      </w:hyperlink>
      <w:r w:rsidR="00B26BB8" w:rsidRPr="00461B7C">
        <w:rPr>
          <w:lang w:val="es-ES"/>
        </w:rPr>
        <w:t xml:space="preserve"> en línea, gestionado por el Grupo Especializado de Tiburones de la CSE de la UICN. </w:t>
      </w:r>
    </w:p>
    <w:p w14:paraId="49CA353E" w14:textId="77777777" w:rsidR="00B26BB8" w:rsidRPr="00461B7C" w:rsidRDefault="00B26BB8" w:rsidP="00B26BB8">
      <w:pPr>
        <w:widowControl w:val="0"/>
        <w:autoSpaceDE w:val="0"/>
        <w:autoSpaceDN w:val="0"/>
        <w:adjustRightInd w:val="0"/>
        <w:spacing w:after="0" w:line="240" w:lineRule="auto"/>
        <w:ind w:left="567"/>
        <w:jc w:val="both"/>
        <w:rPr>
          <w:rFonts w:cs="Arial"/>
          <w:lang w:val="es-ES"/>
        </w:rPr>
      </w:pPr>
    </w:p>
    <w:p w14:paraId="6D6956D3" w14:textId="79B1DF94" w:rsidR="00B26BB8"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 xml:space="preserve">En línea con la Decisión 14.64 (c), la Secretaría informó a las Partes y al Consejo Científico de las nuevas ISRA identificadas por medio de la </w:t>
      </w:r>
      <w:hyperlink r:id="rId18" w:history="1">
        <w:r w:rsidRPr="00461B7C">
          <w:rPr>
            <w:rStyle w:val="Hyperlink"/>
            <w:rFonts w:cs="Arial"/>
            <w:lang w:val="es-ES"/>
          </w:rPr>
          <w:t>Notificación 2024/011</w:t>
        </w:r>
      </w:hyperlink>
      <w:r w:rsidRPr="00461B7C">
        <w:rPr>
          <w:rFonts w:cs="Arial"/>
          <w:lang w:val="es-ES"/>
        </w:rPr>
        <w:t xml:space="preserve"> </w:t>
      </w:r>
      <w:r w:rsidRPr="00461B7C">
        <w:rPr>
          <w:rFonts w:cs="Arial"/>
          <w:i/>
          <w:iCs/>
          <w:lang w:val="es-ES"/>
        </w:rPr>
        <w:t>Áreas importantes para tiburones y rayas</w:t>
      </w:r>
      <w:r w:rsidRPr="00461B7C">
        <w:rPr>
          <w:rFonts w:cs="Arial"/>
          <w:lang w:val="es-ES"/>
        </w:rPr>
        <w:t xml:space="preserve">, en la que se informaba a las Partes de la delimitación de 122 ISRA, cuatro ISRA candidatas y 45 áreas de interés en la región asiática. Una </w:t>
      </w:r>
      <w:hyperlink r:id="rId19" w:history="1">
        <w:r w:rsidRPr="000C6A5F">
          <w:rPr>
            <w:rStyle w:val="Hyperlink"/>
            <w:rFonts w:cs="Arial"/>
            <w:lang w:val="es-ES"/>
          </w:rPr>
          <w:t>Notificación 2025/003</w:t>
        </w:r>
      </w:hyperlink>
      <w:r w:rsidRPr="00461B7C">
        <w:rPr>
          <w:rFonts w:cs="Arial"/>
          <w:lang w:val="es-ES"/>
        </w:rPr>
        <w:t xml:space="preserve"> de seguimiento facilitaba actualizaciones adicionales sobre la inclusión de las ISRA identificadas en Nueva Zelanda, las Islas del Pacífico y las Aguas polares en el Atlas global de ISRA.</w:t>
      </w:r>
    </w:p>
    <w:p w14:paraId="1385FEC7" w14:textId="77777777" w:rsidR="00FB3698" w:rsidRPr="00461B7C" w:rsidRDefault="00FB3698" w:rsidP="00FB3698">
      <w:pPr>
        <w:widowControl w:val="0"/>
        <w:autoSpaceDE w:val="0"/>
        <w:autoSpaceDN w:val="0"/>
        <w:adjustRightInd w:val="0"/>
        <w:spacing w:after="0" w:line="240" w:lineRule="auto"/>
        <w:ind w:left="567"/>
        <w:jc w:val="both"/>
        <w:rPr>
          <w:rFonts w:cs="Arial"/>
          <w:lang w:val="es-ES"/>
        </w:rPr>
      </w:pPr>
    </w:p>
    <w:p w14:paraId="7D34CB8B"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lang w:val="es-ES"/>
        </w:rPr>
        <w:t>En línea con las Decisiones de la CMS 14.63 y 14.64 (a) y (b), la Secretaría y el Consejo, representados por el Consejero designado por la COP para peces marinos, trabajan continuamente con el Grupo Especializado de Tiburones de la CSE de la UICN para ayudar a identificar las ISRA y promocionar su valor para la conservación de tiburones y rayas incluidos en la CMS. La Secretaría ha respaldado la participación de expertos del Comité Asesor del MdE sobre Tiburones en varios talleres regionales sobre ISRA. La 4</w:t>
      </w:r>
      <w:r w:rsidRPr="00461B7C">
        <w:rPr>
          <w:rFonts w:cs="Arial"/>
          <w:lang w:val="es-ES"/>
        </w:rPr>
        <w:t>ª</w:t>
      </w:r>
      <w:r w:rsidRPr="00461B7C">
        <w:rPr>
          <w:lang w:val="es-ES"/>
        </w:rPr>
        <w:t xml:space="preserve"> reunión del Comité Asesor del MdE sobre Tiburones (Tiburones AC4), celebrada en noviembre de 2024 en Puerto Princesa, Islas Filipinas, incluyó un enfoque importante en el progreso de la iniciativa de las ISRA. El Comité Asesor alentó la colaboración continuada entre la Secretaría, el Grupo Especializado de Tiburones de la CSE de la UICN, y las Partes del MdE sobre Tiburones a promocionar y aplicar las ISRA, especialmente en regiones con pocos datos y ecológicamente sensibles. </w:t>
      </w:r>
    </w:p>
    <w:p w14:paraId="6D718D1A" w14:textId="77777777" w:rsidR="00B26BB8" w:rsidRPr="00461B7C" w:rsidRDefault="00B26BB8" w:rsidP="00B26BB8">
      <w:pPr>
        <w:widowControl w:val="0"/>
        <w:autoSpaceDE w:val="0"/>
        <w:autoSpaceDN w:val="0"/>
        <w:adjustRightInd w:val="0"/>
        <w:spacing w:after="0" w:line="240" w:lineRule="auto"/>
        <w:jc w:val="both"/>
        <w:rPr>
          <w:rFonts w:cs="Arial"/>
          <w:lang w:val="es-ES"/>
        </w:rPr>
      </w:pPr>
    </w:p>
    <w:p w14:paraId="383F1728" w14:textId="19005651" w:rsidR="00B26BB8" w:rsidRPr="00461B7C" w:rsidRDefault="00B26BB8" w:rsidP="00B26BB8">
      <w:pPr>
        <w:widowControl w:val="0"/>
        <w:numPr>
          <w:ilvl w:val="0"/>
          <w:numId w:val="14"/>
        </w:numPr>
        <w:spacing w:after="0" w:line="240" w:lineRule="auto"/>
        <w:ind w:left="567" w:hanging="567"/>
        <w:jc w:val="both"/>
        <w:rPr>
          <w:rFonts w:cs="Arial"/>
          <w:lang w:val="es-ES"/>
        </w:rPr>
      </w:pPr>
      <w:r w:rsidRPr="00461B7C">
        <w:rPr>
          <w:rFonts w:cs="Arial"/>
          <w:lang w:val="es-ES"/>
        </w:rPr>
        <w:t xml:space="preserve">Para evaluar y mejorar la cobertura de las Áreas importantes delimitadas para angelotes en el Mediterráneo por las Zonas marinas protegidas, la Secretaría, junto con el «Angel Shark Project» (Proyecto para el angelote), desarrolló las </w:t>
      </w:r>
      <w:r w:rsidRPr="00461B7C">
        <w:rPr>
          <w:rFonts w:cs="Arial"/>
          <w:i/>
          <w:iCs/>
          <w:lang w:val="es-ES"/>
        </w:rPr>
        <w:t>Orientaciones para la Gestión Espacial de Angelotes en el Mediterráneo</w:t>
      </w:r>
      <w:r w:rsidRPr="00461B7C">
        <w:rPr>
          <w:rFonts w:cs="Arial"/>
          <w:lang w:val="es-ES"/>
        </w:rPr>
        <w:t xml:space="preserve"> (</w:t>
      </w:r>
      <w:hyperlink r:id="rId20" w:history="1">
        <w:r w:rsidR="00283E80" w:rsidRPr="00283E80">
          <w:rPr>
            <w:rStyle w:val="Hyperlink"/>
            <w:rFonts w:cs="Arial"/>
            <w:lang w:val="es-ES"/>
          </w:rPr>
          <w:t>UNEP/CMS/COP15/Inf.25.6.3f</w:t>
        </w:r>
      </w:hyperlink>
      <w:r w:rsidRPr="00461B7C">
        <w:rPr>
          <w:rFonts w:cs="Arial"/>
          <w:lang w:val="es-ES"/>
        </w:rPr>
        <w:t>) como parte de la implementación del Plan de acción de especie única para el angelote en el Mar Mediterráneo (SSAP para el angelote).</w:t>
      </w:r>
      <w:r w:rsidRPr="00461B7C">
        <w:rPr>
          <w:rFonts w:cs="Arial"/>
          <w:i/>
          <w:iCs/>
          <w:lang w:val="es-ES"/>
        </w:rPr>
        <w:t xml:space="preserve"> </w:t>
      </w:r>
      <w:r w:rsidRPr="00461B7C">
        <w:rPr>
          <w:rFonts w:cs="Arial"/>
          <w:lang w:val="es-ES"/>
        </w:rPr>
        <w:t xml:space="preserve">Este documento, así como otras medidas de conservación espaciales para el SSAP para el angelote, están incluidos en el documento </w:t>
      </w:r>
      <w:hyperlink r:id="rId21" w:history="1">
        <w:r w:rsidR="007D6958" w:rsidRPr="007D6958">
          <w:rPr>
            <w:rStyle w:val="Hyperlink"/>
            <w:rFonts w:cs="Arial"/>
            <w:lang w:val="es-ES"/>
          </w:rPr>
          <w:t xml:space="preserve">UNEP/CMS/COP15/Doc.25.6.3 </w:t>
        </w:r>
      </w:hyperlink>
      <w:r w:rsidRPr="00461B7C">
        <w:rPr>
          <w:rFonts w:cs="Arial"/>
          <w:lang w:val="es-ES"/>
        </w:rPr>
        <w:t xml:space="preserve"> </w:t>
      </w:r>
      <w:r w:rsidRPr="00461B7C">
        <w:rPr>
          <w:rFonts w:cs="Arial"/>
          <w:i/>
          <w:iCs/>
          <w:lang w:val="es-ES"/>
        </w:rPr>
        <w:t xml:space="preserve">Tiburones y rayas, </w:t>
      </w:r>
      <w:r w:rsidRPr="00461B7C">
        <w:rPr>
          <w:rFonts w:cs="Arial"/>
          <w:lang w:val="es-ES"/>
        </w:rPr>
        <w:t>que también contiene las Decisiones preliminares relacionadas</w:t>
      </w:r>
      <w:r w:rsidRPr="00461B7C">
        <w:rPr>
          <w:rFonts w:cs="Arial"/>
          <w:i/>
          <w:iCs/>
          <w:lang w:val="es-ES"/>
        </w:rPr>
        <w:t>.</w:t>
      </w:r>
      <w:r w:rsidRPr="00461B7C">
        <w:rPr>
          <w:rFonts w:cs="Arial"/>
          <w:lang w:val="es-ES"/>
        </w:rPr>
        <w:t xml:space="preserve"> </w:t>
      </w:r>
    </w:p>
    <w:p w14:paraId="676824FB" w14:textId="77777777" w:rsidR="00B26BB8" w:rsidRPr="00461B7C" w:rsidRDefault="00B26BB8" w:rsidP="00B26BB8">
      <w:pPr>
        <w:widowControl w:val="0"/>
        <w:autoSpaceDE w:val="0"/>
        <w:autoSpaceDN w:val="0"/>
        <w:adjustRightInd w:val="0"/>
        <w:spacing w:after="0" w:line="240" w:lineRule="auto"/>
        <w:ind w:left="567"/>
        <w:jc w:val="both"/>
        <w:rPr>
          <w:rFonts w:cs="Arial"/>
          <w:lang w:val="es-ES"/>
        </w:rPr>
      </w:pPr>
    </w:p>
    <w:p w14:paraId="215FAE04" w14:textId="77777777" w:rsidR="00B26BB8" w:rsidRPr="00461B7C" w:rsidRDefault="00B26BB8" w:rsidP="00B26BB8">
      <w:pPr>
        <w:pStyle w:val="ListParagraph"/>
        <w:numPr>
          <w:ilvl w:val="0"/>
          <w:numId w:val="21"/>
        </w:numPr>
        <w:spacing w:after="0" w:line="240" w:lineRule="auto"/>
        <w:ind w:left="567" w:hanging="567"/>
        <w:contextualSpacing w:val="0"/>
        <w:rPr>
          <w:rFonts w:cs="Arial"/>
          <w:u w:val="single"/>
          <w:lang w:val="es-ES"/>
        </w:rPr>
      </w:pPr>
      <w:r w:rsidRPr="00461B7C">
        <w:rPr>
          <w:rFonts w:cs="Arial"/>
          <w:u w:val="single"/>
          <w:lang w:val="es-ES"/>
        </w:rPr>
        <w:t>Áreas importantes para las tortugas marinas (AITM)</w:t>
      </w:r>
    </w:p>
    <w:p w14:paraId="6EA39A74" w14:textId="77777777" w:rsidR="00B26BB8" w:rsidRPr="00461B7C" w:rsidRDefault="00B26BB8" w:rsidP="00B26BB8">
      <w:pPr>
        <w:spacing w:after="0" w:line="240" w:lineRule="auto"/>
        <w:rPr>
          <w:rFonts w:cs="Arial"/>
          <w:lang w:val="es-ES"/>
        </w:rPr>
      </w:pPr>
    </w:p>
    <w:p w14:paraId="15694D87"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Las AITM son regiones que tienen una importancia biológica y cultural especial para las tortugas marinas. El enfoque de las AITM se asemeja a iniciativas similares como las AIMM y las ISRA, y pretende garantizar que las tortugas marinas estén completamente integradas en los marcos globales de conservación, incluyendo la CMS, el CDB y el nuevo Acuerdo BBNJ. El objetivo de las AITM es guiar la conservación y la gestión mediante la identificación de hábitats marinos clave para el mantenimiento y la recuperación de las poblaciones de tortugas marinas.</w:t>
      </w:r>
    </w:p>
    <w:p w14:paraId="03CFF16A" w14:textId="77777777" w:rsidR="00B26BB8" w:rsidRPr="00461B7C" w:rsidRDefault="00B26BB8" w:rsidP="00B26BB8">
      <w:pPr>
        <w:widowControl w:val="0"/>
        <w:autoSpaceDE w:val="0"/>
        <w:autoSpaceDN w:val="0"/>
        <w:adjustRightInd w:val="0"/>
        <w:spacing w:after="0" w:line="240" w:lineRule="auto"/>
        <w:ind w:left="567"/>
        <w:jc w:val="both"/>
        <w:rPr>
          <w:rFonts w:cs="Arial"/>
          <w:lang w:val="es-ES"/>
        </w:rPr>
      </w:pPr>
    </w:p>
    <w:p w14:paraId="5B6D19EA" w14:textId="6246F592"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 xml:space="preserve">Las AITM se basan en criterios a cargo de expertos desarrollados por el Grupo Especializado de Tortugas Marinas (MTSG) de la UICN, después de realizar consultas globales exhaustivas. El proceso se ha diseñado para ser científico, inclusivo y adaptable a nivel regional. Distingue las áreas de importancia biológica o cultural </w:t>
      </w:r>
      <w:r w:rsidRPr="00461B7C">
        <w:rPr>
          <w:rFonts w:cs="Arial"/>
          <w:lang w:val="es-ES"/>
        </w:rPr>
        <w:lastRenderedPageBreak/>
        <w:t xml:space="preserve">aplicando criterios como la importancia de la población, la singularidad o la diversidad. Las </w:t>
      </w:r>
      <w:r w:rsidRPr="00461B7C">
        <w:rPr>
          <w:rFonts w:cs="Arial"/>
          <w:i/>
          <w:iCs/>
          <w:lang w:val="es-ES"/>
        </w:rPr>
        <w:t>Directrices de AITM 1.0</w:t>
      </w:r>
      <w:r w:rsidRPr="00461B7C">
        <w:rPr>
          <w:rFonts w:cs="Arial"/>
          <w:lang w:val="es-ES"/>
        </w:rPr>
        <w:t xml:space="preserve">, presentadas como </w:t>
      </w:r>
      <w:hyperlink r:id="rId22" w:history="1">
        <w:r w:rsidR="00E568EC" w:rsidRPr="00E568EC">
          <w:rPr>
            <w:rStyle w:val="Hyperlink"/>
            <w:rFonts w:cs="Arial"/>
            <w:lang w:val="es-ES"/>
          </w:rPr>
          <w:t>UNEP/CMS/COP15/Inf.25.3.1c</w:t>
        </w:r>
      </w:hyperlink>
      <w:r w:rsidRPr="00461B7C">
        <w:rPr>
          <w:rFonts w:cs="Arial"/>
          <w:lang w:val="es-ES"/>
        </w:rPr>
        <w:t>, describen los criterios y el proceso para identificar las AITM, además de ofrecer un marco uniforme a nivel global y flexible que se basa en la ciencia y en la inclusión de los conocimientos locales e indígenas.</w:t>
      </w:r>
    </w:p>
    <w:p w14:paraId="03881EDF" w14:textId="77777777" w:rsidR="00B26BB8" w:rsidRPr="00461B7C" w:rsidRDefault="00B26BB8" w:rsidP="00B26BB8">
      <w:pPr>
        <w:widowControl w:val="0"/>
        <w:autoSpaceDE w:val="0"/>
        <w:autoSpaceDN w:val="0"/>
        <w:adjustRightInd w:val="0"/>
        <w:spacing w:after="0" w:line="240" w:lineRule="auto"/>
        <w:ind w:left="567"/>
        <w:jc w:val="both"/>
        <w:rPr>
          <w:rFonts w:cs="Arial"/>
          <w:lang w:val="es-ES"/>
        </w:rPr>
      </w:pPr>
    </w:p>
    <w:p w14:paraId="181503F7"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En el Anexo 1, se propone un proyecto de Resolución para que las Partes sigan los criterios y los procesos de las AITM, de la misma forma que las Decisiones de CMS anteriores fomentaron el desarrollo de AIMM e ISRA. Esta ratificación proporcionará el mandato para identificar y proponer AITM por medio de talleres de expertos regionales.</w:t>
      </w:r>
    </w:p>
    <w:p w14:paraId="7945E1FC" w14:textId="77777777" w:rsidR="00B26BB8" w:rsidRPr="00461B7C" w:rsidRDefault="00B26BB8" w:rsidP="00B26BB8">
      <w:pPr>
        <w:widowControl w:val="0"/>
        <w:autoSpaceDE w:val="0"/>
        <w:autoSpaceDN w:val="0"/>
        <w:adjustRightInd w:val="0"/>
        <w:spacing w:after="0" w:line="240" w:lineRule="auto"/>
        <w:ind w:left="567"/>
        <w:jc w:val="both"/>
        <w:rPr>
          <w:rFonts w:cs="Arial"/>
          <w:lang w:val="es-ES"/>
        </w:rPr>
      </w:pPr>
    </w:p>
    <w:p w14:paraId="08FB76CA"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 xml:space="preserve">Hasta la fecha actual, no se han identificado AITM. Para impulsar el proceso, la CMS se ha unido a la asociación </w:t>
      </w:r>
      <w:hyperlink r:id="rId23" w:history="1">
        <w:r w:rsidRPr="00461B7C">
          <w:rPr>
            <w:rStyle w:val="Hyperlink"/>
            <w:rFonts w:cs="Arial"/>
            <w:lang w:val="es-ES"/>
          </w:rPr>
          <w:t>Corredores azules para las tortugas</w:t>
        </w:r>
      </w:hyperlink>
      <w:r w:rsidRPr="00461B7C">
        <w:rPr>
          <w:rFonts w:cs="Arial"/>
          <w:lang w:val="es-ES"/>
        </w:rPr>
        <w:t>. Esta iniciativa, que se puso en marcha en 2025, tiene como objetivo identificar y establecer las AITM mediante la integración de datos genéticos y de movimiento de las siete especies de tortugas marinas. La CMS y sus socios están trabajando para organizar talleres de expertos y análisis de datos espaciales con el fin de apoyar la identificación y priorización de las AITM como base para la conservación transfronteriza y la formulación de políticas.</w:t>
      </w:r>
    </w:p>
    <w:p w14:paraId="3208C8C6" w14:textId="77777777" w:rsidR="00B26BB8" w:rsidRPr="00461B7C" w:rsidRDefault="00B26BB8" w:rsidP="00B26BB8">
      <w:pPr>
        <w:spacing w:after="0" w:line="240" w:lineRule="auto"/>
        <w:rPr>
          <w:rFonts w:cs="Arial"/>
          <w:lang w:val="es-ES"/>
        </w:rPr>
      </w:pPr>
    </w:p>
    <w:p w14:paraId="160B1FE9" w14:textId="77777777" w:rsidR="00B26BB8" w:rsidRPr="00461B7C" w:rsidRDefault="00B26BB8" w:rsidP="00B26BB8">
      <w:pPr>
        <w:pStyle w:val="ListParagraph"/>
        <w:numPr>
          <w:ilvl w:val="0"/>
          <w:numId w:val="21"/>
        </w:numPr>
        <w:spacing w:after="0" w:line="240" w:lineRule="auto"/>
        <w:ind w:left="567" w:hanging="567"/>
        <w:contextualSpacing w:val="0"/>
        <w:jc w:val="both"/>
        <w:rPr>
          <w:rFonts w:cs="Arial"/>
          <w:iCs/>
          <w:u w:val="single"/>
          <w:lang w:val="es-ES"/>
        </w:rPr>
      </w:pPr>
      <w:r w:rsidRPr="00461B7C">
        <w:rPr>
          <w:rFonts w:cs="Arial"/>
          <w:u w:val="single"/>
          <w:lang w:val="es-ES"/>
        </w:rPr>
        <w:t>Acuerdo en el marco de la Convención de las Naciones Unidas sobre el Derecho del Mar relativo a la Conservación y el Uso Sostenible de la Diversidad Biológica Marina de las Zonas Situadas Fuera de la Jurisdicción Nacional (Acuerdo BBNJ)</w:t>
      </w:r>
    </w:p>
    <w:p w14:paraId="43D3E82A" w14:textId="77777777" w:rsidR="00B26BB8" w:rsidRPr="00461B7C" w:rsidRDefault="00B26BB8" w:rsidP="00B26BB8">
      <w:pPr>
        <w:widowControl w:val="0"/>
        <w:autoSpaceDE w:val="0"/>
        <w:autoSpaceDN w:val="0"/>
        <w:adjustRightInd w:val="0"/>
        <w:spacing w:after="0" w:line="240" w:lineRule="auto"/>
        <w:jc w:val="both"/>
        <w:rPr>
          <w:rFonts w:cs="Arial"/>
          <w:iCs/>
          <w:lang w:val="es-ES"/>
        </w:rPr>
      </w:pPr>
    </w:p>
    <w:p w14:paraId="337E67C7"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iCs/>
          <w:lang w:val="es-ES"/>
        </w:rPr>
      </w:pPr>
      <w:r w:rsidRPr="00461B7C">
        <w:rPr>
          <w:rFonts w:cs="Arial"/>
          <w:iCs/>
          <w:lang w:val="es-ES"/>
        </w:rPr>
        <w:t xml:space="preserve">Después de la adopción del Acuerdo BBNJ en 2023, la Secretaría de la CMS ha </w:t>
      </w:r>
      <w:r w:rsidRPr="00461B7C">
        <w:rPr>
          <w:rFonts w:cs="Arial"/>
          <w:lang w:val="es-ES"/>
        </w:rPr>
        <w:t>estado</w:t>
      </w:r>
      <w:r w:rsidRPr="00461B7C">
        <w:rPr>
          <w:rFonts w:cs="Arial"/>
          <w:iCs/>
          <w:lang w:val="es-ES"/>
        </w:rPr>
        <w:t xml:space="preserve"> </w:t>
      </w:r>
      <w:r w:rsidRPr="00461B7C">
        <w:rPr>
          <w:rFonts w:cs="Arial"/>
          <w:lang w:val="es-ES"/>
        </w:rPr>
        <w:t xml:space="preserve">cooperando con la </w:t>
      </w:r>
      <w:r w:rsidRPr="00461B7C">
        <w:rPr>
          <w:rFonts w:cs="Arial"/>
          <w:iCs/>
          <w:lang w:val="es-ES"/>
        </w:rPr>
        <w:t xml:space="preserve">División de Asuntos Oceánicos y del Derecho del Mar (DAODM) y ha participado en las preparaciones para implementar el Acuerdo BBNJ en plena vigencia. La Secretaría ha asistido a todas las reuniones del Grupo de cooperación para los océanos de las NU y estuvo presente en </w:t>
      </w:r>
      <w:hyperlink r:id="rId24" w:history="1">
        <w:r w:rsidRPr="00461B7C">
          <w:rPr>
            <w:rStyle w:val="Hyperlink"/>
            <w:rFonts w:cs="Arial"/>
            <w:iCs/>
            <w:lang w:val="es-ES"/>
          </w:rPr>
          <w:t>PrepCom II</w:t>
        </w:r>
      </w:hyperlink>
      <w:r w:rsidRPr="00461B7C">
        <w:rPr>
          <w:rFonts w:cs="Arial"/>
          <w:iCs/>
          <w:lang w:val="es-ES"/>
        </w:rPr>
        <w:t xml:space="preserve"> (18-29 de agosto de 2025), con las presentaciones relevantes en línea. La Secretaría también ha asistido a la reunión del Grupo de trabajo del PNUMA sobre BBNJ para cooperar con la delegación del PNUMA sobre BBNJ. </w:t>
      </w:r>
      <w:r w:rsidRPr="00461B7C">
        <w:rPr>
          <w:rFonts w:cs="Arial"/>
          <w:lang w:val="es-ES"/>
        </w:rPr>
        <w:t xml:space="preserve">De todos los temas tratados, </w:t>
      </w:r>
      <w:r w:rsidRPr="00461B7C">
        <w:rPr>
          <w:rFonts w:cs="Arial"/>
          <w:iCs/>
          <w:lang w:val="es-ES"/>
        </w:rPr>
        <w:t xml:space="preserve">el elemento del orden del día «iniciativas para mejorar la cooperación con los marcos y los instrumentos legales relevantes, además de los cuerpos sectoriales, subregionales, regionales y globales relevantes», fue el más relevante para la CMS. Para PrepCom II, la Secretaría proporcionó información sobre este aspecto, que se compiló en una nota de la Secretaría de PrepCom con el código </w:t>
      </w:r>
      <w:hyperlink r:id="rId25" w:history="1">
        <w:r w:rsidRPr="00461B7C">
          <w:rPr>
            <w:rStyle w:val="Hyperlink"/>
            <w:rFonts w:cs="Arial"/>
            <w:lang w:val="es-ES"/>
          </w:rPr>
          <w:t>A/AC.296/2025/16</w:t>
        </w:r>
      </w:hyperlink>
      <w:r w:rsidRPr="00461B7C">
        <w:rPr>
          <w:rFonts w:cs="Arial"/>
          <w:iCs/>
          <w:lang w:val="es-ES"/>
        </w:rPr>
        <w:t xml:space="preserve">. La secretaria ejecutiva también hizo una declaración en nombre de la CMS relacionada con este tema del orden del día durante PrepCom II. </w:t>
      </w:r>
    </w:p>
    <w:p w14:paraId="136012F0" w14:textId="77777777" w:rsidR="00B26BB8" w:rsidRPr="00461B7C" w:rsidRDefault="00B26BB8" w:rsidP="00B26BB8">
      <w:pPr>
        <w:widowControl w:val="0"/>
        <w:autoSpaceDE w:val="0"/>
        <w:autoSpaceDN w:val="0"/>
        <w:adjustRightInd w:val="0"/>
        <w:spacing w:after="0" w:line="240" w:lineRule="auto"/>
        <w:jc w:val="both"/>
        <w:rPr>
          <w:rFonts w:cs="Arial"/>
          <w:iCs/>
          <w:lang w:val="es-ES"/>
        </w:rPr>
      </w:pPr>
    </w:p>
    <w:p w14:paraId="67C34C43"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iCs/>
          <w:lang w:val="es-ES"/>
        </w:rPr>
      </w:pPr>
      <w:r w:rsidRPr="00461B7C">
        <w:rPr>
          <w:rFonts w:cs="Arial"/>
          <w:iCs/>
          <w:lang w:val="es-ES"/>
        </w:rPr>
        <w:t xml:space="preserve">Además, en agosto de 2025, el PNUMA publicó la </w:t>
      </w:r>
      <w:hyperlink r:id="rId26" w:history="1">
        <w:r w:rsidRPr="00461B7C">
          <w:rPr>
            <w:rStyle w:val="Hyperlink"/>
            <w:rFonts w:cs="Arial"/>
            <w:i/>
            <w:lang w:val="es-ES"/>
          </w:rPr>
          <w:t>Evaluación del futuro inmediato</w:t>
        </w:r>
        <w:bookmarkStart w:id="0" w:name="_Hlt207265577"/>
        <w:bookmarkStart w:id="1" w:name="_Hlt207265578"/>
        <w:bookmarkEnd w:id="0"/>
        <w:bookmarkEnd w:id="1"/>
        <w:r w:rsidRPr="00461B7C">
          <w:rPr>
            <w:rStyle w:val="Hyperlink"/>
            <w:rFonts w:cs="Arial"/>
            <w:i/>
            <w:lang w:val="es-ES"/>
          </w:rPr>
          <w:t xml:space="preserve"> de los posibles vínculos entre el Acuerdo BBNJ y los AMUMA relacionados con la biodiversidad</w:t>
        </w:r>
      </w:hyperlink>
      <w:r w:rsidRPr="00461B7C">
        <w:rPr>
          <w:rFonts w:cs="Arial"/>
          <w:iCs/>
          <w:lang w:val="es-ES"/>
        </w:rPr>
        <w:t xml:space="preserve">, que incluyen secciones en la CMS para las cuales la CMS había facilitado comentarios. </w:t>
      </w:r>
    </w:p>
    <w:p w14:paraId="4A51A6B1" w14:textId="77777777" w:rsidR="00B26BB8" w:rsidRPr="00461B7C" w:rsidRDefault="00B26BB8" w:rsidP="00B26BB8">
      <w:pPr>
        <w:pStyle w:val="ListParagraph"/>
        <w:spacing w:after="0"/>
        <w:rPr>
          <w:rFonts w:cs="Arial"/>
          <w:iCs/>
          <w:lang w:val="es-ES"/>
        </w:rPr>
      </w:pPr>
    </w:p>
    <w:p w14:paraId="3974B3E9" w14:textId="15ED11F6"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iCs/>
          <w:lang w:val="es-ES"/>
        </w:rPr>
      </w:pPr>
      <w:r w:rsidRPr="00461B7C">
        <w:rPr>
          <w:rFonts w:cs="Arial"/>
          <w:iCs/>
          <w:lang w:val="es-ES"/>
        </w:rPr>
        <w:t xml:space="preserve">En la 3.ª Conferencia sobre Océanos de las Naciones Unidas (UNOC3), la Secretaría convocó el evento paralelo </w:t>
      </w:r>
      <w:hyperlink r:id="rId27" w:history="1">
        <w:r w:rsidRPr="00CB0797">
          <w:rPr>
            <w:rStyle w:val="Hyperlink"/>
            <w:rFonts w:cs="Arial"/>
            <w:i/>
            <w:lang w:val="es-ES"/>
          </w:rPr>
          <w:t>Conser</w:t>
        </w:r>
        <w:bookmarkStart w:id="2" w:name="_Hlt207265714"/>
        <w:bookmarkStart w:id="3" w:name="_Hlt207265715"/>
        <w:r w:rsidRPr="00CB0797">
          <w:rPr>
            <w:rStyle w:val="Hyperlink"/>
            <w:rFonts w:cs="Arial"/>
            <w:i/>
            <w:lang w:val="es-ES"/>
          </w:rPr>
          <w:t>v</w:t>
        </w:r>
        <w:bookmarkEnd w:id="2"/>
        <w:bookmarkEnd w:id="3"/>
        <w:r w:rsidRPr="00CB0797">
          <w:rPr>
            <w:rStyle w:val="Hyperlink"/>
            <w:rFonts w:cs="Arial"/>
            <w:i/>
            <w:lang w:val="es-ES"/>
          </w:rPr>
          <w:t>ación de Especies Animales Marinas para Ecosistemas Saludables y Sostenibilidad de los Océanos a Largo Plazo</w:t>
        </w:r>
      </w:hyperlink>
      <w:r w:rsidRPr="00461B7C">
        <w:rPr>
          <w:lang w:val="es-ES"/>
        </w:rPr>
        <w:t>,</w:t>
      </w:r>
      <w:r w:rsidRPr="00461B7C">
        <w:rPr>
          <w:rFonts w:cs="Arial"/>
          <w:i/>
          <w:lang w:val="es-ES"/>
        </w:rPr>
        <w:t xml:space="preserve"> </w:t>
      </w:r>
      <w:r w:rsidRPr="00461B7C">
        <w:rPr>
          <w:rFonts w:cs="Arial"/>
          <w:iCs/>
          <w:lang w:val="es-ES"/>
        </w:rPr>
        <w:t xml:space="preserve">junto con los gobiernos de Australia, Bélgica, Francia, Ghana, Panamá y Emiratos Árabes Unidos, </w:t>
      </w:r>
      <w:r w:rsidRPr="00461B7C">
        <w:rPr>
          <w:rFonts w:cs="Arial"/>
          <w:lang w:val="es-ES"/>
        </w:rPr>
        <w:t xml:space="preserve">DAODM, las Secretarías de CDB, CITES, CBI, ACCOBAMS, ASCOBANS, la Comisión de Supervivencia de las Especies de la UICN y BirdLife International. En este evento </w:t>
      </w:r>
      <w:r w:rsidRPr="00461B7C">
        <w:rPr>
          <w:rFonts w:cs="Arial"/>
          <w:iCs/>
          <w:lang w:val="es-ES"/>
        </w:rPr>
        <w:t xml:space="preserve">se anunciaron nuevos compromisos centrados </w:t>
      </w:r>
      <w:r w:rsidRPr="00461B7C">
        <w:rPr>
          <w:rFonts w:cs="Arial"/>
          <w:lang w:val="es-ES"/>
        </w:rPr>
        <w:t xml:space="preserve">en </w:t>
      </w:r>
      <w:r w:rsidRPr="00461B7C">
        <w:rPr>
          <w:rFonts w:cs="Arial"/>
          <w:iCs/>
          <w:lang w:val="es-ES"/>
        </w:rPr>
        <w:t>zonas marinas protegidas</w:t>
      </w:r>
      <w:r w:rsidRPr="00461B7C">
        <w:rPr>
          <w:rFonts w:cs="Arial"/>
          <w:lang w:val="es-ES"/>
        </w:rPr>
        <w:t xml:space="preserve"> y la conectividad en las rutas oceánicas, avanzando la conservación de cetáceos</w:t>
      </w:r>
      <w:r w:rsidRPr="00461B7C">
        <w:rPr>
          <w:rFonts w:cs="Arial"/>
          <w:iCs/>
          <w:lang w:val="es-ES"/>
        </w:rPr>
        <w:t xml:space="preserve"> y promocionando la conectividad y las medidas de conservación por zonas para especies migratorias.</w:t>
      </w:r>
    </w:p>
    <w:p w14:paraId="4D26C2CB" w14:textId="07289222" w:rsidR="00603CBE" w:rsidRDefault="00603CBE">
      <w:pPr>
        <w:rPr>
          <w:rFonts w:cs="Arial"/>
          <w:u w:val="single"/>
          <w:lang w:val="es-ES"/>
        </w:rPr>
      </w:pPr>
      <w:r>
        <w:rPr>
          <w:rFonts w:cs="Arial"/>
          <w:u w:val="single"/>
          <w:lang w:val="es-ES"/>
        </w:rPr>
        <w:br w:type="page"/>
      </w:r>
    </w:p>
    <w:p w14:paraId="3A7ACB6A" w14:textId="77777777" w:rsidR="00B26BB8" w:rsidRPr="00461B7C" w:rsidRDefault="00B26BB8" w:rsidP="00B26BB8">
      <w:pPr>
        <w:spacing w:after="0" w:line="240" w:lineRule="auto"/>
        <w:rPr>
          <w:rFonts w:cs="Arial"/>
          <w:u w:val="single"/>
          <w:lang w:val="es-ES"/>
        </w:rPr>
      </w:pPr>
    </w:p>
    <w:p w14:paraId="630BB4B8" w14:textId="77777777" w:rsidR="00B26BB8" w:rsidRPr="00461B7C" w:rsidRDefault="00B26BB8" w:rsidP="00B26BB8">
      <w:pPr>
        <w:spacing w:after="0" w:line="240" w:lineRule="auto"/>
        <w:rPr>
          <w:rFonts w:cs="Arial"/>
          <w:lang w:val="es-ES"/>
        </w:rPr>
      </w:pPr>
      <w:r w:rsidRPr="00461B7C">
        <w:rPr>
          <w:rFonts w:cs="Arial"/>
          <w:u w:val="single"/>
          <w:lang w:val="es-ES"/>
        </w:rPr>
        <w:t>Debate y análisis</w:t>
      </w:r>
    </w:p>
    <w:p w14:paraId="5320E1EA" w14:textId="77777777" w:rsidR="00B26BB8" w:rsidRPr="00461B7C" w:rsidRDefault="00B26BB8" w:rsidP="00B26BB8">
      <w:pPr>
        <w:widowControl w:val="0"/>
        <w:autoSpaceDE w:val="0"/>
        <w:autoSpaceDN w:val="0"/>
        <w:adjustRightInd w:val="0"/>
        <w:spacing w:after="0" w:line="240" w:lineRule="auto"/>
        <w:ind w:left="567"/>
        <w:jc w:val="both"/>
        <w:rPr>
          <w:rFonts w:cs="Arial"/>
          <w:lang w:val="es-ES"/>
        </w:rPr>
      </w:pPr>
    </w:p>
    <w:p w14:paraId="2F87BD81"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Actualmente, se está llevando a cabo la identificación de AIMM e ISRA para ofrecer un marco adicional para proteger las especies migratorias acuáticas. Se anima a las Partes a utilizar estas herramientas de conservación por zonas en sus actividades de planificación nacional.</w:t>
      </w:r>
    </w:p>
    <w:p w14:paraId="057DBC22" w14:textId="77777777" w:rsidR="00B26BB8" w:rsidRPr="00461B7C" w:rsidRDefault="00B26BB8" w:rsidP="00B26BB8">
      <w:pPr>
        <w:widowControl w:val="0"/>
        <w:autoSpaceDE w:val="0"/>
        <w:autoSpaceDN w:val="0"/>
        <w:adjustRightInd w:val="0"/>
        <w:spacing w:after="0" w:line="240" w:lineRule="auto"/>
        <w:ind w:left="567"/>
        <w:jc w:val="both"/>
        <w:rPr>
          <w:rFonts w:cs="Arial"/>
          <w:lang w:val="es-ES"/>
        </w:rPr>
      </w:pPr>
    </w:p>
    <w:p w14:paraId="43A715A8"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La identificación y la definición de las AITM integrará a las tortugas en la conservación espacial global. El marco de AITM permitirá identificar los hábitats marinos clave usando datos genéticos y de movimiento, para mejorar la planificación espacial marina y facilitar información sobre las prioridades de conservación. El proceso de la AITM se basa en la experiencia con las AIMM e ISRA, y está alineado con los marcos internacionales. Se prevé que el marco de AITM permita a los gobiernos cumplir sus compromisos derivados del Acuerdo BBNJ y KMGBF, por medio de la identificación de zonas importantes a nivel ecológico y biológico, y la realización de evaluaciones efectivas del impacto medioambiental.</w:t>
      </w:r>
    </w:p>
    <w:p w14:paraId="7BF6956F" w14:textId="77777777" w:rsidR="00B26BB8" w:rsidRPr="00461B7C" w:rsidRDefault="00B26BB8" w:rsidP="00B26BB8">
      <w:pPr>
        <w:widowControl w:val="0"/>
        <w:autoSpaceDE w:val="0"/>
        <w:autoSpaceDN w:val="0"/>
        <w:adjustRightInd w:val="0"/>
        <w:spacing w:after="0" w:line="240" w:lineRule="auto"/>
        <w:ind w:left="567"/>
        <w:jc w:val="both"/>
        <w:rPr>
          <w:rFonts w:cs="Arial"/>
          <w:lang w:val="es-ES"/>
        </w:rPr>
      </w:pPr>
    </w:p>
    <w:p w14:paraId="3DCFC780"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 xml:space="preserve">Las medidas de conservación por zonas serán todavía más relevantes cuando el Acuerdo BBNJ entre en vigencia. Este nuevo tratado detallará las medidas de conservación por zonas, incluyendo las zonas marinas protegidas, en alta mar, en las que también se aplican las disposiciones de la CMS. Aunque la CMS ha adoptado las Resoluciones sobre AIMM e ISRA, no existe una Resolución que incluya un enfoque de gestión integral de la conservación por zonas que incluya herramientas como AIMM, ISRA, AITM y el Acuerdo BBNJ. Por lo tanto, este documento propone una nueva Resolución sobre las </w:t>
      </w:r>
      <w:r w:rsidRPr="00461B7C">
        <w:rPr>
          <w:i/>
          <w:iCs/>
          <w:lang w:val="es-ES"/>
        </w:rPr>
        <w:t xml:space="preserve">Prioridades para la Conservación por zonas de las Especies Marinas Migratorias, </w:t>
      </w:r>
      <w:r w:rsidRPr="00461B7C">
        <w:rPr>
          <w:rFonts w:cs="Arial"/>
          <w:lang w:val="es-ES"/>
        </w:rPr>
        <w:t xml:space="preserve">en el Anexo 2. La Resolución describe cómo pueden unificarse las actividades de la CMS con la futura entrada en vigor del Acuerdo BBNJ, para poder racionalizar y mejorar las medidas de conservación por zonas para especies marinas en aguas nacionales e internacionales. </w:t>
      </w:r>
    </w:p>
    <w:p w14:paraId="67253CDC" w14:textId="13DA69AB" w:rsidR="00B26BB8" w:rsidRPr="00461B7C" w:rsidRDefault="00B26BB8" w:rsidP="00B26BB8">
      <w:pPr>
        <w:spacing w:after="0" w:line="240" w:lineRule="auto"/>
        <w:rPr>
          <w:rFonts w:cs="Arial"/>
          <w:lang w:val="es-ES"/>
        </w:rPr>
      </w:pPr>
    </w:p>
    <w:p w14:paraId="1A9CA914" w14:textId="77777777" w:rsidR="00B26BB8" w:rsidRPr="00461B7C" w:rsidRDefault="00B26BB8" w:rsidP="00B26BB8">
      <w:pPr>
        <w:spacing w:after="0" w:line="240" w:lineRule="auto"/>
        <w:rPr>
          <w:rFonts w:cs="Arial"/>
          <w:lang w:val="es-ES"/>
        </w:rPr>
      </w:pPr>
      <w:r w:rsidRPr="00461B7C">
        <w:rPr>
          <w:rFonts w:cs="Arial"/>
          <w:u w:val="single"/>
          <w:lang w:val="es-ES"/>
        </w:rPr>
        <w:t>Acciones recomendadas</w:t>
      </w:r>
    </w:p>
    <w:p w14:paraId="070F1FFD" w14:textId="77777777" w:rsidR="00B26BB8" w:rsidRPr="00461B7C" w:rsidRDefault="00B26BB8" w:rsidP="00B26BB8">
      <w:pPr>
        <w:spacing w:after="0" w:line="240" w:lineRule="auto"/>
        <w:rPr>
          <w:rFonts w:cs="Arial"/>
          <w:lang w:val="es-ES"/>
        </w:rPr>
      </w:pPr>
    </w:p>
    <w:p w14:paraId="6A4AD778"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eastAsia="es-ES"/>
        </w:rPr>
        <w:t>Se recomienda a la Conferencia de las Partes que:</w:t>
      </w:r>
    </w:p>
    <w:p w14:paraId="5438F707" w14:textId="77777777" w:rsidR="00B26BB8" w:rsidRPr="00461B7C" w:rsidRDefault="00B26BB8" w:rsidP="00B26BB8">
      <w:pPr>
        <w:pStyle w:val="Secondnumbering"/>
        <w:numPr>
          <w:ilvl w:val="0"/>
          <w:numId w:val="0"/>
        </w:numPr>
        <w:jc w:val="both"/>
        <w:rPr>
          <w:lang w:val="es-ES"/>
        </w:rPr>
      </w:pPr>
    </w:p>
    <w:p w14:paraId="78D9379C" w14:textId="77777777" w:rsidR="00B26BB8" w:rsidRPr="00461B7C" w:rsidRDefault="00B26BB8" w:rsidP="00B26BB8">
      <w:pPr>
        <w:pStyle w:val="Secondnumbering"/>
        <w:ind w:left="993" w:hanging="426"/>
        <w:jc w:val="both"/>
        <w:rPr>
          <w:lang w:val="es-ES"/>
        </w:rPr>
      </w:pPr>
      <w:r w:rsidRPr="00461B7C">
        <w:rPr>
          <w:lang w:val="es-ES"/>
        </w:rPr>
        <w:t xml:space="preserve">adopte el proyecto de Resolución sobre </w:t>
      </w:r>
      <w:r w:rsidRPr="00461B7C">
        <w:rPr>
          <w:i/>
          <w:iCs/>
          <w:lang w:val="es-ES"/>
        </w:rPr>
        <w:t>Áreas importantes para las tortugas marinas</w:t>
      </w:r>
      <w:r w:rsidRPr="00461B7C">
        <w:rPr>
          <w:lang w:val="es-ES"/>
        </w:rPr>
        <w:t xml:space="preserve"> contenida en el Anexo 1 del presente documento;</w:t>
      </w:r>
    </w:p>
    <w:p w14:paraId="40374ACA" w14:textId="77777777" w:rsidR="00B26BB8" w:rsidRPr="00461B7C" w:rsidRDefault="00B26BB8" w:rsidP="00B26BB8">
      <w:pPr>
        <w:pStyle w:val="Secondnumbering"/>
        <w:numPr>
          <w:ilvl w:val="0"/>
          <w:numId w:val="0"/>
        </w:numPr>
        <w:ind w:left="993" w:hanging="426"/>
        <w:jc w:val="both"/>
        <w:rPr>
          <w:lang w:val="es-ES"/>
        </w:rPr>
      </w:pPr>
    </w:p>
    <w:p w14:paraId="243D0F9C" w14:textId="77777777" w:rsidR="00B26BB8" w:rsidRPr="00461B7C" w:rsidRDefault="00B26BB8" w:rsidP="00B26BB8">
      <w:pPr>
        <w:pStyle w:val="Secondnumbering"/>
        <w:ind w:left="993" w:hanging="426"/>
        <w:jc w:val="both"/>
        <w:rPr>
          <w:lang w:val="es-ES"/>
        </w:rPr>
      </w:pPr>
      <w:r w:rsidRPr="00461B7C">
        <w:rPr>
          <w:lang w:val="es-ES"/>
        </w:rPr>
        <w:t xml:space="preserve">adopte el proyecto de Resolución sobre las </w:t>
      </w:r>
      <w:r w:rsidRPr="00461B7C">
        <w:rPr>
          <w:i/>
          <w:iCs/>
          <w:lang w:val="es-ES"/>
        </w:rPr>
        <w:t>Prioridades para la Conservación por Zonas de Especies Marinas Migratorias</w:t>
      </w:r>
      <w:r w:rsidRPr="00461B7C">
        <w:rPr>
          <w:i/>
          <w:lang w:val="es-ES"/>
        </w:rPr>
        <w:t xml:space="preserve"> </w:t>
      </w:r>
      <w:r w:rsidRPr="00461B7C">
        <w:rPr>
          <w:lang w:val="es-ES"/>
        </w:rPr>
        <w:t>contenidas en el Anexo 2 de este documento;</w:t>
      </w:r>
    </w:p>
    <w:p w14:paraId="558CA08C" w14:textId="77777777" w:rsidR="00B26BB8" w:rsidRPr="00461B7C" w:rsidRDefault="00B26BB8" w:rsidP="00B26BB8">
      <w:pPr>
        <w:pStyle w:val="Secondnumbering"/>
        <w:numPr>
          <w:ilvl w:val="0"/>
          <w:numId w:val="0"/>
        </w:numPr>
        <w:ind w:left="993" w:hanging="426"/>
        <w:jc w:val="both"/>
        <w:rPr>
          <w:lang w:val="es-ES"/>
        </w:rPr>
      </w:pPr>
    </w:p>
    <w:p w14:paraId="0EF802A3" w14:textId="77777777" w:rsidR="00B26BB8" w:rsidRPr="00461B7C" w:rsidRDefault="00B26BB8" w:rsidP="00B26BB8">
      <w:pPr>
        <w:pStyle w:val="Secondnumbering"/>
        <w:ind w:left="993" w:hanging="426"/>
        <w:jc w:val="both"/>
        <w:rPr>
          <w:lang w:val="es-ES"/>
        </w:rPr>
      </w:pPr>
      <w:r w:rsidRPr="00461B7C">
        <w:rPr>
          <w:lang w:val="es-ES"/>
        </w:rPr>
        <w:t>apruebe los proyectos de Decisión que figuran en el Anexo 3 del presente documento; y</w:t>
      </w:r>
    </w:p>
    <w:p w14:paraId="5B89F0A5" w14:textId="77777777" w:rsidR="00B26BB8" w:rsidRPr="00461B7C" w:rsidRDefault="00B26BB8" w:rsidP="00B26BB8">
      <w:pPr>
        <w:pStyle w:val="ListParagraph"/>
        <w:spacing w:after="0" w:line="240" w:lineRule="auto"/>
        <w:ind w:left="993" w:hanging="426"/>
        <w:contextualSpacing w:val="0"/>
        <w:rPr>
          <w:lang w:val="es-ES"/>
        </w:rPr>
      </w:pPr>
    </w:p>
    <w:p w14:paraId="57E139D6" w14:textId="219B882B" w:rsidR="008F5040" w:rsidRDefault="00B26BB8" w:rsidP="0020300C">
      <w:pPr>
        <w:pStyle w:val="Secondnumbering"/>
        <w:ind w:left="993" w:hanging="426"/>
        <w:jc w:val="both"/>
      </w:pPr>
      <w:r w:rsidRPr="00DB3A17">
        <w:rPr>
          <w:lang w:val="es-ES"/>
        </w:rPr>
        <w:t>derogue las Decisiones 14.57</w:t>
      </w:r>
      <w:r w:rsidRPr="00DB3A17">
        <w:rPr>
          <w:rFonts w:cs="Arial"/>
          <w:iCs/>
          <w:lang w:val="es-ES"/>
        </w:rPr>
        <w:t>–</w:t>
      </w:r>
      <w:r w:rsidRPr="00DB3A17">
        <w:rPr>
          <w:lang w:val="es-ES"/>
        </w:rPr>
        <w:t>14.60 y 14.61</w:t>
      </w:r>
      <w:r w:rsidRPr="00DB3A17">
        <w:rPr>
          <w:rFonts w:cs="Arial"/>
          <w:iCs/>
          <w:lang w:val="es-ES"/>
        </w:rPr>
        <w:t>–</w:t>
      </w:r>
      <w:r w:rsidRPr="00DB3A17">
        <w:rPr>
          <w:lang w:val="es-ES"/>
        </w:rPr>
        <w:t>14.64.</w:t>
      </w:r>
    </w:p>
    <w:p w14:paraId="6AD4DAD4" w14:textId="77777777" w:rsidR="008F5040" w:rsidRDefault="008F5040" w:rsidP="0020300C">
      <w:pPr>
        <w:spacing w:line="240" w:lineRule="auto"/>
        <w:rPr>
          <w:rFonts w:eastAsia="Times New Roman" w:cs="Arial"/>
          <w:lang w:val="es-ES" w:eastAsia="es-ES"/>
        </w:rPr>
        <w:sectPr w:rsidR="008F5040" w:rsidSect="00323406">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1440" w:left="1440" w:header="720" w:footer="720" w:gutter="0"/>
          <w:cols w:space="720"/>
          <w:titlePg/>
          <w:docGrid w:linePitch="360"/>
        </w:sectPr>
      </w:pPr>
    </w:p>
    <w:p w14:paraId="19A55703" w14:textId="0D7EEDD2" w:rsidR="006967D8" w:rsidRPr="00461B7C" w:rsidRDefault="00934399" w:rsidP="006967D8">
      <w:pPr>
        <w:pStyle w:val="Secondnumbering"/>
        <w:numPr>
          <w:ilvl w:val="0"/>
          <w:numId w:val="0"/>
        </w:numPr>
        <w:jc w:val="right"/>
        <w:rPr>
          <w:lang w:val="es-ES"/>
        </w:rPr>
      </w:pPr>
      <w:r w:rsidRPr="00461B7C">
        <w:rPr>
          <w:rFonts w:cs="Arial"/>
          <w:b/>
          <w:lang w:val="es-ES"/>
        </w:rPr>
        <w:lastRenderedPageBreak/>
        <w:t>ANEXO </w:t>
      </w:r>
      <w:r w:rsidR="006967D8" w:rsidRPr="00461B7C">
        <w:rPr>
          <w:rFonts w:cs="Arial"/>
          <w:b/>
          <w:lang w:val="es-ES"/>
        </w:rPr>
        <w:t>1</w:t>
      </w:r>
    </w:p>
    <w:p w14:paraId="7707CCA7" w14:textId="77777777" w:rsidR="006967D8" w:rsidRDefault="006967D8" w:rsidP="006967D8">
      <w:pPr>
        <w:pStyle w:val="Secondnumbering"/>
        <w:numPr>
          <w:ilvl w:val="0"/>
          <w:numId w:val="0"/>
        </w:numPr>
        <w:rPr>
          <w:lang w:val="es-ES"/>
        </w:rPr>
      </w:pPr>
    </w:p>
    <w:p w14:paraId="283070C6" w14:textId="77777777" w:rsidR="00934399" w:rsidRPr="00461B7C" w:rsidRDefault="00934399" w:rsidP="006967D8">
      <w:pPr>
        <w:pStyle w:val="Secondnumbering"/>
        <w:numPr>
          <w:ilvl w:val="0"/>
          <w:numId w:val="0"/>
        </w:numPr>
        <w:rPr>
          <w:lang w:val="es-ES"/>
        </w:rPr>
      </w:pPr>
    </w:p>
    <w:p w14:paraId="01431636" w14:textId="77777777" w:rsidR="006967D8" w:rsidRPr="00461B7C" w:rsidRDefault="006967D8" w:rsidP="006967D8">
      <w:pPr>
        <w:widowControl w:val="0"/>
        <w:autoSpaceDE w:val="0"/>
        <w:autoSpaceDN w:val="0"/>
        <w:adjustRightInd w:val="0"/>
        <w:spacing w:after="0" w:line="240" w:lineRule="auto"/>
        <w:jc w:val="center"/>
        <w:rPr>
          <w:rFonts w:eastAsia="Times New Roman" w:cs="Arial"/>
          <w:lang w:val="es-ES"/>
        </w:rPr>
      </w:pPr>
      <w:r w:rsidRPr="00461B7C">
        <w:rPr>
          <w:rFonts w:eastAsia="Times New Roman" w:cs="Arial"/>
          <w:lang w:val="es-ES"/>
        </w:rPr>
        <w:t>PROYECTO DE RESOLUCIÓN</w:t>
      </w:r>
    </w:p>
    <w:p w14:paraId="05B7CCB2" w14:textId="77777777" w:rsidR="006967D8" w:rsidRPr="00461B7C" w:rsidRDefault="006967D8" w:rsidP="006967D8">
      <w:pPr>
        <w:widowControl w:val="0"/>
        <w:autoSpaceDE w:val="0"/>
        <w:autoSpaceDN w:val="0"/>
        <w:adjustRightInd w:val="0"/>
        <w:spacing w:after="0" w:line="240" w:lineRule="auto"/>
        <w:rPr>
          <w:rFonts w:eastAsia="Times New Roman" w:cs="Arial"/>
          <w:lang w:val="es-ES"/>
        </w:rPr>
      </w:pPr>
    </w:p>
    <w:p w14:paraId="7734692E" w14:textId="77777777" w:rsidR="006967D8" w:rsidRPr="00461B7C" w:rsidRDefault="006967D8" w:rsidP="006967D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lang w:val="es-ES"/>
        </w:rPr>
      </w:pPr>
      <w:r w:rsidRPr="00461B7C">
        <w:rPr>
          <w:rFonts w:eastAsia="Times New Roman" w:cs="Arial"/>
          <w:b/>
          <w:lang w:val="es-ES"/>
        </w:rPr>
        <w:t>ÁREAS IMPORTANTES PARA LAS TORTUGAS MARINAS</w:t>
      </w:r>
    </w:p>
    <w:p w14:paraId="30B40EF8" w14:textId="77777777" w:rsidR="006967D8" w:rsidRPr="00461B7C" w:rsidRDefault="006967D8" w:rsidP="006967D8">
      <w:pPr>
        <w:widowControl w:val="0"/>
        <w:autoSpaceDE w:val="0"/>
        <w:autoSpaceDN w:val="0"/>
        <w:adjustRightInd w:val="0"/>
        <w:spacing w:after="0" w:line="240" w:lineRule="auto"/>
        <w:rPr>
          <w:rFonts w:eastAsia="Times New Roman" w:cs="Arial"/>
          <w:iCs/>
          <w:lang w:val="es-ES"/>
        </w:rPr>
      </w:pPr>
    </w:p>
    <w:p w14:paraId="06AF010F" w14:textId="77777777" w:rsidR="006967D8" w:rsidRPr="00461B7C" w:rsidRDefault="006967D8" w:rsidP="006967D8">
      <w:pPr>
        <w:widowControl w:val="0"/>
        <w:autoSpaceDE w:val="0"/>
        <w:autoSpaceDN w:val="0"/>
        <w:adjustRightInd w:val="0"/>
        <w:spacing w:after="0" w:line="240" w:lineRule="auto"/>
        <w:rPr>
          <w:rFonts w:eastAsia="Times New Roman" w:cs="Arial"/>
          <w:iCs/>
          <w:lang w:val="es-ES"/>
        </w:rPr>
      </w:pPr>
    </w:p>
    <w:p w14:paraId="02C86270" w14:textId="77777777" w:rsidR="006967D8" w:rsidRPr="00461B7C" w:rsidRDefault="006967D8" w:rsidP="006967D8">
      <w:pPr>
        <w:spacing w:after="0" w:line="240" w:lineRule="auto"/>
        <w:jc w:val="both"/>
        <w:rPr>
          <w:rFonts w:eastAsia="Times New Roman" w:cs="Arial"/>
          <w:lang w:val="es-ES" w:eastAsia="en-GB"/>
        </w:rPr>
      </w:pPr>
      <w:r w:rsidRPr="00461B7C">
        <w:rPr>
          <w:rFonts w:eastAsia="Times New Roman" w:cs="Arial"/>
          <w:i/>
          <w:lang w:val="es-ES" w:eastAsia="es-ES"/>
        </w:rPr>
        <w:t>Recordando las</w:t>
      </w:r>
      <w:r w:rsidRPr="00461B7C">
        <w:rPr>
          <w:rFonts w:eastAsia="Times New Roman" w:cs="Arial"/>
          <w:lang w:val="es-ES" w:eastAsia="es-ES"/>
        </w:rPr>
        <w:t xml:space="preserve"> Resoluciones 12.13 </w:t>
      </w:r>
      <w:r w:rsidRPr="00461B7C">
        <w:rPr>
          <w:rFonts w:eastAsia="Times New Roman" w:cs="Arial"/>
          <w:i/>
          <w:iCs/>
          <w:lang w:val="es-ES" w:eastAsia="es-ES"/>
        </w:rPr>
        <w:t xml:space="preserve">Áreas Importantes para Mamíferos Marinos y </w:t>
      </w:r>
      <w:r w:rsidRPr="00461B7C">
        <w:rPr>
          <w:rFonts w:eastAsia="Times New Roman" w:cs="Arial"/>
          <w:lang w:val="es-ES" w:eastAsia="es-ES"/>
        </w:rPr>
        <w:t xml:space="preserve">14.7 </w:t>
      </w:r>
      <w:r w:rsidRPr="00461B7C">
        <w:rPr>
          <w:rFonts w:eastAsia="Times New Roman" w:cs="Arial"/>
          <w:i/>
          <w:iCs/>
          <w:lang w:val="es-ES" w:eastAsia="es-ES"/>
        </w:rPr>
        <w:t>Áreas importantes para tiburones y rayas</w:t>
      </w:r>
      <w:r w:rsidRPr="00461B7C">
        <w:rPr>
          <w:rFonts w:eastAsia="Times New Roman" w:cs="Arial"/>
          <w:lang w:val="es-ES" w:eastAsia="es-ES"/>
        </w:rPr>
        <w:t>, que reconocen la utilidad de las herramientas de clasificación espacial de expertos para identificar los hábitats críticos esenciales para la conservación de las especies marinas migratorias,</w:t>
      </w:r>
    </w:p>
    <w:p w14:paraId="5C7508D3" w14:textId="77777777" w:rsidR="006967D8" w:rsidRPr="00461B7C" w:rsidRDefault="006967D8" w:rsidP="006967D8">
      <w:pPr>
        <w:spacing w:after="0" w:line="240" w:lineRule="auto"/>
        <w:jc w:val="both"/>
        <w:rPr>
          <w:rFonts w:eastAsia="Times New Roman" w:cs="Arial"/>
          <w:lang w:val="es-ES" w:eastAsia="en-GB"/>
        </w:rPr>
      </w:pPr>
    </w:p>
    <w:p w14:paraId="10E071F5" w14:textId="77777777" w:rsidR="006967D8" w:rsidRPr="00461B7C" w:rsidRDefault="006967D8" w:rsidP="006967D8">
      <w:pPr>
        <w:spacing w:after="0" w:line="240" w:lineRule="auto"/>
        <w:jc w:val="both"/>
        <w:rPr>
          <w:rFonts w:eastAsia="Aptos" w:cs="Arial"/>
          <w:lang w:val="es-ES"/>
        </w:rPr>
      </w:pPr>
      <w:r w:rsidRPr="00461B7C">
        <w:rPr>
          <w:rFonts w:eastAsia="Times New Roman" w:cs="Arial"/>
          <w:i/>
          <w:lang w:val="es-ES" w:eastAsia="es-ES"/>
        </w:rPr>
        <w:t>Reconociendo</w:t>
      </w:r>
      <w:r w:rsidRPr="00461B7C">
        <w:rPr>
          <w:rFonts w:eastAsia="Times New Roman" w:cs="Arial"/>
          <w:lang w:val="es-ES" w:eastAsia="es-ES"/>
        </w:rPr>
        <w:t xml:space="preserve"> que la totalidad de las siete especies reconocidas a nivel global de tortugas marinas están incluidas en los Apéndices I y II de la CMS y el Apéndice I de la CITES, y que seis de estas especies están enumeradas como Vulnerable, En Peligro o En Peligro crítico en la Lista roja de la Unión Internacional para la Conservación de la Naturaleza (UICN), con la séptima categorizada como Datos insuficientes, </w:t>
      </w:r>
    </w:p>
    <w:p w14:paraId="0D806C52" w14:textId="77777777" w:rsidR="006967D8" w:rsidRPr="00461B7C" w:rsidRDefault="006967D8" w:rsidP="006967D8">
      <w:pPr>
        <w:spacing w:after="0" w:line="240" w:lineRule="auto"/>
        <w:jc w:val="both"/>
        <w:rPr>
          <w:rFonts w:eastAsia="Aptos" w:cs="Arial"/>
          <w:lang w:val="es-ES"/>
        </w:rPr>
      </w:pPr>
    </w:p>
    <w:p w14:paraId="12C82EA1" w14:textId="77777777" w:rsidR="006967D8" w:rsidRPr="00461B7C" w:rsidRDefault="006967D8" w:rsidP="006967D8">
      <w:pPr>
        <w:spacing w:after="0" w:line="240" w:lineRule="auto"/>
        <w:jc w:val="both"/>
        <w:rPr>
          <w:rFonts w:eastAsia="Times New Roman" w:cs="Arial"/>
          <w:lang w:val="es-ES" w:eastAsia="en-GB"/>
        </w:rPr>
      </w:pPr>
      <w:r w:rsidRPr="00461B7C">
        <w:rPr>
          <w:rFonts w:eastAsia="Times New Roman" w:cs="Arial"/>
          <w:i/>
          <w:iCs/>
          <w:lang w:val="es-ES" w:eastAsia="es-ES"/>
        </w:rPr>
        <w:t>Reconociendo además</w:t>
      </w:r>
      <w:r w:rsidRPr="00461B7C">
        <w:rPr>
          <w:rFonts w:eastAsia="Times New Roman" w:cs="Arial"/>
          <w:lang w:val="es-ES" w:eastAsia="es-ES"/>
        </w:rPr>
        <w:t xml:space="preserve"> la existencia de subpoblaciones regionales, algunas de las cuales son distintas genéticamente o altamente localizadas, por lo que necesitan una planificación de conservación espacialmente sensible que puede respaldarse de forma efectiva por la designación de Áreas Importantes para las Tortugas Marinas (AITM), teniendo en cuenta además las evaluaciones de la Lista roja de la UICN a escala poblacional o subpoblacional,</w:t>
      </w:r>
    </w:p>
    <w:p w14:paraId="24B189BE" w14:textId="77777777" w:rsidR="006967D8" w:rsidRPr="00461B7C" w:rsidRDefault="006967D8" w:rsidP="006967D8">
      <w:pPr>
        <w:spacing w:after="0" w:line="240" w:lineRule="auto"/>
        <w:jc w:val="both"/>
        <w:rPr>
          <w:rFonts w:eastAsia="Times New Roman" w:cs="Arial"/>
          <w:i/>
          <w:iCs/>
          <w:lang w:val="es-ES" w:eastAsia="en-GB"/>
        </w:rPr>
      </w:pPr>
    </w:p>
    <w:p w14:paraId="49FDFACA" w14:textId="77777777" w:rsidR="006967D8" w:rsidRPr="00461B7C" w:rsidRDefault="006967D8" w:rsidP="006967D8">
      <w:pPr>
        <w:spacing w:after="0" w:line="240" w:lineRule="auto"/>
        <w:jc w:val="both"/>
        <w:rPr>
          <w:rFonts w:eastAsia="Aptos" w:cs="Arial"/>
          <w:lang w:val="es-ES"/>
        </w:rPr>
      </w:pPr>
      <w:r w:rsidRPr="00461B7C">
        <w:rPr>
          <w:rFonts w:eastAsia="Times New Roman" w:cs="Arial"/>
          <w:i/>
          <w:lang w:val="es-ES" w:eastAsia="es-ES"/>
        </w:rPr>
        <w:t>Alarmados</w:t>
      </w:r>
      <w:r w:rsidRPr="00461B7C">
        <w:rPr>
          <w:rFonts w:eastAsia="Times New Roman" w:cs="Arial"/>
          <w:lang w:val="es-ES" w:eastAsia="es-ES"/>
        </w:rPr>
        <w:t xml:space="preserve"> por las amenazas persistentes, extendidas y acumulativas para las tortugas marinas en su totalidad, incluyendo la degradación del hábitat, la pesca, el uso no sostenible, la captura y comercialización ilegales, la contaminación y los efectos del cambio climático, que se ven agravados por una protección insuficiente de los principales hábitats, y ser conscientes de que estas amenazas afectan a los hábitats críticos para anidación, alimento y desarrollo, además de los corredores migratorios en las cuencas oceánicas, </w:t>
      </w:r>
    </w:p>
    <w:p w14:paraId="2F8AFD23" w14:textId="77777777" w:rsidR="006967D8" w:rsidRPr="00461B7C" w:rsidRDefault="006967D8" w:rsidP="006967D8">
      <w:pPr>
        <w:spacing w:after="0" w:line="240" w:lineRule="auto"/>
        <w:jc w:val="both"/>
        <w:rPr>
          <w:rFonts w:eastAsia="Aptos" w:cs="Arial"/>
          <w:lang w:val="es-ES"/>
        </w:rPr>
      </w:pPr>
    </w:p>
    <w:p w14:paraId="021DF4D2" w14:textId="77777777" w:rsidR="006967D8" w:rsidRPr="00461B7C" w:rsidRDefault="006967D8" w:rsidP="006967D8">
      <w:pPr>
        <w:spacing w:after="0" w:line="240" w:lineRule="auto"/>
        <w:jc w:val="both"/>
        <w:rPr>
          <w:rFonts w:eastAsia="Times New Roman" w:cs="Arial"/>
          <w:lang w:val="es-ES" w:eastAsia="en-GB"/>
        </w:rPr>
      </w:pPr>
      <w:r w:rsidRPr="00461B7C">
        <w:rPr>
          <w:rFonts w:eastAsia="Aptos" w:cs="Arial"/>
          <w:i/>
          <w:iCs/>
          <w:lang w:val="es-ES"/>
        </w:rPr>
        <w:t>Preocupados</w:t>
      </w:r>
      <w:r w:rsidRPr="00461B7C">
        <w:rPr>
          <w:rFonts w:eastAsia="Aptos" w:cs="Arial"/>
          <w:lang w:val="es-ES"/>
        </w:rPr>
        <w:t xml:space="preserve"> por la disponibilidad limitada de datos estandarizados y espacialmente explícitos en hábitats clave de muchas partes del mundo, especialmente en países en vías de desarrollo y áreas situadas fuera de la jurisdicción nacional,</w:t>
      </w:r>
    </w:p>
    <w:p w14:paraId="5245CC3E" w14:textId="77777777" w:rsidR="006967D8" w:rsidRPr="00461B7C" w:rsidRDefault="006967D8" w:rsidP="006967D8">
      <w:pPr>
        <w:spacing w:after="0" w:line="240" w:lineRule="auto"/>
        <w:jc w:val="both"/>
        <w:rPr>
          <w:rFonts w:eastAsia="Times New Roman" w:cs="Arial"/>
          <w:i/>
          <w:lang w:val="es-ES" w:eastAsia="en-GB"/>
        </w:rPr>
      </w:pPr>
    </w:p>
    <w:p w14:paraId="5AB949F4" w14:textId="77777777" w:rsidR="006967D8" w:rsidRPr="00461B7C" w:rsidRDefault="006967D8" w:rsidP="006967D8">
      <w:pPr>
        <w:spacing w:after="0" w:line="240" w:lineRule="auto"/>
        <w:jc w:val="both"/>
        <w:rPr>
          <w:rFonts w:eastAsia="Times New Roman" w:cs="Arial"/>
          <w:i/>
          <w:lang w:val="es-ES" w:eastAsia="en-GB"/>
        </w:rPr>
      </w:pPr>
      <w:r w:rsidRPr="00461B7C">
        <w:rPr>
          <w:rFonts w:eastAsia="Times New Roman" w:cs="Arial"/>
          <w:i/>
          <w:lang w:val="es-ES" w:eastAsia="es-ES"/>
        </w:rPr>
        <w:t xml:space="preserve">Recordando la </w:t>
      </w:r>
      <w:r w:rsidRPr="00461B7C">
        <w:rPr>
          <w:rFonts w:eastAsia="Times New Roman" w:cs="Arial"/>
          <w:iCs/>
          <w:lang w:val="es-ES" w:eastAsia="es-ES"/>
        </w:rPr>
        <w:t>Resolución Conf.19.5 de CITES</w:t>
      </w:r>
      <w:r w:rsidRPr="00461B7C">
        <w:rPr>
          <w:rFonts w:eastAsia="Times New Roman" w:cs="Arial"/>
          <w:i/>
          <w:lang w:val="es-ES" w:eastAsia="es-ES"/>
        </w:rPr>
        <w:t xml:space="preserve"> Conservación y Comercio en Tortugas Marinas</w:t>
      </w:r>
      <w:r w:rsidRPr="00461B7C">
        <w:rPr>
          <w:rFonts w:eastAsia="Times New Roman" w:cs="Arial"/>
          <w:iCs/>
          <w:lang w:val="es-ES" w:eastAsia="es-ES"/>
        </w:rPr>
        <w:t>, que anima a las Partes a adoptar, según sea apropiado, actividades de investigación que puedan respaldar el desarrollo de medidas de protección y conservación para zonas de anidación, alimento y migración de las tortugas marinas;</w:t>
      </w:r>
    </w:p>
    <w:p w14:paraId="115707E9" w14:textId="77777777" w:rsidR="006967D8" w:rsidRPr="00461B7C" w:rsidRDefault="006967D8" w:rsidP="006967D8">
      <w:pPr>
        <w:spacing w:after="0" w:line="240" w:lineRule="auto"/>
        <w:jc w:val="both"/>
        <w:rPr>
          <w:rFonts w:eastAsia="Times New Roman" w:cs="Arial"/>
          <w:i/>
          <w:lang w:val="es-ES" w:eastAsia="en-GB"/>
        </w:rPr>
      </w:pPr>
    </w:p>
    <w:p w14:paraId="52D72932" w14:textId="77777777" w:rsidR="006967D8" w:rsidRPr="00461B7C" w:rsidRDefault="006967D8" w:rsidP="006967D8">
      <w:pPr>
        <w:spacing w:after="0" w:line="240" w:lineRule="auto"/>
        <w:jc w:val="both"/>
        <w:rPr>
          <w:rFonts w:eastAsia="Times New Roman" w:cs="Arial"/>
          <w:iCs/>
          <w:lang w:val="es-ES" w:eastAsia="en-GB"/>
        </w:rPr>
      </w:pPr>
      <w:r w:rsidRPr="00461B7C">
        <w:rPr>
          <w:rFonts w:eastAsia="Times New Roman" w:cs="Arial"/>
          <w:i/>
          <w:lang w:val="es-ES" w:eastAsia="es-ES"/>
        </w:rPr>
        <w:t xml:space="preserve">Recordando el </w:t>
      </w:r>
      <w:r w:rsidRPr="00461B7C">
        <w:rPr>
          <w:rFonts w:eastAsia="Times New Roman" w:cs="Arial"/>
          <w:iCs/>
          <w:lang w:val="es-ES" w:eastAsia="es-ES"/>
        </w:rPr>
        <w:t xml:space="preserve">Anexo II </w:t>
      </w:r>
      <w:r w:rsidRPr="00461B7C">
        <w:rPr>
          <w:rFonts w:eastAsia="Times New Roman" w:cs="Arial"/>
          <w:i/>
          <w:lang w:val="es-ES" w:eastAsia="es-ES"/>
        </w:rPr>
        <w:t>Protección y Conservación de Hábitats de Tortugas Marinas</w:t>
      </w:r>
      <w:r w:rsidRPr="00461B7C">
        <w:rPr>
          <w:rFonts w:eastAsia="Times New Roman" w:cs="Arial"/>
          <w:iCs/>
          <w:lang w:val="es-ES" w:eastAsia="es-ES"/>
        </w:rPr>
        <w:t xml:space="preserve"> de la Convención Interamericana para la Protección y Conservación de Tortugas Marinas (IAC), que pide a las Partes que consideren y adopten, según sea necesario y apropiado, medidas para proteger y conservar los hábitats de las tortugas marinas, y </w:t>
      </w:r>
      <w:r w:rsidRPr="00461B7C">
        <w:rPr>
          <w:rFonts w:eastAsia="Times New Roman" w:cs="Arial"/>
          <w:i/>
          <w:lang w:val="es-ES" w:eastAsia="es-ES"/>
        </w:rPr>
        <w:t>teniendo en cuenta</w:t>
      </w:r>
      <w:r w:rsidRPr="00461B7C">
        <w:rPr>
          <w:rFonts w:eastAsia="Times New Roman" w:cs="Arial"/>
          <w:iCs/>
          <w:lang w:val="es-ES" w:eastAsia="es-ES"/>
        </w:rPr>
        <w:t xml:space="preserve"> que estas áreas importantes para las Tortugas laúd del Atlántico noroeste ya se han identificado dentro del marco de la IAC,</w:t>
      </w:r>
    </w:p>
    <w:p w14:paraId="23543BCE" w14:textId="77777777" w:rsidR="006967D8" w:rsidRPr="00461B7C" w:rsidRDefault="006967D8" w:rsidP="006967D8">
      <w:pPr>
        <w:spacing w:after="0" w:line="240" w:lineRule="auto"/>
        <w:jc w:val="both"/>
        <w:rPr>
          <w:rFonts w:eastAsia="Times New Roman" w:cs="Arial"/>
          <w:i/>
          <w:lang w:val="es-ES" w:eastAsia="en-GB"/>
        </w:rPr>
      </w:pPr>
    </w:p>
    <w:p w14:paraId="7187231A" w14:textId="77777777" w:rsidR="006967D8" w:rsidRPr="00461B7C" w:rsidRDefault="006967D8" w:rsidP="006967D8">
      <w:pPr>
        <w:spacing w:after="0" w:line="240" w:lineRule="auto"/>
        <w:jc w:val="both"/>
        <w:rPr>
          <w:rFonts w:eastAsia="Times New Roman" w:cs="Arial"/>
          <w:lang w:val="es-ES" w:eastAsia="en-GB"/>
        </w:rPr>
      </w:pPr>
      <w:r w:rsidRPr="00461B7C">
        <w:rPr>
          <w:rFonts w:eastAsia="Times New Roman" w:cs="Arial"/>
          <w:i/>
          <w:lang w:val="es-ES" w:eastAsia="es-ES"/>
        </w:rPr>
        <w:t>Tomando nota</w:t>
      </w:r>
      <w:r w:rsidRPr="00461B7C">
        <w:rPr>
          <w:rFonts w:eastAsia="Times New Roman" w:cs="Arial"/>
          <w:lang w:val="es-ES" w:eastAsia="es-ES"/>
        </w:rPr>
        <w:t xml:space="preserve"> de las directrices desarrolladas en virtud del Memorando de Entendimiento sobre la Conservación y Gestión de Tortugas Marinas y sus Hábitats del Océano Índico y el Sudeste Asiático (MdE de tortugas marinas de IOSEA) para permitir la identificación de hábitats críticos en todas las fases de la vida de las tortugas marinas, y que define tales hábitats como áreas reconocibles esenciales para el mantenimiento y la recuperación de poblaciones de tortugas marinas, así como la importancia de la Red de Zonas de Importancia para las Tortugas Marinas en la región del Océano Índico - Sudeste Asiático,</w:t>
      </w:r>
    </w:p>
    <w:p w14:paraId="685A9168" w14:textId="77777777" w:rsidR="006967D8" w:rsidRPr="00461B7C" w:rsidRDefault="006967D8" w:rsidP="006967D8">
      <w:pPr>
        <w:spacing w:after="0" w:line="240" w:lineRule="auto"/>
        <w:jc w:val="both"/>
        <w:rPr>
          <w:rFonts w:eastAsia="Times New Roman" w:cs="Arial"/>
          <w:i/>
          <w:lang w:val="es-ES" w:eastAsia="en-GB"/>
        </w:rPr>
      </w:pPr>
    </w:p>
    <w:p w14:paraId="75893173" w14:textId="77777777" w:rsidR="006967D8" w:rsidRPr="00461B7C" w:rsidRDefault="006967D8" w:rsidP="006967D8">
      <w:pPr>
        <w:spacing w:after="0" w:line="240" w:lineRule="auto"/>
        <w:jc w:val="both"/>
        <w:rPr>
          <w:rFonts w:eastAsia="Times New Roman" w:cs="Arial"/>
          <w:lang w:val="es-ES" w:eastAsia="en-GB"/>
        </w:rPr>
      </w:pPr>
      <w:r w:rsidRPr="00461B7C">
        <w:rPr>
          <w:rFonts w:eastAsia="Times New Roman" w:cs="Arial"/>
          <w:i/>
          <w:lang w:val="es-ES" w:eastAsia="es-ES"/>
        </w:rPr>
        <w:t>Acogiendo con beneplácito</w:t>
      </w:r>
      <w:r w:rsidRPr="00461B7C">
        <w:rPr>
          <w:rFonts w:eastAsia="Times New Roman" w:cs="Arial"/>
          <w:lang w:val="es-ES" w:eastAsia="es-ES"/>
        </w:rPr>
        <w:t xml:space="preserve"> el desarrollo de criterios para la identificación de AITM por el Grupo Especializado de Tortugas Marinas (MTSG) de la Comisión de Supervivencia de Especies (CSE) de la UICN, como una forma de resaltar áreas de importancia biológica o cultural especial para tortugas marinas globalmente y dentro de las Unidades de Gestión Regional definidas,</w:t>
      </w:r>
    </w:p>
    <w:p w14:paraId="2B3AED7C" w14:textId="77777777" w:rsidR="006967D8" w:rsidRPr="00461B7C" w:rsidRDefault="006967D8" w:rsidP="006967D8">
      <w:pPr>
        <w:spacing w:after="0" w:line="240" w:lineRule="auto"/>
        <w:jc w:val="both"/>
        <w:rPr>
          <w:rFonts w:eastAsia="Times New Roman" w:cs="Arial"/>
          <w:i/>
          <w:lang w:val="es-ES" w:eastAsia="en-GB"/>
        </w:rPr>
      </w:pPr>
    </w:p>
    <w:p w14:paraId="0EB56652" w14:textId="77777777" w:rsidR="006967D8" w:rsidRPr="00461B7C" w:rsidRDefault="006967D8" w:rsidP="006967D8">
      <w:pPr>
        <w:spacing w:after="0" w:line="240" w:lineRule="auto"/>
        <w:jc w:val="both"/>
        <w:rPr>
          <w:rFonts w:eastAsia="Times New Roman" w:cs="Arial"/>
          <w:lang w:val="es-ES" w:eastAsia="en-GB"/>
        </w:rPr>
      </w:pPr>
      <w:r w:rsidRPr="00461B7C">
        <w:rPr>
          <w:rFonts w:eastAsia="Times New Roman" w:cs="Arial"/>
          <w:i/>
          <w:lang w:val="es-ES" w:eastAsia="es-ES"/>
        </w:rPr>
        <w:t>Afirmando</w:t>
      </w:r>
      <w:r w:rsidRPr="00461B7C">
        <w:rPr>
          <w:rFonts w:eastAsia="Times New Roman" w:cs="Arial"/>
          <w:lang w:val="es-ES" w:eastAsia="es-ES"/>
        </w:rPr>
        <w:t xml:space="preserve"> que las AITM son una clasificación consultiva de expertos que puede ofrecer información importante para la planificación espacial, conservación y gestión marinas, aplicable a nivel global, a aguas costeras y litorales, dentro y fuera de áreas bajo la jurisdicción nacional, y formadas por secciones discretas de hábitats importantes para las especies de tortugas marinas que tienen el potencial de ser delimitadas y gestionadas para su conservación y protección, incluyendo la conectividad,</w:t>
      </w:r>
    </w:p>
    <w:p w14:paraId="60231B13" w14:textId="77777777" w:rsidR="006967D8" w:rsidRPr="00461B7C" w:rsidRDefault="006967D8" w:rsidP="006967D8">
      <w:pPr>
        <w:spacing w:after="0" w:line="240" w:lineRule="auto"/>
        <w:jc w:val="both"/>
        <w:rPr>
          <w:rFonts w:eastAsia="Times New Roman" w:cs="Arial"/>
          <w:i/>
          <w:iCs/>
          <w:lang w:val="es-ES" w:eastAsia="en-GB"/>
        </w:rPr>
      </w:pPr>
    </w:p>
    <w:p w14:paraId="3DD28616" w14:textId="77777777" w:rsidR="006967D8" w:rsidRPr="00461B7C" w:rsidRDefault="006967D8" w:rsidP="006967D8">
      <w:pPr>
        <w:spacing w:after="0" w:line="240" w:lineRule="auto"/>
        <w:jc w:val="both"/>
        <w:rPr>
          <w:rFonts w:eastAsia="Times New Roman" w:cs="Arial"/>
          <w:lang w:val="es-ES" w:eastAsia="en-GB"/>
        </w:rPr>
      </w:pPr>
      <w:r w:rsidRPr="00461B7C">
        <w:rPr>
          <w:rFonts w:eastAsia="Times New Roman" w:cs="Arial"/>
          <w:i/>
          <w:lang w:val="es-ES" w:eastAsia="es-ES"/>
        </w:rPr>
        <w:t>Reconociendo</w:t>
      </w:r>
      <w:r w:rsidRPr="00461B7C">
        <w:rPr>
          <w:rFonts w:eastAsia="Times New Roman" w:cs="Arial"/>
          <w:lang w:val="es-ES" w:eastAsia="es-ES"/>
        </w:rPr>
        <w:t xml:space="preserve"> el respaldo de la sociedad civil y otras partes implicadas en la implementación de los mandatos de la COP relacionados con las tortugas marinas, y </w:t>
      </w:r>
      <w:r w:rsidRPr="00461B7C">
        <w:rPr>
          <w:rFonts w:eastAsia="Times New Roman" w:cs="Arial"/>
          <w:i/>
          <w:lang w:val="es-ES" w:eastAsia="es-ES"/>
        </w:rPr>
        <w:t>acogiendo con beneplácito</w:t>
      </w:r>
      <w:r w:rsidRPr="00461B7C">
        <w:rPr>
          <w:rFonts w:eastAsia="Times New Roman" w:cs="Arial"/>
          <w:lang w:val="es-ES" w:eastAsia="es-ES"/>
        </w:rPr>
        <w:t xml:space="preserve"> en este caso específicamente la cooperación con los </w:t>
      </w:r>
      <w:r w:rsidRPr="00461B7C">
        <w:rPr>
          <w:rFonts w:eastAsia="Times New Roman" w:cs="Arial"/>
          <w:i/>
          <w:lang w:val="es-ES" w:eastAsia="es-ES"/>
        </w:rPr>
        <w:t>Corredores azules para tortugas</w:t>
      </w:r>
      <w:r w:rsidRPr="00461B7C">
        <w:rPr>
          <w:rFonts w:eastAsia="Times New Roman" w:cs="Arial"/>
          <w:lang w:val="es-ES" w:eastAsia="es-ES"/>
        </w:rPr>
        <w:t>, que pretende facilitar la designación de las AITM en todas las regiones oceánicas,</w:t>
      </w:r>
    </w:p>
    <w:p w14:paraId="506EE032" w14:textId="77777777" w:rsidR="006967D8" w:rsidRPr="00461B7C" w:rsidRDefault="006967D8" w:rsidP="006967D8">
      <w:pPr>
        <w:spacing w:after="0" w:line="240" w:lineRule="auto"/>
        <w:jc w:val="both"/>
        <w:rPr>
          <w:rFonts w:eastAsia="Times New Roman" w:cs="Arial"/>
          <w:i/>
          <w:lang w:val="es-ES" w:eastAsia="en-GB"/>
        </w:rPr>
      </w:pPr>
    </w:p>
    <w:p w14:paraId="489BAEB6" w14:textId="77777777" w:rsidR="006967D8" w:rsidRPr="00461B7C" w:rsidRDefault="006967D8" w:rsidP="006967D8">
      <w:pPr>
        <w:spacing w:after="0" w:line="240" w:lineRule="auto"/>
        <w:jc w:val="both"/>
        <w:rPr>
          <w:rFonts w:eastAsia="Times New Roman" w:cs="Arial"/>
          <w:lang w:val="es-ES" w:eastAsia="en-GB"/>
        </w:rPr>
      </w:pPr>
      <w:r w:rsidRPr="00461B7C">
        <w:rPr>
          <w:rFonts w:eastAsia="Times New Roman" w:cs="Arial"/>
          <w:i/>
          <w:lang w:val="es-ES" w:eastAsia="es-ES"/>
        </w:rPr>
        <w:t>Reconociendo además</w:t>
      </w:r>
      <w:r w:rsidRPr="00461B7C">
        <w:rPr>
          <w:rFonts w:eastAsia="Times New Roman" w:cs="Arial"/>
          <w:lang w:val="es-ES" w:eastAsia="es-ES"/>
        </w:rPr>
        <w:t xml:space="preserve"> el potencial de las AITM para respaldar la implementación de los Acuerdos medioambientales multilaterales y del Marco Mundial para la Biodiversidad de Kunming-Montreal, en particular los Objetivos 1, 2 y 3, y su importancia para la gestión por zonas de la pesca y otras actividades dentro y fuera de la jurisdicción nacional, la conectividad marina y las redes ecológicas;</w:t>
      </w:r>
    </w:p>
    <w:p w14:paraId="178A6013" w14:textId="77777777" w:rsidR="006967D8" w:rsidRPr="00461B7C" w:rsidRDefault="006967D8" w:rsidP="006967D8">
      <w:pPr>
        <w:spacing w:after="0" w:line="240" w:lineRule="auto"/>
        <w:jc w:val="both"/>
        <w:rPr>
          <w:rFonts w:eastAsia="Times New Roman" w:cs="Arial"/>
          <w:i/>
          <w:lang w:val="es-ES" w:eastAsia="en-GB"/>
        </w:rPr>
      </w:pPr>
    </w:p>
    <w:p w14:paraId="32947838" w14:textId="77777777" w:rsidR="006967D8" w:rsidRPr="00461B7C" w:rsidRDefault="006967D8" w:rsidP="006967D8">
      <w:pPr>
        <w:spacing w:after="0" w:line="240" w:lineRule="auto"/>
        <w:jc w:val="both"/>
        <w:rPr>
          <w:rFonts w:eastAsia="Times New Roman" w:cs="Arial"/>
          <w:lang w:val="es-ES" w:eastAsia="en-GB"/>
        </w:rPr>
      </w:pPr>
      <w:r w:rsidRPr="00461B7C">
        <w:rPr>
          <w:rFonts w:eastAsia="Times New Roman" w:cs="Arial"/>
          <w:i/>
          <w:lang w:val="es-ES" w:eastAsia="es-ES"/>
        </w:rPr>
        <w:t>Tomando nota</w:t>
      </w:r>
      <w:r w:rsidRPr="00461B7C">
        <w:rPr>
          <w:rFonts w:eastAsia="Times New Roman" w:cs="Arial"/>
          <w:lang w:val="es-ES" w:eastAsia="es-ES"/>
        </w:rPr>
        <w:t xml:space="preserve"> de que las AITM tienen como finalidad complementar y contribuir en los enfoques de conservación espacial existentes como la Red de Áreas Importantes para las Tortugas Marinas en la Región del Océano Índico-Sudeste Asiático definidas en el MdE de Tortugas Marinas de IOSEA, Áreas importantes para mamíferos marinos (AIMM), Áreas importantes para tiburones y rayas (ISRA), Humedales de importancia internacional identificados por la Convención de Ramsar, Marco de patrimonio mundial, Áreas marinas de importancia ecológica o biológica (AIEB), Zonas clave para la biodiversidad (KBA) y Zonas marinas especialmente sensibles (ZMES),</w:t>
      </w:r>
    </w:p>
    <w:p w14:paraId="04D4C27B" w14:textId="77777777" w:rsidR="006967D8" w:rsidRPr="00461B7C" w:rsidRDefault="006967D8" w:rsidP="006967D8">
      <w:pPr>
        <w:widowControl w:val="0"/>
        <w:autoSpaceDE w:val="0"/>
        <w:autoSpaceDN w:val="0"/>
        <w:adjustRightInd w:val="0"/>
        <w:spacing w:after="0" w:line="240" w:lineRule="auto"/>
        <w:jc w:val="both"/>
        <w:rPr>
          <w:rFonts w:eastAsia="Times New Roman" w:cs="Arial"/>
          <w:i/>
          <w:lang w:val="es-ES"/>
        </w:rPr>
      </w:pPr>
    </w:p>
    <w:p w14:paraId="71359CC2" w14:textId="77777777" w:rsidR="006967D8" w:rsidRPr="00461B7C" w:rsidRDefault="006967D8" w:rsidP="006967D8">
      <w:pPr>
        <w:widowControl w:val="0"/>
        <w:autoSpaceDE w:val="0"/>
        <w:autoSpaceDN w:val="0"/>
        <w:adjustRightInd w:val="0"/>
        <w:spacing w:after="0" w:line="240" w:lineRule="auto"/>
        <w:jc w:val="both"/>
        <w:rPr>
          <w:rFonts w:eastAsia="Times New Roman" w:cs="Arial"/>
          <w:iCs/>
          <w:lang w:val="es-ES"/>
        </w:rPr>
      </w:pPr>
      <w:r w:rsidRPr="00461B7C">
        <w:rPr>
          <w:rFonts w:eastAsia="Times New Roman" w:cs="Arial"/>
          <w:i/>
          <w:lang w:val="es-ES"/>
        </w:rPr>
        <w:t xml:space="preserve">Acogiendo con beneplácito </w:t>
      </w:r>
      <w:r w:rsidRPr="00461B7C">
        <w:rPr>
          <w:rFonts w:eastAsia="Times New Roman" w:cs="Arial"/>
          <w:lang w:val="es-ES"/>
        </w:rPr>
        <w:t>el Acuerdo en el marco de la Convención de las Naciones Unidas sobre el Derecho del Mar relativo a la Conservación y el Uso Sostenible de la Diversidad Biológica Marina de las Zonas Situadas Fuera de la Jurisdicción Nacional (Acuerdo BBNJ), que proporciona un marco para la designación y la gestión de áreas marinas protegidas de alta mar y otras herramientas de gestión por áreas,</w:t>
      </w:r>
    </w:p>
    <w:p w14:paraId="30CBA188" w14:textId="77777777" w:rsidR="006967D8" w:rsidRPr="00461B7C" w:rsidRDefault="006967D8" w:rsidP="006967D8">
      <w:pPr>
        <w:widowControl w:val="0"/>
        <w:autoSpaceDE w:val="0"/>
        <w:autoSpaceDN w:val="0"/>
        <w:adjustRightInd w:val="0"/>
        <w:spacing w:after="0" w:line="240" w:lineRule="auto"/>
        <w:jc w:val="both"/>
        <w:rPr>
          <w:rFonts w:eastAsia="Times New Roman" w:cs="Arial"/>
          <w:i/>
          <w:lang w:val="es-ES"/>
        </w:rPr>
      </w:pPr>
    </w:p>
    <w:p w14:paraId="0F00BD58" w14:textId="77777777" w:rsidR="006967D8" w:rsidRPr="00461B7C" w:rsidRDefault="006967D8" w:rsidP="006967D8">
      <w:pPr>
        <w:spacing w:after="0" w:line="240" w:lineRule="auto"/>
        <w:rPr>
          <w:rFonts w:eastAsia="Times New Roman" w:cs="Arial"/>
          <w:i/>
          <w:lang w:val="es-ES"/>
        </w:rPr>
      </w:pPr>
    </w:p>
    <w:p w14:paraId="2A6C91C4" w14:textId="77777777" w:rsidR="006967D8" w:rsidRPr="00461B7C" w:rsidRDefault="006967D8" w:rsidP="006967D8">
      <w:pPr>
        <w:widowControl w:val="0"/>
        <w:autoSpaceDE w:val="0"/>
        <w:autoSpaceDN w:val="0"/>
        <w:adjustRightInd w:val="0"/>
        <w:spacing w:after="0" w:line="240" w:lineRule="auto"/>
        <w:jc w:val="center"/>
        <w:rPr>
          <w:rFonts w:eastAsia="Times New Roman" w:cs="Arial"/>
          <w:i/>
          <w:lang w:val="es-ES"/>
        </w:rPr>
      </w:pPr>
      <w:r w:rsidRPr="00461B7C">
        <w:rPr>
          <w:rFonts w:eastAsia="Times New Roman" w:cs="Arial"/>
          <w:i/>
          <w:lang w:val="es-ES"/>
        </w:rPr>
        <w:t>La Conferencia de las Partes en la</w:t>
      </w:r>
    </w:p>
    <w:p w14:paraId="2220D9E8" w14:textId="77777777" w:rsidR="006967D8" w:rsidRPr="00461B7C" w:rsidRDefault="006967D8" w:rsidP="006967D8">
      <w:pPr>
        <w:widowControl w:val="0"/>
        <w:autoSpaceDE w:val="0"/>
        <w:autoSpaceDN w:val="0"/>
        <w:adjustRightInd w:val="0"/>
        <w:spacing w:after="0" w:line="240" w:lineRule="auto"/>
        <w:jc w:val="center"/>
        <w:rPr>
          <w:rFonts w:eastAsia="Times New Roman" w:cs="Arial"/>
          <w:i/>
          <w:lang w:val="es-ES"/>
        </w:rPr>
      </w:pPr>
      <w:r w:rsidRPr="00461B7C">
        <w:rPr>
          <w:rFonts w:eastAsia="Times New Roman" w:cs="Arial"/>
          <w:i/>
          <w:lang w:val="es-ES"/>
        </w:rPr>
        <w:t>Convención sobre la Conservación de las Especies Migratorias de Animales Silvestres</w:t>
      </w:r>
    </w:p>
    <w:p w14:paraId="61545A9E" w14:textId="77777777" w:rsidR="006967D8" w:rsidRDefault="006967D8" w:rsidP="006967D8">
      <w:pPr>
        <w:widowControl w:val="0"/>
        <w:autoSpaceDE w:val="0"/>
        <w:autoSpaceDN w:val="0"/>
        <w:adjustRightInd w:val="0"/>
        <w:spacing w:after="0" w:line="240" w:lineRule="auto"/>
        <w:jc w:val="both"/>
        <w:rPr>
          <w:rFonts w:eastAsia="Times New Roman" w:cs="Arial"/>
          <w:lang w:val="es-ES"/>
        </w:rPr>
      </w:pPr>
    </w:p>
    <w:p w14:paraId="2954E0C7" w14:textId="77777777" w:rsidR="00934399" w:rsidRPr="00461B7C" w:rsidRDefault="00934399" w:rsidP="006967D8">
      <w:pPr>
        <w:widowControl w:val="0"/>
        <w:autoSpaceDE w:val="0"/>
        <w:autoSpaceDN w:val="0"/>
        <w:adjustRightInd w:val="0"/>
        <w:spacing w:after="0" w:line="240" w:lineRule="auto"/>
        <w:jc w:val="both"/>
        <w:rPr>
          <w:rFonts w:eastAsia="Times New Roman" w:cs="Arial"/>
          <w:lang w:val="es-ES"/>
        </w:rPr>
      </w:pPr>
    </w:p>
    <w:p w14:paraId="7C254838" w14:textId="77777777" w:rsidR="006967D8" w:rsidRPr="00461B7C" w:rsidRDefault="006967D8" w:rsidP="006967D8">
      <w:pPr>
        <w:numPr>
          <w:ilvl w:val="0"/>
          <w:numId w:val="23"/>
        </w:numPr>
        <w:spacing w:after="0" w:line="240" w:lineRule="auto"/>
        <w:jc w:val="both"/>
        <w:rPr>
          <w:rFonts w:eastAsia="Times New Roman" w:cs="Arial"/>
          <w:lang w:val="es-ES" w:eastAsia="en-GB"/>
        </w:rPr>
      </w:pPr>
      <w:r w:rsidRPr="00461B7C">
        <w:rPr>
          <w:rFonts w:eastAsia="Times New Roman" w:cs="Arial"/>
          <w:i/>
          <w:lang w:val="es-ES" w:eastAsia="es-ES"/>
        </w:rPr>
        <w:t>Reconoce</w:t>
      </w:r>
      <w:r w:rsidRPr="00461B7C">
        <w:rPr>
          <w:rFonts w:eastAsia="Times New Roman" w:cs="Arial"/>
          <w:lang w:val="es-ES" w:eastAsia="es-ES"/>
        </w:rPr>
        <w:t xml:space="preserve"> los criterios y el proceso de identificación para Áreas importantes para las tortugas marinas (AITM) desarrollados por el Grupo especializado de Tortugas Marinas de la CSE de la UICN, y acoge con beneplácito la disponibilidad del Documento de directrices de AITM en la página web del MTSG (</w:t>
      </w:r>
      <w:hyperlink r:id="rId34" w:tgtFrame="_new" w:history="1">
        <w:r w:rsidRPr="00461B7C">
          <w:rPr>
            <w:rFonts w:eastAsia="Times New Roman" w:cs="Arial"/>
            <w:u w:val="single"/>
            <w:lang w:val="es-ES" w:eastAsia="es-ES"/>
          </w:rPr>
          <w:t>https://www.iucn-mtsg.org/imtas</w:t>
        </w:r>
      </w:hyperlink>
      <w:r w:rsidRPr="00461B7C">
        <w:rPr>
          <w:rFonts w:eastAsia="Times New Roman" w:cs="Arial"/>
          <w:lang w:val="es-ES" w:eastAsia="es-ES"/>
        </w:rPr>
        <w:t>);</w:t>
      </w:r>
    </w:p>
    <w:p w14:paraId="3D5090F8" w14:textId="77777777" w:rsidR="006967D8" w:rsidRPr="00461B7C" w:rsidRDefault="006967D8" w:rsidP="006967D8">
      <w:pPr>
        <w:spacing w:after="0" w:line="240" w:lineRule="auto"/>
        <w:ind w:left="360"/>
        <w:jc w:val="both"/>
        <w:rPr>
          <w:rFonts w:eastAsia="Times New Roman" w:cs="Arial"/>
          <w:lang w:val="es-ES" w:eastAsia="en-GB"/>
        </w:rPr>
      </w:pPr>
    </w:p>
    <w:p w14:paraId="56D6410D" w14:textId="77777777" w:rsidR="006967D8" w:rsidRPr="00461B7C" w:rsidRDefault="006967D8" w:rsidP="006967D8">
      <w:pPr>
        <w:numPr>
          <w:ilvl w:val="0"/>
          <w:numId w:val="23"/>
        </w:numPr>
        <w:spacing w:after="0" w:line="240" w:lineRule="auto"/>
        <w:jc w:val="both"/>
        <w:rPr>
          <w:rFonts w:eastAsia="Times New Roman" w:cs="Arial"/>
          <w:lang w:val="es-ES" w:eastAsia="en-GB"/>
        </w:rPr>
      </w:pPr>
      <w:r w:rsidRPr="00461B7C">
        <w:rPr>
          <w:rFonts w:eastAsia="Times New Roman" w:cs="Arial"/>
          <w:i/>
          <w:lang w:val="es-ES" w:eastAsia="es-ES"/>
        </w:rPr>
        <w:t>Pide a las</w:t>
      </w:r>
      <w:r w:rsidRPr="00461B7C">
        <w:rPr>
          <w:rFonts w:eastAsia="Times New Roman" w:cs="Arial"/>
          <w:lang w:val="es-ES" w:eastAsia="es-ES"/>
        </w:rPr>
        <w:t xml:space="preserve"> Partes e </w:t>
      </w:r>
      <w:r w:rsidRPr="00461B7C">
        <w:rPr>
          <w:rFonts w:eastAsia="Times New Roman" w:cs="Arial"/>
          <w:i/>
          <w:lang w:val="es-ES" w:eastAsia="es-ES"/>
        </w:rPr>
        <w:t>invita</w:t>
      </w:r>
      <w:r w:rsidRPr="00461B7C">
        <w:rPr>
          <w:rFonts w:eastAsia="Times New Roman" w:cs="Arial"/>
          <w:lang w:val="es-ES" w:eastAsia="es-ES"/>
        </w:rPr>
        <w:t xml:space="preserve"> a los Estados del área de distribución, las organizaciones intergubernamentales, las organizaciones no gubernamentales y los socios relevantes a compartir los datos y respaldar la identificación y la validación de las AITM, especialmente en áreas con hábitats de anidación, alimento, migración o importancia cultural para </w:t>
      </w:r>
      <w:r w:rsidRPr="00461B7C">
        <w:rPr>
          <w:rFonts w:eastAsia="Times New Roman" w:cs="Arial"/>
          <w:lang w:val="es-ES" w:eastAsia="es-ES"/>
        </w:rPr>
        <w:lastRenderedPageBreak/>
        <w:t>tortugas marinas, garantizando el uso compartido de datos equitativos y el desarrollo de capacidades en los países desarrollados y en vías de desarrollo;</w:t>
      </w:r>
    </w:p>
    <w:p w14:paraId="748A6A15" w14:textId="77777777" w:rsidR="006967D8" w:rsidRPr="00461B7C" w:rsidRDefault="006967D8" w:rsidP="006967D8">
      <w:pPr>
        <w:spacing w:after="0" w:line="240" w:lineRule="auto"/>
        <w:ind w:left="360"/>
        <w:jc w:val="both"/>
        <w:rPr>
          <w:rFonts w:eastAsia="Times New Roman" w:cs="Arial"/>
          <w:lang w:val="es-ES" w:eastAsia="en-GB"/>
        </w:rPr>
      </w:pPr>
    </w:p>
    <w:p w14:paraId="7D14AA13" w14:textId="77777777" w:rsidR="006967D8" w:rsidRPr="00461B7C" w:rsidRDefault="006967D8" w:rsidP="006967D8">
      <w:pPr>
        <w:numPr>
          <w:ilvl w:val="0"/>
          <w:numId w:val="23"/>
        </w:numPr>
        <w:spacing w:after="0" w:line="240" w:lineRule="auto"/>
        <w:jc w:val="both"/>
        <w:rPr>
          <w:rFonts w:eastAsia="Times New Roman" w:cs="Arial"/>
          <w:lang w:val="es-ES" w:eastAsia="en-GB"/>
        </w:rPr>
      </w:pPr>
      <w:r w:rsidRPr="00461B7C">
        <w:rPr>
          <w:rFonts w:eastAsia="Times New Roman" w:cs="Arial"/>
          <w:i/>
          <w:lang w:val="es-ES" w:eastAsia="es-ES"/>
        </w:rPr>
        <w:t>Recomienda</w:t>
      </w:r>
      <w:r w:rsidRPr="00461B7C">
        <w:rPr>
          <w:rFonts w:eastAsia="Times New Roman" w:cs="Arial"/>
          <w:lang w:val="es-ES" w:eastAsia="es-ES"/>
        </w:rPr>
        <w:t xml:space="preserve"> que estos procesos de identificación impliquen a las autoridades nacionales competentes, instituciones de investigación, poblaciones indígenas y comunidades locales, organizaciones regionales e internacionales relevantes, y otras partes interesadas relevantes, de forma transparente e inclusiva, desde una fase temprana a hacer uso de los enfoques participativos;</w:t>
      </w:r>
    </w:p>
    <w:p w14:paraId="1CCDA440" w14:textId="77777777" w:rsidR="006967D8" w:rsidRPr="00461B7C" w:rsidRDefault="006967D8" w:rsidP="006967D8">
      <w:pPr>
        <w:spacing w:after="0" w:line="240" w:lineRule="auto"/>
        <w:ind w:left="360"/>
        <w:jc w:val="both"/>
        <w:rPr>
          <w:rFonts w:eastAsia="Times New Roman" w:cs="Arial"/>
          <w:lang w:val="es-ES" w:eastAsia="en-GB"/>
        </w:rPr>
      </w:pPr>
    </w:p>
    <w:p w14:paraId="1822DCC8" w14:textId="77777777" w:rsidR="006967D8" w:rsidRDefault="006967D8" w:rsidP="006967D8">
      <w:pPr>
        <w:numPr>
          <w:ilvl w:val="0"/>
          <w:numId w:val="23"/>
        </w:numPr>
        <w:spacing w:after="0" w:line="240" w:lineRule="auto"/>
        <w:jc w:val="both"/>
        <w:rPr>
          <w:rFonts w:eastAsia="Times New Roman" w:cs="Arial"/>
          <w:i/>
          <w:iCs/>
          <w:lang w:val="es-ES" w:eastAsia="en-GB"/>
        </w:rPr>
      </w:pPr>
      <w:r w:rsidRPr="00461B7C">
        <w:rPr>
          <w:rFonts w:eastAsia="Times New Roman" w:cs="Arial"/>
          <w:i/>
          <w:iCs/>
          <w:lang w:val="es-ES" w:eastAsia="es-ES"/>
        </w:rPr>
        <w:t xml:space="preserve">Alienta a las </w:t>
      </w:r>
      <w:r w:rsidRPr="00461B7C">
        <w:rPr>
          <w:rFonts w:eastAsia="Times New Roman" w:cs="Arial"/>
          <w:lang w:val="es-ES" w:eastAsia="es-ES"/>
        </w:rPr>
        <w:t>Partes a utilizar las AITM identificadas en la planificación de la biodiversidad nacional y la planificación espacial marina, para informar sobre la gestión pesquera y al considerar la designación de áreas marinas protegidas u otras medidas de conservación por zonas (OECM) efectivas;</w:t>
      </w:r>
      <w:r w:rsidRPr="00461B7C">
        <w:rPr>
          <w:rFonts w:eastAsia="Times New Roman" w:cs="Arial"/>
          <w:i/>
          <w:iCs/>
          <w:lang w:val="es-ES" w:eastAsia="es-ES"/>
        </w:rPr>
        <w:t xml:space="preserve"> </w:t>
      </w:r>
    </w:p>
    <w:p w14:paraId="6174FE9A" w14:textId="77777777" w:rsidR="0029473D" w:rsidRPr="00461B7C" w:rsidRDefault="0029473D" w:rsidP="0029473D">
      <w:pPr>
        <w:spacing w:after="0" w:line="240" w:lineRule="auto"/>
        <w:jc w:val="both"/>
        <w:rPr>
          <w:rFonts w:eastAsia="Times New Roman" w:cs="Arial"/>
          <w:i/>
          <w:iCs/>
          <w:lang w:val="es-ES" w:eastAsia="en-GB"/>
        </w:rPr>
      </w:pPr>
    </w:p>
    <w:p w14:paraId="0C7C9A9C" w14:textId="77777777" w:rsidR="006967D8" w:rsidRPr="00461B7C" w:rsidRDefault="006967D8" w:rsidP="006967D8">
      <w:pPr>
        <w:numPr>
          <w:ilvl w:val="0"/>
          <w:numId w:val="23"/>
        </w:numPr>
        <w:spacing w:after="0" w:line="240" w:lineRule="auto"/>
        <w:jc w:val="both"/>
        <w:rPr>
          <w:rFonts w:eastAsia="Aptos" w:cs="Arial"/>
          <w:i/>
          <w:iCs/>
          <w:lang w:val="es-ES" w:eastAsia="en-GB"/>
        </w:rPr>
      </w:pPr>
      <w:r w:rsidRPr="00461B7C">
        <w:rPr>
          <w:rFonts w:eastAsia="Aptos" w:cs="Arial"/>
          <w:i/>
          <w:iCs/>
          <w:lang w:val="es-ES" w:eastAsia="es-ES"/>
        </w:rPr>
        <w:t xml:space="preserve">Alienta </w:t>
      </w:r>
      <w:r w:rsidRPr="00461B7C">
        <w:rPr>
          <w:rFonts w:eastAsia="Aptos" w:cs="Arial"/>
          <w:lang w:val="es-ES" w:eastAsia="es-ES"/>
        </w:rPr>
        <w:t>a las Partes, los Estados del área de distribución y las organizaciones internacionales relevantes a utilizar las AITM identificadas como base científica para determinar la selección y la designación de áreas marinas protegidas y otras medidas de conservación por zonas efectivas en zonas situadas fuera de la jurisdicción nacional, para respaldar los esfuerzos globales permanentes, incluyendo el Acuerdo BBNJ; e</w:t>
      </w:r>
    </w:p>
    <w:p w14:paraId="2343FDC2" w14:textId="77777777" w:rsidR="006967D8" w:rsidRPr="00461B7C" w:rsidRDefault="006967D8" w:rsidP="006967D8">
      <w:pPr>
        <w:spacing w:after="0" w:line="240" w:lineRule="auto"/>
        <w:ind w:left="360"/>
        <w:jc w:val="both"/>
        <w:rPr>
          <w:rFonts w:eastAsia="Times New Roman" w:cs="Arial"/>
          <w:lang w:val="es-ES" w:eastAsia="en-GB"/>
        </w:rPr>
      </w:pPr>
    </w:p>
    <w:p w14:paraId="74EAB2A8" w14:textId="026ABFF7" w:rsidR="008F5040" w:rsidRPr="006967D8" w:rsidRDefault="006967D8" w:rsidP="006967D8">
      <w:pPr>
        <w:numPr>
          <w:ilvl w:val="0"/>
          <w:numId w:val="23"/>
        </w:numPr>
        <w:tabs>
          <w:tab w:val="clear" w:pos="360"/>
        </w:tabs>
        <w:spacing w:after="0" w:line="240" w:lineRule="auto"/>
        <w:ind w:left="567" w:hanging="567"/>
        <w:jc w:val="both"/>
        <w:rPr>
          <w:rFonts w:eastAsia="Aptos" w:cs="Arial"/>
          <w:i/>
          <w:iCs/>
          <w:lang w:val="es-ES" w:eastAsia="en-GB"/>
        </w:rPr>
      </w:pPr>
      <w:r w:rsidRPr="00461B7C">
        <w:rPr>
          <w:rFonts w:eastAsia="Times New Roman" w:cs="Arial"/>
          <w:i/>
          <w:iCs/>
          <w:lang w:val="es-ES" w:eastAsia="es-ES"/>
        </w:rPr>
        <w:t xml:space="preserve">Invita </w:t>
      </w:r>
      <w:r w:rsidRPr="00461B7C">
        <w:rPr>
          <w:rFonts w:eastAsia="Times New Roman" w:cs="Arial"/>
          <w:lang w:val="es-ES" w:eastAsia="es-ES"/>
        </w:rPr>
        <w:t>al Convenio sobre Diversidad Biológica, la Organización Marítima Internacional, los Órganos Pesqueros regionales y las Organizaciones de gestión, las Convenciones regionales del mar y los planes de acción, y la Unión Internacional para la Conservación de la Naturaleza a considerar las AITM como contribuciones útiles para la determinación de AIEB, ZMES y KBA</w:t>
      </w:r>
    </w:p>
    <w:p w14:paraId="3AF3869F" w14:textId="77777777" w:rsidR="00CF673D" w:rsidRPr="006967D8" w:rsidRDefault="00CF673D" w:rsidP="0020300C">
      <w:pPr>
        <w:pStyle w:val="ListParagraph"/>
        <w:spacing w:line="240" w:lineRule="auto"/>
        <w:rPr>
          <w:rFonts w:eastAsia="Aptos" w:cs="Arial"/>
          <w:i/>
          <w:iCs/>
          <w:lang w:val="es-ES" w:eastAsia="en-GB"/>
        </w:rPr>
      </w:pPr>
    </w:p>
    <w:p w14:paraId="2B8052D6" w14:textId="77777777" w:rsidR="00CF673D" w:rsidRPr="006967D8" w:rsidRDefault="00CF673D" w:rsidP="0020300C">
      <w:pPr>
        <w:spacing w:after="0" w:line="240" w:lineRule="auto"/>
        <w:jc w:val="both"/>
        <w:rPr>
          <w:rFonts w:eastAsia="Aptos" w:cs="Arial"/>
          <w:i/>
          <w:iCs/>
          <w:lang w:val="es-ES" w:eastAsia="en-GB"/>
        </w:rPr>
        <w:sectPr w:rsidR="00CF673D" w:rsidRPr="006967D8" w:rsidSect="00323406">
          <w:headerReference w:type="even" r:id="rId35"/>
          <w:headerReference w:type="default" r:id="rId36"/>
          <w:headerReference w:type="first" r:id="rId37"/>
          <w:footerReference w:type="first" r:id="rId38"/>
          <w:pgSz w:w="11906" w:h="16838" w:code="9"/>
          <w:pgMar w:top="1440" w:right="1440" w:bottom="1440" w:left="1440" w:header="720" w:footer="720" w:gutter="0"/>
          <w:cols w:space="720"/>
          <w:titlePg/>
          <w:docGrid w:linePitch="360"/>
        </w:sectPr>
      </w:pPr>
    </w:p>
    <w:p w14:paraId="2F5872ED" w14:textId="2A975AE3" w:rsidR="00707384" w:rsidRPr="00461B7C" w:rsidRDefault="001936E1" w:rsidP="00707384">
      <w:pPr>
        <w:pStyle w:val="Secondnumbering"/>
        <w:numPr>
          <w:ilvl w:val="0"/>
          <w:numId w:val="0"/>
        </w:numPr>
        <w:jc w:val="right"/>
        <w:rPr>
          <w:lang w:val="es-ES"/>
        </w:rPr>
      </w:pPr>
      <w:r w:rsidRPr="00461B7C">
        <w:rPr>
          <w:rFonts w:cs="Arial"/>
          <w:b/>
          <w:lang w:val="es-ES"/>
        </w:rPr>
        <w:lastRenderedPageBreak/>
        <w:t>ANEXO</w:t>
      </w:r>
      <w:r w:rsidR="00707384" w:rsidRPr="00461B7C">
        <w:rPr>
          <w:rFonts w:cs="Arial"/>
          <w:b/>
          <w:lang w:val="es-ES"/>
        </w:rPr>
        <w:t xml:space="preserve"> 2</w:t>
      </w:r>
    </w:p>
    <w:p w14:paraId="6F3DBB6C" w14:textId="77777777" w:rsidR="00707384" w:rsidRDefault="00707384" w:rsidP="00707384">
      <w:pPr>
        <w:pStyle w:val="Secondnumbering"/>
        <w:numPr>
          <w:ilvl w:val="0"/>
          <w:numId w:val="0"/>
        </w:numPr>
        <w:rPr>
          <w:lang w:val="es-ES"/>
        </w:rPr>
      </w:pPr>
    </w:p>
    <w:p w14:paraId="606E215D" w14:textId="77777777" w:rsidR="001936E1" w:rsidRPr="00461B7C" w:rsidRDefault="001936E1" w:rsidP="00707384">
      <w:pPr>
        <w:pStyle w:val="Secondnumbering"/>
        <w:numPr>
          <w:ilvl w:val="0"/>
          <w:numId w:val="0"/>
        </w:numPr>
        <w:rPr>
          <w:lang w:val="es-ES"/>
        </w:rPr>
      </w:pPr>
    </w:p>
    <w:p w14:paraId="2E4C0975" w14:textId="77777777" w:rsidR="00707384" w:rsidRPr="00461B7C" w:rsidRDefault="00707384" w:rsidP="00707384">
      <w:pPr>
        <w:widowControl w:val="0"/>
        <w:autoSpaceDE w:val="0"/>
        <w:autoSpaceDN w:val="0"/>
        <w:adjustRightInd w:val="0"/>
        <w:spacing w:after="0" w:line="240" w:lineRule="auto"/>
        <w:jc w:val="center"/>
        <w:rPr>
          <w:rFonts w:eastAsia="Times New Roman" w:cs="Arial"/>
          <w:lang w:val="es-ES"/>
        </w:rPr>
      </w:pPr>
      <w:r w:rsidRPr="00461B7C">
        <w:rPr>
          <w:rFonts w:eastAsia="Times New Roman" w:cs="Arial"/>
          <w:lang w:val="es-ES"/>
        </w:rPr>
        <w:t>PROYECTO DE RESOLUCIÓN</w:t>
      </w:r>
    </w:p>
    <w:p w14:paraId="3613A4A5" w14:textId="77777777" w:rsidR="00707384" w:rsidRPr="00461B7C" w:rsidRDefault="00707384" w:rsidP="00707384">
      <w:pPr>
        <w:widowControl w:val="0"/>
        <w:autoSpaceDE w:val="0"/>
        <w:autoSpaceDN w:val="0"/>
        <w:adjustRightInd w:val="0"/>
        <w:spacing w:after="0" w:line="240" w:lineRule="auto"/>
        <w:jc w:val="center"/>
        <w:rPr>
          <w:rFonts w:eastAsia="Times New Roman" w:cs="Arial"/>
          <w:lang w:val="es-ES"/>
        </w:rPr>
      </w:pPr>
    </w:p>
    <w:p w14:paraId="2AA0314C" w14:textId="15A10ABA" w:rsidR="00707384" w:rsidRPr="00461B7C" w:rsidRDefault="001936E1" w:rsidP="0070738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lang w:val="es-ES"/>
        </w:rPr>
      </w:pPr>
      <w:r w:rsidRPr="00461B7C">
        <w:rPr>
          <w:rFonts w:eastAsia="Times New Roman" w:cs="Arial"/>
          <w:b/>
          <w:lang w:val="es-ES"/>
        </w:rPr>
        <w:t>PRIORIDADES PARA LA CONSERVACIÓN POR ÁREAS DE LAS ESPECIES MIGRATORIAS MARINAS</w:t>
      </w:r>
    </w:p>
    <w:p w14:paraId="5E9004E7" w14:textId="77777777" w:rsidR="00707384" w:rsidRPr="00461B7C" w:rsidRDefault="00707384" w:rsidP="0070738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lang w:val="es-ES"/>
        </w:rPr>
      </w:pPr>
    </w:p>
    <w:p w14:paraId="5618F905" w14:textId="77777777" w:rsidR="00707384" w:rsidRPr="00461B7C" w:rsidRDefault="00707384" w:rsidP="00707384">
      <w:pPr>
        <w:widowControl w:val="0"/>
        <w:autoSpaceDE w:val="0"/>
        <w:autoSpaceDN w:val="0"/>
        <w:adjustRightInd w:val="0"/>
        <w:spacing w:after="0" w:line="240" w:lineRule="auto"/>
        <w:jc w:val="both"/>
        <w:rPr>
          <w:rFonts w:eastAsia="Times New Roman" w:cs="Arial"/>
          <w:i/>
          <w:lang w:val="es-ES"/>
        </w:rPr>
      </w:pPr>
    </w:p>
    <w:p w14:paraId="17160C43" w14:textId="77777777" w:rsidR="00707384" w:rsidRPr="00461B7C" w:rsidRDefault="00707384" w:rsidP="00707384">
      <w:pPr>
        <w:widowControl w:val="0"/>
        <w:autoSpaceDE w:val="0"/>
        <w:autoSpaceDN w:val="0"/>
        <w:adjustRightInd w:val="0"/>
        <w:spacing w:after="0" w:line="240" w:lineRule="auto"/>
        <w:jc w:val="both"/>
        <w:rPr>
          <w:rFonts w:eastAsia="Times New Roman" w:cs="Arial"/>
          <w:i/>
          <w:lang w:val="es-ES"/>
        </w:rPr>
      </w:pPr>
      <w:r w:rsidRPr="00461B7C">
        <w:rPr>
          <w:rFonts w:eastAsia="Times New Roman" w:cs="Arial"/>
          <w:i/>
          <w:lang w:val="es-ES"/>
        </w:rPr>
        <w:t xml:space="preserve">Recordando las </w:t>
      </w:r>
      <w:r w:rsidRPr="00461B7C">
        <w:rPr>
          <w:rFonts w:eastAsia="Times New Roman" w:cs="Arial"/>
          <w:iCs/>
          <w:lang w:val="es-ES"/>
        </w:rPr>
        <w:t xml:space="preserve">Resoluciones 12.13 </w:t>
      </w:r>
      <w:r w:rsidRPr="00461B7C">
        <w:rPr>
          <w:rFonts w:eastAsia="Times New Roman" w:cs="Arial"/>
          <w:i/>
          <w:lang w:val="es-ES"/>
        </w:rPr>
        <w:t>Áreas importantes para los mamíferos marinos</w:t>
      </w:r>
      <w:r w:rsidRPr="00461B7C">
        <w:rPr>
          <w:rFonts w:eastAsia="Times New Roman" w:cs="Arial"/>
          <w:iCs/>
          <w:lang w:val="es-ES"/>
        </w:rPr>
        <w:t xml:space="preserve">,14.7 </w:t>
      </w:r>
      <w:r w:rsidRPr="00461B7C">
        <w:rPr>
          <w:rFonts w:eastAsia="Times New Roman" w:cs="Arial"/>
          <w:i/>
          <w:lang w:val="es-ES"/>
        </w:rPr>
        <w:t xml:space="preserve">Áreas importantes para tiburones y rayas </w:t>
      </w:r>
      <w:r w:rsidRPr="00461B7C">
        <w:rPr>
          <w:rFonts w:eastAsia="Times New Roman" w:cs="Arial"/>
          <w:iCs/>
          <w:lang w:val="es-ES"/>
        </w:rPr>
        <w:t xml:space="preserve">y 14.16 </w:t>
      </w:r>
      <w:r w:rsidRPr="00461B7C">
        <w:rPr>
          <w:rFonts w:eastAsia="Times New Roman" w:cs="Arial"/>
          <w:i/>
          <w:lang w:val="es-ES"/>
        </w:rPr>
        <w:t>Conectividad ecológica</w:t>
      </w:r>
      <w:r w:rsidRPr="00461B7C">
        <w:rPr>
          <w:rFonts w:eastAsia="Times New Roman" w:cs="Arial"/>
          <w:iCs/>
          <w:lang w:val="es-ES"/>
        </w:rPr>
        <w:t>,</w:t>
      </w:r>
    </w:p>
    <w:p w14:paraId="43E118D7" w14:textId="77777777" w:rsidR="00707384" w:rsidRPr="00461B7C" w:rsidRDefault="00707384" w:rsidP="00707384">
      <w:pPr>
        <w:widowControl w:val="0"/>
        <w:autoSpaceDE w:val="0"/>
        <w:autoSpaceDN w:val="0"/>
        <w:adjustRightInd w:val="0"/>
        <w:spacing w:after="0" w:line="240" w:lineRule="auto"/>
        <w:jc w:val="both"/>
        <w:rPr>
          <w:rFonts w:eastAsia="Times New Roman" w:cs="Arial"/>
          <w:i/>
          <w:lang w:val="es-ES"/>
        </w:rPr>
      </w:pPr>
    </w:p>
    <w:p w14:paraId="2D82DA48" w14:textId="77777777" w:rsidR="00707384" w:rsidRPr="00461B7C" w:rsidRDefault="00707384" w:rsidP="00707384">
      <w:pPr>
        <w:widowControl w:val="0"/>
        <w:autoSpaceDE w:val="0"/>
        <w:autoSpaceDN w:val="0"/>
        <w:adjustRightInd w:val="0"/>
        <w:spacing w:after="0" w:line="240" w:lineRule="auto"/>
        <w:jc w:val="both"/>
        <w:rPr>
          <w:rFonts w:eastAsia="Times New Roman" w:cs="Arial"/>
          <w:lang w:val="es-ES"/>
        </w:rPr>
      </w:pPr>
      <w:r w:rsidRPr="00461B7C">
        <w:rPr>
          <w:rFonts w:eastAsia="Times New Roman" w:cs="Arial"/>
          <w:i/>
          <w:lang w:val="es-ES"/>
        </w:rPr>
        <w:t xml:space="preserve">Reconociendo </w:t>
      </w:r>
      <w:r w:rsidRPr="00461B7C">
        <w:rPr>
          <w:rFonts w:eastAsia="Times New Roman" w:cs="Arial"/>
          <w:iCs/>
          <w:lang w:val="es-ES"/>
        </w:rPr>
        <w:t>la pérdida continuada de biodiversidad y la degradación de los ecosistemas, incluyendo las especies migratorias y sus hábitats, tal y como se explica en la Perspectiva Mundial sobre la Diversidad Biológica y los resultados de la</w:t>
      </w:r>
      <w:r w:rsidRPr="00461B7C">
        <w:rPr>
          <w:rFonts w:ascii="Segoe UI" w:hAnsi="Segoe UI" w:cs="Segoe UI"/>
          <w:sz w:val="21"/>
          <w:szCs w:val="21"/>
          <w:shd w:val="clear" w:color="auto" w:fill="FFFFFF"/>
          <w:lang w:val="es-ES"/>
        </w:rPr>
        <w:t xml:space="preserve"> </w:t>
      </w:r>
      <w:r w:rsidRPr="00461B7C">
        <w:rPr>
          <w:rFonts w:eastAsia="Times New Roman" w:cs="Arial"/>
          <w:iCs/>
          <w:lang w:val="es-ES"/>
        </w:rPr>
        <w:t>Evaluación Mundial de la Plataforma Intergubernamental sobre Biodiversidad y Servicios de los Ecosistemas (IPBES),</w:t>
      </w:r>
    </w:p>
    <w:p w14:paraId="0FFCBE65" w14:textId="77777777" w:rsidR="00707384" w:rsidRPr="00461B7C" w:rsidRDefault="00707384" w:rsidP="00707384">
      <w:pPr>
        <w:widowControl w:val="0"/>
        <w:autoSpaceDE w:val="0"/>
        <w:autoSpaceDN w:val="0"/>
        <w:adjustRightInd w:val="0"/>
        <w:spacing w:after="0" w:line="240" w:lineRule="auto"/>
        <w:jc w:val="both"/>
        <w:rPr>
          <w:rFonts w:eastAsia="Times New Roman" w:cs="Arial"/>
          <w:i/>
          <w:lang w:val="es-ES"/>
        </w:rPr>
      </w:pPr>
    </w:p>
    <w:p w14:paraId="6E20F20B" w14:textId="77777777" w:rsidR="00707384" w:rsidRPr="00461B7C" w:rsidRDefault="00707384" w:rsidP="00707384">
      <w:pPr>
        <w:widowControl w:val="0"/>
        <w:autoSpaceDE w:val="0"/>
        <w:autoSpaceDN w:val="0"/>
        <w:adjustRightInd w:val="0"/>
        <w:spacing w:after="0" w:line="240" w:lineRule="auto"/>
        <w:jc w:val="both"/>
        <w:rPr>
          <w:rFonts w:eastAsia="Times New Roman" w:cs="Arial"/>
          <w:i/>
          <w:lang w:val="es-ES"/>
        </w:rPr>
      </w:pPr>
      <w:r w:rsidRPr="00461B7C">
        <w:rPr>
          <w:rFonts w:eastAsia="Times New Roman" w:cs="Arial"/>
          <w:i/>
          <w:lang w:val="es-ES"/>
        </w:rPr>
        <w:t xml:space="preserve">Preocupados </w:t>
      </w:r>
      <w:r w:rsidRPr="00461B7C">
        <w:rPr>
          <w:rFonts w:eastAsia="Times New Roman" w:cs="Arial"/>
          <w:iCs/>
          <w:lang w:val="es-ES"/>
        </w:rPr>
        <w:t>por la presión creciente en los ecosistemas marinos y costeros debido al cambio climático, el desarrollo insostenible, las colisiones de buques y otros impactos acumulativos y sus perplejidades que amenazan la viabilidad de las especies migratorias y sus hábitats críticos,</w:t>
      </w:r>
    </w:p>
    <w:p w14:paraId="00F28989" w14:textId="77777777" w:rsidR="00707384" w:rsidRPr="00461B7C" w:rsidRDefault="00707384" w:rsidP="00707384">
      <w:pPr>
        <w:widowControl w:val="0"/>
        <w:autoSpaceDE w:val="0"/>
        <w:autoSpaceDN w:val="0"/>
        <w:adjustRightInd w:val="0"/>
        <w:spacing w:after="0" w:line="240" w:lineRule="auto"/>
        <w:jc w:val="both"/>
        <w:rPr>
          <w:rFonts w:eastAsia="Times New Roman" w:cs="Arial"/>
          <w:i/>
          <w:lang w:val="es-ES"/>
        </w:rPr>
      </w:pPr>
    </w:p>
    <w:p w14:paraId="7392F1DB" w14:textId="77777777" w:rsidR="00707384" w:rsidRPr="00461B7C" w:rsidRDefault="00707384" w:rsidP="00707384">
      <w:pPr>
        <w:widowControl w:val="0"/>
        <w:autoSpaceDE w:val="0"/>
        <w:autoSpaceDN w:val="0"/>
        <w:adjustRightInd w:val="0"/>
        <w:spacing w:after="0" w:line="240" w:lineRule="auto"/>
        <w:jc w:val="both"/>
        <w:rPr>
          <w:rFonts w:eastAsia="Times New Roman" w:cs="Arial"/>
          <w:iCs/>
          <w:lang w:val="es-ES"/>
        </w:rPr>
      </w:pPr>
      <w:r w:rsidRPr="00461B7C">
        <w:rPr>
          <w:rFonts w:eastAsia="Times New Roman" w:cs="Arial"/>
          <w:i/>
          <w:lang w:val="es-ES"/>
        </w:rPr>
        <w:t xml:space="preserve">Acogiendo con beneplácito </w:t>
      </w:r>
      <w:r w:rsidRPr="00461B7C">
        <w:rPr>
          <w:rFonts w:eastAsia="Times New Roman" w:cs="Arial"/>
          <w:iCs/>
          <w:lang w:val="es-ES"/>
        </w:rPr>
        <w:t>la adopción del Marco Mundial para la Biodiversidad de Kunming-Montreal (KMGBF) y sus objetivos asociados, en particular los Objetivos 1, 2 y 3, incluyendo el compromiso 30x30,</w:t>
      </w:r>
    </w:p>
    <w:p w14:paraId="67555B63" w14:textId="77777777" w:rsidR="00707384" w:rsidRPr="00461B7C" w:rsidRDefault="00707384" w:rsidP="00707384">
      <w:pPr>
        <w:widowControl w:val="0"/>
        <w:autoSpaceDE w:val="0"/>
        <w:autoSpaceDN w:val="0"/>
        <w:adjustRightInd w:val="0"/>
        <w:spacing w:after="0" w:line="240" w:lineRule="auto"/>
        <w:jc w:val="both"/>
        <w:rPr>
          <w:rFonts w:eastAsia="Times New Roman" w:cs="Arial"/>
          <w:i/>
          <w:lang w:val="es-ES"/>
        </w:rPr>
      </w:pPr>
    </w:p>
    <w:p w14:paraId="509FE1DF" w14:textId="77777777" w:rsidR="00707384" w:rsidRPr="00461B7C" w:rsidRDefault="00707384" w:rsidP="00707384">
      <w:pPr>
        <w:widowControl w:val="0"/>
        <w:autoSpaceDE w:val="0"/>
        <w:autoSpaceDN w:val="0"/>
        <w:adjustRightInd w:val="0"/>
        <w:spacing w:after="0" w:line="240" w:lineRule="auto"/>
        <w:jc w:val="both"/>
        <w:rPr>
          <w:rFonts w:eastAsia="Times New Roman" w:cs="Arial"/>
          <w:iCs/>
          <w:lang w:val="es-ES"/>
        </w:rPr>
      </w:pPr>
      <w:r w:rsidRPr="00461B7C">
        <w:rPr>
          <w:rFonts w:eastAsia="Times New Roman" w:cs="Arial"/>
          <w:i/>
          <w:lang w:val="es-ES"/>
        </w:rPr>
        <w:t xml:space="preserve">Acogiendo con beneplácito </w:t>
      </w:r>
      <w:r w:rsidRPr="00461B7C">
        <w:rPr>
          <w:rFonts w:eastAsia="Times New Roman" w:cs="Arial"/>
          <w:iCs/>
          <w:lang w:val="es-ES"/>
        </w:rPr>
        <w:t>la adopción del Acuerdo en el marco de la Convención de las Naciones Unidas sobre el Derecho del Mar relativo a la Conservación y el Uso Sostenible de la Diversidad Biológica Marina de las Zonas Situadas Fuera de la Jurisdicción Nacional (Acuerdo BBNJ), que proporciona un marco para la designación y la gestión de áreas marinas protegidas de alta mar y otras herramientas de gestión por áreas,</w:t>
      </w:r>
    </w:p>
    <w:p w14:paraId="20A8F9FC" w14:textId="77777777" w:rsidR="00707384" w:rsidRPr="00461B7C" w:rsidRDefault="00707384" w:rsidP="00707384">
      <w:pPr>
        <w:widowControl w:val="0"/>
        <w:autoSpaceDE w:val="0"/>
        <w:autoSpaceDN w:val="0"/>
        <w:adjustRightInd w:val="0"/>
        <w:spacing w:after="0" w:line="240" w:lineRule="auto"/>
        <w:jc w:val="both"/>
        <w:rPr>
          <w:rFonts w:eastAsia="Times New Roman" w:cs="Arial"/>
          <w:i/>
          <w:lang w:val="es-ES"/>
        </w:rPr>
      </w:pPr>
    </w:p>
    <w:p w14:paraId="0D8B0773" w14:textId="77777777" w:rsidR="00707384" w:rsidRPr="00461B7C" w:rsidRDefault="00707384" w:rsidP="00707384">
      <w:pPr>
        <w:widowControl w:val="0"/>
        <w:autoSpaceDE w:val="0"/>
        <w:autoSpaceDN w:val="0"/>
        <w:adjustRightInd w:val="0"/>
        <w:spacing w:after="0" w:line="240" w:lineRule="auto"/>
        <w:jc w:val="both"/>
        <w:rPr>
          <w:rFonts w:eastAsia="Times New Roman" w:cs="Arial"/>
          <w:iCs/>
          <w:lang w:val="es-ES"/>
        </w:rPr>
      </w:pPr>
      <w:r w:rsidRPr="00461B7C">
        <w:rPr>
          <w:rFonts w:eastAsia="Times New Roman" w:cs="Arial"/>
          <w:i/>
          <w:lang w:val="es-ES"/>
        </w:rPr>
        <w:t xml:space="preserve">Afirmando </w:t>
      </w:r>
      <w:r w:rsidRPr="00461B7C">
        <w:rPr>
          <w:rFonts w:eastAsia="Times New Roman" w:cs="Arial"/>
          <w:iCs/>
          <w:lang w:val="es-ES"/>
        </w:rPr>
        <w:t>la importancia de las redes coordinadas y ecológicamente coherentes de áreas protegidas y conservadas, incluyendo las que están situadas fuera de la jurisdicción nacional,</w:t>
      </w:r>
    </w:p>
    <w:p w14:paraId="29A98485" w14:textId="77777777" w:rsidR="00707384" w:rsidRPr="00461B7C" w:rsidRDefault="00707384" w:rsidP="00707384">
      <w:pPr>
        <w:widowControl w:val="0"/>
        <w:autoSpaceDE w:val="0"/>
        <w:autoSpaceDN w:val="0"/>
        <w:adjustRightInd w:val="0"/>
        <w:spacing w:after="0" w:line="240" w:lineRule="auto"/>
        <w:jc w:val="both"/>
        <w:rPr>
          <w:rFonts w:eastAsia="Times New Roman" w:cs="Arial"/>
          <w:lang w:val="es-ES"/>
        </w:rPr>
      </w:pPr>
    </w:p>
    <w:p w14:paraId="674DAF91" w14:textId="77777777" w:rsidR="00707384" w:rsidRPr="00461B7C" w:rsidDel="00887FBC" w:rsidRDefault="00707384" w:rsidP="00707384">
      <w:pPr>
        <w:spacing w:after="0" w:line="240" w:lineRule="auto"/>
        <w:jc w:val="both"/>
        <w:rPr>
          <w:rFonts w:cs="Arial"/>
          <w:lang w:val="es-ES"/>
        </w:rPr>
      </w:pPr>
      <w:r w:rsidRPr="00461B7C">
        <w:rPr>
          <w:rFonts w:cs="Arial"/>
          <w:i/>
          <w:iCs/>
          <w:lang w:val="es-ES"/>
        </w:rPr>
        <w:t>Reconociendo</w:t>
      </w:r>
      <w:r w:rsidRPr="00461B7C">
        <w:rPr>
          <w:rFonts w:cs="Arial"/>
          <w:lang w:val="es-ES"/>
        </w:rPr>
        <w:t xml:space="preserve"> la necesidad de mejorar continuamente la conservación y la gestión de zonas críticas y redes ecológicas para las especies migratorias enumeradas por la CMS teniendo en cuenta la relación entre las áreas de importancia y otras áreas que pueden estar asociadas ecológicamente a zonas críticas y redes ecológicas,</w:t>
      </w:r>
    </w:p>
    <w:p w14:paraId="2A5531EE" w14:textId="77777777" w:rsidR="00707384" w:rsidRPr="00461B7C" w:rsidDel="00887FBC" w:rsidRDefault="00707384" w:rsidP="00707384">
      <w:pPr>
        <w:spacing w:after="0" w:line="240" w:lineRule="auto"/>
        <w:jc w:val="both"/>
        <w:rPr>
          <w:rFonts w:cs="Arial"/>
          <w:lang w:val="es-ES"/>
        </w:rPr>
      </w:pPr>
    </w:p>
    <w:p w14:paraId="216952A7" w14:textId="77777777" w:rsidR="00707384" w:rsidRPr="00461B7C" w:rsidRDefault="00707384" w:rsidP="00707384">
      <w:pPr>
        <w:widowControl w:val="0"/>
        <w:autoSpaceDE w:val="0"/>
        <w:autoSpaceDN w:val="0"/>
        <w:adjustRightInd w:val="0"/>
        <w:spacing w:after="0" w:line="240" w:lineRule="auto"/>
        <w:jc w:val="both"/>
        <w:rPr>
          <w:rFonts w:eastAsia="Times New Roman" w:cs="Arial"/>
          <w:lang w:val="es-ES"/>
        </w:rPr>
      </w:pPr>
      <w:r w:rsidRPr="00461B7C">
        <w:rPr>
          <w:rFonts w:eastAsia="Times New Roman" w:cs="Arial"/>
          <w:i/>
          <w:lang w:val="es-ES"/>
        </w:rPr>
        <w:t xml:space="preserve">Reconociendo también </w:t>
      </w:r>
      <w:r w:rsidRPr="00461B7C">
        <w:rPr>
          <w:rFonts w:eastAsia="Times New Roman" w:cs="Arial"/>
          <w:iCs/>
          <w:lang w:val="es-ES"/>
        </w:rPr>
        <w:t>la importancia de las herramientas por zonas como las Áreas importantes para mamíferos marinos (AIMM), Áreas importantes para tiburones y rayas (ISRA), Áreas importantes para las tortugas marinas (AITM), Áreas de importancia ecológica o biológica (AIEB) Áreas clave para la biodiversidad (KBA) y Zonas marítimas especialmente sensibles (ZMES), para identificar y conservar hábitats importantes para las especies migratorias,</w:t>
      </w:r>
    </w:p>
    <w:p w14:paraId="60948651" w14:textId="77777777" w:rsidR="00707384" w:rsidRPr="00461B7C" w:rsidRDefault="00707384" w:rsidP="00707384">
      <w:pPr>
        <w:widowControl w:val="0"/>
        <w:autoSpaceDE w:val="0"/>
        <w:autoSpaceDN w:val="0"/>
        <w:adjustRightInd w:val="0"/>
        <w:spacing w:after="0" w:line="240" w:lineRule="auto"/>
        <w:jc w:val="both"/>
        <w:rPr>
          <w:rFonts w:eastAsia="Times New Roman" w:cs="Arial"/>
          <w:i/>
          <w:lang w:val="es-ES"/>
        </w:rPr>
      </w:pPr>
    </w:p>
    <w:p w14:paraId="3CF1AD5D" w14:textId="77777777" w:rsidR="00707384" w:rsidRPr="00461B7C" w:rsidRDefault="00707384" w:rsidP="00707384">
      <w:pPr>
        <w:widowControl w:val="0"/>
        <w:autoSpaceDE w:val="0"/>
        <w:autoSpaceDN w:val="0"/>
        <w:adjustRightInd w:val="0"/>
        <w:spacing w:after="0" w:line="240" w:lineRule="auto"/>
        <w:jc w:val="both"/>
        <w:rPr>
          <w:rFonts w:eastAsia="Times New Roman" w:cs="Arial"/>
          <w:iCs/>
          <w:lang w:val="es-ES"/>
        </w:rPr>
      </w:pPr>
      <w:r w:rsidRPr="00461B7C">
        <w:rPr>
          <w:rFonts w:eastAsia="Times New Roman" w:cs="Arial"/>
          <w:i/>
          <w:lang w:val="es-ES"/>
        </w:rPr>
        <w:t xml:space="preserve">Reconociendo además </w:t>
      </w:r>
      <w:r w:rsidRPr="00461B7C">
        <w:rPr>
          <w:rFonts w:eastAsia="Times New Roman" w:cs="Arial"/>
          <w:iCs/>
          <w:lang w:val="es-ES"/>
        </w:rPr>
        <w:t>que las herramientas como AIMM e ISRA son procesos basados en la ciencia y liderados por expertos que complementan la designación formal y los procesos de conservación, y pueden facilitar la identificación de zonas adecuadas para la protección en el marco nacional e internacional,</w:t>
      </w:r>
    </w:p>
    <w:p w14:paraId="1E949DC2" w14:textId="5E2530D9" w:rsidR="001936E1" w:rsidRDefault="001936E1">
      <w:pPr>
        <w:rPr>
          <w:rFonts w:eastAsia="Times New Roman" w:cs="Arial"/>
          <w:i/>
          <w:lang w:val="es-ES"/>
        </w:rPr>
      </w:pPr>
      <w:r>
        <w:rPr>
          <w:rFonts w:eastAsia="Times New Roman" w:cs="Arial"/>
          <w:i/>
          <w:lang w:val="es-ES"/>
        </w:rPr>
        <w:br w:type="page"/>
      </w:r>
    </w:p>
    <w:p w14:paraId="0A17799C" w14:textId="77777777" w:rsidR="00707384" w:rsidRPr="00461B7C" w:rsidRDefault="00707384" w:rsidP="00707384">
      <w:pPr>
        <w:widowControl w:val="0"/>
        <w:autoSpaceDE w:val="0"/>
        <w:autoSpaceDN w:val="0"/>
        <w:adjustRightInd w:val="0"/>
        <w:spacing w:after="0" w:line="240" w:lineRule="auto"/>
        <w:jc w:val="center"/>
        <w:rPr>
          <w:rFonts w:eastAsia="Times New Roman" w:cs="Arial"/>
          <w:i/>
          <w:lang w:val="es-ES"/>
        </w:rPr>
      </w:pPr>
      <w:r w:rsidRPr="00461B7C">
        <w:rPr>
          <w:rFonts w:eastAsia="Times New Roman" w:cs="Arial"/>
          <w:i/>
          <w:lang w:val="es-ES"/>
        </w:rPr>
        <w:lastRenderedPageBreak/>
        <w:t>La Conferencia de las Partes en la</w:t>
      </w:r>
    </w:p>
    <w:p w14:paraId="41A10B8C" w14:textId="77777777" w:rsidR="00707384" w:rsidRPr="00461B7C" w:rsidRDefault="00707384" w:rsidP="00707384">
      <w:pPr>
        <w:widowControl w:val="0"/>
        <w:autoSpaceDE w:val="0"/>
        <w:autoSpaceDN w:val="0"/>
        <w:adjustRightInd w:val="0"/>
        <w:spacing w:after="0" w:line="240" w:lineRule="auto"/>
        <w:jc w:val="center"/>
        <w:rPr>
          <w:rFonts w:eastAsia="Times New Roman" w:cs="Arial"/>
          <w:i/>
          <w:lang w:val="es-ES"/>
        </w:rPr>
      </w:pPr>
      <w:r w:rsidRPr="00461B7C">
        <w:rPr>
          <w:rFonts w:eastAsia="Times New Roman" w:cs="Arial"/>
          <w:i/>
          <w:lang w:val="es-ES"/>
        </w:rPr>
        <w:t>Convención sobre la Conservación de las Especies Migratorias de Animales Silvestres</w:t>
      </w:r>
    </w:p>
    <w:p w14:paraId="5A44C456" w14:textId="77777777" w:rsidR="00707384" w:rsidRDefault="00707384" w:rsidP="00707384">
      <w:pPr>
        <w:widowControl w:val="0"/>
        <w:autoSpaceDE w:val="0"/>
        <w:autoSpaceDN w:val="0"/>
        <w:adjustRightInd w:val="0"/>
        <w:spacing w:after="0" w:line="240" w:lineRule="auto"/>
        <w:ind w:left="567" w:hanging="567"/>
        <w:rPr>
          <w:rFonts w:eastAsia="Times New Roman" w:cs="Arial"/>
          <w:lang w:val="es-ES"/>
        </w:rPr>
      </w:pPr>
    </w:p>
    <w:p w14:paraId="31AB9DFB" w14:textId="77777777" w:rsidR="001316B2" w:rsidRPr="00461B7C" w:rsidRDefault="001316B2" w:rsidP="00707384">
      <w:pPr>
        <w:widowControl w:val="0"/>
        <w:autoSpaceDE w:val="0"/>
        <w:autoSpaceDN w:val="0"/>
        <w:adjustRightInd w:val="0"/>
        <w:spacing w:after="0" w:line="240" w:lineRule="auto"/>
        <w:ind w:left="567" w:hanging="567"/>
        <w:rPr>
          <w:rFonts w:eastAsia="Times New Roman" w:cs="Arial"/>
          <w:lang w:val="es-ES"/>
        </w:rPr>
      </w:pPr>
    </w:p>
    <w:p w14:paraId="1B2D0637" w14:textId="77777777" w:rsidR="00707384" w:rsidRPr="00CE20AC"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eastAsia="MS Mincho" w:cs="Arial"/>
          <w:i/>
          <w:iCs/>
          <w:szCs w:val="24"/>
          <w:lang w:val="es-ES"/>
        </w:rPr>
        <w:t xml:space="preserve">Afirma </w:t>
      </w:r>
      <w:r w:rsidRPr="00461B7C">
        <w:rPr>
          <w:rFonts w:eastAsia="MS Mincho" w:cs="Arial"/>
          <w:szCs w:val="24"/>
          <w:lang w:val="es-ES"/>
        </w:rPr>
        <w:t>el valor de la gestión de conservación por zonas para la protección y la recuperación de las especies migratorias y sus hábitats, en particular por medio de la identificación, delineación y gestión efectiva de lugares de importancia ecológica en todas las áreas de jurisdicción nacional y áreas situadas fuera de la jurisdicción nacional;</w:t>
      </w:r>
    </w:p>
    <w:p w14:paraId="0BE58F84" w14:textId="77777777" w:rsidR="00CE20AC" w:rsidRPr="00461B7C" w:rsidRDefault="00CE20AC" w:rsidP="00CE20AC">
      <w:pPr>
        <w:widowControl w:val="0"/>
        <w:autoSpaceDE w:val="0"/>
        <w:autoSpaceDN w:val="0"/>
        <w:adjustRightInd w:val="0"/>
        <w:spacing w:after="0" w:line="240" w:lineRule="auto"/>
        <w:ind w:left="567"/>
        <w:jc w:val="both"/>
        <w:rPr>
          <w:rFonts w:eastAsia="Times New Roman" w:cs="Arial"/>
          <w:lang w:val="es-ES"/>
        </w:rPr>
      </w:pPr>
    </w:p>
    <w:p w14:paraId="29541FD5" w14:textId="77777777" w:rsidR="00707384" w:rsidRPr="00461B7C"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eastAsia="MS Mincho" w:cs="Arial"/>
          <w:i/>
          <w:iCs/>
          <w:szCs w:val="24"/>
          <w:lang w:val="es-ES"/>
        </w:rPr>
        <w:t>Reconoce</w:t>
      </w:r>
      <w:r w:rsidRPr="00461B7C">
        <w:rPr>
          <w:rFonts w:eastAsia="MS Mincho" w:cs="Arial"/>
          <w:szCs w:val="24"/>
          <w:lang w:val="es-ES"/>
        </w:rPr>
        <w:t xml:space="preserve"> las AIMM, ISRA, AITM y otros marcos científicos similares como herramientas clave de asesoramiento como referencia para la gestión y la conservación espacial, incluyendo la planificación espacial marina y el diseño de las áreas marinas protegidas;</w:t>
      </w:r>
    </w:p>
    <w:p w14:paraId="1B55FC88" w14:textId="77777777" w:rsidR="00707384" w:rsidRPr="00461B7C" w:rsidRDefault="00707384" w:rsidP="00707384">
      <w:pPr>
        <w:widowControl w:val="0"/>
        <w:autoSpaceDE w:val="0"/>
        <w:autoSpaceDN w:val="0"/>
        <w:adjustRightInd w:val="0"/>
        <w:spacing w:after="0" w:line="240" w:lineRule="auto"/>
        <w:ind w:left="567"/>
        <w:jc w:val="both"/>
        <w:rPr>
          <w:rFonts w:eastAsia="Times New Roman" w:cs="Arial"/>
          <w:lang w:val="es-ES"/>
        </w:rPr>
      </w:pPr>
    </w:p>
    <w:p w14:paraId="4CC5B231" w14:textId="77777777" w:rsidR="00707384" w:rsidRPr="00461B7C"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eastAsia="MS Mincho" w:cs="Arial"/>
          <w:i/>
          <w:iCs/>
          <w:szCs w:val="24"/>
          <w:lang w:val="es-ES"/>
        </w:rPr>
        <w:t xml:space="preserve">Insta </w:t>
      </w:r>
      <w:r w:rsidRPr="00461B7C">
        <w:rPr>
          <w:rFonts w:eastAsia="MS Mincho" w:cs="Arial"/>
          <w:szCs w:val="24"/>
          <w:lang w:val="es-ES"/>
        </w:rPr>
        <w:t>a las Partes a integrar las herramientas por zonas relevantes para CMS y los lugares identificados, tales como AIMM, ISRA y AITM, para los procesos de planificación de conservación nacional, planificación espacial y notificación, incluyendo sus Estrategias y Planes de Acción Nacionales en materia de Diversidad Biológica (EPANDB), para respaldar los Objetivos 1 y 3 del Marco Mundial para la Biodiversidad de Kunming-Montreal;</w:t>
      </w:r>
    </w:p>
    <w:p w14:paraId="5751D1E6" w14:textId="77777777" w:rsidR="00707384" w:rsidRPr="00461B7C" w:rsidRDefault="00707384" w:rsidP="00707384">
      <w:pPr>
        <w:widowControl w:val="0"/>
        <w:autoSpaceDE w:val="0"/>
        <w:autoSpaceDN w:val="0"/>
        <w:adjustRightInd w:val="0"/>
        <w:spacing w:after="0" w:line="240" w:lineRule="auto"/>
        <w:ind w:left="567"/>
        <w:jc w:val="both"/>
        <w:rPr>
          <w:rFonts w:eastAsia="Times New Roman" w:cs="Arial"/>
          <w:lang w:val="es-ES"/>
        </w:rPr>
      </w:pPr>
    </w:p>
    <w:p w14:paraId="78EE450F" w14:textId="77777777" w:rsidR="00707384" w:rsidRPr="00461B7C"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eastAsia="MS Mincho" w:cs="Arial"/>
          <w:i/>
          <w:iCs/>
          <w:szCs w:val="24"/>
          <w:lang w:val="es-ES"/>
        </w:rPr>
        <w:t>Alienta a las</w:t>
      </w:r>
      <w:r w:rsidRPr="00461B7C">
        <w:rPr>
          <w:rFonts w:eastAsia="MS Mincho" w:cs="Arial"/>
          <w:szCs w:val="24"/>
          <w:lang w:val="es-ES"/>
        </w:rPr>
        <w:t xml:space="preserve"> Partes a utilizar el atlas creciente de AIMM e ISRA, además de participar en procesos de consulta de expertos regionales para identificar áreas adicionales que son críticas para las especies migratorias;</w:t>
      </w:r>
    </w:p>
    <w:p w14:paraId="67DC4EDA" w14:textId="77777777" w:rsidR="00707384" w:rsidRPr="00461B7C" w:rsidRDefault="00707384" w:rsidP="00707384">
      <w:pPr>
        <w:widowControl w:val="0"/>
        <w:autoSpaceDE w:val="0"/>
        <w:autoSpaceDN w:val="0"/>
        <w:adjustRightInd w:val="0"/>
        <w:spacing w:after="0" w:line="240" w:lineRule="auto"/>
        <w:jc w:val="both"/>
        <w:rPr>
          <w:rFonts w:eastAsia="Times New Roman" w:cs="Arial"/>
          <w:lang w:val="es-ES"/>
        </w:rPr>
      </w:pPr>
    </w:p>
    <w:p w14:paraId="09C9EB86" w14:textId="77777777" w:rsidR="00707384" w:rsidRPr="00461B7C"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cs="Arial"/>
          <w:i/>
          <w:iCs/>
          <w:lang w:val="es-ES"/>
        </w:rPr>
        <w:t xml:space="preserve">Además, alienta a las </w:t>
      </w:r>
      <w:r w:rsidRPr="00461B7C">
        <w:rPr>
          <w:rFonts w:cs="Arial"/>
          <w:lang w:val="es-ES"/>
        </w:rPr>
        <w:t>Partes a supervisar la viabilidad del hábitat para todas las especies enumeradas en la CMS, incorporando información sobre aspectos de socialidad contenidos como asesoramiento del Grupo de Trabajo de Expertos sobre Cultura Animal y Complejidad Social;</w:t>
      </w:r>
    </w:p>
    <w:p w14:paraId="225D1D7E" w14:textId="77777777" w:rsidR="00707384" w:rsidRPr="00461B7C" w:rsidRDefault="00707384" w:rsidP="00707384">
      <w:pPr>
        <w:widowControl w:val="0"/>
        <w:autoSpaceDE w:val="0"/>
        <w:autoSpaceDN w:val="0"/>
        <w:adjustRightInd w:val="0"/>
        <w:spacing w:after="0" w:line="240" w:lineRule="auto"/>
        <w:ind w:left="567"/>
        <w:jc w:val="both"/>
        <w:rPr>
          <w:rFonts w:eastAsia="Times New Roman" w:cs="Arial"/>
          <w:lang w:val="es-ES"/>
        </w:rPr>
      </w:pPr>
    </w:p>
    <w:p w14:paraId="69412BE2" w14:textId="77777777" w:rsidR="00707384" w:rsidRPr="00461B7C"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eastAsia="MS Mincho" w:cs="Arial"/>
          <w:i/>
          <w:iCs/>
          <w:szCs w:val="24"/>
          <w:lang w:val="es-ES"/>
        </w:rPr>
        <w:t>Insta</w:t>
      </w:r>
      <w:r w:rsidRPr="00461B7C">
        <w:rPr>
          <w:rFonts w:eastAsia="MS Mincho" w:cs="Arial"/>
          <w:szCs w:val="24"/>
          <w:lang w:val="es-ES"/>
        </w:rPr>
        <w:t xml:space="preserve"> a las Partes que todavía no lo hayan hecho a ratificar e implementar el Acuerdo BBNJ, y se asegura de que se utilicen los datos y las herramientas relevantes para CMS con la finalidad de informar sobre la designación de herramientas de gestión por zonas en virtud de dicho Acuerdo;</w:t>
      </w:r>
    </w:p>
    <w:p w14:paraId="043D7763" w14:textId="77777777" w:rsidR="00707384" w:rsidRPr="00461B7C" w:rsidRDefault="00707384" w:rsidP="00707384">
      <w:pPr>
        <w:pStyle w:val="ListParagraph"/>
        <w:spacing w:after="0"/>
        <w:rPr>
          <w:rFonts w:eastAsia="Times New Roman" w:cs="Arial"/>
          <w:lang w:val="es-ES"/>
        </w:rPr>
      </w:pPr>
    </w:p>
    <w:p w14:paraId="4519D539" w14:textId="77777777" w:rsidR="00707384" w:rsidRPr="00461B7C"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eastAsia="Times New Roman" w:cs="Arial"/>
          <w:i/>
          <w:lang w:val="es-ES"/>
        </w:rPr>
        <w:t>Invita</w:t>
      </w:r>
      <w:r w:rsidRPr="00461B7C">
        <w:rPr>
          <w:rFonts w:eastAsia="Times New Roman" w:cs="Arial"/>
          <w:lang w:val="es-ES"/>
        </w:rPr>
        <w:t xml:space="preserve"> a los organismos de las NU y los AMUMA, incluyendo todos los que tengan interés en el Acuerdo BBNJ, a colaborar con la CMS para implementar el Objetivo 3 del KMGBF para especies migratorias; </w:t>
      </w:r>
    </w:p>
    <w:p w14:paraId="0B15D7C2" w14:textId="77777777" w:rsidR="00707384" w:rsidRPr="00461B7C" w:rsidRDefault="00707384" w:rsidP="00707384">
      <w:pPr>
        <w:widowControl w:val="0"/>
        <w:autoSpaceDE w:val="0"/>
        <w:autoSpaceDN w:val="0"/>
        <w:adjustRightInd w:val="0"/>
        <w:spacing w:after="0" w:line="240" w:lineRule="auto"/>
        <w:jc w:val="both"/>
        <w:rPr>
          <w:rFonts w:eastAsia="Times New Roman" w:cs="Arial"/>
          <w:lang w:val="es-ES"/>
        </w:rPr>
      </w:pPr>
    </w:p>
    <w:p w14:paraId="6002DE1A" w14:textId="77777777" w:rsidR="00707384" w:rsidRPr="00461B7C"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eastAsia="MS Mincho" w:cs="Arial"/>
          <w:i/>
          <w:iCs/>
          <w:szCs w:val="24"/>
          <w:lang w:val="es-ES"/>
        </w:rPr>
        <w:t>Anima a las</w:t>
      </w:r>
      <w:r w:rsidRPr="00461B7C">
        <w:rPr>
          <w:rFonts w:eastAsia="MS Mincho" w:cs="Arial"/>
          <w:szCs w:val="24"/>
          <w:lang w:val="es-ES"/>
        </w:rPr>
        <w:t xml:space="preserve"> Partes a ayudar a la Comisión de supervivencia de las especies de la UICN en la identificación de AIMM, ISRA, AITM y herramientas relacionadas;</w:t>
      </w:r>
    </w:p>
    <w:p w14:paraId="690F873A" w14:textId="77777777" w:rsidR="00707384" w:rsidRPr="00461B7C" w:rsidRDefault="00707384" w:rsidP="00707384">
      <w:pPr>
        <w:pStyle w:val="ListParagraph"/>
        <w:spacing w:after="0"/>
        <w:rPr>
          <w:rFonts w:eastAsia="MS Mincho" w:cs="Arial"/>
          <w:i/>
          <w:szCs w:val="24"/>
          <w:lang w:val="es-ES"/>
        </w:rPr>
      </w:pPr>
    </w:p>
    <w:p w14:paraId="13C3989C" w14:textId="77777777" w:rsidR="00707384" w:rsidRPr="00461B7C"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eastAsia="MS Mincho" w:cs="Arial"/>
          <w:i/>
          <w:szCs w:val="24"/>
          <w:lang w:val="es-ES"/>
        </w:rPr>
        <w:t xml:space="preserve">Anima también a las </w:t>
      </w:r>
      <w:r w:rsidRPr="00461B7C">
        <w:rPr>
          <w:rFonts w:eastAsia="MS Mincho" w:cs="Arial"/>
          <w:szCs w:val="24"/>
          <w:lang w:val="es-ES"/>
        </w:rPr>
        <w:t>Partes a utilizar las Áreas importantes identificadas en la designación de áreas marinas protegidas, o generalmente para los procesos de planificación espacial marina, para respaldar la conservación de las especies incluidas en la CMS; e</w:t>
      </w:r>
    </w:p>
    <w:p w14:paraId="51C258A9" w14:textId="77777777" w:rsidR="00707384" w:rsidRPr="00461B7C" w:rsidRDefault="00707384" w:rsidP="00707384">
      <w:pPr>
        <w:widowControl w:val="0"/>
        <w:autoSpaceDE w:val="0"/>
        <w:autoSpaceDN w:val="0"/>
        <w:adjustRightInd w:val="0"/>
        <w:spacing w:after="0" w:line="240" w:lineRule="auto"/>
        <w:ind w:left="567"/>
        <w:jc w:val="both"/>
        <w:rPr>
          <w:rFonts w:eastAsia="Times New Roman" w:cs="Arial"/>
          <w:lang w:val="es-ES"/>
        </w:rPr>
      </w:pPr>
    </w:p>
    <w:p w14:paraId="45647BF0" w14:textId="27D029E2" w:rsidR="00CF673D" w:rsidRPr="00707384"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eastAsia="MS Mincho" w:cs="Arial"/>
          <w:i/>
          <w:iCs/>
          <w:szCs w:val="24"/>
          <w:lang w:val="es-ES"/>
        </w:rPr>
        <w:t>Instruye a</w:t>
      </w:r>
      <w:r w:rsidRPr="00461B7C">
        <w:rPr>
          <w:rFonts w:eastAsia="MS Mincho" w:cs="Arial"/>
          <w:szCs w:val="24"/>
          <w:lang w:val="es-ES"/>
        </w:rPr>
        <w:t xml:space="preserve"> la Secretaría a facilitar el intercambio de información entre las Partes y los organismos relevantes en relación con la gestión de la conservación por zonas, además de actualizar periódicamente a las Partes con información sobre nuevas áreas identificadas relevantes para las especies incluidas en la CMS.</w:t>
      </w:r>
    </w:p>
    <w:p w14:paraId="0ADF152B" w14:textId="77777777" w:rsidR="002D2548" w:rsidRPr="00707384" w:rsidRDefault="002D2548" w:rsidP="0020300C">
      <w:pPr>
        <w:pStyle w:val="ListParagraph"/>
        <w:spacing w:line="240" w:lineRule="auto"/>
        <w:rPr>
          <w:rFonts w:eastAsia="Times New Roman" w:cs="Arial"/>
          <w:lang w:val="es-ES"/>
        </w:rPr>
      </w:pPr>
    </w:p>
    <w:p w14:paraId="7D75398C" w14:textId="77777777" w:rsidR="006A63C6" w:rsidRPr="00707384" w:rsidRDefault="006A63C6" w:rsidP="0020300C">
      <w:pPr>
        <w:widowControl w:val="0"/>
        <w:autoSpaceDE w:val="0"/>
        <w:autoSpaceDN w:val="0"/>
        <w:adjustRightInd w:val="0"/>
        <w:spacing w:after="0" w:line="240" w:lineRule="auto"/>
        <w:ind w:left="567"/>
        <w:jc w:val="both"/>
        <w:rPr>
          <w:rFonts w:eastAsia="Times New Roman" w:cs="Arial"/>
          <w:lang w:val="es-ES"/>
        </w:rPr>
        <w:sectPr w:rsidR="006A63C6" w:rsidRPr="00707384" w:rsidSect="00323406">
          <w:headerReference w:type="default" r:id="rId39"/>
          <w:headerReference w:type="first" r:id="rId40"/>
          <w:pgSz w:w="11906" w:h="16838" w:code="9"/>
          <w:pgMar w:top="1440" w:right="1440" w:bottom="1440" w:left="1440" w:header="720" w:footer="720" w:gutter="0"/>
          <w:cols w:space="720"/>
          <w:titlePg/>
          <w:docGrid w:linePitch="360"/>
        </w:sectPr>
      </w:pPr>
    </w:p>
    <w:p w14:paraId="166D269C" w14:textId="287907C5" w:rsidR="00506494" w:rsidRPr="00461B7C" w:rsidRDefault="00CE20AC" w:rsidP="00506494">
      <w:pPr>
        <w:spacing w:after="0" w:line="240" w:lineRule="auto"/>
        <w:jc w:val="right"/>
        <w:rPr>
          <w:rFonts w:cs="Arial"/>
          <w:b/>
          <w:bCs/>
          <w:lang w:val="es-ES"/>
        </w:rPr>
      </w:pPr>
      <w:r w:rsidRPr="00461B7C">
        <w:rPr>
          <w:rFonts w:cs="Arial"/>
          <w:b/>
          <w:lang w:val="es-ES"/>
        </w:rPr>
        <w:lastRenderedPageBreak/>
        <w:t>ANEXO</w:t>
      </w:r>
      <w:r w:rsidR="00506494" w:rsidRPr="00461B7C">
        <w:rPr>
          <w:rFonts w:cs="Arial"/>
          <w:b/>
          <w:lang w:val="es-ES"/>
        </w:rPr>
        <w:t> 3</w:t>
      </w:r>
    </w:p>
    <w:p w14:paraId="746EF9AC" w14:textId="77777777" w:rsidR="00506494" w:rsidRDefault="00506494" w:rsidP="00506494">
      <w:pPr>
        <w:spacing w:after="0" w:line="240" w:lineRule="auto"/>
        <w:rPr>
          <w:rFonts w:cs="Arial"/>
          <w:lang w:val="es-ES"/>
        </w:rPr>
      </w:pPr>
    </w:p>
    <w:p w14:paraId="186E6746" w14:textId="77777777" w:rsidR="00CE20AC" w:rsidRPr="00461B7C" w:rsidRDefault="00CE20AC" w:rsidP="00506494">
      <w:pPr>
        <w:spacing w:after="0" w:line="240" w:lineRule="auto"/>
        <w:rPr>
          <w:rFonts w:cs="Arial"/>
          <w:lang w:val="es-ES"/>
        </w:rPr>
      </w:pPr>
    </w:p>
    <w:p w14:paraId="606D34DE" w14:textId="77777777" w:rsidR="00506494" w:rsidRPr="00461B7C" w:rsidRDefault="00506494" w:rsidP="00506494">
      <w:pPr>
        <w:spacing w:after="0" w:line="240" w:lineRule="auto"/>
        <w:jc w:val="center"/>
        <w:rPr>
          <w:rFonts w:cs="Arial"/>
          <w:lang w:val="es-ES"/>
        </w:rPr>
      </w:pPr>
      <w:r w:rsidRPr="00461B7C">
        <w:rPr>
          <w:rFonts w:cs="Arial"/>
          <w:lang w:val="es-ES"/>
        </w:rPr>
        <w:t>PROYECTOS DE DECISIÓN</w:t>
      </w:r>
    </w:p>
    <w:p w14:paraId="75F1B602" w14:textId="77777777" w:rsidR="00506494" w:rsidRPr="00461B7C" w:rsidRDefault="00506494" w:rsidP="00506494">
      <w:pPr>
        <w:pStyle w:val="Secondnumbering"/>
        <w:numPr>
          <w:ilvl w:val="0"/>
          <w:numId w:val="0"/>
        </w:numPr>
        <w:rPr>
          <w:lang w:val="es-ES"/>
        </w:rPr>
      </w:pPr>
    </w:p>
    <w:p w14:paraId="54E06396" w14:textId="77777777" w:rsidR="00506494" w:rsidRPr="00461B7C" w:rsidRDefault="00506494" w:rsidP="00506494">
      <w:pPr>
        <w:spacing w:after="0" w:line="240" w:lineRule="auto"/>
        <w:ind w:left="851" w:hanging="851"/>
        <w:jc w:val="center"/>
        <w:rPr>
          <w:rFonts w:cs="Arial"/>
          <w:b/>
          <w:lang w:val="es-ES"/>
        </w:rPr>
      </w:pPr>
      <w:r w:rsidRPr="00461B7C">
        <w:rPr>
          <w:rFonts w:cs="Arial"/>
          <w:b/>
          <w:bCs/>
          <w:lang w:val="es-ES"/>
        </w:rPr>
        <w:t>PRIORIDADES PARA LA CONSERVACIÓN POR ÁREAS DE LAS ESPECIES MIGRATORIAS MARINAS</w:t>
      </w:r>
    </w:p>
    <w:p w14:paraId="3F594AE2" w14:textId="77777777" w:rsidR="00506494" w:rsidRPr="00461B7C" w:rsidRDefault="00506494" w:rsidP="00506494">
      <w:pPr>
        <w:spacing w:after="0" w:line="240" w:lineRule="auto"/>
        <w:ind w:left="851" w:hanging="851"/>
        <w:rPr>
          <w:rFonts w:cs="Arial"/>
          <w:b/>
          <w:bCs/>
          <w:highlight w:val="yellow"/>
          <w:lang w:val="es-ES"/>
        </w:rPr>
      </w:pPr>
    </w:p>
    <w:p w14:paraId="5F9A8E53" w14:textId="77777777" w:rsidR="00506494" w:rsidRPr="00461B7C" w:rsidRDefault="00506494" w:rsidP="00506494">
      <w:pPr>
        <w:spacing w:after="0" w:line="240" w:lineRule="auto"/>
        <w:ind w:left="851" w:hanging="851"/>
        <w:rPr>
          <w:rFonts w:cs="Arial"/>
          <w:b/>
          <w:bCs/>
          <w:highlight w:val="yellow"/>
          <w:lang w:val="es-ES"/>
        </w:rPr>
      </w:pPr>
    </w:p>
    <w:p w14:paraId="4752F845" w14:textId="77777777" w:rsidR="00506494" w:rsidRPr="00461B7C" w:rsidRDefault="00506494" w:rsidP="00506494">
      <w:pPr>
        <w:rPr>
          <w:rFonts w:cs="Arial"/>
          <w:b/>
          <w:bCs/>
          <w:i/>
          <w:iCs/>
          <w:lang w:val="es-ES"/>
        </w:rPr>
      </w:pPr>
      <w:r w:rsidRPr="00461B7C">
        <w:rPr>
          <w:rFonts w:cs="Arial"/>
          <w:b/>
          <w:bCs/>
          <w:i/>
          <w:iCs/>
          <w:lang w:val="es-ES"/>
        </w:rPr>
        <w:t>Dirigido a las Partes</w:t>
      </w:r>
    </w:p>
    <w:p w14:paraId="550B3B0B" w14:textId="77777777" w:rsidR="00506494" w:rsidRPr="00461B7C" w:rsidRDefault="00506494" w:rsidP="00A572F5">
      <w:pPr>
        <w:spacing w:after="0" w:line="240" w:lineRule="auto"/>
        <w:ind w:left="900" w:hanging="900"/>
        <w:jc w:val="both"/>
        <w:rPr>
          <w:rFonts w:cs="Arial"/>
          <w:lang w:val="es-ES"/>
        </w:rPr>
      </w:pPr>
      <w:r w:rsidRPr="00461B7C">
        <w:rPr>
          <w:rFonts w:cs="Arial"/>
          <w:lang w:val="es-ES"/>
        </w:rPr>
        <w:t>15.AA</w:t>
      </w:r>
      <w:r w:rsidRPr="00461B7C">
        <w:rPr>
          <w:rFonts w:cs="Arial"/>
          <w:lang w:val="es-ES"/>
        </w:rPr>
        <w:tab/>
        <w:t>Se pide a las Partes que utilicen, según proceda, las Áreas importantes para mamíferos marinos (AIMM), Áreas importantes para tiburones y rayas (ISRA) y Áreas importantes para las tortugas marinas (AITM) en la identificación de hábitats en riesgo o el diseño de medidas de mitigación de amenazas, además de la designación de áreas marinas protegidas, o generalmente para fines de planificación espacial marina, incluyendo por medio de Estrategias y Planes de Acción Nacionales en materia de Diversidad Biológica (EPANDB).</w:t>
      </w:r>
    </w:p>
    <w:p w14:paraId="2AE4F5E1" w14:textId="77777777" w:rsidR="00506494" w:rsidRPr="00461B7C" w:rsidRDefault="00506494" w:rsidP="00506494">
      <w:pPr>
        <w:spacing w:after="0" w:line="240" w:lineRule="auto"/>
        <w:ind w:left="851" w:hanging="851"/>
        <w:jc w:val="both"/>
        <w:rPr>
          <w:rFonts w:cs="Arial"/>
          <w:lang w:val="es-ES"/>
        </w:rPr>
      </w:pPr>
    </w:p>
    <w:p w14:paraId="2CB98D42" w14:textId="77777777" w:rsidR="00506494" w:rsidRPr="00461B7C" w:rsidRDefault="00506494" w:rsidP="00506494">
      <w:pPr>
        <w:spacing w:after="0" w:line="240" w:lineRule="auto"/>
        <w:ind w:left="851" w:hanging="851"/>
        <w:jc w:val="both"/>
        <w:rPr>
          <w:rFonts w:cs="Arial"/>
          <w:b/>
          <w:bCs/>
          <w:i/>
          <w:iCs/>
          <w:lang w:val="es-ES"/>
        </w:rPr>
      </w:pPr>
      <w:r w:rsidRPr="00461B7C">
        <w:rPr>
          <w:rFonts w:cs="Arial"/>
          <w:b/>
          <w:bCs/>
          <w:i/>
          <w:iCs/>
          <w:lang w:val="es-ES"/>
        </w:rPr>
        <w:t>Dirigido a las Partes, organizaciones intergubernamentales y no gubernamentales</w:t>
      </w:r>
    </w:p>
    <w:p w14:paraId="656CF29E" w14:textId="77777777" w:rsidR="00506494" w:rsidRPr="00461B7C" w:rsidRDefault="00506494" w:rsidP="00506494">
      <w:pPr>
        <w:spacing w:after="0" w:line="240" w:lineRule="auto"/>
        <w:ind w:left="851" w:hanging="851"/>
        <w:jc w:val="both"/>
        <w:rPr>
          <w:rFonts w:cs="Arial"/>
          <w:b/>
          <w:bCs/>
          <w:i/>
          <w:iCs/>
          <w:lang w:val="es-ES"/>
        </w:rPr>
      </w:pPr>
    </w:p>
    <w:p w14:paraId="1FA488D8" w14:textId="77777777" w:rsidR="00506494" w:rsidRPr="00461B7C" w:rsidRDefault="00506494" w:rsidP="00A572F5">
      <w:pPr>
        <w:spacing w:after="0" w:line="240" w:lineRule="auto"/>
        <w:ind w:left="900" w:hanging="900"/>
        <w:jc w:val="both"/>
        <w:rPr>
          <w:rFonts w:cs="Arial"/>
          <w:lang w:val="es-ES"/>
        </w:rPr>
      </w:pPr>
      <w:r w:rsidRPr="00461B7C">
        <w:rPr>
          <w:rFonts w:cs="Arial"/>
          <w:lang w:val="es-ES"/>
        </w:rPr>
        <w:t>15.BB</w:t>
      </w:r>
      <w:r w:rsidRPr="00461B7C">
        <w:rPr>
          <w:rFonts w:cs="Arial"/>
          <w:lang w:val="es-ES"/>
        </w:rPr>
        <w:tab/>
        <w:t>Se alienta a las Partes, organizaciones intergubernamentales y organizaciones no gubernamentales a participar de forma activa y ofrecer asistencia técnica y financiera a la Comisión de supervivencia de especies (CSE) de la UICN para el proceso de identificar AIMM, ISRA y AITM a nivel global.</w:t>
      </w:r>
    </w:p>
    <w:p w14:paraId="06227A19" w14:textId="77777777" w:rsidR="00506494" w:rsidRPr="00461B7C" w:rsidRDefault="00506494" w:rsidP="00506494">
      <w:pPr>
        <w:spacing w:after="0" w:line="240" w:lineRule="auto"/>
        <w:jc w:val="both"/>
        <w:rPr>
          <w:rFonts w:cs="Arial"/>
          <w:lang w:val="es-ES"/>
        </w:rPr>
      </w:pPr>
    </w:p>
    <w:p w14:paraId="73B2CA53" w14:textId="77777777" w:rsidR="00506494" w:rsidRPr="00461B7C" w:rsidRDefault="00506494" w:rsidP="00506494">
      <w:pPr>
        <w:spacing w:after="0" w:line="240" w:lineRule="auto"/>
        <w:ind w:left="851" w:hanging="851"/>
        <w:rPr>
          <w:rFonts w:cs="Arial"/>
          <w:b/>
          <w:bCs/>
          <w:i/>
          <w:iCs/>
          <w:lang w:val="es-ES"/>
        </w:rPr>
      </w:pPr>
      <w:r w:rsidRPr="00461B7C">
        <w:rPr>
          <w:rFonts w:cs="Arial"/>
          <w:b/>
          <w:bCs/>
          <w:i/>
          <w:iCs/>
          <w:lang w:val="es-ES"/>
        </w:rPr>
        <w:t>Dirigido al Consejo Científico</w:t>
      </w:r>
    </w:p>
    <w:p w14:paraId="2D08C9AA" w14:textId="77777777" w:rsidR="00506494" w:rsidRPr="00461B7C" w:rsidRDefault="00506494" w:rsidP="00506494">
      <w:pPr>
        <w:spacing w:after="0" w:line="240" w:lineRule="auto"/>
        <w:ind w:left="851" w:hanging="851"/>
        <w:rPr>
          <w:rFonts w:cs="Arial"/>
          <w:b/>
          <w:bCs/>
          <w:lang w:val="es-ES"/>
        </w:rPr>
      </w:pPr>
    </w:p>
    <w:p w14:paraId="452D4DCF" w14:textId="77777777" w:rsidR="00506494" w:rsidRPr="00461B7C" w:rsidRDefault="00506494" w:rsidP="00A572F5">
      <w:pPr>
        <w:spacing w:after="0" w:line="240" w:lineRule="auto"/>
        <w:ind w:left="900" w:hanging="900"/>
        <w:jc w:val="both"/>
        <w:rPr>
          <w:rFonts w:cs="Arial"/>
          <w:lang w:val="es-ES"/>
        </w:rPr>
      </w:pPr>
      <w:r w:rsidRPr="00461B7C">
        <w:rPr>
          <w:rFonts w:cs="Arial"/>
          <w:lang w:val="es-ES"/>
        </w:rPr>
        <w:t>15.CC</w:t>
      </w:r>
      <w:r w:rsidRPr="00461B7C">
        <w:rPr>
          <w:rFonts w:cs="Arial"/>
          <w:lang w:val="es-ES"/>
        </w:rPr>
        <w:tab/>
        <w:t>Se solicita al Consejo Científico, sujeto a la disponibilidad de recursos:</w:t>
      </w:r>
    </w:p>
    <w:p w14:paraId="760EC9E0" w14:textId="77777777" w:rsidR="00506494" w:rsidRPr="00461B7C" w:rsidRDefault="00506494" w:rsidP="00506494">
      <w:pPr>
        <w:widowControl w:val="0"/>
        <w:autoSpaceDE w:val="0"/>
        <w:autoSpaceDN w:val="0"/>
        <w:adjustRightInd w:val="0"/>
        <w:spacing w:after="0" w:line="240" w:lineRule="auto"/>
        <w:jc w:val="both"/>
        <w:rPr>
          <w:rFonts w:cs="Arial"/>
          <w:lang w:val="es-ES"/>
        </w:rPr>
      </w:pPr>
    </w:p>
    <w:p w14:paraId="306381C0" w14:textId="77777777" w:rsidR="00506494" w:rsidRPr="00461B7C" w:rsidRDefault="00506494" w:rsidP="00A572F5">
      <w:pPr>
        <w:widowControl w:val="0"/>
        <w:numPr>
          <w:ilvl w:val="0"/>
          <w:numId w:val="25"/>
        </w:numPr>
        <w:autoSpaceDE w:val="0"/>
        <w:autoSpaceDN w:val="0"/>
        <w:adjustRightInd w:val="0"/>
        <w:spacing w:after="0" w:line="240" w:lineRule="auto"/>
        <w:ind w:left="1440" w:hanging="540"/>
        <w:jc w:val="both"/>
        <w:rPr>
          <w:rFonts w:cs="Arial"/>
          <w:lang w:val="es-ES"/>
        </w:rPr>
      </w:pPr>
      <w:r w:rsidRPr="00461B7C">
        <w:rPr>
          <w:rFonts w:cs="Arial"/>
          <w:lang w:val="es-ES"/>
        </w:rPr>
        <w:t>desarrollar un informe sobre la mejora de la eficacia a largo plazo de áreas protegidas dedicadas a las especies marinas migratorias para combatir el cambio climático, además de hacer recomendaciones a las Partes, y</w:t>
      </w:r>
    </w:p>
    <w:p w14:paraId="74756176" w14:textId="77777777" w:rsidR="00506494" w:rsidRPr="00461B7C" w:rsidRDefault="00506494" w:rsidP="00A572F5">
      <w:pPr>
        <w:widowControl w:val="0"/>
        <w:autoSpaceDE w:val="0"/>
        <w:autoSpaceDN w:val="0"/>
        <w:adjustRightInd w:val="0"/>
        <w:spacing w:after="0" w:line="240" w:lineRule="auto"/>
        <w:ind w:left="1440" w:hanging="540"/>
        <w:jc w:val="both"/>
        <w:rPr>
          <w:rFonts w:cs="Arial"/>
          <w:lang w:val="es-ES"/>
        </w:rPr>
      </w:pPr>
    </w:p>
    <w:p w14:paraId="5628ED58" w14:textId="77777777" w:rsidR="00506494" w:rsidRPr="00461B7C" w:rsidRDefault="00506494" w:rsidP="00A572F5">
      <w:pPr>
        <w:widowControl w:val="0"/>
        <w:numPr>
          <w:ilvl w:val="0"/>
          <w:numId w:val="25"/>
        </w:numPr>
        <w:autoSpaceDE w:val="0"/>
        <w:autoSpaceDN w:val="0"/>
        <w:adjustRightInd w:val="0"/>
        <w:spacing w:after="0" w:line="240" w:lineRule="auto"/>
        <w:ind w:left="1440" w:hanging="540"/>
        <w:jc w:val="both"/>
        <w:rPr>
          <w:rFonts w:cs="Arial"/>
          <w:lang w:val="es-ES"/>
        </w:rPr>
      </w:pPr>
      <w:r w:rsidRPr="00461B7C">
        <w:rPr>
          <w:rFonts w:cs="Arial"/>
          <w:lang w:val="es-ES"/>
        </w:rPr>
        <w:t>colaborar con la CSE de la UICN para incluir datos sobre las especies incluidas en la CMS en la identificación de AIMM, ISRA y AITM.</w:t>
      </w:r>
    </w:p>
    <w:p w14:paraId="7B261E02" w14:textId="77777777" w:rsidR="00506494" w:rsidRPr="00461B7C" w:rsidRDefault="00506494" w:rsidP="00506494">
      <w:pPr>
        <w:widowControl w:val="0"/>
        <w:autoSpaceDE w:val="0"/>
        <w:autoSpaceDN w:val="0"/>
        <w:adjustRightInd w:val="0"/>
        <w:spacing w:after="0" w:line="240" w:lineRule="auto"/>
        <w:jc w:val="both"/>
        <w:rPr>
          <w:rFonts w:cs="Arial"/>
          <w:lang w:val="es-ES"/>
        </w:rPr>
      </w:pPr>
    </w:p>
    <w:p w14:paraId="005A3927" w14:textId="77777777" w:rsidR="00506494" w:rsidRPr="00461B7C" w:rsidRDefault="00506494" w:rsidP="00506494">
      <w:pPr>
        <w:rPr>
          <w:rFonts w:cs="Arial"/>
          <w:b/>
          <w:bCs/>
          <w:i/>
          <w:iCs/>
          <w:lang w:val="es-ES"/>
        </w:rPr>
      </w:pPr>
      <w:r w:rsidRPr="00461B7C">
        <w:rPr>
          <w:rFonts w:cs="Arial"/>
          <w:b/>
          <w:bCs/>
          <w:i/>
          <w:iCs/>
          <w:lang w:val="es-ES"/>
        </w:rPr>
        <w:t>Dirigido a la Secretaría</w:t>
      </w:r>
    </w:p>
    <w:p w14:paraId="204F3B8D" w14:textId="77777777" w:rsidR="00506494" w:rsidRPr="00461B7C" w:rsidRDefault="00506494" w:rsidP="00A572F5">
      <w:pPr>
        <w:spacing w:after="0" w:line="240" w:lineRule="auto"/>
        <w:ind w:left="900" w:hanging="900"/>
        <w:jc w:val="both"/>
        <w:rPr>
          <w:rFonts w:cs="Arial"/>
          <w:lang w:val="es-ES"/>
        </w:rPr>
      </w:pPr>
      <w:r w:rsidRPr="00461B7C">
        <w:rPr>
          <w:rFonts w:cs="Arial"/>
          <w:lang w:val="es-ES"/>
        </w:rPr>
        <w:t>15.DD</w:t>
      </w:r>
      <w:r w:rsidRPr="00461B7C">
        <w:rPr>
          <w:rFonts w:cs="Arial"/>
          <w:lang w:val="es-ES"/>
        </w:rPr>
        <w:tab/>
        <w:t>La Secretaría deberá:</w:t>
      </w:r>
    </w:p>
    <w:p w14:paraId="1AAC5469" w14:textId="77777777" w:rsidR="00506494" w:rsidRPr="00461B7C" w:rsidRDefault="00506494" w:rsidP="00506494">
      <w:pPr>
        <w:widowControl w:val="0"/>
        <w:autoSpaceDE w:val="0"/>
        <w:autoSpaceDN w:val="0"/>
        <w:adjustRightInd w:val="0"/>
        <w:spacing w:after="0" w:line="240" w:lineRule="auto"/>
        <w:jc w:val="both"/>
        <w:rPr>
          <w:rFonts w:cs="Arial"/>
          <w:lang w:val="es-ES"/>
        </w:rPr>
      </w:pPr>
    </w:p>
    <w:p w14:paraId="602F0D3E" w14:textId="77777777" w:rsidR="00506494" w:rsidRPr="00461B7C" w:rsidRDefault="00506494" w:rsidP="00A572F5">
      <w:pPr>
        <w:widowControl w:val="0"/>
        <w:numPr>
          <w:ilvl w:val="0"/>
          <w:numId w:val="26"/>
        </w:numPr>
        <w:autoSpaceDE w:val="0"/>
        <w:autoSpaceDN w:val="0"/>
        <w:adjustRightInd w:val="0"/>
        <w:spacing w:after="0" w:line="240" w:lineRule="auto"/>
        <w:ind w:left="1440" w:hanging="540"/>
        <w:jc w:val="both"/>
        <w:rPr>
          <w:rFonts w:cs="Arial"/>
          <w:lang w:val="es-ES"/>
        </w:rPr>
      </w:pPr>
      <w:r w:rsidRPr="00461B7C">
        <w:rPr>
          <w:rFonts w:cs="Arial"/>
          <w:lang w:val="es-ES"/>
        </w:rPr>
        <w:t>informar a las Partes de nuevas AIMM, ISRA y AITM identificadas, así como las especies relevantes incluidas en la CMS;</w:t>
      </w:r>
    </w:p>
    <w:p w14:paraId="081C0035" w14:textId="77777777" w:rsidR="00506494" w:rsidRPr="00461B7C" w:rsidRDefault="00506494" w:rsidP="00A572F5">
      <w:pPr>
        <w:widowControl w:val="0"/>
        <w:autoSpaceDE w:val="0"/>
        <w:autoSpaceDN w:val="0"/>
        <w:adjustRightInd w:val="0"/>
        <w:spacing w:after="0" w:line="240" w:lineRule="auto"/>
        <w:ind w:left="1440" w:hanging="540"/>
        <w:jc w:val="both"/>
        <w:rPr>
          <w:rFonts w:cs="Arial"/>
          <w:lang w:val="es-ES"/>
        </w:rPr>
      </w:pPr>
    </w:p>
    <w:p w14:paraId="3540AE52" w14:textId="77777777" w:rsidR="00506494" w:rsidRPr="00461B7C" w:rsidRDefault="00506494" w:rsidP="00A572F5">
      <w:pPr>
        <w:widowControl w:val="0"/>
        <w:numPr>
          <w:ilvl w:val="0"/>
          <w:numId w:val="26"/>
        </w:numPr>
        <w:autoSpaceDE w:val="0"/>
        <w:autoSpaceDN w:val="0"/>
        <w:adjustRightInd w:val="0"/>
        <w:spacing w:after="0" w:line="240" w:lineRule="auto"/>
        <w:ind w:left="1440" w:hanging="540"/>
        <w:jc w:val="both"/>
        <w:rPr>
          <w:rFonts w:cs="Arial"/>
          <w:lang w:val="es-ES"/>
        </w:rPr>
      </w:pPr>
      <w:r w:rsidRPr="00461B7C">
        <w:rPr>
          <w:rFonts w:cs="Arial"/>
          <w:lang w:val="es-ES"/>
        </w:rPr>
        <w:t xml:space="preserve">contactar con otras organizaciones regionales e internacionales relevantes para centrar su atención en el valor de la identificación de AIMM, ISRA y AITM para la planificación de la conservación; </w:t>
      </w:r>
    </w:p>
    <w:p w14:paraId="0D6C5B0E" w14:textId="77777777" w:rsidR="00506494" w:rsidRPr="00461B7C" w:rsidRDefault="00506494" w:rsidP="00A572F5">
      <w:pPr>
        <w:widowControl w:val="0"/>
        <w:autoSpaceDE w:val="0"/>
        <w:autoSpaceDN w:val="0"/>
        <w:adjustRightInd w:val="0"/>
        <w:spacing w:after="0" w:line="240" w:lineRule="auto"/>
        <w:ind w:left="1440" w:hanging="540"/>
        <w:jc w:val="both"/>
        <w:rPr>
          <w:rFonts w:cs="Arial"/>
          <w:lang w:val="es-ES"/>
        </w:rPr>
      </w:pPr>
    </w:p>
    <w:p w14:paraId="10EDE4B5" w14:textId="77777777" w:rsidR="00506494" w:rsidRDefault="00506494" w:rsidP="00A572F5">
      <w:pPr>
        <w:widowControl w:val="0"/>
        <w:numPr>
          <w:ilvl w:val="0"/>
          <w:numId w:val="26"/>
        </w:numPr>
        <w:autoSpaceDE w:val="0"/>
        <w:autoSpaceDN w:val="0"/>
        <w:adjustRightInd w:val="0"/>
        <w:spacing w:after="0" w:line="240" w:lineRule="auto"/>
        <w:ind w:left="1440" w:hanging="540"/>
        <w:jc w:val="both"/>
        <w:rPr>
          <w:rFonts w:cs="Arial"/>
          <w:lang w:val="es-ES"/>
        </w:rPr>
      </w:pPr>
      <w:r w:rsidRPr="00461B7C">
        <w:rPr>
          <w:rFonts w:cs="Arial"/>
          <w:lang w:val="es-ES"/>
        </w:rPr>
        <w:t>seguir actuando como enlace con la CSE de la UICN para promocionar el valor de las AIMM, ISRA y AITM para la conservación de especies incluidas en la CMS, además de seguir colaborando con los Corredores Azules para las Tortugas; y</w:t>
      </w:r>
    </w:p>
    <w:p w14:paraId="323F38EA" w14:textId="77777777" w:rsidR="00A572F5" w:rsidRDefault="00A572F5" w:rsidP="00A572F5">
      <w:pPr>
        <w:pStyle w:val="ListParagraph"/>
        <w:spacing w:after="0" w:line="240" w:lineRule="auto"/>
        <w:ind w:left="1440" w:hanging="540"/>
        <w:rPr>
          <w:rFonts w:cs="Arial"/>
          <w:lang w:val="es-ES"/>
        </w:rPr>
      </w:pPr>
    </w:p>
    <w:p w14:paraId="697A10B0" w14:textId="29AF2B1A" w:rsidR="002D2548" w:rsidRPr="00A572F5" w:rsidRDefault="00506494" w:rsidP="00A572F5">
      <w:pPr>
        <w:widowControl w:val="0"/>
        <w:numPr>
          <w:ilvl w:val="0"/>
          <w:numId w:val="26"/>
        </w:numPr>
        <w:autoSpaceDE w:val="0"/>
        <w:autoSpaceDN w:val="0"/>
        <w:adjustRightInd w:val="0"/>
        <w:spacing w:after="0" w:line="240" w:lineRule="auto"/>
        <w:ind w:left="1440" w:hanging="540"/>
        <w:jc w:val="both"/>
        <w:rPr>
          <w:rFonts w:cs="Arial"/>
          <w:lang w:val="es-ES"/>
        </w:rPr>
      </w:pPr>
      <w:r w:rsidRPr="00A572F5">
        <w:rPr>
          <w:rFonts w:cs="Arial"/>
          <w:lang w:val="es-ES"/>
        </w:rPr>
        <w:t>seguir participando en el proceso relacionado con el Acuerdo BBNJ, incluyendo la asistencia a las próximas reuniones.</w:t>
      </w:r>
    </w:p>
    <w:sectPr w:rsidR="002D2548" w:rsidRPr="00A572F5" w:rsidSect="00323406">
      <w:headerReference w:type="first" r:id="rId4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1D186" w14:textId="77777777" w:rsidR="00B1045E" w:rsidRDefault="00B1045E" w:rsidP="00002A97">
      <w:pPr>
        <w:spacing w:after="0" w:line="240" w:lineRule="auto"/>
      </w:pPr>
      <w:r>
        <w:separator/>
      </w:r>
    </w:p>
  </w:endnote>
  <w:endnote w:type="continuationSeparator" w:id="0">
    <w:p w14:paraId="002FEA99" w14:textId="77777777" w:rsidR="00B1045E" w:rsidRDefault="00B1045E"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Tight">
    <w:altName w:val="Calibri"/>
    <w:charset w:val="00"/>
    <w:family w:val="auto"/>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000000">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189168"/>
      <w:docPartObj>
        <w:docPartGallery w:val="Page Numbers (Bottom of Page)"/>
        <w:docPartUnique/>
      </w:docPartObj>
    </w:sdtPr>
    <w:sdtEndPr>
      <w:rPr>
        <w:noProof/>
        <w:sz w:val="18"/>
        <w:szCs w:val="18"/>
      </w:rPr>
    </w:sdtEndPr>
    <w:sdtContent>
      <w:p w14:paraId="37830DCC" w14:textId="461EB7DC" w:rsidR="002E73A0" w:rsidRPr="002E73A0" w:rsidRDefault="002E73A0">
        <w:pPr>
          <w:pStyle w:val="Footer"/>
          <w:jc w:val="center"/>
          <w:rPr>
            <w:sz w:val="18"/>
            <w:szCs w:val="18"/>
          </w:rPr>
        </w:pPr>
        <w:r w:rsidRPr="002E73A0">
          <w:rPr>
            <w:sz w:val="18"/>
            <w:szCs w:val="18"/>
          </w:rPr>
          <w:fldChar w:fldCharType="begin"/>
        </w:r>
        <w:r w:rsidRPr="002E73A0">
          <w:rPr>
            <w:sz w:val="18"/>
            <w:szCs w:val="18"/>
          </w:rPr>
          <w:instrText xml:space="preserve"> PAGE   \* MERGEFORMAT </w:instrText>
        </w:r>
        <w:r w:rsidRPr="002E73A0">
          <w:rPr>
            <w:sz w:val="18"/>
            <w:szCs w:val="18"/>
          </w:rPr>
          <w:fldChar w:fldCharType="separate"/>
        </w:r>
        <w:r w:rsidRPr="002E73A0">
          <w:rPr>
            <w:noProof/>
            <w:sz w:val="18"/>
            <w:szCs w:val="18"/>
          </w:rPr>
          <w:t>2</w:t>
        </w:r>
        <w:r w:rsidRPr="002E73A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053F1" w14:textId="77777777" w:rsidR="00B1045E" w:rsidRDefault="00B1045E" w:rsidP="00002A97">
      <w:pPr>
        <w:spacing w:after="0" w:line="240" w:lineRule="auto"/>
      </w:pPr>
      <w:r>
        <w:separator/>
      </w:r>
    </w:p>
  </w:footnote>
  <w:footnote w:type="continuationSeparator" w:id="0">
    <w:p w14:paraId="455AF54B" w14:textId="77777777" w:rsidR="00B1045E" w:rsidRDefault="00B1045E" w:rsidP="00002A97">
      <w:pPr>
        <w:spacing w:after="0" w:line="240" w:lineRule="auto"/>
      </w:pPr>
      <w:r>
        <w:continuationSeparator/>
      </w:r>
    </w:p>
  </w:footnote>
  <w:footnote w:id="1">
    <w:p w14:paraId="17B757AC" w14:textId="77777777" w:rsidR="00A737F3" w:rsidRPr="00606A45" w:rsidRDefault="00A737F3" w:rsidP="00A737F3">
      <w:pPr>
        <w:pStyle w:val="FootnoteText"/>
        <w:jc w:val="both"/>
        <w:rPr>
          <w:i/>
          <w:iCs/>
          <w:lang w:val="es-ES"/>
        </w:rPr>
      </w:pPr>
      <w:r w:rsidRPr="00480E0E">
        <w:rPr>
          <w:rStyle w:val="FootnoteReference"/>
          <w:sz w:val="16"/>
          <w:szCs w:val="16"/>
          <w:lang w:val="es-ES"/>
        </w:rPr>
        <w:footnoteRef/>
      </w:r>
      <w:r w:rsidRPr="00480E0E">
        <w:rPr>
          <w:sz w:val="16"/>
          <w:szCs w:val="16"/>
          <w:lang w:val="es-ES"/>
        </w:rPr>
        <w:t xml:space="preserve"> </w:t>
      </w:r>
      <w:hyperlink r:id="rId1" w:history="1">
        <w:r w:rsidRPr="00480E0E">
          <w:rPr>
            <w:rStyle w:val="Hyperlink"/>
            <w:sz w:val="16"/>
            <w:szCs w:val="16"/>
            <w:lang w:val="es-ES"/>
          </w:rPr>
          <w:t xml:space="preserve">Grupo de Trabajo de Áreas Protegidas para Mamíferos Marinos de la UICN. 2025. Moving from Important Marine Mammal Area (IMMA) Identification to Marine Mammal Conservation Action: Evaluation and Implementation of Conservation Action in IMMAs (De la identificación de áreas importantes </w:t>
        </w:r>
        <w:r>
          <w:rPr>
            <w:rStyle w:val="Hyperlink"/>
            <w:sz w:val="16"/>
            <w:szCs w:val="16"/>
            <w:lang w:val="es-ES"/>
          </w:rPr>
          <w:t>para los mamíferos marinos (AIMM</w:t>
        </w:r>
        <w:r w:rsidRPr="00480E0E">
          <w:rPr>
            <w:rStyle w:val="Hyperlink"/>
            <w:sz w:val="16"/>
            <w:szCs w:val="16"/>
            <w:lang w:val="es-ES"/>
          </w:rPr>
          <w:t>) a la acción para la conservación de los mamíferos marinos: evaluación y aplicación de med</w:t>
        </w:r>
        <w:r>
          <w:rPr>
            <w:rStyle w:val="Hyperlink"/>
            <w:sz w:val="16"/>
            <w:szCs w:val="16"/>
            <w:lang w:val="es-ES"/>
          </w:rPr>
          <w:t>idas de conservación en las AIMM</w:t>
        </w:r>
        <w:r w:rsidRPr="00480E0E">
          <w:rPr>
            <w:rStyle w:val="Hyperlink"/>
            <w:sz w:val="16"/>
            <w:szCs w:val="16"/>
            <w:lang w:val="es-ES"/>
          </w:rPr>
          <w:t xml:space="preserve">) - Informe resumido. </w:t>
        </w:r>
        <w:r w:rsidRPr="00606A45">
          <w:rPr>
            <w:rStyle w:val="Hyperlink"/>
            <w:sz w:val="16"/>
            <w:szCs w:val="16"/>
            <w:lang w:val="es-ES"/>
          </w:rPr>
          <w:t>Informe no publicado. Pág. 28</w:t>
        </w:r>
      </w:hyperlink>
      <w:r w:rsidRPr="00606A45">
        <w:rPr>
          <w:sz w:val="16"/>
          <w:szCs w:val="16"/>
          <w:lang w:val="es-ES"/>
        </w:rPr>
        <w:t>.</w:t>
      </w:r>
    </w:p>
  </w:footnote>
  <w:footnote w:id="2">
    <w:p w14:paraId="012CA766" w14:textId="77777777" w:rsidR="00B26BB8" w:rsidRPr="00151A51" w:rsidRDefault="00B26BB8" w:rsidP="00B26BB8">
      <w:pPr>
        <w:pStyle w:val="FootnoteText"/>
        <w:rPr>
          <w:lang w:val="es-ES"/>
        </w:rPr>
      </w:pPr>
      <w:r w:rsidRPr="00151A51">
        <w:rPr>
          <w:rStyle w:val="FootnoteReference"/>
          <w:sz w:val="16"/>
          <w:szCs w:val="16"/>
          <w:lang w:val="es-ES"/>
        </w:rPr>
        <w:footnoteRef/>
      </w:r>
      <w:r w:rsidRPr="00151A51">
        <w:rPr>
          <w:sz w:val="16"/>
          <w:szCs w:val="16"/>
          <w:lang w:val="es-ES"/>
        </w:rPr>
        <w:t xml:space="preserve"> </w:t>
      </w:r>
      <w:r w:rsidRPr="00151A51">
        <w:rPr>
          <w:sz w:val="16"/>
          <w:szCs w:val="16"/>
          <w:lang w:val="es-ES"/>
        </w:rPr>
        <w:t xml:space="preserve">Los informes del taller están disponibles en: </w:t>
      </w:r>
      <w:hyperlink r:id="rId2" w:history="1">
        <w:r w:rsidRPr="00151A51">
          <w:rPr>
            <w:rStyle w:val="Hyperlink"/>
            <w:rFonts w:cs="Arial"/>
            <w:sz w:val="16"/>
            <w:szCs w:val="16"/>
            <w:lang w:val="es-ES"/>
          </w:rPr>
          <w:t>https://sharkrayareas.org/resources/workshop-reports/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27C57ACA" w:rsidR="00D70275" w:rsidRPr="00002A97" w:rsidRDefault="00D70275" w:rsidP="00002A97">
    <w:pPr>
      <w:pStyle w:val="Header"/>
      <w:pBdr>
        <w:bottom w:val="single" w:sz="4" w:space="1" w:color="auto"/>
      </w:pBdr>
      <w:rPr>
        <w:i/>
        <w:sz w:val="18"/>
        <w:szCs w:val="18"/>
      </w:rPr>
    </w:pPr>
    <w:bookmarkStart w:id="4" w:name="_Hlk124847022"/>
    <w:bookmarkStart w:id="5" w:name="_Hlk124847023"/>
    <w:bookmarkStart w:id="6" w:name="_Hlk124847024"/>
    <w:bookmarkStart w:id="7" w:name="_Hlk124847025"/>
    <w:bookmarkStart w:id="8" w:name="_Hlk124847026"/>
    <w:bookmarkStart w:id="9" w:name="_Hlk124847027"/>
    <w:bookmarkStart w:id="10" w:name="_Hlk124847217"/>
    <w:bookmarkStart w:id="11"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4"/>
    <w:bookmarkEnd w:id="5"/>
    <w:bookmarkEnd w:id="6"/>
    <w:bookmarkEnd w:id="7"/>
    <w:bookmarkEnd w:id="8"/>
    <w:bookmarkEnd w:id="9"/>
    <w:bookmarkEnd w:id="10"/>
    <w:bookmarkEnd w:id="11"/>
    <w:r w:rsidR="00DA18BE">
      <w:rPr>
        <w:rFonts w:eastAsia="Times New Roman" w:cs="Arial"/>
        <w:i/>
        <w:sz w:val="18"/>
        <w:szCs w:val="18"/>
        <w:lang w:val="fr-FR" w:eastAsia="es-ES"/>
      </w:rPr>
      <w:t>25.3.1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5E57AEC7"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E55553">
      <w:rPr>
        <w:rFonts w:eastAsia="Times New Roman" w:cs="Arial"/>
        <w:i/>
        <w:sz w:val="18"/>
        <w:szCs w:val="18"/>
        <w:lang w:val="fr-FR" w:eastAsia="es-ES"/>
      </w:rPr>
      <w:t>25.3.1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6463" w14:textId="0C8F1762" w:rsidR="002E73A0" w:rsidRPr="00002A97" w:rsidRDefault="002E73A0"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25.3.1/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6ACE" w14:textId="36DFFE41" w:rsidR="004041AB" w:rsidRPr="004041AB" w:rsidRDefault="004041AB" w:rsidP="000F4BDA">
    <w:pPr>
      <w:pStyle w:val="Header"/>
      <w:pBdr>
        <w:bottom w:val="single" w:sz="4" w:space="1" w:color="auto"/>
      </w:pBdr>
      <w:jc w:val="right"/>
      <w:rPr>
        <w:i/>
        <w:sz w:val="18"/>
        <w:szCs w:val="18"/>
      </w:rPr>
    </w:pPr>
    <w:r w:rsidRPr="004041AB">
      <w:rPr>
        <w:rFonts w:eastAsia="Times New Roman" w:cs="Arial"/>
        <w:i/>
        <w:sz w:val="18"/>
        <w:szCs w:val="18"/>
        <w:lang w:eastAsia="es-ES"/>
      </w:rPr>
      <w:t>UNEP/CMS/COP15/Doc.25.3.1/Anex</w:t>
    </w:r>
    <w:r>
      <w:rPr>
        <w:rFonts w:eastAsia="Times New Roman" w:cs="Arial"/>
        <w:i/>
        <w:sz w:val="18"/>
        <w:szCs w:val="18"/>
        <w:lang w:eastAsia="es-ES"/>
      </w:rPr>
      <w:t>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827A" w14:textId="24B1AC11" w:rsidR="007E5316" w:rsidRPr="00196CCF" w:rsidRDefault="007E5316" w:rsidP="007E5316">
    <w:pPr>
      <w:pStyle w:val="Header"/>
      <w:pBdr>
        <w:bottom w:val="single" w:sz="4" w:space="1" w:color="auto"/>
      </w:pBdr>
      <w:jc w:val="right"/>
      <w:rPr>
        <w:rFonts w:cs="Arial"/>
        <w:i/>
        <w:sz w:val="18"/>
        <w:szCs w:val="18"/>
      </w:rPr>
    </w:pPr>
    <w:r w:rsidRPr="00196CCF">
      <w:rPr>
        <w:rFonts w:cs="Arial"/>
        <w:i/>
        <w:sz w:val="18"/>
        <w:szCs w:val="18"/>
      </w:rPr>
      <w:t>UNEP/CMS/COP15/Doc.25.3.1/Anex</w:t>
    </w:r>
    <w:r>
      <w:rPr>
        <w:rFonts w:cs="Arial"/>
        <w:i/>
        <w:sz w:val="18"/>
        <w:szCs w:val="18"/>
      </w:rPr>
      <w:t>o</w:t>
    </w:r>
    <w:r w:rsidRPr="00196CCF">
      <w:rPr>
        <w:rFonts w:cs="Arial"/>
        <w:i/>
        <w:sz w:val="18"/>
        <w:szCs w:val="18"/>
      </w:rPr>
      <w:t xml:space="preserve"> 1</w:t>
    </w:r>
  </w:p>
  <w:p w14:paraId="26DECAE0" w14:textId="77777777" w:rsidR="008F5040" w:rsidRPr="007E5316" w:rsidRDefault="008F5040" w:rsidP="007E53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5C24" w14:textId="25DD1EBA" w:rsidR="004041AB" w:rsidRPr="004041AB" w:rsidRDefault="004041AB" w:rsidP="000F4BDA">
    <w:pPr>
      <w:pStyle w:val="Header"/>
      <w:pBdr>
        <w:bottom w:val="single" w:sz="4" w:space="1" w:color="auto"/>
      </w:pBdr>
      <w:jc w:val="right"/>
      <w:rPr>
        <w:i/>
        <w:sz w:val="18"/>
        <w:szCs w:val="18"/>
      </w:rPr>
    </w:pPr>
    <w:r w:rsidRPr="004041AB">
      <w:rPr>
        <w:rFonts w:eastAsia="Times New Roman" w:cs="Arial"/>
        <w:i/>
        <w:sz w:val="18"/>
        <w:szCs w:val="18"/>
        <w:lang w:eastAsia="es-ES"/>
      </w:rPr>
      <w:t>UNEP/CMS/COP15/Doc.25.3.1/Anex</w:t>
    </w:r>
    <w:r>
      <w:rPr>
        <w:rFonts w:eastAsia="Times New Roman" w:cs="Arial"/>
        <w:i/>
        <w:sz w:val="18"/>
        <w:szCs w:val="18"/>
        <w:lang w:eastAsia="es-ES"/>
      </w:rPr>
      <w:t>o 2</w:t>
    </w:r>
  </w:p>
  <w:p w14:paraId="154A8335" w14:textId="77777777" w:rsidR="004041AB" w:rsidRDefault="004041A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47EA" w14:textId="331E15C3" w:rsidR="004041AB" w:rsidRPr="00196CCF" w:rsidRDefault="004041AB" w:rsidP="00C06F34">
    <w:pPr>
      <w:pStyle w:val="Header"/>
      <w:pBdr>
        <w:bottom w:val="single" w:sz="4" w:space="1" w:color="auto"/>
      </w:pBdr>
      <w:rPr>
        <w:rFonts w:cs="Arial"/>
        <w:i/>
        <w:sz w:val="18"/>
        <w:szCs w:val="18"/>
      </w:rPr>
    </w:pPr>
    <w:r w:rsidRPr="00196CCF">
      <w:rPr>
        <w:rFonts w:cs="Arial"/>
        <w:i/>
        <w:sz w:val="18"/>
        <w:szCs w:val="18"/>
      </w:rPr>
      <w:t>UNEP/CMS/COP15/Doc.25.3.1/Anex</w:t>
    </w:r>
    <w:r>
      <w:rPr>
        <w:rFonts w:cs="Arial"/>
        <w:i/>
        <w:sz w:val="18"/>
        <w:szCs w:val="18"/>
      </w:rPr>
      <w:t>o</w:t>
    </w:r>
    <w:r w:rsidRPr="00196CCF">
      <w:rPr>
        <w:rFonts w:cs="Arial"/>
        <w:i/>
        <w:sz w:val="18"/>
        <w:szCs w:val="18"/>
      </w:rPr>
      <w:t xml:space="preserve"> </w:t>
    </w:r>
    <w:r>
      <w:rPr>
        <w:rFonts w:cs="Arial"/>
        <w:i/>
        <w:sz w:val="18"/>
        <w:szCs w:val="18"/>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56D8" w14:textId="4014C803" w:rsidR="004041AB" w:rsidRPr="00196CCF" w:rsidRDefault="004041AB" w:rsidP="00C06F34">
    <w:pPr>
      <w:pStyle w:val="Header"/>
      <w:pBdr>
        <w:bottom w:val="single" w:sz="4" w:space="1" w:color="auto"/>
      </w:pBdr>
      <w:rPr>
        <w:rFonts w:cs="Arial"/>
        <w:i/>
        <w:sz w:val="18"/>
        <w:szCs w:val="18"/>
      </w:rPr>
    </w:pPr>
    <w:r w:rsidRPr="00196CCF">
      <w:rPr>
        <w:rFonts w:cs="Arial"/>
        <w:i/>
        <w:sz w:val="18"/>
        <w:szCs w:val="18"/>
      </w:rPr>
      <w:t>UNEP/CMS/COP15/Doc.25.3.1/Anex</w:t>
    </w:r>
    <w:r>
      <w:rPr>
        <w:rFonts w:cs="Arial"/>
        <w:i/>
        <w:sz w:val="18"/>
        <w:szCs w:val="18"/>
      </w:rPr>
      <w:t>o</w:t>
    </w:r>
    <w:r w:rsidRPr="00196CCF">
      <w:rPr>
        <w:rFonts w:cs="Arial"/>
        <w:i/>
        <w:sz w:val="18"/>
        <w:szCs w:val="18"/>
      </w:rPr>
      <w:t xml:space="preserve"> </w:t>
    </w:r>
    <w:r>
      <w:rPr>
        <w:rFonts w:cs="Arial"/>
        <w:i/>
        <w:sz w:val="18"/>
        <w:szCs w:val="18"/>
      </w:rPr>
      <w:t>3</w:t>
    </w:r>
  </w:p>
  <w:p w14:paraId="4FD7781B" w14:textId="77777777" w:rsidR="004041AB" w:rsidRPr="007E5316" w:rsidRDefault="004041AB" w:rsidP="007E5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4" w15:restartNumberingAfterBreak="0">
    <w:nsid w:val="0E0451C4"/>
    <w:multiLevelType w:val="hybridMultilevel"/>
    <w:tmpl w:val="A3766910"/>
    <w:lvl w:ilvl="0" w:tplc="9CA84112">
      <w:start w:val="1"/>
      <w:numFmt w:val="lowerLetter"/>
      <w:lvlText w:val="%1)"/>
      <w:lvlJc w:val="left"/>
      <w:pPr>
        <w:ind w:left="797" w:hanging="40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5" w15:restartNumberingAfterBreak="0">
    <w:nsid w:val="23DF48E4"/>
    <w:multiLevelType w:val="hybridMultilevel"/>
    <w:tmpl w:val="5F9A14AE"/>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C5A3762"/>
    <w:multiLevelType w:val="multilevel"/>
    <w:tmpl w:val="166CA48A"/>
    <w:lvl w:ilvl="0">
      <w:start w:val="1"/>
      <w:numFmt w:val="decimal"/>
      <w:lvlText w:val="%1."/>
      <w:lvlJc w:val="left"/>
      <w:pPr>
        <w:tabs>
          <w:tab w:val="num" w:pos="360"/>
        </w:tabs>
        <w:ind w:left="360" w:hanging="360"/>
      </w:pPr>
      <w:rPr>
        <w:i w:val="0"/>
        <w:i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27B5297"/>
    <w:multiLevelType w:val="hybridMultilevel"/>
    <w:tmpl w:val="4818265E"/>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2"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1B010F"/>
    <w:multiLevelType w:val="hybridMultilevel"/>
    <w:tmpl w:val="600AC410"/>
    <w:lvl w:ilvl="0" w:tplc="2000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4" w15:restartNumberingAfterBreak="0">
    <w:nsid w:val="465F7918"/>
    <w:multiLevelType w:val="hybridMultilevel"/>
    <w:tmpl w:val="B4688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832E34"/>
    <w:multiLevelType w:val="hybridMultilevel"/>
    <w:tmpl w:val="E2DEFDDA"/>
    <w:lvl w:ilvl="0" w:tplc="43685882">
      <w:start w:val="1"/>
      <w:numFmt w:val="upp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8E1BA6"/>
    <w:multiLevelType w:val="hybridMultilevel"/>
    <w:tmpl w:val="EEB089FA"/>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666FD7"/>
    <w:multiLevelType w:val="hybridMultilevel"/>
    <w:tmpl w:val="87F07208"/>
    <w:lvl w:ilvl="0" w:tplc="20000015">
      <w:start w:val="1"/>
      <w:numFmt w:val="upperLetter"/>
      <w:lvlText w:val="%1."/>
      <w:lvlJc w:val="left"/>
      <w:pPr>
        <w:ind w:left="993" w:hanging="360"/>
      </w:pPr>
      <w:rPr>
        <w:rFonts w:hint="default"/>
      </w:rPr>
    </w:lvl>
    <w:lvl w:ilvl="1" w:tplc="FFFFFFFF" w:tentative="1">
      <w:start w:val="1"/>
      <w:numFmt w:val="bullet"/>
      <w:lvlText w:val="o"/>
      <w:lvlJc w:val="left"/>
      <w:pPr>
        <w:ind w:left="1713" w:hanging="360"/>
      </w:pPr>
      <w:rPr>
        <w:rFonts w:ascii="Courier New" w:hAnsi="Courier New" w:cs="Courier New" w:hint="default"/>
      </w:rPr>
    </w:lvl>
    <w:lvl w:ilvl="2" w:tplc="FFFFFFFF" w:tentative="1">
      <w:start w:val="1"/>
      <w:numFmt w:val="bullet"/>
      <w:lvlText w:val=""/>
      <w:lvlJc w:val="left"/>
      <w:pPr>
        <w:ind w:left="2433" w:hanging="360"/>
      </w:pPr>
      <w:rPr>
        <w:rFonts w:ascii="Wingdings" w:hAnsi="Wingdings" w:hint="default"/>
      </w:rPr>
    </w:lvl>
    <w:lvl w:ilvl="3" w:tplc="FFFFFFFF" w:tentative="1">
      <w:start w:val="1"/>
      <w:numFmt w:val="bullet"/>
      <w:lvlText w:val=""/>
      <w:lvlJc w:val="left"/>
      <w:pPr>
        <w:ind w:left="3153" w:hanging="360"/>
      </w:pPr>
      <w:rPr>
        <w:rFonts w:ascii="Symbol" w:hAnsi="Symbol" w:hint="default"/>
      </w:rPr>
    </w:lvl>
    <w:lvl w:ilvl="4" w:tplc="FFFFFFFF" w:tentative="1">
      <w:start w:val="1"/>
      <w:numFmt w:val="bullet"/>
      <w:lvlText w:val="o"/>
      <w:lvlJc w:val="left"/>
      <w:pPr>
        <w:ind w:left="3873" w:hanging="360"/>
      </w:pPr>
      <w:rPr>
        <w:rFonts w:ascii="Courier New" w:hAnsi="Courier New" w:cs="Courier New" w:hint="default"/>
      </w:rPr>
    </w:lvl>
    <w:lvl w:ilvl="5" w:tplc="FFFFFFFF" w:tentative="1">
      <w:start w:val="1"/>
      <w:numFmt w:val="bullet"/>
      <w:lvlText w:val=""/>
      <w:lvlJc w:val="left"/>
      <w:pPr>
        <w:ind w:left="4593" w:hanging="360"/>
      </w:pPr>
      <w:rPr>
        <w:rFonts w:ascii="Wingdings" w:hAnsi="Wingdings" w:hint="default"/>
      </w:rPr>
    </w:lvl>
    <w:lvl w:ilvl="6" w:tplc="FFFFFFFF" w:tentative="1">
      <w:start w:val="1"/>
      <w:numFmt w:val="bullet"/>
      <w:lvlText w:val=""/>
      <w:lvlJc w:val="left"/>
      <w:pPr>
        <w:ind w:left="5313" w:hanging="360"/>
      </w:pPr>
      <w:rPr>
        <w:rFonts w:ascii="Symbol" w:hAnsi="Symbol" w:hint="default"/>
      </w:rPr>
    </w:lvl>
    <w:lvl w:ilvl="7" w:tplc="FFFFFFFF" w:tentative="1">
      <w:start w:val="1"/>
      <w:numFmt w:val="bullet"/>
      <w:lvlText w:val="o"/>
      <w:lvlJc w:val="left"/>
      <w:pPr>
        <w:ind w:left="6033" w:hanging="360"/>
      </w:pPr>
      <w:rPr>
        <w:rFonts w:ascii="Courier New" w:hAnsi="Courier New" w:cs="Courier New" w:hint="default"/>
      </w:rPr>
    </w:lvl>
    <w:lvl w:ilvl="8" w:tplc="FFFFFFFF" w:tentative="1">
      <w:start w:val="1"/>
      <w:numFmt w:val="bullet"/>
      <w:lvlText w:val=""/>
      <w:lvlJc w:val="left"/>
      <w:pPr>
        <w:ind w:left="6753" w:hanging="360"/>
      </w:pPr>
      <w:rPr>
        <w:rFonts w:ascii="Wingdings" w:hAnsi="Wingdings" w:hint="default"/>
      </w:rPr>
    </w:lvl>
  </w:abstractNum>
  <w:abstractNum w:abstractNumId="2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9A23F83"/>
    <w:multiLevelType w:val="hybridMultilevel"/>
    <w:tmpl w:val="AE48ACBC"/>
    <w:lvl w:ilvl="0" w:tplc="0809000F">
      <w:start w:val="1"/>
      <w:numFmt w:val="decimal"/>
      <w:lvlText w:val="%1."/>
      <w:lvlJc w:val="left"/>
      <w:pPr>
        <w:ind w:left="360" w:hanging="360"/>
      </w:pPr>
    </w:lvl>
    <w:lvl w:ilvl="1" w:tplc="200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A235671"/>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AC06A60"/>
    <w:multiLevelType w:val="hybridMultilevel"/>
    <w:tmpl w:val="CCAA232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E5C590F"/>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7"/>
  </w:num>
  <w:num w:numId="5" w16cid:durableId="37974177">
    <w:abstractNumId w:val="7"/>
  </w:num>
  <w:num w:numId="6" w16cid:durableId="1958830237">
    <w:abstractNumId w:val="18"/>
  </w:num>
  <w:num w:numId="7" w16cid:durableId="396439182">
    <w:abstractNumId w:val="22"/>
  </w:num>
  <w:num w:numId="8" w16cid:durableId="260603560">
    <w:abstractNumId w:val="16"/>
  </w:num>
  <w:num w:numId="9" w16cid:durableId="1356272424">
    <w:abstractNumId w:val="12"/>
  </w:num>
  <w:num w:numId="10" w16cid:durableId="630594039">
    <w:abstractNumId w:val="28"/>
  </w:num>
  <w:num w:numId="11" w16cid:durableId="2069759870">
    <w:abstractNumId w:val="20"/>
  </w:num>
  <w:num w:numId="12" w16cid:durableId="904724938">
    <w:abstractNumId w:val="23"/>
  </w:num>
  <w:num w:numId="13" w16cid:durableId="2132282296">
    <w:abstractNumId w:val="5"/>
  </w:num>
  <w:num w:numId="14" w16cid:durableId="1141927803">
    <w:abstractNumId w:val="24"/>
  </w:num>
  <w:num w:numId="15" w16cid:durableId="1736704218">
    <w:abstractNumId w:val="27"/>
  </w:num>
  <w:num w:numId="16" w16cid:durableId="173301854">
    <w:abstractNumId w:val="4"/>
  </w:num>
  <w:num w:numId="17" w16cid:durableId="1437363912">
    <w:abstractNumId w:val="8"/>
  </w:num>
  <w:num w:numId="18" w16cid:durableId="1216896438">
    <w:abstractNumId w:val="19"/>
  </w:num>
  <w:num w:numId="19" w16cid:durableId="1795978512">
    <w:abstractNumId w:val="14"/>
  </w:num>
  <w:num w:numId="20" w16cid:durableId="1344934547">
    <w:abstractNumId w:val="21"/>
  </w:num>
  <w:num w:numId="21" w16cid:durableId="1530023866">
    <w:abstractNumId w:val="15"/>
  </w:num>
  <w:num w:numId="22" w16cid:durableId="1566068375">
    <w:abstractNumId w:val="13"/>
  </w:num>
  <w:num w:numId="23" w16cid:durableId="1180313803">
    <w:abstractNumId w:val="6"/>
  </w:num>
  <w:num w:numId="24" w16cid:durableId="1624076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2729370">
    <w:abstractNumId w:val="29"/>
  </w:num>
  <w:num w:numId="26" w16cid:durableId="59060552">
    <w:abstractNumId w:val="26"/>
  </w:num>
  <w:num w:numId="27" w16cid:durableId="6520322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4038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99500">
    <w:abstractNumId w:val="9"/>
  </w:num>
  <w:num w:numId="30" w16cid:durableId="1844203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553F"/>
    <w:rsid w:val="00040D1E"/>
    <w:rsid w:val="00055BB2"/>
    <w:rsid w:val="000C6A5F"/>
    <w:rsid w:val="000D1A04"/>
    <w:rsid w:val="000E192F"/>
    <w:rsid w:val="000F4BDA"/>
    <w:rsid w:val="00125735"/>
    <w:rsid w:val="00127033"/>
    <w:rsid w:val="00127CCF"/>
    <w:rsid w:val="001316B2"/>
    <w:rsid w:val="00140982"/>
    <w:rsid w:val="00154A11"/>
    <w:rsid w:val="00166CB7"/>
    <w:rsid w:val="001722A0"/>
    <w:rsid w:val="00192411"/>
    <w:rsid w:val="001936E1"/>
    <w:rsid w:val="001E6CDF"/>
    <w:rsid w:val="001E73E0"/>
    <w:rsid w:val="0020300C"/>
    <w:rsid w:val="002066E1"/>
    <w:rsid w:val="0024152C"/>
    <w:rsid w:val="00256158"/>
    <w:rsid w:val="00267AC6"/>
    <w:rsid w:val="0027547F"/>
    <w:rsid w:val="00283E80"/>
    <w:rsid w:val="002913D9"/>
    <w:rsid w:val="0029473D"/>
    <w:rsid w:val="002A40B8"/>
    <w:rsid w:val="002A5ABE"/>
    <w:rsid w:val="002D2548"/>
    <w:rsid w:val="002D5F2A"/>
    <w:rsid w:val="002E73A0"/>
    <w:rsid w:val="002F43C9"/>
    <w:rsid w:val="002F7EC2"/>
    <w:rsid w:val="003133A7"/>
    <w:rsid w:val="00323406"/>
    <w:rsid w:val="00395348"/>
    <w:rsid w:val="004041AB"/>
    <w:rsid w:val="00430A25"/>
    <w:rsid w:val="00436169"/>
    <w:rsid w:val="00457C8A"/>
    <w:rsid w:val="00485FE6"/>
    <w:rsid w:val="004B674A"/>
    <w:rsid w:val="004C7808"/>
    <w:rsid w:val="00506494"/>
    <w:rsid w:val="005330F7"/>
    <w:rsid w:val="00534DAA"/>
    <w:rsid w:val="00563598"/>
    <w:rsid w:val="00570C9B"/>
    <w:rsid w:val="005859DE"/>
    <w:rsid w:val="00591364"/>
    <w:rsid w:val="00592262"/>
    <w:rsid w:val="0059243E"/>
    <w:rsid w:val="00593E18"/>
    <w:rsid w:val="005A135C"/>
    <w:rsid w:val="005A3E04"/>
    <w:rsid w:val="005C39FC"/>
    <w:rsid w:val="005E606D"/>
    <w:rsid w:val="00603CBE"/>
    <w:rsid w:val="00606A45"/>
    <w:rsid w:val="006114FC"/>
    <w:rsid w:val="006610DF"/>
    <w:rsid w:val="0066169A"/>
    <w:rsid w:val="00674A67"/>
    <w:rsid w:val="006967D8"/>
    <w:rsid w:val="006A63C6"/>
    <w:rsid w:val="006C2EF5"/>
    <w:rsid w:val="006F22B0"/>
    <w:rsid w:val="00707384"/>
    <w:rsid w:val="00790422"/>
    <w:rsid w:val="007B24F4"/>
    <w:rsid w:val="007B53CC"/>
    <w:rsid w:val="007C212E"/>
    <w:rsid w:val="007D6958"/>
    <w:rsid w:val="007E5316"/>
    <w:rsid w:val="007E5A82"/>
    <w:rsid w:val="00800CB3"/>
    <w:rsid w:val="00810C64"/>
    <w:rsid w:val="008571D3"/>
    <w:rsid w:val="008A5DD4"/>
    <w:rsid w:val="008D686F"/>
    <w:rsid w:val="008F5040"/>
    <w:rsid w:val="009059D0"/>
    <w:rsid w:val="00934399"/>
    <w:rsid w:val="00937C05"/>
    <w:rsid w:val="00943D15"/>
    <w:rsid w:val="009A115B"/>
    <w:rsid w:val="00A569C9"/>
    <w:rsid w:val="00A572F5"/>
    <w:rsid w:val="00A737F3"/>
    <w:rsid w:val="00A96EB9"/>
    <w:rsid w:val="00AC09AE"/>
    <w:rsid w:val="00AE0466"/>
    <w:rsid w:val="00B1045E"/>
    <w:rsid w:val="00B104EC"/>
    <w:rsid w:val="00B26BB8"/>
    <w:rsid w:val="00B40E07"/>
    <w:rsid w:val="00BC5707"/>
    <w:rsid w:val="00BE6C85"/>
    <w:rsid w:val="00BF7838"/>
    <w:rsid w:val="00C06F34"/>
    <w:rsid w:val="00C15C03"/>
    <w:rsid w:val="00C22155"/>
    <w:rsid w:val="00C41DAD"/>
    <w:rsid w:val="00C54985"/>
    <w:rsid w:val="00C664E8"/>
    <w:rsid w:val="00CB0797"/>
    <w:rsid w:val="00CE20AC"/>
    <w:rsid w:val="00CF0C59"/>
    <w:rsid w:val="00CF660D"/>
    <w:rsid w:val="00CF673D"/>
    <w:rsid w:val="00D05E0A"/>
    <w:rsid w:val="00D70275"/>
    <w:rsid w:val="00D84650"/>
    <w:rsid w:val="00DA18BE"/>
    <w:rsid w:val="00DB3A17"/>
    <w:rsid w:val="00E07BFC"/>
    <w:rsid w:val="00E55553"/>
    <w:rsid w:val="00E568EC"/>
    <w:rsid w:val="00E607BD"/>
    <w:rsid w:val="00E77A9F"/>
    <w:rsid w:val="00E81B4A"/>
    <w:rsid w:val="00ED3CA2"/>
    <w:rsid w:val="00EF1D13"/>
    <w:rsid w:val="00F147ED"/>
    <w:rsid w:val="00F16424"/>
    <w:rsid w:val="00F34713"/>
    <w:rsid w:val="00F75299"/>
    <w:rsid w:val="00F973DB"/>
    <w:rsid w:val="00FA447A"/>
    <w:rsid w:val="00FB3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ED3CA2"/>
    <w:pPr>
      <w:numPr>
        <w:numId w:val="13"/>
      </w:numPr>
      <w:spacing w:after="0" w:line="240" w:lineRule="auto"/>
    </w:pPr>
    <w:rPr>
      <w:lang w:val="en-GB"/>
    </w:rPr>
  </w:style>
  <w:style w:type="character" w:customStyle="1" w:styleId="SecondnumberingChar">
    <w:name w:val="Second numbering Char"/>
    <w:basedOn w:val="DefaultParagraphFont"/>
    <w:link w:val="Secondnumbering"/>
    <w:rsid w:val="00ED3CA2"/>
    <w:rPr>
      <w:lang w:val="en-GB"/>
    </w:rPr>
  </w:style>
  <w:style w:type="paragraph" w:styleId="FootnoteText">
    <w:name w:val="footnote text"/>
    <w:basedOn w:val="Normal"/>
    <w:link w:val="FootnoteTextChar"/>
    <w:uiPriority w:val="99"/>
    <w:semiHidden/>
    <w:unhideWhenUsed/>
    <w:rsid w:val="00ED3CA2"/>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ED3CA2"/>
    <w:rPr>
      <w:sz w:val="20"/>
      <w:szCs w:val="20"/>
      <w:lang w:val="en-GB"/>
    </w:rPr>
  </w:style>
  <w:style w:type="character" w:styleId="CommentReference">
    <w:name w:val="annotation reference"/>
    <w:basedOn w:val="DefaultParagraphFont"/>
    <w:uiPriority w:val="99"/>
    <w:semiHidden/>
    <w:unhideWhenUsed/>
    <w:rsid w:val="00A737F3"/>
    <w:rPr>
      <w:sz w:val="16"/>
      <w:szCs w:val="16"/>
    </w:rPr>
  </w:style>
  <w:style w:type="paragraph" w:styleId="CommentText">
    <w:name w:val="annotation text"/>
    <w:basedOn w:val="Normal"/>
    <w:link w:val="CommentTextChar"/>
    <w:uiPriority w:val="99"/>
    <w:unhideWhenUsed/>
    <w:rsid w:val="00A737F3"/>
    <w:pPr>
      <w:spacing w:line="240" w:lineRule="auto"/>
    </w:pPr>
    <w:rPr>
      <w:sz w:val="20"/>
      <w:szCs w:val="20"/>
      <w:lang w:val="en-GB"/>
    </w:rPr>
  </w:style>
  <w:style w:type="character" w:customStyle="1" w:styleId="CommentTextChar">
    <w:name w:val="Comment Text Char"/>
    <w:basedOn w:val="DefaultParagraphFont"/>
    <w:link w:val="CommentText"/>
    <w:uiPriority w:val="99"/>
    <w:rsid w:val="00A737F3"/>
    <w:rPr>
      <w:sz w:val="20"/>
      <w:szCs w:val="20"/>
      <w:lang w:val="en-GB"/>
    </w:rPr>
  </w:style>
  <w:style w:type="paragraph" w:styleId="EndnoteText">
    <w:name w:val="endnote text"/>
    <w:basedOn w:val="Normal"/>
    <w:link w:val="EndnoteTextChar"/>
    <w:uiPriority w:val="99"/>
    <w:semiHidden/>
    <w:unhideWhenUsed/>
    <w:rsid w:val="00B26BB8"/>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B26BB8"/>
    <w:rPr>
      <w:sz w:val="20"/>
      <w:szCs w:val="20"/>
      <w:lang w:val="en-GB"/>
    </w:rPr>
  </w:style>
  <w:style w:type="character" w:styleId="UnresolvedMention">
    <w:name w:val="Unresolved Mention"/>
    <w:basedOn w:val="DefaultParagraphFont"/>
    <w:uiPriority w:val="99"/>
    <w:semiHidden/>
    <w:unhideWhenUsed/>
    <w:rsid w:val="00275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inemammalhabitat.org/" TargetMode="External"/><Relationship Id="rId18" Type="http://schemas.openxmlformats.org/officeDocument/2006/relationships/hyperlink" Target="https://www.cms.int/es/news/2024011-%C3%A1reas-importantes-para-tiburones-y-rayas" TargetMode="External"/><Relationship Id="rId26" Type="http://schemas.openxmlformats.org/officeDocument/2006/relationships/hyperlink" Target="https://www.unep.org/resources/report/horizon-scan-possible-linkages-between-bbnj-agreement-and-biodiversity-related" TargetMode="External"/><Relationship Id="rId39" Type="http://schemas.openxmlformats.org/officeDocument/2006/relationships/header" Target="header7.xml"/><Relationship Id="rId21" Type="http://schemas.openxmlformats.org/officeDocument/2006/relationships/hyperlink" Target="https://www.cms.int/en/document/sharks-and-rays" TargetMode="External"/><Relationship Id="rId34" Type="http://schemas.openxmlformats.org/officeDocument/2006/relationships/hyperlink" Target="https://www.iucn-mtsg.org/imta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document/ocean-travellers-safeguarding-critical-habitats-migratory-sharks-and-rays" TargetMode="External"/><Relationship Id="rId20" Type="http://schemas.openxmlformats.org/officeDocument/2006/relationships/hyperlink" Target="https://www.cms.int/en/document/advice-spatial-management-angelsharks-mediterranean" TargetMode="External"/><Relationship Id="rId29" Type="http://schemas.openxmlformats.org/officeDocument/2006/relationships/header" Target="header2.xm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un.org/bbnjagreement/es/meetings/preparatory-commission/documents/second-session-18-29-august-2025" TargetMode="External"/><Relationship Id="rId32" Type="http://schemas.openxmlformats.org/officeDocument/2006/relationships/header" Target="header3.xml"/><Relationship Id="rId37" Type="http://schemas.openxmlformats.org/officeDocument/2006/relationships/header" Target="header6.xml"/><Relationship Id="rId40"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www.cms.int/es/node/42142" TargetMode="External"/><Relationship Id="rId23" Type="http://schemas.openxmlformats.org/officeDocument/2006/relationships/hyperlink" Target="https://wwfint.awsassets.panda.org/downloads/bct_report-june-2025_single-page.pdf?_gl=1*ygyskt*_gcl_au*MTQ5MDIwODgzLjE3NTQ0Njg2ODk.*_ga*MTYyMzkyNzMyNS4xNzU0NDY4Njg5*_ga_9594H828Q9*czE3NTQ0Njg2ODgkbzEkZzAkdDE3NTQ0Njg2ODgkajYwJGwwJGgw" TargetMode="External"/><Relationship Id="rId28" Type="http://schemas.openxmlformats.org/officeDocument/2006/relationships/header" Target="header1.xm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cms.int/es/news/2025003-%C3%A1reas-importantes-para-tiburones-y-raya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3rd-information-note-activities-related-identification-important-marine-mammal-areas-immas" TargetMode="External"/><Relationship Id="rId22" Type="http://schemas.openxmlformats.org/officeDocument/2006/relationships/hyperlink" Target="https://www.cms.int/en/document/important-marine-turtle-areas-guidelines" TargetMode="External"/><Relationship Id="rId27" Type="http://schemas.openxmlformats.org/officeDocument/2006/relationships/hyperlink" Target="https://www.cms.int/es/node/46045" TargetMode="External"/><Relationship Id="rId30" Type="http://schemas.openxmlformats.org/officeDocument/2006/relationships/footer" Target="footer1.xml"/><Relationship Id="rId35" Type="http://schemas.openxmlformats.org/officeDocument/2006/relationships/header" Target="header4.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es/document/%C3%A1reas-importantes-de-mam%C3%ADferos-marinos-aimm" TargetMode="External"/><Relationship Id="rId17" Type="http://schemas.openxmlformats.org/officeDocument/2006/relationships/hyperlink" Target="https://sharkrayareas.org/e-atlas/" TargetMode="External"/><Relationship Id="rId25" Type="http://schemas.openxmlformats.org/officeDocument/2006/relationships/hyperlink" Target="https://docs.un.org/es/a/ac.296/2025/16" TargetMode="External"/><Relationship Id="rId33" Type="http://schemas.openxmlformats.org/officeDocument/2006/relationships/footer" Target="footer3.xm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sharkrayareas.org/resources/workshop-reports/" TargetMode="External"/><Relationship Id="rId1" Type="http://schemas.openxmlformats.org/officeDocument/2006/relationships/hyperlink" Target="https://www.marinemammalhabitat.org/moving-toward-the-implementation-of-important-marine-mammal-areas-imma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E7EA5-C2D1-42E7-88EA-BC0D2D56032E}"/>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47</TotalTime>
  <Pages>14</Pages>
  <Words>5872</Words>
  <Characters>33475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Daan de Leur</cp:lastModifiedBy>
  <cp:revision>68</cp:revision>
  <dcterms:created xsi:type="dcterms:W3CDTF">2025-09-17T12:42:00Z</dcterms:created>
  <dcterms:modified xsi:type="dcterms:W3CDTF">2026-01-27T15:22:00Z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