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544224" w:rsidRPr="00544224" w14:paraId="2DF8A23D" w14:textId="77777777" w:rsidTr="00760B3B">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13C226CE" w14:textId="77777777" w:rsidR="00544224" w:rsidRPr="00EC2A58" w:rsidRDefault="00544224" w:rsidP="00760B3B">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1E3BF23F" wp14:editId="7CC91CAC">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A575899" w14:textId="77777777" w:rsidR="00544224" w:rsidRPr="00EC2A58" w:rsidRDefault="00544224" w:rsidP="00760B3B">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23EE9C0F" w14:textId="77777777" w:rsidR="00544224" w:rsidRPr="00EC2A58" w:rsidRDefault="00544224" w:rsidP="00760B3B">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13E5A0F3" w14:textId="77777777" w:rsidR="00544224" w:rsidRPr="00EC2A58" w:rsidRDefault="00544224" w:rsidP="00760B3B">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6B5C5846" w14:textId="77777777" w:rsidR="00544224" w:rsidRPr="00EC2A58" w:rsidRDefault="00544224" w:rsidP="00760B3B">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50B37901" w14:textId="77777777" w:rsidR="00544224" w:rsidRPr="00EC2A58" w:rsidRDefault="00544224" w:rsidP="00760B3B">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1035F3B5" w14:textId="523372F4" w:rsidR="00544224" w:rsidRPr="00AF3AEC" w:rsidRDefault="00544224" w:rsidP="00760B3B">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r>
              <w:rPr>
                <w:rFonts w:eastAsia="Arial" w:cs="Arial"/>
                <w:lang w:val="fr-FR"/>
              </w:rPr>
              <w:t>22</w:t>
            </w:r>
          </w:p>
          <w:p w14:paraId="00D32027" w14:textId="51BA9542" w:rsidR="00544224" w:rsidRPr="00AF3AEC" w:rsidRDefault="00974B83" w:rsidP="00760B3B">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 xml:space="preserve">17 janvier </w:t>
            </w:r>
            <w:r w:rsidR="00544224" w:rsidRPr="00AF3AEC">
              <w:rPr>
                <w:rFonts w:eastAsia="Arial" w:cs="Arial"/>
                <w:lang w:val="fr-FR"/>
              </w:rPr>
              <w:t>202</w:t>
            </w:r>
            <w:r>
              <w:rPr>
                <w:rFonts w:eastAsia="Arial" w:cs="Arial"/>
                <w:lang w:val="fr-FR"/>
              </w:rPr>
              <w:t>6</w:t>
            </w:r>
          </w:p>
          <w:p w14:paraId="3E8530E4" w14:textId="77777777" w:rsidR="00544224" w:rsidRPr="00FC4F18" w:rsidRDefault="00544224" w:rsidP="00760B3B">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16B16190" w14:textId="77777777" w:rsidR="00544224" w:rsidRPr="00FC4F18" w:rsidRDefault="00544224" w:rsidP="00760B3B">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3674B83B" w14:textId="77777777" w:rsidR="00544224" w:rsidRPr="00EC2A58" w:rsidRDefault="00544224" w:rsidP="00544224">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36CC8082" w14:textId="77777777" w:rsidR="00544224" w:rsidRPr="00EC2A58" w:rsidRDefault="00544224" w:rsidP="0054422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5E6AC33B" w14:textId="77777777" w:rsidR="00544224" w:rsidRPr="00EC2A58" w:rsidRDefault="00544224" w:rsidP="0054422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40D09DA1" w14:textId="687E4F49" w:rsidR="00544224" w:rsidRPr="00EC2A58" w:rsidRDefault="00544224" w:rsidP="00544224">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974B83">
        <w:rPr>
          <w:rFonts w:eastAsia="Arial" w:cs="Arial"/>
          <w:iCs/>
          <w:lang w:val="fr-FR"/>
        </w:rPr>
        <w:t>22</w:t>
      </w:r>
      <w:r w:rsidRPr="00EC2A58">
        <w:rPr>
          <w:rFonts w:eastAsia="Arial" w:cs="Arial"/>
          <w:iCs/>
          <w:lang w:val="fr-FR"/>
        </w:rPr>
        <w:t xml:space="preserve"> de l’ordre du jour</w:t>
      </w:r>
    </w:p>
    <w:bookmarkEnd w:id="1"/>
    <w:p w14:paraId="176D0330" w14:textId="77777777" w:rsidR="00EA0676" w:rsidRPr="009F7089" w:rsidRDefault="00EA0676">
      <w:pPr>
        <w:widowControl w:val="0"/>
        <w:suppressAutoHyphens/>
        <w:autoSpaceDE w:val="0"/>
        <w:autoSpaceDN w:val="0"/>
        <w:spacing w:after="0" w:line="240" w:lineRule="auto"/>
        <w:jc w:val="both"/>
        <w:textAlignment w:val="baseline"/>
        <w:rPr>
          <w:rFonts w:eastAsia="Times New Roman" w:cs="Arial"/>
          <w:lang w:val="fr-FR"/>
        </w:rPr>
      </w:pPr>
    </w:p>
    <w:p w14:paraId="4C1FF851" w14:textId="77777777" w:rsidR="00EA0676" w:rsidRPr="009F7089" w:rsidRDefault="00811F01">
      <w:pPr>
        <w:widowControl w:val="0"/>
        <w:suppressAutoHyphens/>
        <w:autoSpaceDE w:val="0"/>
        <w:autoSpaceDN w:val="0"/>
        <w:spacing w:after="0" w:line="360" w:lineRule="auto"/>
        <w:jc w:val="center"/>
        <w:textAlignment w:val="baseline"/>
        <w:rPr>
          <w:rFonts w:eastAsia="Times New Roman" w:cs="Arial"/>
          <w:b/>
          <w:bCs/>
          <w:lang w:val="fr-FR"/>
        </w:rPr>
      </w:pPr>
      <w:r w:rsidRPr="009F7089">
        <w:rPr>
          <w:rFonts w:eastAsia="Times New Roman" w:cs="Arial"/>
          <w:b/>
          <w:bCs/>
          <w:lang w:val="fr-FR"/>
        </w:rPr>
        <w:t>RAPPORTS NATIONAUX</w:t>
      </w:r>
    </w:p>
    <w:p w14:paraId="018617E4" w14:textId="56900E97" w:rsidR="00EA0676" w:rsidRPr="009F7089" w:rsidRDefault="00811F01">
      <w:pPr>
        <w:widowControl w:val="0"/>
        <w:suppressAutoHyphens/>
        <w:autoSpaceDE w:val="0"/>
        <w:autoSpaceDN w:val="0"/>
        <w:spacing w:after="0" w:line="360" w:lineRule="auto"/>
        <w:jc w:val="center"/>
        <w:textAlignment w:val="baseline"/>
        <w:rPr>
          <w:rFonts w:ascii="Calibri" w:eastAsia="Calibri" w:hAnsi="Calibri" w:cs="Times New Roman"/>
          <w:lang w:val="fr-FR"/>
        </w:rPr>
      </w:pPr>
      <w:r w:rsidRPr="009F7089">
        <w:rPr>
          <w:rFonts w:eastAsia="Times New Roman" w:cs="Arial"/>
          <w:i/>
          <w:lang w:val="fr-FR"/>
        </w:rPr>
        <w:t>(Préparé par le Secrétariat)</w:t>
      </w:r>
    </w:p>
    <w:p w14:paraId="104F3EDA" w14:textId="64BF5672" w:rsidR="00EA0676" w:rsidRPr="009F7089" w:rsidRDefault="00EA0676">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fr-FR"/>
        </w:rPr>
      </w:pPr>
    </w:p>
    <w:p w14:paraId="4B2AED70" w14:textId="474DFDA4" w:rsidR="00EA0676" w:rsidRPr="009F7089" w:rsidRDefault="00EA0676">
      <w:pPr>
        <w:widowControl w:val="0"/>
        <w:suppressAutoHyphens/>
        <w:autoSpaceDE w:val="0"/>
        <w:autoSpaceDN w:val="0"/>
        <w:spacing w:after="0" w:line="240" w:lineRule="auto"/>
        <w:jc w:val="both"/>
        <w:textAlignment w:val="baseline"/>
        <w:rPr>
          <w:rFonts w:eastAsia="Times New Roman" w:cs="Arial"/>
          <w:sz w:val="21"/>
          <w:szCs w:val="21"/>
          <w:lang w:val="fr-FR"/>
        </w:rPr>
      </w:pPr>
    </w:p>
    <w:p w14:paraId="48E3C887" w14:textId="6B83DD61" w:rsidR="00EA0676" w:rsidRPr="009F7089" w:rsidRDefault="00EA0676">
      <w:pPr>
        <w:widowControl w:val="0"/>
        <w:suppressAutoHyphens/>
        <w:autoSpaceDE w:val="0"/>
        <w:autoSpaceDN w:val="0"/>
        <w:spacing w:after="0" w:line="240" w:lineRule="auto"/>
        <w:jc w:val="both"/>
        <w:textAlignment w:val="baseline"/>
        <w:rPr>
          <w:rFonts w:eastAsia="Times New Roman" w:cs="Arial"/>
          <w:sz w:val="21"/>
          <w:szCs w:val="21"/>
          <w:lang w:val="fr-FR"/>
        </w:rPr>
      </w:pPr>
    </w:p>
    <w:p w14:paraId="595B94FA" w14:textId="19234534" w:rsidR="00EA0676" w:rsidRPr="009F7089" w:rsidRDefault="00974B83">
      <w:pPr>
        <w:widowControl w:val="0"/>
        <w:suppressAutoHyphens/>
        <w:autoSpaceDE w:val="0"/>
        <w:autoSpaceDN w:val="0"/>
        <w:spacing w:after="0" w:line="240" w:lineRule="auto"/>
        <w:jc w:val="both"/>
        <w:textAlignment w:val="baseline"/>
        <w:rPr>
          <w:rFonts w:eastAsia="Times New Roman" w:cs="Arial"/>
          <w:sz w:val="21"/>
          <w:szCs w:val="21"/>
          <w:lang w:val="fr-FR"/>
        </w:rPr>
      </w:pPr>
      <w:r w:rsidRPr="009F7089">
        <w:rPr>
          <w:rFonts w:eastAsia="Times New Roman" w:cs="Arial"/>
          <w:noProof/>
          <w:sz w:val="21"/>
          <w:szCs w:val="21"/>
          <w:lang w:val="fr-FR" w:eastAsia="fr-FR"/>
        </w:rPr>
        <mc:AlternateContent>
          <mc:Choice Requires="wps">
            <w:drawing>
              <wp:anchor distT="0" distB="0" distL="114300" distR="114300" simplePos="0" relativeHeight="251658240" behindDoc="1" locked="0" layoutInCell="1" allowOverlap="1" wp14:anchorId="6AF39586" wp14:editId="6352363C">
                <wp:simplePos x="0" y="0"/>
                <wp:positionH relativeFrom="margin">
                  <wp:posOffset>1016635</wp:posOffset>
                </wp:positionH>
                <wp:positionV relativeFrom="margin">
                  <wp:posOffset>2940685</wp:posOffset>
                </wp:positionV>
                <wp:extent cx="4304665" cy="1931035"/>
                <wp:effectExtent l="0" t="0" r="19685" b="12065"/>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1931035"/>
                        </a:xfrm>
                        <a:prstGeom prst="rect">
                          <a:avLst/>
                        </a:prstGeom>
                        <a:solidFill>
                          <a:srgbClr val="FFFFFF"/>
                        </a:solidFill>
                        <a:ln w="3172">
                          <a:solidFill>
                            <a:srgbClr val="000000"/>
                          </a:solidFill>
                          <a:prstDash val="solid"/>
                        </a:ln>
                      </wps:spPr>
                      <wps:txbx>
                        <w:txbxContent>
                          <w:p w14:paraId="5EBBD789" w14:textId="54B6CF02" w:rsidR="00EA0676" w:rsidRDefault="00811F01">
                            <w:pPr>
                              <w:spacing w:after="0" w:line="240" w:lineRule="auto"/>
                              <w:jc w:val="both"/>
                              <w:rPr>
                                <w:rFonts w:cs="Arial"/>
                                <w:lang w:val="fr-FR"/>
                              </w:rPr>
                            </w:pPr>
                            <w:r>
                              <w:rPr>
                                <w:rFonts w:cs="Arial"/>
                                <w:lang w:val="fr-FR"/>
                              </w:rPr>
                              <w:t>Résumé</w:t>
                            </w:r>
                            <w:r w:rsidR="009445D3">
                              <w:rPr>
                                <w:rFonts w:cs="Arial"/>
                                <w:lang w:val="fr-FR"/>
                              </w:rPr>
                              <w:t> </w:t>
                            </w:r>
                            <w:r>
                              <w:rPr>
                                <w:rFonts w:cs="Arial"/>
                                <w:lang w:val="fr-FR"/>
                              </w:rPr>
                              <w:t>:</w:t>
                            </w:r>
                          </w:p>
                          <w:p w14:paraId="674878EF" w14:textId="77777777" w:rsidR="00EA0676" w:rsidRDefault="00EA0676">
                            <w:pPr>
                              <w:spacing w:after="0" w:line="240" w:lineRule="auto"/>
                              <w:jc w:val="both"/>
                              <w:rPr>
                                <w:rFonts w:cs="Arial"/>
                                <w:lang w:val="fr-FR"/>
                              </w:rPr>
                            </w:pPr>
                          </w:p>
                          <w:p w14:paraId="625464AE" w14:textId="54725862" w:rsidR="00EA0676" w:rsidRDefault="00811F01">
                            <w:pPr>
                              <w:spacing w:after="0" w:line="240" w:lineRule="auto"/>
                              <w:jc w:val="both"/>
                              <w:rPr>
                                <w:rFonts w:cs="Arial"/>
                                <w:color w:val="000000" w:themeColor="text1"/>
                                <w:lang w:val="fr-FR"/>
                              </w:rPr>
                            </w:pPr>
                            <w:r>
                              <w:rPr>
                                <w:rFonts w:cs="Arial"/>
                                <w:lang w:val="fr-FR"/>
                              </w:rPr>
                              <w:t>Le présent document rend compte de la mise en œuvre de la Résolution</w:t>
                            </w:r>
                            <w:r w:rsidR="009445D3">
                              <w:rPr>
                                <w:rFonts w:cs="Arial"/>
                                <w:lang w:val="fr-FR"/>
                              </w:rPr>
                              <w:t> </w:t>
                            </w:r>
                            <w:r>
                              <w:rPr>
                                <w:rFonts w:cs="Arial"/>
                                <w:lang w:val="fr-FR"/>
                              </w:rPr>
                              <w:t xml:space="preserve">12.5 (Rev.COP14) </w:t>
                            </w:r>
                            <w:r>
                              <w:rPr>
                                <w:rFonts w:cs="Arial"/>
                                <w:i/>
                                <w:iCs/>
                                <w:lang w:val="fr-FR"/>
                              </w:rPr>
                              <w:t>Rapports nationaux</w:t>
                            </w:r>
                            <w:r>
                              <w:rPr>
                                <w:rFonts w:cs="Arial"/>
                                <w:lang w:val="fr-FR"/>
                              </w:rPr>
                              <w:t xml:space="preserve"> et des décisions</w:t>
                            </w:r>
                            <w:r w:rsidR="009445D3">
                              <w:rPr>
                                <w:rFonts w:cs="Arial"/>
                                <w:lang w:val="fr-FR"/>
                              </w:rPr>
                              <w:t> </w:t>
                            </w:r>
                            <w:r>
                              <w:rPr>
                                <w:rFonts w:cs="Arial"/>
                                <w:lang w:val="fr-FR"/>
                              </w:rPr>
                              <w:t xml:space="preserve">14.25 à 14.27. </w:t>
                            </w:r>
                            <w:r>
                              <w:rPr>
                                <w:rFonts w:cs="Arial"/>
                                <w:color w:val="000000" w:themeColor="text1"/>
                                <w:lang w:val="fr-FR"/>
                              </w:rPr>
                              <w:t>Il contient de nouveaux projets de décisions et une proposition d</w:t>
                            </w:r>
                            <w:r w:rsidR="009445D3">
                              <w:rPr>
                                <w:rFonts w:cs="Arial"/>
                                <w:color w:val="000000" w:themeColor="text1"/>
                                <w:lang w:val="fr-FR"/>
                              </w:rPr>
                              <w:t>’</w:t>
                            </w:r>
                            <w:r>
                              <w:rPr>
                                <w:rFonts w:cs="Arial"/>
                                <w:color w:val="000000" w:themeColor="text1"/>
                                <w:lang w:val="fr-FR"/>
                              </w:rPr>
                              <w:t>abrogation des décisions</w:t>
                            </w:r>
                            <w:r w:rsidR="009445D3">
                              <w:rPr>
                                <w:rFonts w:cs="Arial"/>
                                <w:color w:val="000000" w:themeColor="text1"/>
                                <w:lang w:val="fr-FR"/>
                              </w:rPr>
                              <w:t> </w:t>
                            </w:r>
                            <w:r>
                              <w:rPr>
                                <w:rFonts w:cs="Arial"/>
                                <w:color w:val="000000" w:themeColor="text1"/>
                                <w:lang w:val="fr-FR"/>
                              </w:rPr>
                              <w:t>14.25 à 14.27.</w:t>
                            </w:r>
                          </w:p>
                          <w:p w14:paraId="5AA74AB7" w14:textId="77777777" w:rsidR="00EA0676" w:rsidRDefault="00EA0676">
                            <w:pPr>
                              <w:spacing w:after="0" w:line="240" w:lineRule="auto"/>
                              <w:jc w:val="both"/>
                              <w:rPr>
                                <w:rFonts w:cs="Arial"/>
                                <w:lang w:val="fr-FR"/>
                              </w:rPr>
                            </w:pPr>
                          </w:p>
                          <w:p w14:paraId="5EEA30B6" w14:textId="6DCE7FB7" w:rsidR="00EA0676" w:rsidRDefault="00811F01">
                            <w:pPr>
                              <w:spacing w:after="0" w:line="240" w:lineRule="auto"/>
                              <w:jc w:val="both"/>
                              <w:rPr>
                                <w:rFonts w:cs="Arial"/>
                                <w:lang w:val="fr-FR"/>
                              </w:rPr>
                            </w:pPr>
                            <w:r>
                              <w:rPr>
                                <w:rFonts w:cs="Arial"/>
                                <w:lang w:val="fr-FR"/>
                              </w:rPr>
                              <w:t>L</w:t>
                            </w:r>
                            <w:r w:rsidR="009445D3">
                              <w:rPr>
                                <w:rFonts w:cs="Arial"/>
                                <w:lang w:val="fr-FR"/>
                              </w:rPr>
                              <w:t>’</w:t>
                            </w:r>
                            <w:r>
                              <w:rPr>
                                <w:rFonts w:cs="Arial"/>
                                <w:lang w:val="fr-FR"/>
                              </w:rPr>
                              <w:t>Annexe</w:t>
                            </w:r>
                            <w:r w:rsidR="009445D3">
                              <w:rPr>
                                <w:rFonts w:cs="Arial"/>
                                <w:lang w:val="fr-FR"/>
                              </w:rPr>
                              <w:t> </w:t>
                            </w:r>
                            <w:r>
                              <w:rPr>
                                <w:rFonts w:cs="Arial"/>
                                <w:lang w:val="fr-FR"/>
                              </w:rPr>
                              <w:t>2 comporte une analyse des rapports nationaux de la CMS soumis à la COP15.</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80.05pt;margin-top:231.55pt;width:338.95pt;height:152.0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" strokeweight=".08811mm">
                <v:textbox>
                  <w:txbxContent>
                    <w:p w14:paraId="5EBBD789" w14:textId="54B6CF02" w:rsidR="00EA0676" w:rsidRDefault="00811F01">
                      <w:pPr>
                        <w:spacing w:after="0" w:line="240" w:lineRule="auto"/>
                        <w:jc w:val="both"/>
                        <w:rPr>
                          <w:rFonts w:cs="Arial"/>
                          <w:lang w:val="fr-FR"/>
                        </w:rPr>
                      </w:pPr>
                      <w:r>
                        <w:rPr>
                          <w:rFonts w:cs="Arial"/>
                          <w:lang w:val="fr-FR"/>
                        </w:rPr>
                        <w:t>Résumé</w:t>
                      </w:r>
                      <w:r w:rsidR="009445D3">
                        <w:rPr>
                          <w:rFonts w:cs="Arial"/>
                          <w:lang w:val="fr-FR"/>
                        </w:rPr>
                        <w:t> </w:t>
                      </w:r>
                      <w:r>
                        <w:rPr>
                          <w:rFonts w:cs="Arial"/>
                          <w:lang w:val="fr-FR"/>
                        </w:rPr>
                        <w:t>:</w:t>
                      </w:r>
                    </w:p>
                    <w:p w14:paraId="674878EF" w14:textId="77777777" w:rsidR="00EA0676" w:rsidRDefault="00EA0676">
                      <w:pPr>
                        <w:spacing w:after="0" w:line="240" w:lineRule="auto"/>
                        <w:jc w:val="both"/>
                        <w:rPr>
                          <w:rFonts w:cs="Arial"/>
                          <w:lang w:val="fr-FR"/>
                        </w:rPr>
                      </w:pPr>
                    </w:p>
                    <w:p w14:paraId="625464AE" w14:textId="54725862" w:rsidR="00EA0676" w:rsidRDefault="00811F01">
                      <w:pPr>
                        <w:spacing w:after="0" w:line="240" w:lineRule="auto"/>
                        <w:jc w:val="both"/>
                        <w:rPr>
                          <w:rFonts w:cs="Arial"/>
                          <w:color w:val="000000" w:themeColor="text1"/>
                          <w:lang w:val="fr-FR"/>
                        </w:rPr>
                      </w:pPr>
                      <w:r>
                        <w:rPr>
                          <w:rFonts w:cs="Arial"/>
                          <w:lang w:val="fr-FR"/>
                        </w:rPr>
                        <w:t>Le présent document rend compte de la mise en œuvre de la Résolution</w:t>
                      </w:r>
                      <w:r w:rsidR="009445D3">
                        <w:rPr>
                          <w:rFonts w:cs="Arial"/>
                          <w:lang w:val="fr-FR"/>
                        </w:rPr>
                        <w:t> </w:t>
                      </w:r>
                      <w:r>
                        <w:rPr>
                          <w:rFonts w:cs="Arial"/>
                          <w:lang w:val="fr-FR"/>
                        </w:rPr>
                        <w:t xml:space="preserve">12.5 (Rev.COP14) </w:t>
                      </w:r>
                      <w:r>
                        <w:rPr>
                          <w:rFonts w:cs="Arial"/>
                          <w:i/>
                          <w:iCs/>
                          <w:lang w:val="fr-FR"/>
                        </w:rPr>
                        <w:t>Rapports nationaux</w:t>
                      </w:r>
                      <w:r>
                        <w:rPr>
                          <w:rFonts w:cs="Arial"/>
                          <w:lang w:val="fr-FR"/>
                        </w:rPr>
                        <w:t xml:space="preserve"> et des décisions</w:t>
                      </w:r>
                      <w:r w:rsidR="009445D3">
                        <w:rPr>
                          <w:rFonts w:cs="Arial"/>
                          <w:lang w:val="fr-FR"/>
                        </w:rPr>
                        <w:t> </w:t>
                      </w:r>
                      <w:r>
                        <w:rPr>
                          <w:rFonts w:cs="Arial"/>
                          <w:lang w:val="fr-FR"/>
                        </w:rPr>
                        <w:t xml:space="preserve">14.25 à 14.27. </w:t>
                      </w:r>
                      <w:r>
                        <w:rPr>
                          <w:rFonts w:cs="Arial"/>
                          <w:color w:val="000000" w:themeColor="text1"/>
                          <w:lang w:val="fr-FR"/>
                        </w:rPr>
                        <w:t>Il contient de nouveaux projets de décisions et une proposition d</w:t>
                      </w:r>
                      <w:r w:rsidR="009445D3">
                        <w:rPr>
                          <w:rFonts w:cs="Arial"/>
                          <w:color w:val="000000" w:themeColor="text1"/>
                          <w:lang w:val="fr-FR"/>
                        </w:rPr>
                        <w:t>’</w:t>
                      </w:r>
                      <w:r>
                        <w:rPr>
                          <w:rFonts w:cs="Arial"/>
                          <w:color w:val="000000" w:themeColor="text1"/>
                          <w:lang w:val="fr-FR"/>
                        </w:rPr>
                        <w:t>abrogation des décisions</w:t>
                      </w:r>
                      <w:r w:rsidR="009445D3">
                        <w:rPr>
                          <w:rFonts w:cs="Arial"/>
                          <w:color w:val="000000" w:themeColor="text1"/>
                          <w:lang w:val="fr-FR"/>
                        </w:rPr>
                        <w:t> </w:t>
                      </w:r>
                      <w:r>
                        <w:rPr>
                          <w:rFonts w:cs="Arial"/>
                          <w:color w:val="000000" w:themeColor="text1"/>
                          <w:lang w:val="fr-FR"/>
                        </w:rPr>
                        <w:t>14.25 à 14.27.</w:t>
                      </w:r>
                    </w:p>
                    <w:p w14:paraId="5AA74AB7" w14:textId="77777777" w:rsidR="00EA0676" w:rsidRDefault="00EA0676">
                      <w:pPr>
                        <w:spacing w:after="0" w:line="240" w:lineRule="auto"/>
                        <w:jc w:val="both"/>
                        <w:rPr>
                          <w:rFonts w:cs="Arial"/>
                          <w:lang w:val="fr-FR"/>
                        </w:rPr>
                      </w:pPr>
                    </w:p>
                    <w:p w14:paraId="5EEA30B6" w14:textId="6DCE7FB7" w:rsidR="00EA0676" w:rsidRDefault="00811F01">
                      <w:pPr>
                        <w:spacing w:after="0" w:line="240" w:lineRule="auto"/>
                        <w:jc w:val="both"/>
                        <w:rPr>
                          <w:rFonts w:cs="Arial"/>
                          <w:lang w:val="fr-FR"/>
                        </w:rPr>
                      </w:pPr>
                      <w:r>
                        <w:rPr>
                          <w:rFonts w:cs="Arial"/>
                          <w:lang w:val="fr-FR"/>
                        </w:rPr>
                        <w:t>L</w:t>
                      </w:r>
                      <w:r w:rsidR="009445D3">
                        <w:rPr>
                          <w:rFonts w:cs="Arial"/>
                          <w:lang w:val="fr-FR"/>
                        </w:rPr>
                        <w:t>’</w:t>
                      </w:r>
                      <w:r>
                        <w:rPr>
                          <w:rFonts w:cs="Arial"/>
                          <w:lang w:val="fr-FR"/>
                        </w:rPr>
                        <w:t>Annexe</w:t>
                      </w:r>
                      <w:r w:rsidR="009445D3">
                        <w:rPr>
                          <w:rFonts w:cs="Arial"/>
                          <w:lang w:val="fr-FR"/>
                        </w:rPr>
                        <w:t> </w:t>
                      </w:r>
                      <w:r>
                        <w:rPr>
                          <w:rFonts w:cs="Arial"/>
                          <w:lang w:val="fr-FR"/>
                        </w:rPr>
                        <w:t>2 comporte une analyse des rapports nationaux de la CMS soumis à la COP15.</w:t>
                      </w:r>
                    </w:p>
                  </w:txbxContent>
                </v:textbox>
                <w10:wrap type="square" anchorx="margin" anchory="margin"/>
              </v:shape>
            </w:pict>
          </mc:Fallback>
        </mc:AlternateContent>
      </w:r>
    </w:p>
    <w:p w14:paraId="296F1303" w14:textId="0FD929BF" w:rsidR="00EA0676" w:rsidRPr="009F7089" w:rsidRDefault="00EA0676">
      <w:pPr>
        <w:widowControl w:val="0"/>
        <w:suppressAutoHyphens/>
        <w:autoSpaceDE w:val="0"/>
        <w:autoSpaceDN w:val="0"/>
        <w:spacing w:after="0" w:line="240" w:lineRule="auto"/>
        <w:jc w:val="both"/>
        <w:textAlignment w:val="baseline"/>
        <w:rPr>
          <w:rFonts w:eastAsia="Times New Roman" w:cs="Arial"/>
          <w:sz w:val="21"/>
          <w:szCs w:val="21"/>
          <w:lang w:val="fr-FR"/>
        </w:rPr>
      </w:pPr>
    </w:p>
    <w:p w14:paraId="25392BEA" w14:textId="77777777" w:rsidR="00EA0676" w:rsidRPr="009F7089" w:rsidRDefault="00EA0676">
      <w:pPr>
        <w:widowControl w:val="0"/>
        <w:suppressAutoHyphens/>
        <w:autoSpaceDE w:val="0"/>
        <w:autoSpaceDN w:val="0"/>
        <w:spacing w:after="0" w:line="240" w:lineRule="auto"/>
        <w:jc w:val="both"/>
        <w:textAlignment w:val="baseline"/>
        <w:rPr>
          <w:rFonts w:eastAsia="Times New Roman" w:cs="Arial"/>
          <w:sz w:val="21"/>
          <w:szCs w:val="21"/>
          <w:lang w:val="fr-FR"/>
        </w:rPr>
      </w:pPr>
    </w:p>
    <w:p w14:paraId="1D5670F9" w14:textId="77777777" w:rsidR="00EA0676" w:rsidRPr="009F7089" w:rsidRDefault="00EA0676">
      <w:pPr>
        <w:widowControl w:val="0"/>
        <w:suppressAutoHyphens/>
        <w:autoSpaceDE w:val="0"/>
        <w:autoSpaceDN w:val="0"/>
        <w:spacing w:after="0" w:line="240" w:lineRule="auto"/>
        <w:jc w:val="both"/>
        <w:textAlignment w:val="baseline"/>
        <w:rPr>
          <w:rFonts w:eastAsia="Times New Roman" w:cs="Arial"/>
          <w:sz w:val="21"/>
          <w:szCs w:val="21"/>
          <w:lang w:val="fr-FR"/>
        </w:rPr>
      </w:pPr>
    </w:p>
    <w:p w14:paraId="1838C671" w14:textId="77777777" w:rsidR="00EA0676" w:rsidRPr="009F7089" w:rsidRDefault="00EA0676">
      <w:pPr>
        <w:widowControl w:val="0"/>
        <w:suppressAutoHyphens/>
        <w:autoSpaceDE w:val="0"/>
        <w:autoSpaceDN w:val="0"/>
        <w:spacing w:after="0" w:line="240" w:lineRule="auto"/>
        <w:jc w:val="both"/>
        <w:textAlignment w:val="baseline"/>
        <w:rPr>
          <w:rFonts w:eastAsia="Times New Roman" w:cs="Arial"/>
          <w:sz w:val="21"/>
          <w:szCs w:val="21"/>
          <w:lang w:val="fr-FR"/>
        </w:rPr>
      </w:pPr>
    </w:p>
    <w:p w14:paraId="5521A98D" w14:textId="77777777" w:rsidR="00EA0676" w:rsidRPr="009F7089" w:rsidRDefault="00EA0676">
      <w:pPr>
        <w:widowControl w:val="0"/>
        <w:suppressAutoHyphens/>
        <w:autoSpaceDE w:val="0"/>
        <w:autoSpaceDN w:val="0"/>
        <w:spacing w:after="0" w:line="240" w:lineRule="auto"/>
        <w:jc w:val="both"/>
        <w:textAlignment w:val="baseline"/>
        <w:rPr>
          <w:rFonts w:eastAsia="Times New Roman" w:cs="Arial"/>
          <w:sz w:val="21"/>
          <w:szCs w:val="21"/>
          <w:lang w:val="fr-FR"/>
        </w:rPr>
      </w:pPr>
    </w:p>
    <w:p w14:paraId="07727186" w14:textId="77777777" w:rsidR="00EA0676" w:rsidRPr="009F7089" w:rsidRDefault="00EA0676">
      <w:pPr>
        <w:widowControl w:val="0"/>
        <w:suppressAutoHyphens/>
        <w:autoSpaceDE w:val="0"/>
        <w:autoSpaceDN w:val="0"/>
        <w:spacing w:after="0" w:line="240" w:lineRule="auto"/>
        <w:jc w:val="both"/>
        <w:textAlignment w:val="baseline"/>
        <w:rPr>
          <w:rFonts w:eastAsia="Times New Roman" w:cs="Arial"/>
          <w:sz w:val="21"/>
          <w:szCs w:val="21"/>
          <w:lang w:val="fr-FR"/>
        </w:rPr>
      </w:pPr>
    </w:p>
    <w:p w14:paraId="4C79D95A" w14:textId="77777777" w:rsidR="00EA0676" w:rsidRPr="009F7089" w:rsidRDefault="00EA0676">
      <w:pPr>
        <w:widowControl w:val="0"/>
        <w:suppressAutoHyphens/>
        <w:autoSpaceDE w:val="0"/>
        <w:autoSpaceDN w:val="0"/>
        <w:spacing w:after="0" w:line="240" w:lineRule="auto"/>
        <w:jc w:val="both"/>
        <w:textAlignment w:val="baseline"/>
        <w:rPr>
          <w:rFonts w:eastAsia="Times New Roman" w:cs="Arial"/>
          <w:sz w:val="21"/>
          <w:szCs w:val="21"/>
          <w:lang w:val="fr-FR"/>
        </w:rPr>
      </w:pPr>
    </w:p>
    <w:p w14:paraId="799429F5" w14:textId="77777777" w:rsidR="00EA0676" w:rsidRPr="009F7089" w:rsidRDefault="00EA0676">
      <w:pPr>
        <w:widowControl w:val="0"/>
        <w:suppressAutoHyphens/>
        <w:autoSpaceDE w:val="0"/>
        <w:autoSpaceDN w:val="0"/>
        <w:spacing w:after="0" w:line="240" w:lineRule="auto"/>
        <w:jc w:val="both"/>
        <w:textAlignment w:val="baseline"/>
        <w:rPr>
          <w:rFonts w:eastAsia="Times New Roman" w:cs="Arial"/>
          <w:sz w:val="21"/>
          <w:szCs w:val="21"/>
          <w:lang w:val="fr-FR"/>
        </w:rPr>
      </w:pPr>
    </w:p>
    <w:p w14:paraId="441A9B28" w14:textId="77777777" w:rsidR="00EA0676" w:rsidRPr="009F7089" w:rsidRDefault="00EA0676">
      <w:pPr>
        <w:widowControl w:val="0"/>
        <w:suppressAutoHyphens/>
        <w:autoSpaceDE w:val="0"/>
        <w:autoSpaceDN w:val="0"/>
        <w:spacing w:after="0" w:line="240" w:lineRule="auto"/>
        <w:jc w:val="both"/>
        <w:textAlignment w:val="baseline"/>
        <w:rPr>
          <w:rFonts w:eastAsia="Times New Roman" w:cs="Arial"/>
          <w:sz w:val="21"/>
          <w:szCs w:val="21"/>
          <w:lang w:val="fr-FR"/>
        </w:rPr>
      </w:pPr>
    </w:p>
    <w:p w14:paraId="4BBF30D0" w14:textId="77777777" w:rsidR="00EA0676" w:rsidRPr="009F7089" w:rsidRDefault="00EA0676">
      <w:pPr>
        <w:widowControl w:val="0"/>
        <w:suppressAutoHyphens/>
        <w:autoSpaceDE w:val="0"/>
        <w:autoSpaceDN w:val="0"/>
        <w:spacing w:after="0" w:line="240" w:lineRule="auto"/>
        <w:jc w:val="both"/>
        <w:textAlignment w:val="baseline"/>
        <w:rPr>
          <w:rFonts w:eastAsia="Times New Roman" w:cs="Arial"/>
          <w:sz w:val="21"/>
          <w:szCs w:val="21"/>
          <w:lang w:val="fr-FR"/>
        </w:rPr>
      </w:pPr>
    </w:p>
    <w:p w14:paraId="00C068E5" w14:textId="77777777" w:rsidR="00EA0676" w:rsidRPr="009F7089" w:rsidRDefault="00EA0676">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fr-FR"/>
        </w:rPr>
      </w:pPr>
    </w:p>
    <w:p w14:paraId="7084B7AF" w14:textId="77777777" w:rsidR="00EA0676" w:rsidRPr="009F7089" w:rsidRDefault="00EA0676">
      <w:pPr>
        <w:widowControl w:val="0"/>
        <w:suppressAutoHyphens/>
        <w:autoSpaceDE w:val="0"/>
        <w:autoSpaceDN w:val="0"/>
        <w:spacing w:after="0" w:line="240" w:lineRule="auto"/>
        <w:jc w:val="both"/>
        <w:textAlignment w:val="baseline"/>
        <w:rPr>
          <w:rFonts w:eastAsia="Times New Roman" w:cs="Arial"/>
          <w:lang w:val="fr-FR"/>
        </w:rPr>
      </w:pPr>
    </w:p>
    <w:p w14:paraId="2E87B202" w14:textId="77777777" w:rsidR="00EA0676" w:rsidRPr="009F7089" w:rsidRDefault="00EA0676">
      <w:pPr>
        <w:widowControl w:val="0"/>
        <w:suppressAutoHyphens/>
        <w:autoSpaceDE w:val="0"/>
        <w:autoSpaceDN w:val="0"/>
        <w:spacing w:after="0" w:line="240" w:lineRule="auto"/>
        <w:jc w:val="both"/>
        <w:textAlignment w:val="baseline"/>
        <w:rPr>
          <w:rFonts w:eastAsia="Times New Roman" w:cs="Arial"/>
          <w:lang w:val="fr-FR"/>
        </w:rPr>
      </w:pPr>
    </w:p>
    <w:p w14:paraId="26C4B84A" w14:textId="77777777" w:rsidR="00EA0676" w:rsidRPr="009F7089" w:rsidRDefault="00EA0676">
      <w:pPr>
        <w:spacing w:after="0" w:line="240" w:lineRule="auto"/>
        <w:jc w:val="both"/>
        <w:rPr>
          <w:lang w:val="fr-FR"/>
        </w:rPr>
      </w:pPr>
    </w:p>
    <w:p w14:paraId="63DEC63F" w14:textId="77777777" w:rsidR="00EA0676" w:rsidRPr="009F7089" w:rsidRDefault="00EA0676">
      <w:pPr>
        <w:spacing w:after="0" w:line="240" w:lineRule="auto"/>
        <w:jc w:val="both"/>
        <w:rPr>
          <w:lang w:val="fr-FR"/>
        </w:rPr>
      </w:pPr>
    </w:p>
    <w:p w14:paraId="74685725" w14:textId="77777777" w:rsidR="00EA0676" w:rsidRPr="009F7089" w:rsidRDefault="00EA0676">
      <w:pPr>
        <w:spacing w:after="0" w:line="240" w:lineRule="auto"/>
        <w:jc w:val="both"/>
        <w:rPr>
          <w:lang w:val="fr-FR"/>
        </w:rPr>
      </w:pPr>
    </w:p>
    <w:p w14:paraId="61E414BC" w14:textId="77777777" w:rsidR="00EA0676" w:rsidRPr="009F7089" w:rsidRDefault="00EA0676">
      <w:pPr>
        <w:spacing w:after="0" w:line="240" w:lineRule="auto"/>
        <w:jc w:val="both"/>
        <w:rPr>
          <w:lang w:val="fr-FR"/>
        </w:rPr>
      </w:pPr>
    </w:p>
    <w:p w14:paraId="05FC5887" w14:textId="77777777" w:rsidR="00EA0676" w:rsidRPr="009F7089" w:rsidRDefault="00EA0676">
      <w:pPr>
        <w:spacing w:after="0" w:line="240" w:lineRule="auto"/>
        <w:jc w:val="both"/>
        <w:rPr>
          <w:lang w:val="fr-FR"/>
        </w:rPr>
      </w:pPr>
    </w:p>
    <w:p w14:paraId="3CDCD98E" w14:textId="77777777" w:rsidR="00EA0676" w:rsidRPr="009F7089" w:rsidRDefault="00EA0676">
      <w:pPr>
        <w:spacing w:after="0" w:line="240" w:lineRule="auto"/>
        <w:jc w:val="both"/>
        <w:rPr>
          <w:lang w:val="fr-FR"/>
        </w:rPr>
      </w:pPr>
    </w:p>
    <w:p w14:paraId="7F93045C" w14:textId="77777777" w:rsidR="00EA0676" w:rsidRPr="009F7089" w:rsidRDefault="00EA0676">
      <w:pPr>
        <w:spacing w:after="0" w:line="240" w:lineRule="auto"/>
        <w:jc w:val="both"/>
        <w:rPr>
          <w:lang w:val="fr-FR"/>
        </w:rPr>
      </w:pPr>
    </w:p>
    <w:p w14:paraId="461B2D37" w14:textId="77777777" w:rsidR="00EA0676" w:rsidRPr="009F7089" w:rsidRDefault="00EA0676">
      <w:pPr>
        <w:spacing w:after="0" w:line="240" w:lineRule="auto"/>
        <w:jc w:val="both"/>
        <w:rPr>
          <w:lang w:val="fr-FR"/>
        </w:rPr>
      </w:pPr>
    </w:p>
    <w:p w14:paraId="1BA2711F" w14:textId="77777777" w:rsidR="00EA0676" w:rsidRPr="009F7089" w:rsidRDefault="00EA0676">
      <w:pPr>
        <w:spacing w:after="0" w:line="240" w:lineRule="auto"/>
        <w:jc w:val="both"/>
        <w:rPr>
          <w:lang w:val="fr-FR"/>
        </w:rPr>
      </w:pPr>
    </w:p>
    <w:p w14:paraId="41DA7972" w14:textId="77777777" w:rsidR="00EA0676" w:rsidRPr="009F7089" w:rsidRDefault="00EA0676">
      <w:pPr>
        <w:spacing w:after="0" w:line="240" w:lineRule="auto"/>
        <w:jc w:val="both"/>
        <w:rPr>
          <w:lang w:val="fr-FR"/>
        </w:rPr>
      </w:pPr>
    </w:p>
    <w:p w14:paraId="7571D351" w14:textId="77777777" w:rsidR="00EA0676" w:rsidRPr="009F7089" w:rsidRDefault="00811F01">
      <w:pPr>
        <w:jc w:val="both"/>
        <w:rPr>
          <w:lang w:val="fr-FR"/>
        </w:rPr>
      </w:pPr>
      <w:r w:rsidRPr="009F7089">
        <w:rPr>
          <w:lang w:val="fr-FR"/>
        </w:rPr>
        <w:br w:type="page"/>
      </w:r>
    </w:p>
    <w:p w14:paraId="2AC4C084" w14:textId="77777777" w:rsidR="00EA0676" w:rsidRPr="009F7089" w:rsidRDefault="00811F01">
      <w:pPr>
        <w:spacing w:after="0" w:line="240" w:lineRule="auto"/>
        <w:jc w:val="center"/>
        <w:rPr>
          <w:b/>
          <w:bCs/>
          <w:lang w:val="fr-FR"/>
        </w:rPr>
      </w:pPr>
      <w:r w:rsidRPr="009F7089">
        <w:rPr>
          <w:b/>
          <w:bCs/>
          <w:lang w:val="fr-FR"/>
        </w:rPr>
        <w:lastRenderedPageBreak/>
        <w:t>RAPPORTS NATIONAUX</w:t>
      </w:r>
    </w:p>
    <w:p w14:paraId="591A459E" w14:textId="77777777" w:rsidR="00EA0676" w:rsidRPr="009F7089" w:rsidRDefault="00EA0676">
      <w:pPr>
        <w:spacing w:after="0" w:line="240" w:lineRule="auto"/>
        <w:jc w:val="both"/>
        <w:rPr>
          <w:lang w:val="fr-FR"/>
        </w:rPr>
      </w:pPr>
    </w:p>
    <w:p w14:paraId="5FEDAB0B" w14:textId="77777777" w:rsidR="00EA0676" w:rsidRPr="009F7089" w:rsidRDefault="00EA0676">
      <w:pPr>
        <w:spacing w:after="0" w:line="240" w:lineRule="auto"/>
        <w:jc w:val="both"/>
        <w:rPr>
          <w:lang w:val="fr-FR"/>
        </w:rPr>
      </w:pPr>
    </w:p>
    <w:p w14:paraId="3BC7AD5F" w14:textId="77777777" w:rsidR="00EA0676" w:rsidRPr="009F7089" w:rsidRDefault="00811F01">
      <w:pPr>
        <w:widowControl w:val="0"/>
        <w:suppressAutoHyphens/>
        <w:autoSpaceDE w:val="0"/>
        <w:autoSpaceDN w:val="0"/>
        <w:spacing w:after="0" w:line="240" w:lineRule="auto"/>
        <w:textAlignment w:val="baseline"/>
        <w:rPr>
          <w:u w:val="single"/>
          <w:lang w:val="fr-FR"/>
        </w:rPr>
      </w:pPr>
      <w:r w:rsidRPr="009F7089">
        <w:rPr>
          <w:u w:val="single"/>
          <w:lang w:val="fr-FR"/>
        </w:rPr>
        <w:t>Contexte</w:t>
      </w:r>
    </w:p>
    <w:p w14:paraId="7652F052" w14:textId="77777777" w:rsidR="00EA0676" w:rsidRPr="009F7089" w:rsidRDefault="00EA0676">
      <w:pPr>
        <w:spacing w:after="0" w:line="240" w:lineRule="auto"/>
        <w:jc w:val="both"/>
        <w:rPr>
          <w:iCs/>
          <w:lang w:val="fr-FR"/>
        </w:rPr>
      </w:pPr>
    </w:p>
    <w:p w14:paraId="66DA7FAF" w14:textId="24F2DF64" w:rsidR="00EA0676" w:rsidRPr="009F7089" w:rsidRDefault="00811F01">
      <w:pPr>
        <w:pStyle w:val="Firstnumbering"/>
        <w:numPr>
          <w:ilvl w:val="0"/>
          <w:numId w:val="10"/>
        </w:numPr>
        <w:ind w:left="567" w:hanging="567"/>
        <w:rPr>
          <w:lang w:val="fr-FR"/>
        </w:rPr>
      </w:pPr>
      <w:r w:rsidRPr="009F7089">
        <w:rPr>
          <w:lang w:val="fr-FR"/>
        </w:rPr>
        <w:t>Il est essentiel d</w:t>
      </w:r>
      <w:r w:rsidR="009445D3" w:rsidRPr="009F7089">
        <w:rPr>
          <w:lang w:val="fr-FR"/>
        </w:rPr>
        <w:t>’</w:t>
      </w:r>
      <w:r w:rsidRPr="009F7089">
        <w:rPr>
          <w:lang w:val="fr-FR"/>
        </w:rPr>
        <w:t>effectuer un suivi et d</w:t>
      </w:r>
      <w:r w:rsidR="009445D3" w:rsidRPr="009F7089">
        <w:rPr>
          <w:lang w:val="fr-FR"/>
        </w:rPr>
        <w:t>’</w:t>
      </w:r>
      <w:r w:rsidRPr="009F7089">
        <w:rPr>
          <w:lang w:val="fr-FR"/>
        </w:rPr>
        <w:t>établir des rapports sur les activités de mise en œuvre de la</w:t>
      </w:r>
      <w:r w:rsidRPr="009F7089">
        <w:rPr>
          <w:color w:val="000000" w:themeColor="text1"/>
          <w:lang w:val="fr-FR"/>
        </w:rPr>
        <w:t xml:space="preserve"> Convention</w:t>
      </w:r>
      <w:r w:rsidRPr="009F7089">
        <w:rPr>
          <w:lang w:val="fr-FR"/>
        </w:rPr>
        <w:t xml:space="preserve"> par les Parties ainsi que sur</w:t>
      </w:r>
      <w:r w:rsidR="009445D3" w:rsidRPr="009F7089">
        <w:rPr>
          <w:lang w:val="fr-FR"/>
        </w:rPr>
        <w:t xml:space="preserve"> les résultats de ces activités, afin de </w:t>
      </w:r>
      <w:r w:rsidRPr="009F7089">
        <w:rPr>
          <w:lang w:val="fr-FR"/>
        </w:rPr>
        <w:t>suivre les progrès</w:t>
      </w:r>
      <w:r w:rsidRPr="009F7089">
        <w:rPr>
          <w:color w:val="000000" w:themeColor="text1"/>
          <w:lang w:val="fr-FR"/>
        </w:rPr>
        <w:t>,</w:t>
      </w:r>
      <w:r w:rsidR="009445D3" w:rsidRPr="009F7089">
        <w:rPr>
          <w:color w:val="000000" w:themeColor="text1"/>
          <w:lang w:val="fr-FR"/>
        </w:rPr>
        <w:t xml:space="preserve"> de</w:t>
      </w:r>
      <w:r w:rsidRPr="009F7089">
        <w:rPr>
          <w:color w:val="000000" w:themeColor="text1"/>
          <w:lang w:val="fr-FR"/>
        </w:rPr>
        <w:t xml:space="preserve"> tirer les leçons de l</w:t>
      </w:r>
      <w:r w:rsidR="009445D3" w:rsidRPr="009F7089">
        <w:rPr>
          <w:color w:val="000000" w:themeColor="text1"/>
          <w:lang w:val="fr-FR"/>
        </w:rPr>
        <w:t>’</w:t>
      </w:r>
      <w:r w:rsidRPr="009F7089">
        <w:rPr>
          <w:color w:val="000000" w:themeColor="text1"/>
          <w:lang w:val="fr-FR"/>
        </w:rPr>
        <w:t>expérience passée (pour guider l</w:t>
      </w:r>
      <w:r w:rsidR="009445D3" w:rsidRPr="009F7089">
        <w:rPr>
          <w:color w:val="000000" w:themeColor="text1"/>
          <w:lang w:val="fr-FR"/>
        </w:rPr>
        <w:t>’</w:t>
      </w:r>
      <w:r w:rsidRPr="009F7089">
        <w:rPr>
          <w:color w:val="000000" w:themeColor="text1"/>
          <w:lang w:val="fr-FR"/>
        </w:rPr>
        <w:t xml:space="preserve">action future) et </w:t>
      </w:r>
      <w:r w:rsidR="009445D3" w:rsidRPr="009F7089">
        <w:rPr>
          <w:color w:val="000000" w:themeColor="text1"/>
          <w:lang w:val="fr-FR"/>
        </w:rPr>
        <w:t>d’</w:t>
      </w:r>
      <w:r w:rsidRPr="009F7089">
        <w:rPr>
          <w:color w:val="000000" w:themeColor="text1"/>
          <w:lang w:val="fr-FR"/>
        </w:rPr>
        <w:t xml:space="preserve">évaluer le statut de la </w:t>
      </w:r>
      <w:r w:rsidRPr="009F7089">
        <w:rPr>
          <w:lang w:val="fr-FR"/>
        </w:rPr>
        <w:t>Convention comme des espèces migratrices. Une vue d</w:t>
      </w:r>
      <w:r w:rsidR="009445D3" w:rsidRPr="009F7089">
        <w:rPr>
          <w:lang w:val="fr-FR"/>
        </w:rPr>
        <w:t>’</w:t>
      </w:r>
      <w:r w:rsidRPr="009F7089">
        <w:rPr>
          <w:lang w:val="fr-FR"/>
        </w:rPr>
        <w:t xml:space="preserve">ensemble des données fournies aide </w:t>
      </w:r>
      <w:r w:rsidRPr="009F7089">
        <w:rPr>
          <w:color w:val="000000" w:themeColor="text1"/>
          <w:lang w:val="fr-FR"/>
        </w:rPr>
        <w:t xml:space="preserve">notamment </w:t>
      </w:r>
      <w:r w:rsidRPr="009F7089">
        <w:rPr>
          <w:lang w:val="fr-FR"/>
        </w:rPr>
        <w:t xml:space="preserve">à mettre en lumière les schémas et tendances générales, les progrès accomplis dans la mise en œuvre des Résolutions et des Décisions de la Conférence des Parties (COP), les succès notables et les défis à relever. </w:t>
      </w:r>
      <w:r w:rsidRPr="009F7089">
        <w:rPr>
          <w:color w:val="000000" w:themeColor="text1"/>
          <w:lang w:val="fr-FR"/>
        </w:rPr>
        <w:t>La vue d</w:t>
      </w:r>
      <w:r w:rsidR="009445D3" w:rsidRPr="009F7089">
        <w:rPr>
          <w:color w:val="000000" w:themeColor="text1"/>
          <w:lang w:val="fr-FR"/>
        </w:rPr>
        <w:t>’</w:t>
      </w:r>
      <w:r w:rsidRPr="009F7089">
        <w:rPr>
          <w:color w:val="000000" w:themeColor="text1"/>
          <w:lang w:val="fr-FR"/>
        </w:rPr>
        <w:t xml:space="preserve">ensemble contribue également à éclairer les résolutions et </w:t>
      </w:r>
      <w:r w:rsidRPr="009F7089">
        <w:rPr>
          <w:lang w:val="fr-FR"/>
        </w:rPr>
        <w:t>décisions de la COP, qu</w:t>
      </w:r>
      <w:r w:rsidR="009445D3" w:rsidRPr="009F7089">
        <w:rPr>
          <w:lang w:val="fr-FR"/>
        </w:rPr>
        <w:t>’</w:t>
      </w:r>
      <w:r w:rsidRPr="009F7089">
        <w:rPr>
          <w:lang w:val="fr-FR"/>
        </w:rPr>
        <w:t>elles soient nouvelles ou modifiées, tout en alimentant les processus plus larges de gouvernance internationale de l</w:t>
      </w:r>
      <w:r w:rsidR="009445D3" w:rsidRPr="009F7089">
        <w:rPr>
          <w:lang w:val="fr-FR"/>
        </w:rPr>
        <w:t>’</w:t>
      </w:r>
      <w:r w:rsidRPr="009F7089">
        <w:rPr>
          <w:lang w:val="fr-FR"/>
        </w:rPr>
        <w:t>environnement.</w:t>
      </w:r>
    </w:p>
    <w:p w14:paraId="67614D30" w14:textId="77777777" w:rsidR="00EA0676" w:rsidRPr="009F7089" w:rsidRDefault="00EA0676">
      <w:pPr>
        <w:pStyle w:val="Firstnumbering"/>
        <w:numPr>
          <w:ilvl w:val="0"/>
          <w:numId w:val="0"/>
        </w:numPr>
        <w:ind w:left="567"/>
        <w:rPr>
          <w:lang w:val="fr-FR"/>
        </w:rPr>
      </w:pPr>
    </w:p>
    <w:p w14:paraId="1ADB2ADE" w14:textId="314557DF" w:rsidR="00EA0676" w:rsidRPr="009F7089" w:rsidRDefault="00811F01">
      <w:pPr>
        <w:pStyle w:val="Firstnumbering"/>
        <w:numPr>
          <w:ilvl w:val="0"/>
          <w:numId w:val="10"/>
        </w:numPr>
        <w:ind w:left="567" w:hanging="567"/>
        <w:rPr>
          <w:lang w:val="fr-FR"/>
        </w:rPr>
      </w:pPr>
      <w:r w:rsidRPr="009F7089">
        <w:rPr>
          <w:lang w:val="fr-FR"/>
        </w:rPr>
        <w:t>En vertu du paragraphe</w:t>
      </w:r>
      <w:r w:rsidR="009445D3" w:rsidRPr="009F7089">
        <w:rPr>
          <w:lang w:val="fr-FR"/>
        </w:rPr>
        <w:t> </w:t>
      </w:r>
      <w:r w:rsidRPr="009F7089">
        <w:rPr>
          <w:lang w:val="fr-FR"/>
        </w:rPr>
        <w:t>3 de l</w:t>
      </w:r>
      <w:r w:rsidR="009445D3" w:rsidRPr="009F7089">
        <w:rPr>
          <w:lang w:val="fr-FR"/>
        </w:rPr>
        <w:t>’</w:t>
      </w:r>
      <w:r w:rsidRPr="009F7089">
        <w:rPr>
          <w:lang w:val="fr-FR"/>
        </w:rPr>
        <w:t>article</w:t>
      </w:r>
      <w:r w:rsidR="009445D3" w:rsidRPr="009F7089">
        <w:rPr>
          <w:lang w:val="fr-FR"/>
        </w:rPr>
        <w:t> </w:t>
      </w:r>
      <w:r w:rsidRPr="009F7089">
        <w:rPr>
          <w:lang w:val="fr-FR"/>
        </w:rPr>
        <w:t xml:space="preserve">VI de la Convention, Les Parties qui sont </w:t>
      </w:r>
      <w:r w:rsidR="009445D3" w:rsidRPr="009F7089">
        <w:rPr>
          <w:lang w:val="fr-FR"/>
        </w:rPr>
        <w:t>des États</w:t>
      </w:r>
      <w:r w:rsidRPr="009F7089">
        <w:rPr>
          <w:lang w:val="fr-FR"/>
        </w:rPr>
        <w:t xml:space="preserve"> de l</w:t>
      </w:r>
      <w:r w:rsidR="009445D3" w:rsidRPr="009F7089">
        <w:rPr>
          <w:lang w:val="fr-FR"/>
        </w:rPr>
        <w:t>’</w:t>
      </w:r>
      <w:r w:rsidRPr="009F7089">
        <w:rPr>
          <w:lang w:val="fr-FR"/>
        </w:rPr>
        <w:t>aire de répartition d</w:t>
      </w:r>
      <w:r w:rsidR="009445D3" w:rsidRPr="009F7089">
        <w:rPr>
          <w:lang w:val="fr-FR"/>
        </w:rPr>
        <w:t>’</w:t>
      </w:r>
      <w:r w:rsidRPr="009F7089">
        <w:rPr>
          <w:lang w:val="fr-FR"/>
        </w:rPr>
        <w:t>espèces migratrices figurant à l</w:t>
      </w:r>
      <w:r w:rsidR="009445D3" w:rsidRPr="009F7089">
        <w:rPr>
          <w:lang w:val="fr-FR"/>
        </w:rPr>
        <w:t>’</w:t>
      </w:r>
      <w:r w:rsidRPr="009F7089">
        <w:rPr>
          <w:lang w:val="fr-FR"/>
        </w:rPr>
        <w:t>Annexe I ou à l</w:t>
      </w:r>
      <w:r w:rsidR="009445D3" w:rsidRPr="009F7089">
        <w:rPr>
          <w:lang w:val="fr-FR"/>
        </w:rPr>
        <w:t>’</w:t>
      </w:r>
      <w:r w:rsidRPr="009F7089">
        <w:rPr>
          <w:lang w:val="fr-FR"/>
        </w:rPr>
        <w:t>Annexe II devraient informer la Conférence des Parties, par l</w:t>
      </w:r>
      <w:r w:rsidR="009445D3" w:rsidRPr="009F7089">
        <w:rPr>
          <w:lang w:val="fr-FR"/>
        </w:rPr>
        <w:t>’</w:t>
      </w:r>
      <w:r w:rsidRPr="009F7089">
        <w:rPr>
          <w:lang w:val="fr-FR"/>
        </w:rPr>
        <w:t>intermédiaire du Secrétariat, des mesures qu</w:t>
      </w:r>
      <w:r w:rsidR="009445D3" w:rsidRPr="009F7089">
        <w:rPr>
          <w:lang w:val="fr-FR"/>
        </w:rPr>
        <w:t>’</w:t>
      </w:r>
      <w:r w:rsidRPr="009F7089">
        <w:rPr>
          <w:lang w:val="fr-FR"/>
        </w:rPr>
        <w:t>elles prennent pour appliquer les dispositions de la Convention à l</w:t>
      </w:r>
      <w:r w:rsidR="009445D3" w:rsidRPr="009F7089">
        <w:rPr>
          <w:lang w:val="fr-FR"/>
        </w:rPr>
        <w:t>’</w:t>
      </w:r>
      <w:r w:rsidRPr="009F7089">
        <w:rPr>
          <w:lang w:val="fr-FR"/>
        </w:rPr>
        <w:t>égard desdites espèces.</w:t>
      </w:r>
    </w:p>
    <w:p w14:paraId="650846DC" w14:textId="77777777" w:rsidR="00EA0676" w:rsidRPr="009F7089" w:rsidRDefault="00EA0676">
      <w:pPr>
        <w:pStyle w:val="Firstnumbering"/>
        <w:numPr>
          <w:ilvl w:val="0"/>
          <w:numId w:val="0"/>
        </w:numPr>
        <w:rPr>
          <w:lang w:val="fr-FR"/>
        </w:rPr>
      </w:pPr>
    </w:p>
    <w:p w14:paraId="09935951" w14:textId="6A2B3452" w:rsidR="00EA0676" w:rsidRPr="009F7089" w:rsidRDefault="00811F01">
      <w:pPr>
        <w:pStyle w:val="Firstnumbering"/>
        <w:numPr>
          <w:ilvl w:val="0"/>
          <w:numId w:val="10"/>
        </w:numPr>
        <w:ind w:left="567" w:hanging="567"/>
        <w:rPr>
          <w:i/>
          <w:iCs/>
          <w:sz w:val="20"/>
          <w:szCs w:val="20"/>
          <w:lang w:val="fr-FR"/>
        </w:rPr>
      </w:pPr>
      <w:r w:rsidRPr="009F7089">
        <w:rPr>
          <w:lang w:val="fr-FR"/>
        </w:rPr>
        <w:t>La COP14 a a</w:t>
      </w:r>
      <w:r w:rsidR="009445D3" w:rsidRPr="009F7089">
        <w:rPr>
          <w:lang w:val="fr-FR"/>
        </w:rPr>
        <w:t>mendé la Résolution 12.05 (Rev.</w:t>
      </w:r>
      <w:r w:rsidRPr="009F7089">
        <w:rPr>
          <w:lang w:val="fr-FR"/>
        </w:rPr>
        <w:t xml:space="preserve">COP14) </w:t>
      </w:r>
      <w:r w:rsidRPr="009F7089">
        <w:rPr>
          <w:i/>
          <w:iCs/>
          <w:lang w:val="fr-FR"/>
        </w:rPr>
        <w:t>Rapports nationaux</w:t>
      </w:r>
      <w:r w:rsidRPr="009F7089">
        <w:rPr>
          <w:lang w:val="fr-FR"/>
        </w:rPr>
        <w:t xml:space="preserve">, </w:t>
      </w:r>
      <w:r w:rsidRPr="009F7089">
        <w:rPr>
          <w:color w:val="000000" w:themeColor="text1"/>
          <w:lang w:val="fr-FR"/>
        </w:rPr>
        <w:t>qui décrit le processus d</w:t>
      </w:r>
      <w:r w:rsidR="009445D3" w:rsidRPr="009F7089">
        <w:rPr>
          <w:color w:val="000000" w:themeColor="text1"/>
          <w:lang w:val="fr-FR"/>
        </w:rPr>
        <w:t>’</w:t>
      </w:r>
      <w:r w:rsidRPr="009F7089">
        <w:rPr>
          <w:color w:val="000000" w:themeColor="text1"/>
          <w:lang w:val="fr-FR"/>
        </w:rPr>
        <w:t>établissement de rapports</w:t>
      </w:r>
      <w:r w:rsidRPr="009F7089">
        <w:rPr>
          <w:lang w:val="fr-FR"/>
        </w:rPr>
        <w:t>. La COP14 a également adopté des décisions concernant les rapports nationaux, formulées comme suit</w:t>
      </w:r>
      <w:r w:rsidR="009445D3" w:rsidRPr="009F7089">
        <w:rPr>
          <w:lang w:val="fr-FR"/>
        </w:rPr>
        <w:t> </w:t>
      </w:r>
      <w:r w:rsidRPr="009F7089">
        <w:rPr>
          <w:lang w:val="fr-FR"/>
        </w:rPr>
        <w:t>:</w:t>
      </w:r>
    </w:p>
    <w:p w14:paraId="74D62169" w14:textId="77777777" w:rsidR="00EA0676" w:rsidRPr="009F7089" w:rsidRDefault="00EA0676">
      <w:pPr>
        <w:pStyle w:val="Firstnumbering"/>
        <w:numPr>
          <w:ilvl w:val="0"/>
          <w:numId w:val="0"/>
        </w:numPr>
        <w:rPr>
          <w:lang w:val="fr-FR"/>
        </w:rPr>
      </w:pPr>
    </w:p>
    <w:p w14:paraId="55CCA0B2" w14:textId="77777777" w:rsidR="00EA0676" w:rsidRPr="009F7089" w:rsidRDefault="00811F01" w:rsidP="0006301A">
      <w:pPr>
        <w:spacing w:after="0" w:line="240" w:lineRule="auto"/>
        <w:ind w:left="851"/>
        <w:jc w:val="both"/>
        <w:rPr>
          <w:rFonts w:eastAsia="Calibri" w:cs="Arial"/>
          <w:b/>
          <w:bCs/>
          <w:i/>
          <w:iCs/>
          <w:sz w:val="20"/>
          <w:szCs w:val="20"/>
          <w:lang w:val="fr-FR"/>
        </w:rPr>
      </w:pPr>
      <w:r w:rsidRPr="009F7089">
        <w:rPr>
          <w:rFonts w:eastAsia="Calibri" w:cs="Arial"/>
          <w:b/>
          <w:bCs/>
          <w:sz w:val="20"/>
          <w:szCs w:val="20"/>
          <w:lang w:val="fr-FR"/>
        </w:rPr>
        <w:t>14.25</w:t>
      </w:r>
      <w:r w:rsidRPr="009F7089">
        <w:rPr>
          <w:rFonts w:eastAsia="Calibri" w:cs="Arial"/>
          <w:b/>
          <w:bCs/>
          <w:i/>
          <w:iCs/>
          <w:sz w:val="20"/>
          <w:szCs w:val="20"/>
          <w:lang w:val="fr-FR"/>
        </w:rPr>
        <w:t xml:space="preserve"> Adressée au Comité permanent</w:t>
      </w:r>
    </w:p>
    <w:p w14:paraId="263DA7B4" w14:textId="77777777" w:rsidR="00EA0676" w:rsidRPr="009F7089" w:rsidRDefault="00EA0676" w:rsidP="0006301A">
      <w:pPr>
        <w:spacing w:after="0" w:line="240" w:lineRule="auto"/>
        <w:ind w:left="851"/>
        <w:jc w:val="both"/>
        <w:rPr>
          <w:rFonts w:eastAsia="Calibri" w:cs="Arial"/>
          <w:b/>
          <w:bCs/>
          <w:i/>
          <w:iCs/>
          <w:sz w:val="20"/>
          <w:szCs w:val="20"/>
          <w:lang w:val="fr-FR"/>
        </w:rPr>
      </w:pPr>
    </w:p>
    <w:p w14:paraId="26577278" w14:textId="013B97CC" w:rsidR="00EA0676" w:rsidRPr="009F7089" w:rsidRDefault="00811F01" w:rsidP="0006301A">
      <w:pPr>
        <w:spacing w:after="0" w:line="240" w:lineRule="auto"/>
        <w:ind w:left="851"/>
        <w:jc w:val="both"/>
        <w:rPr>
          <w:rFonts w:eastAsia="Calibri" w:cs="Arial"/>
          <w:i/>
          <w:iCs/>
          <w:sz w:val="20"/>
          <w:szCs w:val="20"/>
          <w:lang w:val="fr-FR"/>
        </w:rPr>
      </w:pPr>
      <w:r w:rsidRPr="009F7089">
        <w:rPr>
          <w:rFonts w:eastAsia="Calibri" w:cs="Arial"/>
          <w:i/>
          <w:iCs/>
          <w:sz w:val="20"/>
          <w:szCs w:val="20"/>
          <w:lang w:val="fr-FR"/>
        </w:rPr>
        <w:t>Le Comité permanent est prié d</w:t>
      </w:r>
      <w:r w:rsidR="009445D3" w:rsidRPr="009F7089">
        <w:rPr>
          <w:rFonts w:eastAsia="Calibri" w:cs="Arial"/>
          <w:i/>
          <w:iCs/>
          <w:sz w:val="20"/>
          <w:szCs w:val="20"/>
          <w:lang w:val="fr-FR"/>
        </w:rPr>
        <w:t>’</w:t>
      </w:r>
      <w:r w:rsidRPr="009F7089">
        <w:rPr>
          <w:rFonts w:eastAsia="Calibri" w:cs="Arial"/>
          <w:i/>
          <w:iCs/>
          <w:sz w:val="20"/>
          <w:szCs w:val="20"/>
          <w:lang w:val="fr-FR"/>
        </w:rPr>
        <w:t>examiner et, le cas échéant, d</w:t>
      </w:r>
      <w:r w:rsidR="009445D3" w:rsidRPr="009F7089">
        <w:rPr>
          <w:rFonts w:eastAsia="Calibri" w:cs="Arial"/>
          <w:i/>
          <w:iCs/>
          <w:sz w:val="20"/>
          <w:szCs w:val="20"/>
          <w:lang w:val="fr-FR"/>
        </w:rPr>
        <w:t>’</w:t>
      </w:r>
      <w:r w:rsidRPr="009F7089">
        <w:rPr>
          <w:rFonts w:eastAsia="Calibri" w:cs="Arial"/>
          <w:i/>
          <w:iCs/>
          <w:sz w:val="20"/>
          <w:szCs w:val="20"/>
          <w:lang w:val="fr-FR"/>
        </w:rPr>
        <w:t>approuver la révision du modèle de rapport national et du document d</w:t>
      </w:r>
      <w:r w:rsidR="009445D3" w:rsidRPr="009F7089">
        <w:rPr>
          <w:rFonts w:eastAsia="Calibri" w:cs="Arial"/>
          <w:i/>
          <w:iCs/>
          <w:sz w:val="20"/>
          <w:szCs w:val="20"/>
          <w:lang w:val="fr-FR"/>
        </w:rPr>
        <w:t>’</w:t>
      </w:r>
      <w:r w:rsidRPr="009F7089">
        <w:rPr>
          <w:rFonts w:eastAsia="Calibri" w:cs="Arial"/>
          <w:i/>
          <w:iCs/>
          <w:sz w:val="20"/>
          <w:szCs w:val="20"/>
          <w:lang w:val="fr-FR"/>
        </w:rPr>
        <w:t>orientation établi par le Secrétariat en application de la Décision</w:t>
      </w:r>
      <w:r w:rsidR="009445D3" w:rsidRPr="009F7089">
        <w:rPr>
          <w:rFonts w:eastAsia="Calibri" w:cs="Arial"/>
          <w:i/>
          <w:iCs/>
          <w:sz w:val="20"/>
          <w:szCs w:val="20"/>
          <w:lang w:val="fr-FR"/>
        </w:rPr>
        <w:t> </w:t>
      </w:r>
      <w:r w:rsidRPr="009F7089">
        <w:rPr>
          <w:rFonts w:eastAsia="Calibri" w:cs="Arial"/>
          <w:i/>
          <w:iCs/>
          <w:sz w:val="20"/>
          <w:szCs w:val="20"/>
          <w:lang w:val="fr-FR"/>
        </w:rPr>
        <w:t>14.27, afin qu</w:t>
      </w:r>
      <w:r w:rsidR="009445D3" w:rsidRPr="009F7089">
        <w:rPr>
          <w:rFonts w:eastAsia="Calibri" w:cs="Arial"/>
          <w:i/>
          <w:iCs/>
          <w:sz w:val="20"/>
          <w:szCs w:val="20"/>
          <w:lang w:val="fr-FR"/>
        </w:rPr>
        <w:t>’</w:t>
      </w:r>
      <w:r w:rsidRPr="009F7089">
        <w:rPr>
          <w:rFonts w:eastAsia="Calibri" w:cs="Arial"/>
          <w:i/>
          <w:iCs/>
          <w:sz w:val="20"/>
          <w:szCs w:val="20"/>
          <w:lang w:val="fr-FR"/>
        </w:rPr>
        <w:t>ils puissent être publiés au moins un an (de préférence plus tôt) avant la date limite de soumission des rapports à la 15e</w:t>
      </w:r>
      <w:r w:rsidR="009445D3" w:rsidRPr="009F7089">
        <w:rPr>
          <w:rFonts w:eastAsia="Calibri" w:cs="Arial"/>
          <w:i/>
          <w:iCs/>
          <w:sz w:val="20"/>
          <w:szCs w:val="20"/>
          <w:lang w:val="fr-FR"/>
        </w:rPr>
        <w:t> </w:t>
      </w:r>
      <w:r w:rsidRPr="009F7089">
        <w:rPr>
          <w:rFonts w:eastAsia="Calibri" w:cs="Arial"/>
          <w:i/>
          <w:iCs/>
          <w:sz w:val="20"/>
          <w:szCs w:val="20"/>
          <w:lang w:val="fr-FR"/>
        </w:rPr>
        <w:t>session de la Conférence des Parties et de faire toute recommandation appropriée concernant ce modèle à cette dernière, notamment sur leur utilisation ultérieure.</w:t>
      </w:r>
    </w:p>
    <w:p w14:paraId="03CF236A" w14:textId="77777777" w:rsidR="00EA0676" w:rsidRPr="009F7089" w:rsidRDefault="00EA0676" w:rsidP="0006301A">
      <w:pPr>
        <w:spacing w:after="0" w:line="240" w:lineRule="auto"/>
        <w:ind w:left="851"/>
        <w:jc w:val="both"/>
        <w:rPr>
          <w:rFonts w:eastAsia="Calibri" w:cs="Arial"/>
          <w:sz w:val="20"/>
          <w:szCs w:val="20"/>
          <w:lang w:val="fr-FR"/>
        </w:rPr>
      </w:pPr>
    </w:p>
    <w:p w14:paraId="3C8E475D" w14:textId="77777777" w:rsidR="00EA0676" w:rsidRPr="009F7089" w:rsidRDefault="00811F01" w:rsidP="0006301A">
      <w:pPr>
        <w:spacing w:after="0" w:line="240" w:lineRule="auto"/>
        <w:ind w:left="851"/>
        <w:jc w:val="both"/>
        <w:rPr>
          <w:rFonts w:eastAsia="Calibri" w:cs="Arial"/>
          <w:b/>
          <w:bCs/>
          <w:i/>
          <w:iCs/>
          <w:sz w:val="20"/>
          <w:szCs w:val="20"/>
          <w:lang w:val="fr-FR"/>
        </w:rPr>
      </w:pPr>
      <w:r w:rsidRPr="009F7089">
        <w:rPr>
          <w:rFonts w:eastAsia="Calibri" w:cs="Arial"/>
          <w:b/>
          <w:bCs/>
          <w:sz w:val="20"/>
          <w:szCs w:val="20"/>
          <w:lang w:val="fr-FR"/>
        </w:rPr>
        <w:t>14.26</w:t>
      </w:r>
      <w:r w:rsidRPr="009F7089">
        <w:rPr>
          <w:rFonts w:eastAsia="Calibri" w:cs="Arial"/>
          <w:b/>
          <w:bCs/>
          <w:i/>
          <w:iCs/>
          <w:sz w:val="20"/>
          <w:szCs w:val="20"/>
          <w:lang w:val="fr-FR"/>
        </w:rPr>
        <w:t xml:space="preserve"> Adressée au Comité permanent</w:t>
      </w:r>
    </w:p>
    <w:p w14:paraId="39549AEB" w14:textId="77777777" w:rsidR="00EA0676" w:rsidRPr="009F7089" w:rsidRDefault="00EA0676" w:rsidP="0006301A">
      <w:pPr>
        <w:spacing w:after="0" w:line="240" w:lineRule="auto"/>
        <w:ind w:left="851"/>
        <w:jc w:val="both"/>
        <w:rPr>
          <w:rFonts w:eastAsia="Calibri" w:cs="Arial"/>
          <w:b/>
          <w:bCs/>
          <w:i/>
          <w:iCs/>
          <w:sz w:val="20"/>
          <w:szCs w:val="20"/>
          <w:lang w:val="fr-FR"/>
        </w:rPr>
      </w:pPr>
    </w:p>
    <w:p w14:paraId="7DC804EE" w14:textId="5B1339E5" w:rsidR="00EA0676" w:rsidRPr="009F7089" w:rsidRDefault="00811F01" w:rsidP="0006301A">
      <w:pPr>
        <w:spacing w:after="0" w:line="240" w:lineRule="auto"/>
        <w:ind w:left="851"/>
        <w:jc w:val="both"/>
        <w:rPr>
          <w:rFonts w:eastAsia="Calibri" w:cs="Arial"/>
          <w:i/>
          <w:iCs/>
          <w:sz w:val="20"/>
          <w:szCs w:val="20"/>
          <w:lang w:val="fr-FR"/>
        </w:rPr>
      </w:pPr>
      <w:r w:rsidRPr="009F7089">
        <w:rPr>
          <w:rFonts w:eastAsia="Calibri" w:cs="Arial"/>
          <w:i/>
          <w:iCs/>
          <w:sz w:val="20"/>
          <w:szCs w:val="20"/>
          <w:lang w:val="fr-FR"/>
        </w:rPr>
        <w:t>Le Comité permanent d</w:t>
      </w:r>
      <w:r w:rsidR="009445D3" w:rsidRPr="009F7089">
        <w:rPr>
          <w:rFonts w:eastAsia="Calibri" w:cs="Arial"/>
          <w:i/>
          <w:iCs/>
          <w:sz w:val="20"/>
          <w:szCs w:val="20"/>
          <w:lang w:val="fr-FR"/>
        </w:rPr>
        <w:t>’</w:t>
      </w:r>
      <w:r w:rsidRPr="009F7089">
        <w:rPr>
          <w:rFonts w:eastAsia="Calibri" w:cs="Arial"/>
          <w:i/>
          <w:iCs/>
          <w:sz w:val="20"/>
          <w:szCs w:val="20"/>
          <w:lang w:val="fr-FR"/>
        </w:rPr>
        <w:t>examiner les normes établies en matière de présentation des rapports conformément aux Résolutions adoptées par la Convention dans le cadre des révisions de la présentation des rapports nationaux conformément à la Décision</w:t>
      </w:r>
      <w:r w:rsidR="009445D3" w:rsidRPr="009F7089">
        <w:rPr>
          <w:rFonts w:eastAsia="Calibri" w:cs="Arial"/>
          <w:i/>
          <w:iCs/>
          <w:sz w:val="20"/>
          <w:szCs w:val="20"/>
          <w:lang w:val="fr-FR"/>
        </w:rPr>
        <w:t> </w:t>
      </w:r>
      <w:r w:rsidRPr="009F7089">
        <w:rPr>
          <w:rFonts w:eastAsia="Calibri" w:cs="Arial"/>
          <w:i/>
          <w:iCs/>
          <w:sz w:val="20"/>
          <w:szCs w:val="20"/>
          <w:lang w:val="fr-FR"/>
        </w:rPr>
        <w:t>14.25.</w:t>
      </w:r>
    </w:p>
    <w:p w14:paraId="7D721D50" w14:textId="77777777" w:rsidR="00EA0676" w:rsidRPr="009F7089" w:rsidRDefault="00EA0676">
      <w:pPr>
        <w:spacing w:after="0" w:line="240" w:lineRule="auto"/>
        <w:ind w:left="720"/>
        <w:jc w:val="both"/>
        <w:rPr>
          <w:rFonts w:eastAsia="Calibri" w:cs="Arial"/>
          <w:sz w:val="20"/>
          <w:szCs w:val="20"/>
          <w:lang w:val="fr-FR"/>
        </w:rPr>
      </w:pPr>
    </w:p>
    <w:p w14:paraId="1DDB73D6" w14:textId="77777777" w:rsidR="00EA0676" w:rsidRPr="009F7089" w:rsidRDefault="00811F01" w:rsidP="0006301A">
      <w:pPr>
        <w:spacing w:after="0" w:line="240" w:lineRule="auto"/>
        <w:ind w:left="851"/>
        <w:jc w:val="both"/>
        <w:rPr>
          <w:rFonts w:eastAsia="Calibri" w:cs="Arial"/>
          <w:b/>
          <w:bCs/>
          <w:i/>
          <w:iCs/>
          <w:sz w:val="20"/>
          <w:szCs w:val="20"/>
          <w:lang w:val="fr-FR"/>
        </w:rPr>
      </w:pPr>
      <w:r w:rsidRPr="009F7089">
        <w:rPr>
          <w:rFonts w:eastAsia="Calibri" w:cs="Arial"/>
          <w:b/>
          <w:bCs/>
          <w:sz w:val="20"/>
          <w:szCs w:val="20"/>
          <w:lang w:val="fr-FR"/>
        </w:rPr>
        <w:t>14.27</w:t>
      </w:r>
      <w:r w:rsidRPr="009F7089">
        <w:rPr>
          <w:rFonts w:eastAsia="Calibri" w:cs="Arial"/>
          <w:b/>
          <w:bCs/>
          <w:i/>
          <w:iCs/>
          <w:sz w:val="20"/>
          <w:szCs w:val="20"/>
          <w:lang w:val="fr-FR"/>
        </w:rPr>
        <w:t xml:space="preserve"> Adressée au Secrétariat</w:t>
      </w:r>
    </w:p>
    <w:p w14:paraId="06F79045" w14:textId="77777777" w:rsidR="00EA0676" w:rsidRPr="009F7089" w:rsidRDefault="00EA0676" w:rsidP="0006301A">
      <w:pPr>
        <w:spacing w:after="0" w:line="240" w:lineRule="auto"/>
        <w:ind w:left="851"/>
        <w:jc w:val="both"/>
        <w:rPr>
          <w:rFonts w:eastAsia="Calibri" w:cs="Arial"/>
          <w:b/>
          <w:bCs/>
          <w:sz w:val="20"/>
          <w:szCs w:val="20"/>
          <w:lang w:val="fr-FR"/>
        </w:rPr>
      </w:pPr>
    </w:p>
    <w:p w14:paraId="62664B08" w14:textId="0BB511F4" w:rsidR="00EA0676" w:rsidRPr="009F7089" w:rsidRDefault="00811F01" w:rsidP="0006301A">
      <w:pPr>
        <w:spacing w:after="0" w:line="240" w:lineRule="auto"/>
        <w:ind w:left="851"/>
        <w:jc w:val="both"/>
        <w:rPr>
          <w:rFonts w:eastAsia="Calibri" w:cs="Arial"/>
          <w:i/>
          <w:iCs/>
          <w:sz w:val="20"/>
          <w:szCs w:val="20"/>
          <w:lang w:val="fr-FR"/>
        </w:rPr>
      </w:pPr>
      <w:r w:rsidRPr="009F7089">
        <w:rPr>
          <w:rFonts w:eastAsia="Calibri" w:cs="Arial"/>
          <w:i/>
          <w:iCs/>
          <w:sz w:val="20"/>
          <w:szCs w:val="20"/>
          <w:lang w:val="fr-FR"/>
        </w:rPr>
        <w:t>Le Secrétariat, sous réserve de la disponibilité de ressources, est prié d</w:t>
      </w:r>
      <w:r w:rsidR="009445D3" w:rsidRPr="009F7089">
        <w:rPr>
          <w:rFonts w:eastAsia="Calibri" w:cs="Arial"/>
          <w:i/>
          <w:iCs/>
          <w:sz w:val="20"/>
          <w:szCs w:val="20"/>
          <w:lang w:val="fr-FR"/>
        </w:rPr>
        <w:t>’</w:t>
      </w:r>
      <w:r w:rsidRPr="009F7089">
        <w:rPr>
          <w:rFonts w:eastAsia="Calibri" w:cs="Arial"/>
          <w:i/>
          <w:iCs/>
          <w:sz w:val="20"/>
          <w:szCs w:val="20"/>
          <w:lang w:val="fr-FR"/>
        </w:rPr>
        <w:t>examiner s’il y a lieu d</w:t>
      </w:r>
      <w:r w:rsidR="009445D3" w:rsidRPr="009F7089">
        <w:rPr>
          <w:rFonts w:eastAsia="Calibri" w:cs="Arial"/>
          <w:i/>
          <w:iCs/>
          <w:sz w:val="20"/>
          <w:szCs w:val="20"/>
          <w:lang w:val="fr-FR"/>
        </w:rPr>
        <w:t>’</w:t>
      </w:r>
      <w:r w:rsidRPr="009F7089">
        <w:rPr>
          <w:rFonts w:eastAsia="Calibri" w:cs="Arial"/>
          <w:i/>
          <w:iCs/>
          <w:sz w:val="20"/>
          <w:szCs w:val="20"/>
          <w:lang w:val="fr-FR"/>
        </w:rPr>
        <w:t>entreprendre une révision du modèle de rapport national et de son document d</w:t>
      </w:r>
      <w:r w:rsidR="009445D3" w:rsidRPr="009F7089">
        <w:rPr>
          <w:rFonts w:eastAsia="Calibri" w:cs="Arial"/>
          <w:i/>
          <w:iCs/>
          <w:sz w:val="20"/>
          <w:szCs w:val="20"/>
          <w:lang w:val="fr-FR"/>
        </w:rPr>
        <w:t>’</w:t>
      </w:r>
      <w:r w:rsidRPr="009F7089">
        <w:rPr>
          <w:rFonts w:eastAsia="Calibri" w:cs="Arial"/>
          <w:i/>
          <w:iCs/>
          <w:sz w:val="20"/>
          <w:szCs w:val="20"/>
          <w:lang w:val="fr-FR"/>
        </w:rPr>
        <w:t>orientation, et, le cas échéant, d</w:t>
      </w:r>
      <w:r w:rsidR="009445D3" w:rsidRPr="009F7089">
        <w:rPr>
          <w:rFonts w:eastAsia="Calibri" w:cs="Arial"/>
          <w:i/>
          <w:iCs/>
          <w:sz w:val="20"/>
          <w:szCs w:val="20"/>
          <w:lang w:val="fr-FR"/>
        </w:rPr>
        <w:t>’</w:t>
      </w:r>
      <w:r w:rsidRPr="009F7089">
        <w:rPr>
          <w:rFonts w:eastAsia="Calibri" w:cs="Arial"/>
          <w:i/>
          <w:iCs/>
          <w:sz w:val="20"/>
          <w:szCs w:val="20"/>
          <w:lang w:val="fr-FR"/>
        </w:rPr>
        <w:t>entreprendre cette révision afin d</w:t>
      </w:r>
      <w:r w:rsidR="009445D3" w:rsidRPr="009F7089">
        <w:rPr>
          <w:rFonts w:eastAsia="Calibri" w:cs="Arial"/>
          <w:i/>
          <w:iCs/>
          <w:sz w:val="20"/>
          <w:szCs w:val="20"/>
          <w:lang w:val="fr-FR"/>
        </w:rPr>
        <w:t>’</w:t>
      </w:r>
      <w:r w:rsidRPr="009F7089">
        <w:rPr>
          <w:rFonts w:eastAsia="Calibri" w:cs="Arial"/>
          <w:i/>
          <w:iCs/>
          <w:sz w:val="20"/>
          <w:szCs w:val="20"/>
          <w:lang w:val="fr-FR"/>
        </w:rPr>
        <w:t>y intégrer les leçons tirées au cours de la période concernée et les résultats de la 14e</w:t>
      </w:r>
      <w:r w:rsidR="009445D3" w:rsidRPr="009F7089">
        <w:rPr>
          <w:rFonts w:eastAsia="Calibri" w:cs="Arial"/>
          <w:i/>
          <w:iCs/>
          <w:sz w:val="20"/>
          <w:szCs w:val="20"/>
          <w:lang w:val="fr-FR"/>
        </w:rPr>
        <w:t> </w:t>
      </w:r>
      <w:r w:rsidRPr="009F7089">
        <w:rPr>
          <w:rFonts w:eastAsia="Calibri" w:cs="Arial"/>
          <w:i/>
          <w:iCs/>
          <w:sz w:val="20"/>
          <w:szCs w:val="20"/>
          <w:lang w:val="fr-FR"/>
        </w:rPr>
        <w:t>réunion de la Conférence des Parties pour être en conformité avec les objectifs et les cibles du Plan stratégique de Samarcande pour les espèces migratrices 2024-2032.</w:t>
      </w:r>
    </w:p>
    <w:p w14:paraId="095952F1" w14:textId="77777777" w:rsidR="00EA0676" w:rsidRPr="009F7089" w:rsidRDefault="00EA0676">
      <w:pPr>
        <w:pStyle w:val="Firstnumbering"/>
        <w:numPr>
          <w:ilvl w:val="0"/>
          <w:numId w:val="0"/>
        </w:numPr>
        <w:rPr>
          <w:rFonts w:eastAsia="Calibri" w:cs="Arial"/>
          <w:lang w:val="fr-FR"/>
        </w:rPr>
      </w:pPr>
    </w:p>
    <w:p w14:paraId="42CFA3A5" w14:textId="60409EC3" w:rsidR="00EA0676" w:rsidRPr="009F7089" w:rsidRDefault="00811F01">
      <w:pPr>
        <w:pStyle w:val="ListParagraph"/>
        <w:numPr>
          <w:ilvl w:val="0"/>
          <w:numId w:val="10"/>
        </w:numPr>
        <w:spacing w:after="0" w:line="240" w:lineRule="auto"/>
        <w:ind w:left="567" w:hanging="567"/>
        <w:jc w:val="both"/>
        <w:rPr>
          <w:rFonts w:eastAsia="Calibri" w:cs="Arial"/>
          <w:lang w:val="fr-FR"/>
        </w:rPr>
      </w:pPr>
      <w:r w:rsidRPr="009F7089">
        <w:rPr>
          <w:rFonts w:eastAsia="Calibri" w:cs="Arial"/>
          <w:lang w:val="fr-FR"/>
        </w:rPr>
        <w:t>La COP14 a également demandé aux Parties de rendre compte de la mise en œuvre de plusieurs décisions spécifiques par le biais du processus de rapport national. Ces décisions sont résumées dans l</w:t>
      </w:r>
      <w:r w:rsidR="009445D3" w:rsidRPr="009F7089">
        <w:rPr>
          <w:rFonts w:eastAsia="Calibri" w:cs="Arial"/>
          <w:lang w:val="fr-FR"/>
        </w:rPr>
        <w:t>’</w:t>
      </w:r>
      <w:r w:rsidRPr="009F7089">
        <w:rPr>
          <w:rFonts w:eastAsia="Calibri" w:cs="Arial"/>
          <w:lang w:val="fr-FR"/>
        </w:rPr>
        <w:t>Annexe</w:t>
      </w:r>
      <w:r w:rsidR="009445D3" w:rsidRPr="009F7089">
        <w:rPr>
          <w:rFonts w:eastAsia="Calibri" w:cs="Arial"/>
          <w:lang w:val="fr-FR"/>
        </w:rPr>
        <w:t> </w:t>
      </w:r>
      <w:r w:rsidRPr="009F7089">
        <w:rPr>
          <w:rFonts w:eastAsia="Calibri" w:cs="Arial"/>
          <w:lang w:val="fr-FR"/>
        </w:rPr>
        <w:t xml:space="preserve">3 du présent document. </w:t>
      </w:r>
    </w:p>
    <w:p w14:paraId="32C5BE58" w14:textId="7EAED15D" w:rsidR="00083B7D" w:rsidRDefault="00083B7D">
      <w:pPr>
        <w:pStyle w:val="ListParagraph"/>
        <w:spacing w:after="0" w:line="240" w:lineRule="auto"/>
        <w:ind w:left="567"/>
        <w:jc w:val="both"/>
        <w:rPr>
          <w:rFonts w:eastAsia="Calibri" w:cs="Arial"/>
          <w:lang w:val="fr-FR"/>
        </w:rPr>
      </w:pPr>
      <w:r>
        <w:rPr>
          <w:rFonts w:eastAsia="Calibri" w:cs="Arial"/>
          <w:lang w:val="fr-FR"/>
        </w:rPr>
        <w:br w:type="page"/>
      </w:r>
    </w:p>
    <w:p w14:paraId="672401CB" w14:textId="77777777" w:rsidR="00EA0676" w:rsidRPr="009F7089" w:rsidRDefault="00811F01">
      <w:pPr>
        <w:pStyle w:val="Heading1"/>
        <w:rPr>
          <w:lang w:val="fr-FR"/>
        </w:rPr>
      </w:pPr>
      <w:r w:rsidRPr="009F7089">
        <w:rPr>
          <w:lang w:val="fr-FR"/>
        </w:rPr>
        <w:lastRenderedPageBreak/>
        <w:t>Activités</w:t>
      </w:r>
    </w:p>
    <w:p w14:paraId="6B65C20D" w14:textId="77777777" w:rsidR="00EA0676" w:rsidRPr="009F7089" w:rsidRDefault="00811F01">
      <w:pPr>
        <w:spacing w:line="240" w:lineRule="auto"/>
        <w:jc w:val="both"/>
        <w:rPr>
          <w:iCs/>
          <w:lang w:val="fr-FR"/>
        </w:rPr>
      </w:pPr>
      <w:r w:rsidRPr="009F7089">
        <w:rPr>
          <w:i/>
          <w:lang w:val="fr-FR"/>
        </w:rPr>
        <w:t>Révision du format des rapports nationaux pour la soumission à la COP15</w:t>
      </w:r>
    </w:p>
    <w:p w14:paraId="39D26FD9" w14:textId="7D55BD79" w:rsidR="00EA0676" w:rsidRPr="009F7089" w:rsidRDefault="00811F01">
      <w:pPr>
        <w:pStyle w:val="Firstnumbering"/>
        <w:widowControl w:val="0"/>
        <w:numPr>
          <w:ilvl w:val="0"/>
          <w:numId w:val="10"/>
        </w:numPr>
        <w:ind w:left="567" w:hanging="567"/>
        <w:rPr>
          <w:lang w:val="fr-FR"/>
        </w:rPr>
      </w:pPr>
      <w:r w:rsidRPr="009F7089">
        <w:rPr>
          <w:lang w:val="fr-FR"/>
        </w:rPr>
        <w:t>Par la Résolution</w:t>
      </w:r>
      <w:r w:rsidR="009445D3" w:rsidRPr="009F7089">
        <w:rPr>
          <w:lang w:val="fr-FR"/>
        </w:rPr>
        <w:t> </w:t>
      </w:r>
      <w:r w:rsidRPr="009F7089">
        <w:rPr>
          <w:lang w:val="fr-FR"/>
        </w:rPr>
        <w:t>12.5 (Rev.COP14) et les décisions</w:t>
      </w:r>
      <w:r w:rsidR="009445D3" w:rsidRPr="009F7089">
        <w:rPr>
          <w:lang w:val="fr-FR"/>
        </w:rPr>
        <w:t> </w:t>
      </w:r>
      <w:r w:rsidRPr="009F7089">
        <w:rPr>
          <w:lang w:val="fr-FR"/>
        </w:rPr>
        <w:t>14.25–14.27</w:t>
      </w:r>
      <w:r w:rsidR="009445D3" w:rsidRPr="009F7089">
        <w:rPr>
          <w:lang w:val="fr-FR"/>
        </w:rPr>
        <w:t> </w:t>
      </w:r>
      <w:r w:rsidRPr="009F7089">
        <w:rPr>
          <w:i/>
          <w:iCs/>
          <w:lang w:val="fr-FR"/>
        </w:rPr>
        <w:t>Rapports nationaux</w:t>
      </w:r>
      <w:r w:rsidRPr="009F7089">
        <w:rPr>
          <w:lang w:val="fr-FR"/>
        </w:rPr>
        <w:t>, ainsi que par les dispositions du paragraphe (a)(iv) de la décision</w:t>
      </w:r>
      <w:r w:rsidR="009445D3" w:rsidRPr="009F7089">
        <w:rPr>
          <w:lang w:val="fr-FR"/>
        </w:rPr>
        <w:t> </w:t>
      </w:r>
      <w:r w:rsidRPr="009F7089">
        <w:rPr>
          <w:lang w:val="fr-FR"/>
        </w:rPr>
        <w:t xml:space="preserve">14.2 </w:t>
      </w:r>
      <w:r w:rsidRPr="009F7089">
        <w:rPr>
          <w:i/>
          <w:iCs/>
          <w:lang w:val="fr-FR"/>
        </w:rPr>
        <w:t>Plan stratégique de Samarcande pour les espèces migratrices</w:t>
      </w:r>
      <w:r w:rsidRPr="009F7089">
        <w:rPr>
          <w:lang w:val="fr-FR"/>
        </w:rPr>
        <w:t>, le Comité permanent (StC) et le Secrétariat ont été chargés d</w:t>
      </w:r>
      <w:r w:rsidR="009445D3" w:rsidRPr="009F7089">
        <w:rPr>
          <w:lang w:val="fr-FR"/>
        </w:rPr>
        <w:t>’</w:t>
      </w:r>
      <w:r w:rsidRPr="009F7089">
        <w:rPr>
          <w:lang w:val="fr-FR"/>
        </w:rPr>
        <w:t>élaborer un nouveau format pour les rapports nationaux qui s</w:t>
      </w:r>
      <w:r w:rsidR="009445D3" w:rsidRPr="009F7089">
        <w:rPr>
          <w:lang w:val="fr-FR"/>
        </w:rPr>
        <w:t>’</w:t>
      </w:r>
      <w:r w:rsidRPr="009F7089">
        <w:rPr>
          <w:lang w:val="fr-FR"/>
        </w:rPr>
        <w:t>aligne sur le Plan stratégique de Samarcande pour les espèces migratrices 2024-2032 (PSEM). Cependant, étant donné que les indicateurs du PSEM n</w:t>
      </w:r>
      <w:r w:rsidR="009445D3" w:rsidRPr="009F7089">
        <w:rPr>
          <w:lang w:val="fr-FR"/>
        </w:rPr>
        <w:t>’</w:t>
      </w:r>
      <w:r w:rsidRPr="009F7089">
        <w:rPr>
          <w:lang w:val="fr-FR"/>
        </w:rPr>
        <w:t>ont pas encore été établis et au vu des contraintes de temps découlant de la période intersessions exceptionnellement courte avant la COP15, le temps manque pour modifier substantiellement le format du rapport national de manière à le rendre totalement conforme au PSEM.</w:t>
      </w:r>
    </w:p>
    <w:p w14:paraId="5919ACE0" w14:textId="77777777" w:rsidR="00EA0676" w:rsidRPr="009F7089" w:rsidRDefault="00EA0676">
      <w:pPr>
        <w:pStyle w:val="Firstnumbering"/>
        <w:widowControl w:val="0"/>
        <w:numPr>
          <w:ilvl w:val="0"/>
          <w:numId w:val="0"/>
        </w:numPr>
        <w:ind w:left="567" w:hanging="567"/>
        <w:rPr>
          <w:lang w:val="fr-FR"/>
        </w:rPr>
      </w:pPr>
    </w:p>
    <w:p w14:paraId="4909ED6F" w14:textId="6BE784A8" w:rsidR="00EA0676" w:rsidRPr="009F7089" w:rsidRDefault="00811F01">
      <w:pPr>
        <w:pStyle w:val="Firstnumbering"/>
        <w:widowControl w:val="0"/>
        <w:numPr>
          <w:ilvl w:val="0"/>
          <w:numId w:val="10"/>
        </w:numPr>
        <w:ind w:left="567" w:hanging="567"/>
        <w:rPr>
          <w:lang w:val="fr-FR"/>
        </w:rPr>
      </w:pPr>
      <w:r w:rsidRPr="009F7089">
        <w:rPr>
          <w:lang w:val="fr-FR"/>
        </w:rPr>
        <w:t>Le Comité permanent a donc convenu d</w:t>
      </w:r>
      <w:r w:rsidR="009445D3" w:rsidRPr="009F7089">
        <w:rPr>
          <w:lang w:val="fr-FR"/>
        </w:rPr>
        <w:t>’</w:t>
      </w:r>
      <w:r w:rsidRPr="009F7089">
        <w:rPr>
          <w:lang w:val="fr-FR"/>
        </w:rPr>
        <w:t>élaborer un nouveau modèle pour la période de compte rendu suivant la COP15 et d</w:t>
      </w:r>
      <w:r w:rsidR="009445D3" w:rsidRPr="009F7089">
        <w:rPr>
          <w:lang w:val="fr-FR"/>
        </w:rPr>
        <w:t>’</w:t>
      </w:r>
      <w:r w:rsidRPr="009F7089">
        <w:rPr>
          <w:lang w:val="fr-FR"/>
        </w:rPr>
        <w:t>utiliser l</w:t>
      </w:r>
      <w:r w:rsidR="009445D3" w:rsidRPr="009F7089">
        <w:rPr>
          <w:lang w:val="fr-FR"/>
        </w:rPr>
        <w:t>’</w:t>
      </w:r>
      <w:r w:rsidRPr="009F7089">
        <w:rPr>
          <w:lang w:val="fr-FR"/>
        </w:rPr>
        <w:t>ancien modèle de rapport national pour la période de compte rendu actuelle, en y apportant seulement des modifications mineures. Ces modifications comprenaient un nombre limité de questions supplémentaires sur des sujets dont il a été spécifiquement demandé lors de la COP14 qu</w:t>
      </w:r>
      <w:r w:rsidR="009445D3" w:rsidRPr="009F7089">
        <w:rPr>
          <w:lang w:val="fr-FR"/>
        </w:rPr>
        <w:t>’</w:t>
      </w:r>
      <w:r w:rsidRPr="009F7089">
        <w:rPr>
          <w:lang w:val="fr-FR"/>
        </w:rPr>
        <w:t>ils soient traités dans les rapports nationaux.</w:t>
      </w:r>
    </w:p>
    <w:p w14:paraId="1CE68FEC" w14:textId="77777777" w:rsidR="00EA0676" w:rsidRPr="009F7089" w:rsidRDefault="00EA0676">
      <w:pPr>
        <w:pStyle w:val="ListParagraph"/>
        <w:spacing w:after="0"/>
        <w:rPr>
          <w:lang w:val="fr-FR"/>
        </w:rPr>
      </w:pPr>
    </w:p>
    <w:p w14:paraId="542C06FB" w14:textId="13EA85C6" w:rsidR="00EA0676" w:rsidRPr="009F7089" w:rsidRDefault="00811F01">
      <w:pPr>
        <w:pStyle w:val="Firstnumbering"/>
        <w:widowControl w:val="0"/>
        <w:numPr>
          <w:ilvl w:val="0"/>
          <w:numId w:val="10"/>
        </w:numPr>
        <w:ind w:left="567" w:hanging="567"/>
        <w:rPr>
          <w:lang w:val="fr-FR"/>
        </w:rPr>
      </w:pPr>
      <w:r w:rsidRPr="009F7089">
        <w:rPr>
          <w:lang w:val="fr-FR"/>
        </w:rPr>
        <w:t>En outre, il a été convenu de ne pas joindre la liste complète des espèces inscrites aux Annexes I et II pour vérification par les Parties, car ces informations ont été recueillies au cours des cycles d</w:t>
      </w:r>
      <w:r w:rsidR="009445D3" w:rsidRPr="009F7089">
        <w:rPr>
          <w:lang w:val="fr-FR"/>
        </w:rPr>
        <w:t>’</w:t>
      </w:r>
      <w:r w:rsidRPr="009F7089">
        <w:rPr>
          <w:lang w:val="fr-FR"/>
        </w:rPr>
        <w:t xml:space="preserve">établissement de rapport précédents </w:t>
      </w:r>
      <w:r w:rsidRPr="009F7089">
        <w:rPr>
          <w:color w:val="000000" w:themeColor="text1"/>
          <w:lang w:val="fr-FR"/>
        </w:rPr>
        <w:t>et n</w:t>
      </w:r>
      <w:r w:rsidR="009445D3" w:rsidRPr="009F7089">
        <w:rPr>
          <w:color w:val="000000" w:themeColor="text1"/>
          <w:lang w:val="fr-FR"/>
        </w:rPr>
        <w:t>’</w:t>
      </w:r>
      <w:r w:rsidRPr="009F7089">
        <w:rPr>
          <w:color w:val="000000" w:themeColor="text1"/>
          <w:lang w:val="fr-FR"/>
        </w:rPr>
        <w:t>ont pas pu être pleinement évaluées et intégrées dans le modèle de rapport national en raison d</w:t>
      </w:r>
      <w:r w:rsidR="009445D3" w:rsidRPr="009F7089">
        <w:rPr>
          <w:color w:val="000000" w:themeColor="text1"/>
          <w:lang w:val="fr-FR"/>
        </w:rPr>
        <w:t>’</w:t>
      </w:r>
      <w:r w:rsidRPr="009F7089">
        <w:rPr>
          <w:color w:val="000000" w:themeColor="text1"/>
          <w:lang w:val="fr-FR"/>
        </w:rPr>
        <w:t>un manque de ressources. En lieu et place</w:t>
      </w:r>
      <w:r w:rsidRPr="009F7089">
        <w:rPr>
          <w:lang w:val="fr-FR"/>
        </w:rPr>
        <w:t>, le StC a convenu de recueillir les informations relatives aux États de l</w:t>
      </w:r>
      <w:r w:rsidR="009445D3" w:rsidRPr="009F7089">
        <w:rPr>
          <w:lang w:val="fr-FR"/>
        </w:rPr>
        <w:t>’</w:t>
      </w:r>
      <w:r w:rsidRPr="009F7089">
        <w:rPr>
          <w:lang w:val="fr-FR"/>
        </w:rPr>
        <w:t>aire de répartition des espèces inscrites annexée à la Résolution</w:t>
      </w:r>
      <w:r w:rsidR="009445D3" w:rsidRPr="009F7089">
        <w:rPr>
          <w:lang w:val="fr-FR"/>
        </w:rPr>
        <w:t> </w:t>
      </w:r>
      <w:r w:rsidRPr="009F7089">
        <w:rPr>
          <w:lang w:val="fr-FR"/>
        </w:rPr>
        <w:t>14.19 au cours du présent cycle d</w:t>
      </w:r>
      <w:r w:rsidR="009445D3" w:rsidRPr="009F7089">
        <w:rPr>
          <w:lang w:val="fr-FR"/>
        </w:rPr>
        <w:t>’</w:t>
      </w:r>
      <w:r w:rsidRPr="009F7089">
        <w:rPr>
          <w:lang w:val="fr-FR"/>
        </w:rPr>
        <w:t>établissement de rapports, conformément à la décision</w:t>
      </w:r>
      <w:r w:rsidR="009445D3" w:rsidRPr="009F7089">
        <w:rPr>
          <w:lang w:val="fr-FR"/>
        </w:rPr>
        <w:t> </w:t>
      </w:r>
      <w:r w:rsidRPr="009F7089">
        <w:rPr>
          <w:lang w:val="fr-FR"/>
        </w:rPr>
        <w:t>14.234.</w:t>
      </w:r>
    </w:p>
    <w:p w14:paraId="3814B881" w14:textId="77777777" w:rsidR="00EA0676" w:rsidRPr="009F7089" w:rsidRDefault="00EA0676">
      <w:pPr>
        <w:pStyle w:val="ListParagraph"/>
        <w:spacing w:after="0"/>
        <w:rPr>
          <w:lang w:val="fr-FR"/>
        </w:rPr>
      </w:pPr>
    </w:p>
    <w:p w14:paraId="0DF7073B" w14:textId="794451DF" w:rsidR="00EA0676" w:rsidRPr="009F7089" w:rsidRDefault="00811F01" w:rsidP="00083B7D">
      <w:pPr>
        <w:pStyle w:val="Firstnumbering"/>
        <w:widowControl w:val="0"/>
        <w:numPr>
          <w:ilvl w:val="0"/>
          <w:numId w:val="10"/>
        </w:numPr>
        <w:ind w:left="567" w:hanging="567"/>
        <w:rPr>
          <w:lang w:val="fr-FR"/>
        </w:rPr>
      </w:pPr>
      <w:r w:rsidRPr="009F7089">
        <w:rPr>
          <w:lang w:val="fr-FR"/>
        </w:rPr>
        <w:t>Le Secrétariat a transmis une proposition de format de rapport national aux membres du StC le 13</w:t>
      </w:r>
      <w:r w:rsidR="009445D3" w:rsidRPr="009F7089">
        <w:rPr>
          <w:lang w:val="fr-FR"/>
        </w:rPr>
        <w:t> </w:t>
      </w:r>
      <w:r w:rsidRPr="009F7089">
        <w:rPr>
          <w:lang w:val="fr-FR"/>
        </w:rPr>
        <w:t xml:space="preserve">décembre 2024 et cette proposition a été </w:t>
      </w:r>
      <w:r w:rsidRPr="009F7089">
        <w:rPr>
          <w:color w:val="000000" w:themeColor="text1"/>
          <w:lang w:val="fr-FR"/>
        </w:rPr>
        <w:t>approuvée à l</w:t>
      </w:r>
      <w:r w:rsidR="009445D3" w:rsidRPr="009F7089">
        <w:rPr>
          <w:color w:val="000000" w:themeColor="text1"/>
          <w:lang w:val="fr-FR"/>
        </w:rPr>
        <w:t>’</w:t>
      </w:r>
      <w:r w:rsidRPr="009F7089">
        <w:rPr>
          <w:color w:val="000000" w:themeColor="text1"/>
          <w:lang w:val="fr-FR"/>
        </w:rPr>
        <w:t xml:space="preserve">issue de la procédure électronique, </w:t>
      </w:r>
      <w:r w:rsidRPr="009F7089">
        <w:rPr>
          <w:lang w:val="fr-FR"/>
        </w:rPr>
        <w:t>conformément à la Règle</w:t>
      </w:r>
      <w:r w:rsidR="009445D3" w:rsidRPr="009F7089">
        <w:rPr>
          <w:lang w:val="fr-FR"/>
        </w:rPr>
        <w:t> </w:t>
      </w:r>
      <w:r w:rsidRPr="009F7089">
        <w:rPr>
          <w:lang w:val="fr-FR"/>
        </w:rPr>
        <w:t>5 du Règlement intérieur.</w:t>
      </w:r>
    </w:p>
    <w:p w14:paraId="58DD1828" w14:textId="77777777" w:rsidR="00EA0676" w:rsidRPr="009F7089" w:rsidRDefault="00EA0676" w:rsidP="00083B7D">
      <w:pPr>
        <w:pStyle w:val="ListParagraph"/>
        <w:spacing w:after="0"/>
        <w:rPr>
          <w:lang w:val="fr-FR"/>
        </w:rPr>
      </w:pPr>
    </w:p>
    <w:p w14:paraId="34F49970" w14:textId="4D05CED9" w:rsidR="00EA0676" w:rsidRPr="009F7089" w:rsidRDefault="00811F01" w:rsidP="00083B7D">
      <w:pPr>
        <w:spacing w:after="0" w:line="240" w:lineRule="auto"/>
        <w:jc w:val="both"/>
        <w:rPr>
          <w:i/>
          <w:lang w:val="fr-FR"/>
        </w:rPr>
      </w:pPr>
      <w:r w:rsidRPr="009F7089">
        <w:rPr>
          <w:i/>
          <w:lang w:val="fr-FR"/>
        </w:rPr>
        <w:t>Mise en œuvre du cycle d</w:t>
      </w:r>
      <w:r w:rsidR="009445D3" w:rsidRPr="009F7089">
        <w:rPr>
          <w:i/>
          <w:lang w:val="fr-FR"/>
        </w:rPr>
        <w:t>’</w:t>
      </w:r>
      <w:r w:rsidRPr="009F7089">
        <w:rPr>
          <w:i/>
          <w:lang w:val="fr-FR"/>
        </w:rPr>
        <w:t>établissement de rapports nationaux</w:t>
      </w:r>
    </w:p>
    <w:p w14:paraId="26AF2E89" w14:textId="77777777" w:rsidR="00EA0676" w:rsidRPr="009F7089" w:rsidRDefault="00EA0676" w:rsidP="00083B7D">
      <w:pPr>
        <w:spacing w:after="0" w:line="240" w:lineRule="auto"/>
        <w:jc w:val="both"/>
        <w:rPr>
          <w:iCs/>
          <w:lang w:val="fr-FR"/>
        </w:rPr>
      </w:pPr>
    </w:p>
    <w:p w14:paraId="2999173C" w14:textId="57B6BC1C" w:rsidR="00EA0676" w:rsidRPr="009F7089" w:rsidRDefault="00811F01">
      <w:pPr>
        <w:pStyle w:val="Firstnumbering"/>
        <w:widowControl w:val="0"/>
        <w:numPr>
          <w:ilvl w:val="0"/>
          <w:numId w:val="10"/>
        </w:numPr>
        <w:ind w:left="567" w:hanging="567"/>
        <w:rPr>
          <w:lang w:val="fr-FR"/>
        </w:rPr>
      </w:pPr>
      <w:r w:rsidRPr="009F7089">
        <w:rPr>
          <w:lang w:val="fr-FR"/>
        </w:rPr>
        <w:t>Avec l</w:t>
      </w:r>
      <w:r w:rsidR="009445D3" w:rsidRPr="009F7089">
        <w:rPr>
          <w:lang w:val="fr-FR"/>
        </w:rPr>
        <w:t>’</w:t>
      </w:r>
      <w:r w:rsidRPr="009F7089">
        <w:rPr>
          <w:lang w:val="fr-FR"/>
        </w:rPr>
        <w:t>aide du Centre mondial de surveillance pour la conservation (WCMC) du Programme des Nations Unies pour l</w:t>
      </w:r>
      <w:r w:rsidR="009445D3" w:rsidRPr="009F7089">
        <w:rPr>
          <w:lang w:val="fr-FR"/>
        </w:rPr>
        <w:t>’</w:t>
      </w:r>
      <w:r w:rsidRPr="009F7089">
        <w:rPr>
          <w:lang w:val="fr-FR"/>
        </w:rPr>
        <w:t>environnement (PNUE), une version en ligne du format de rapport national, utilisant le système de rapport en ligne, comme convenu par le Comité permanent, a été mise à la disposition des Parties le 14</w:t>
      </w:r>
      <w:r w:rsidR="009445D3" w:rsidRPr="009F7089">
        <w:rPr>
          <w:lang w:val="fr-FR"/>
        </w:rPr>
        <w:t> </w:t>
      </w:r>
      <w:r w:rsidRPr="009F7089">
        <w:rPr>
          <w:lang w:val="fr-FR"/>
        </w:rPr>
        <w:t>mars 2025, dans les trois langues de la Convention. Le format était accompagné d’un guide d</w:t>
      </w:r>
      <w:r w:rsidR="009445D3" w:rsidRPr="009F7089">
        <w:rPr>
          <w:lang w:val="fr-FR"/>
        </w:rPr>
        <w:t>’</w:t>
      </w:r>
      <w:r w:rsidRPr="009F7089">
        <w:rPr>
          <w:lang w:val="fr-FR"/>
        </w:rPr>
        <w:t>utilisation technique visant à rendre le système plus facile d</w:t>
      </w:r>
      <w:r w:rsidR="009445D3" w:rsidRPr="009F7089">
        <w:rPr>
          <w:lang w:val="fr-FR"/>
        </w:rPr>
        <w:t>’</w:t>
      </w:r>
      <w:r w:rsidRPr="009F7089">
        <w:rPr>
          <w:lang w:val="fr-FR"/>
        </w:rPr>
        <w:t>accès et d</w:t>
      </w:r>
      <w:r w:rsidR="009445D3" w:rsidRPr="009F7089">
        <w:rPr>
          <w:lang w:val="fr-FR"/>
        </w:rPr>
        <w:t>’</w:t>
      </w:r>
      <w:r w:rsidRPr="009F7089">
        <w:rPr>
          <w:lang w:val="fr-FR"/>
        </w:rPr>
        <w:t>utilisation afin d</w:t>
      </w:r>
      <w:r w:rsidR="009445D3" w:rsidRPr="009F7089">
        <w:rPr>
          <w:lang w:val="fr-FR"/>
        </w:rPr>
        <w:t>’</w:t>
      </w:r>
      <w:r w:rsidRPr="009F7089">
        <w:rPr>
          <w:lang w:val="fr-FR"/>
        </w:rPr>
        <w:t>aider les points focaux de la CMS à soumettre leurs rapports. Une communication régulière a été établie pour aider les points focaux de la CMS à résoudre tout problème technique ainsi qu</w:t>
      </w:r>
      <w:r w:rsidR="009445D3" w:rsidRPr="009F7089">
        <w:rPr>
          <w:lang w:val="fr-FR"/>
        </w:rPr>
        <w:t>’</w:t>
      </w:r>
      <w:r w:rsidRPr="009F7089">
        <w:rPr>
          <w:lang w:val="fr-FR"/>
        </w:rPr>
        <w:t>à remplir et soumettre leurs rapports.</w:t>
      </w:r>
    </w:p>
    <w:p w14:paraId="711D2DFD" w14:textId="77777777" w:rsidR="00EA0676" w:rsidRPr="009F7089" w:rsidRDefault="00EA0676">
      <w:pPr>
        <w:pStyle w:val="Firstnumbering"/>
        <w:widowControl w:val="0"/>
        <w:numPr>
          <w:ilvl w:val="0"/>
          <w:numId w:val="0"/>
        </w:numPr>
        <w:ind w:left="720"/>
        <w:rPr>
          <w:lang w:val="fr-FR"/>
        </w:rPr>
      </w:pPr>
    </w:p>
    <w:p w14:paraId="077A30E9" w14:textId="185B6CD8" w:rsidR="00EA0676" w:rsidRPr="009F7089" w:rsidRDefault="00811F01">
      <w:pPr>
        <w:pStyle w:val="Firstnumbering"/>
        <w:numPr>
          <w:ilvl w:val="0"/>
          <w:numId w:val="10"/>
        </w:numPr>
        <w:ind w:left="567" w:hanging="567"/>
        <w:rPr>
          <w:lang w:val="fr-FR"/>
        </w:rPr>
      </w:pPr>
      <w:r w:rsidRPr="009F7089">
        <w:rPr>
          <w:color w:val="000000" w:themeColor="text1"/>
          <w:lang w:val="fr-FR"/>
        </w:rPr>
        <w:t>La date limite de soumission des rapports nationaux a été fixée au 24</w:t>
      </w:r>
      <w:r w:rsidR="009445D3" w:rsidRPr="009F7089">
        <w:rPr>
          <w:color w:val="000000" w:themeColor="text1"/>
          <w:lang w:val="fr-FR"/>
        </w:rPr>
        <w:t> </w:t>
      </w:r>
      <w:r w:rsidRPr="009F7089">
        <w:rPr>
          <w:color w:val="000000" w:themeColor="text1"/>
          <w:lang w:val="fr-FR"/>
        </w:rPr>
        <w:t>septembre 2025</w:t>
      </w:r>
      <w:r w:rsidRPr="009F7089">
        <w:rPr>
          <w:lang w:val="fr-FR"/>
        </w:rPr>
        <w:t>.</w:t>
      </w:r>
    </w:p>
    <w:p w14:paraId="75B300A1" w14:textId="77777777" w:rsidR="00EA0676" w:rsidRPr="009F7089" w:rsidRDefault="00EA0676">
      <w:pPr>
        <w:widowControl w:val="0"/>
        <w:autoSpaceDE w:val="0"/>
        <w:autoSpaceDN w:val="0"/>
        <w:adjustRightInd w:val="0"/>
        <w:spacing w:after="0" w:line="240" w:lineRule="auto"/>
        <w:jc w:val="both"/>
        <w:rPr>
          <w:rFonts w:cs="Arial"/>
          <w:lang w:val="fr-FR"/>
        </w:rPr>
      </w:pPr>
    </w:p>
    <w:p w14:paraId="6F2C2436" w14:textId="3BABF9D3" w:rsidR="00EA0676" w:rsidRPr="009F7089" w:rsidRDefault="00811F01">
      <w:pPr>
        <w:pStyle w:val="Firstnumbering"/>
        <w:numPr>
          <w:ilvl w:val="0"/>
          <w:numId w:val="10"/>
        </w:numPr>
        <w:ind w:left="567" w:hanging="567"/>
        <w:rPr>
          <w:lang w:val="fr-FR"/>
        </w:rPr>
      </w:pPr>
      <w:r w:rsidRPr="009F7089">
        <w:rPr>
          <w:lang w:val="fr-FR"/>
        </w:rPr>
        <w:t>Les rapports reçus jusqu</w:t>
      </w:r>
      <w:r w:rsidR="009445D3" w:rsidRPr="009F7089">
        <w:rPr>
          <w:lang w:val="fr-FR"/>
        </w:rPr>
        <w:t>’</w:t>
      </w:r>
      <w:r w:rsidRPr="009F7089">
        <w:rPr>
          <w:lang w:val="fr-FR"/>
        </w:rPr>
        <w:t>au 14</w:t>
      </w:r>
      <w:r w:rsidR="009445D3" w:rsidRPr="009F7089">
        <w:rPr>
          <w:lang w:val="fr-FR"/>
        </w:rPr>
        <w:t> </w:t>
      </w:r>
      <w:r w:rsidRPr="009F7089">
        <w:rPr>
          <w:lang w:val="fr-FR"/>
        </w:rPr>
        <w:t>octobre 2025 ont été inclus dans l</w:t>
      </w:r>
      <w:r w:rsidR="009445D3" w:rsidRPr="009F7089">
        <w:rPr>
          <w:lang w:val="fr-FR"/>
        </w:rPr>
        <w:t>’</w:t>
      </w:r>
      <w:r w:rsidRPr="009F7089">
        <w:rPr>
          <w:lang w:val="fr-FR"/>
        </w:rPr>
        <w:t>analyse</w:t>
      </w:r>
      <w:r w:rsidR="009445D3" w:rsidRPr="009F7089">
        <w:rPr>
          <w:lang w:val="fr-FR"/>
        </w:rPr>
        <w:t> </w:t>
      </w:r>
      <w:r w:rsidRPr="009F7089">
        <w:rPr>
          <w:lang w:val="fr-FR"/>
        </w:rPr>
        <w:t>: un total de 59</w:t>
      </w:r>
      <w:r w:rsidR="009445D3" w:rsidRPr="009F7089">
        <w:rPr>
          <w:lang w:val="fr-FR"/>
        </w:rPr>
        <w:t> </w:t>
      </w:r>
      <w:r w:rsidRPr="009F7089">
        <w:rPr>
          <w:lang w:val="fr-FR"/>
        </w:rPr>
        <w:t>rapports nationaux (soit un taux de réponse d</w:t>
      </w:r>
      <w:r w:rsidR="009445D3" w:rsidRPr="009F7089">
        <w:rPr>
          <w:lang w:val="fr-FR"/>
        </w:rPr>
        <w:t>’</w:t>
      </w:r>
      <w:r w:rsidRPr="009F7089">
        <w:rPr>
          <w:lang w:val="fr-FR"/>
        </w:rPr>
        <w:t>environ 44</w:t>
      </w:r>
      <w:r w:rsidR="009445D3" w:rsidRPr="009F7089">
        <w:rPr>
          <w:lang w:val="fr-FR"/>
        </w:rPr>
        <w:t> </w:t>
      </w:r>
      <w:r w:rsidRPr="009F7089">
        <w:rPr>
          <w:lang w:val="fr-FR"/>
        </w:rPr>
        <w:t>%). Certains rapports reçus après ce délai n</w:t>
      </w:r>
      <w:r w:rsidR="009445D3" w:rsidRPr="009F7089">
        <w:rPr>
          <w:lang w:val="fr-FR"/>
        </w:rPr>
        <w:t>’</w:t>
      </w:r>
      <w:r w:rsidRPr="009F7089">
        <w:rPr>
          <w:lang w:val="fr-FR"/>
        </w:rPr>
        <w:t>ont pas pu être inclus dans l</w:t>
      </w:r>
      <w:r w:rsidR="009445D3" w:rsidRPr="009F7089">
        <w:rPr>
          <w:lang w:val="fr-FR"/>
        </w:rPr>
        <w:t>’</w:t>
      </w:r>
      <w:r w:rsidRPr="009F7089">
        <w:rPr>
          <w:lang w:val="fr-FR"/>
        </w:rPr>
        <w:t xml:space="preserve">analyse. Tous les rapports nationaux reçus sont disponibles sur le </w:t>
      </w:r>
      <w:hyperlink r:id="rId12" w:anchor="national-reports" w:history="1">
        <w:r w:rsidRPr="009F7089">
          <w:rPr>
            <w:rStyle w:val="Hyperlink"/>
            <w:rFonts w:cs="Arial"/>
            <w:lang w:val="fr-FR"/>
          </w:rPr>
          <w:t>site de la CMS</w:t>
        </w:r>
      </w:hyperlink>
      <w:r w:rsidRPr="009F7089">
        <w:rPr>
          <w:lang w:val="fr-FR"/>
        </w:rPr>
        <w:t>.</w:t>
      </w:r>
    </w:p>
    <w:p w14:paraId="0B76120C" w14:textId="4D461883" w:rsidR="00083B7D" w:rsidRDefault="00083B7D">
      <w:pPr>
        <w:pStyle w:val="ListParagraph"/>
        <w:spacing w:after="0"/>
        <w:rPr>
          <w:lang w:val="fr-FR"/>
        </w:rPr>
      </w:pPr>
      <w:r>
        <w:rPr>
          <w:lang w:val="fr-FR"/>
        </w:rPr>
        <w:br w:type="page"/>
      </w:r>
    </w:p>
    <w:p w14:paraId="4B9F1586" w14:textId="77777777" w:rsidR="00EA0676" w:rsidRPr="009F7089" w:rsidRDefault="00811F01">
      <w:pPr>
        <w:spacing w:after="0" w:line="240" w:lineRule="auto"/>
        <w:jc w:val="both"/>
        <w:rPr>
          <w:i/>
          <w:lang w:val="fr-FR"/>
        </w:rPr>
      </w:pPr>
      <w:r w:rsidRPr="009F7089">
        <w:rPr>
          <w:i/>
          <w:lang w:val="fr-FR"/>
        </w:rPr>
        <w:lastRenderedPageBreak/>
        <w:t>Analyse des rapports nationaux</w:t>
      </w:r>
    </w:p>
    <w:p w14:paraId="3109943E" w14:textId="77777777" w:rsidR="00EA0676" w:rsidRPr="009F7089" w:rsidRDefault="00EA0676">
      <w:pPr>
        <w:pStyle w:val="ListParagraph"/>
        <w:spacing w:after="0"/>
        <w:rPr>
          <w:lang w:val="fr-FR"/>
        </w:rPr>
      </w:pPr>
    </w:p>
    <w:p w14:paraId="5788CAD7" w14:textId="5177EEA3" w:rsidR="00EA0676" w:rsidRPr="009F7089" w:rsidRDefault="00811F01">
      <w:pPr>
        <w:pStyle w:val="Firstnumbering"/>
        <w:numPr>
          <w:ilvl w:val="0"/>
          <w:numId w:val="10"/>
        </w:numPr>
        <w:ind w:left="567" w:hanging="567"/>
        <w:rPr>
          <w:lang w:val="fr-FR"/>
        </w:rPr>
      </w:pPr>
      <w:r w:rsidRPr="009F7089">
        <w:rPr>
          <w:lang w:val="fr-FR"/>
        </w:rPr>
        <w:t>Grâce à la contribution volontaire du gouvernement de la Suisse, le Secrétariat de la CMS a pu commander une analyse des rapports nationaux au WCMC de l</w:t>
      </w:r>
      <w:r w:rsidR="009445D3" w:rsidRPr="009F7089">
        <w:rPr>
          <w:lang w:val="fr-FR"/>
        </w:rPr>
        <w:t>’</w:t>
      </w:r>
      <w:r w:rsidRPr="009F7089">
        <w:rPr>
          <w:lang w:val="fr-FR"/>
        </w:rPr>
        <w:t>UNEP. L</w:t>
      </w:r>
      <w:r w:rsidR="009445D3" w:rsidRPr="009F7089">
        <w:rPr>
          <w:lang w:val="fr-FR"/>
        </w:rPr>
        <w:t>’</w:t>
      </w:r>
      <w:r w:rsidRPr="009F7089">
        <w:rPr>
          <w:lang w:val="fr-FR"/>
        </w:rPr>
        <w:t>analyse complète est contenue dans l</w:t>
      </w:r>
      <w:r w:rsidR="009445D3" w:rsidRPr="009F7089">
        <w:rPr>
          <w:lang w:val="fr-FR"/>
        </w:rPr>
        <w:t>’</w:t>
      </w:r>
      <w:r w:rsidRPr="009F7089">
        <w:rPr>
          <w:lang w:val="fr-FR"/>
        </w:rPr>
        <w:t>Annexe</w:t>
      </w:r>
      <w:r w:rsidR="009445D3" w:rsidRPr="009F7089">
        <w:rPr>
          <w:lang w:val="fr-FR"/>
        </w:rPr>
        <w:t> </w:t>
      </w:r>
      <w:r w:rsidRPr="009F7089">
        <w:rPr>
          <w:lang w:val="fr-FR"/>
        </w:rPr>
        <w:t>2.</w:t>
      </w:r>
    </w:p>
    <w:p w14:paraId="35DA7C6A" w14:textId="77777777" w:rsidR="00EA0676" w:rsidRPr="009F7089" w:rsidRDefault="00EA0676">
      <w:pPr>
        <w:pStyle w:val="Firstnumbering"/>
        <w:numPr>
          <w:ilvl w:val="0"/>
          <w:numId w:val="0"/>
        </w:numPr>
        <w:ind w:left="567" w:hanging="567"/>
        <w:rPr>
          <w:i/>
          <w:iCs/>
          <w:lang w:val="fr-FR"/>
        </w:rPr>
      </w:pPr>
    </w:p>
    <w:p w14:paraId="19E3ADFA" w14:textId="14682F3C" w:rsidR="00EA0676" w:rsidRPr="009F7089" w:rsidRDefault="00811F01">
      <w:pPr>
        <w:pStyle w:val="Firstnumbering"/>
        <w:numPr>
          <w:ilvl w:val="0"/>
          <w:numId w:val="10"/>
        </w:numPr>
        <w:ind w:left="567" w:hanging="567"/>
        <w:rPr>
          <w:lang w:val="fr-FR"/>
        </w:rPr>
      </w:pPr>
      <w:r w:rsidRPr="009F7089">
        <w:rPr>
          <w:lang w:val="fr-FR"/>
        </w:rPr>
        <w:t>L</w:t>
      </w:r>
      <w:r w:rsidR="009445D3" w:rsidRPr="009F7089">
        <w:rPr>
          <w:lang w:val="fr-FR"/>
        </w:rPr>
        <w:t>’</w:t>
      </w:r>
      <w:r w:rsidRPr="009F7089">
        <w:rPr>
          <w:lang w:val="fr-FR"/>
        </w:rPr>
        <w:t>analyse conclut que</w:t>
      </w:r>
      <w:r w:rsidR="009445D3" w:rsidRPr="009F7089">
        <w:rPr>
          <w:lang w:val="fr-FR"/>
        </w:rPr>
        <w:t> </w:t>
      </w:r>
      <w:r w:rsidRPr="009F7089">
        <w:rPr>
          <w:lang w:val="fr-FR"/>
        </w:rPr>
        <w:t>:</w:t>
      </w:r>
    </w:p>
    <w:p w14:paraId="4E95FD87" w14:textId="77777777" w:rsidR="00EA0676" w:rsidRPr="009F7089" w:rsidRDefault="00EA0676">
      <w:pPr>
        <w:pStyle w:val="ListParagraph"/>
        <w:spacing w:after="0"/>
        <w:rPr>
          <w:lang w:val="fr-FR"/>
        </w:rPr>
      </w:pPr>
    </w:p>
    <w:p w14:paraId="6B2BF63D" w14:textId="63C6EB7E" w:rsidR="00EA0676" w:rsidRPr="00F90208" w:rsidRDefault="00F90208" w:rsidP="0083213D">
      <w:pPr>
        <w:pStyle w:val="Firstnumbering"/>
        <w:numPr>
          <w:ilvl w:val="0"/>
          <w:numId w:val="0"/>
        </w:numPr>
        <w:ind w:left="567"/>
        <w:rPr>
          <w:rFonts w:cs="Arial"/>
          <w:i/>
          <w:iCs/>
          <w:highlight w:val="yellow"/>
          <w:lang w:val="fr-FR"/>
        </w:rPr>
      </w:pPr>
      <w:r>
        <w:rPr>
          <w:rFonts w:cs="Arial"/>
          <w:i/>
          <w:iCs/>
          <w:lang w:val="fr-FR"/>
        </w:rPr>
        <w:t>« </w:t>
      </w:r>
      <w:r w:rsidRPr="00F90208">
        <w:rPr>
          <w:rFonts w:cs="Arial"/>
          <w:i/>
          <w:iCs/>
          <w:lang w:val="fr-FR"/>
        </w:rPr>
        <w:t xml:space="preserve">Les Parties qui ont soumis les rapports nationaux de la CMS sont remerciées pour le travail approfondi qu’elles ont entrepris en remplissant le questionnaire. Collectivement, ces réponses fournissent des </w:t>
      </w:r>
      <w:r w:rsidRPr="00F90208">
        <w:rPr>
          <w:rFonts w:cs="Arial"/>
          <w:i/>
          <w:iCs/>
          <w:color w:val="000000" w:themeColor="text1"/>
          <w:lang w:val="fr-FR"/>
        </w:rPr>
        <w:t>informations précieuses sur la mise en œuvre nationale de la Convention et offrent un aperçu des actions entreprises, des réalisations accomplies, des difficultés rencontrées et des priorités définies pour la conservation des espèces migratrices à l’échelle mondiale.</w:t>
      </w:r>
    </w:p>
    <w:p w14:paraId="553FCC55" w14:textId="77777777" w:rsidR="00EA0676" w:rsidRPr="001C2F4B" w:rsidRDefault="00EA0676" w:rsidP="0083213D">
      <w:pPr>
        <w:pStyle w:val="Firstnumbering"/>
        <w:numPr>
          <w:ilvl w:val="0"/>
          <w:numId w:val="0"/>
        </w:numPr>
        <w:ind w:left="567"/>
        <w:rPr>
          <w:i/>
          <w:iCs/>
          <w:lang w:val="fr-FR"/>
        </w:rPr>
      </w:pPr>
    </w:p>
    <w:p w14:paraId="0B8EB292" w14:textId="6587B1B4" w:rsidR="00EA0676" w:rsidRPr="001C2F4B" w:rsidRDefault="001C2F4B" w:rsidP="0083213D">
      <w:pPr>
        <w:pStyle w:val="Firstnumbering"/>
        <w:numPr>
          <w:ilvl w:val="0"/>
          <w:numId w:val="0"/>
        </w:numPr>
        <w:ind w:left="567"/>
        <w:rPr>
          <w:i/>
          <w:iCs/>
          <w:lang w:val="fr-FR"/>
        </w:rPr>
      </w:pPr>
      <w:r w:rsidRPr="001C2F4B">
        <w:rPr>
          <w:i/>
          <w:iCs/>
          <w:lang w:val="fr-FR"/>
        </w:rPr>
        <w:t>Les Parties ont fait état de progrès dans plusieurs domaines. Les réalisations mises en avant par les Parties déclarantes incluent le renforcement de la législation, l’élaboration de politiques et de stratégies, des mesures de protection, de gestion et de restauration des habitats, ainsi que des succès spécifiques en matière de conservation des espèces. De nombreuses Parties ont fait état d’un renforcement de la coordination interinstitutionnelle, de la mise en place de comités pour aborder la mise en œuvre de la CMS, ainsi que d’un engagement actif dans le partage des connaissances. La collaboration internationale demeure un élément essentiel, avec une proportion significative de Parties participant à des accords, à des mémorandums d’entente et à des initiatives plus larges visant à préserver les espèces migratrices</w:t>
      </w:r>
      <w:r w:rsidR="00811F01" w:rsidRPr="001C2F4B">
        <w:rPr>
          <w:i/>
          <w:iCs/>
          <w:lang w:val="fr-FR"/>
        </w:rPr>
        <w:t>.</w:t>
      </w:r>
    </w:p>
    <w:p w14:paraId="7C654EC5" w14:textId="77777777" w:rsidR="00EA0676" w:rsidRPr="001C2F4B" w:rsidRDefault="00EA0676" w:rsidP="0083213D">
      <w:pPr>
        <w:pStyle w:val="Firstnumbering"/>
        <w:numPr>
          <w:ilvl w:val="0"/>
          <w:numId w:val="0"/>
        </w:numPr>
        <w:ind w:left="567"/>
        <w:rPr>
          <w:i/>
          <w:iCs/>
          <w:lang w:val="fr-FR"/>
        </w:rPr>
      </w:pPr>
    </w:p>
    <w:p w14:paraId="72A5D8DC" w14:textId="0E48ADB5" w:rsidR="00EA0676" w:rsidRDefault="009B0A45" w:rsidP="0083213D">
      <w:pPr>
        <w:pStyle w:val="Firstnumbering"/>
        <w:numPr>
          <w:ilvl w:val="0"/>
          <w:numId w:val="0"/>
        </w:numPr>
        <w:ind w:left="567"/>
        <w:rPr>
          <w:i/>
          <w:iCs/>
          <w:lang w:val="fr-FR"/>
        </w:rPr>
      </w:pPr>
      <w:r w:rsidRPr="009B0A45">
        <w:rPr>
          <w:i/>
          <w:iCs/>
          <w:lang w:val="fr-FR"/>
        </w:rPr>
        <w:t>Malgré ces réalisations, des lacunes notables subsistent dans la mise en œuvre. Certaines Parties doivent encore interdire totalement le prélèvement des espèces figurant à l’Annexe I, s’attaquer aux obstacles à la migration, ou conserver et restaurer les habitats conformément à l’article III de la CMS. L’identification des habitats critiques et des sites importants, en particulier pour les taxons peu étudiés ainsi que pour les écosystèmes marins et d’eau douce, demeure une lacune majeure dans les connaissances. Des progrès supplémentaires sont nécessaires pour éliminer progressivement les mesures d’incitation préjudiciables, intégrer les considérations relatives aux espèces migratrices dans les stratégies et les plans nationaux, et encourager la participation des communautés à la conservation.</w:t>
      </w:r>
    </w:p>
    <w:p w14:paraId="061DA980" w14:textId="77777777" w:rsidR="009B0A45" w:rsidRPr="009B0A45" w:rsidRDefault="009B0A45" w:rsidP="0083213D">
      <w:pPr>
        <w:pStyle w:val="Firstnumbering"/>
        <w:numPr>
          <w:ilvl w:val="0"/>
          <w:numId w:val="0"/>
        </w:numPr>
        <w:ind w:left="567"/>
        <w:rPr>
          <w:i/>
          <w:iCs/>
          <w:highlight w:val="yellow"/>
          <w:lang w:val="fr-FR"/>
        </w:rPr>
      </w:pPr>
    </w:p>
    <w:p w14:paraId="6A406D93" w14:textId="12E7C04E" w:rsidR="00EA0676" w:rsidRDefault="00481721" w:rsidP="0083213D">
      <w:pPr>
        <w:pStyle w:val="Firstnumbering"/>
        <w:numPr>
          <w:ilvl w:val="0"/>
          <w:numId w:val="0"/>
        </w:numPr>
        <w:ind w:left="567"/>
        <w:rPr>
          <w:i/>
          <w:iCs/>
          <w:lang w:val="fr-FR"/>
        </w:rPr>
      </w:pPr>
      <w:r w:rsidRPr="00481721">
        <w:rPr>
          <w:i/>
          <w:iCs/>
          <w:lang w:val="fr-FR"/>
        </w:rPr>
        <w:t>Les pressions anthropiques persistantes continuent de nuire aux espèces migratrices. Le changement climatique, la destruction et la dégradation de l’habitat, ainsi que la chasse illégale ont souvent été signalés comme ayant des impacts graves, et ont également été identifiés comme les principaux facteurs à l’origine des tendances négatives affectant l’état de conservation des espèces migratrices. Les épidémies, y compris la grippe aviaire hautement pathogène, ont causé une mortalité importante parmi les espèces migratrices, soulignant leur vulnérabilité continue</w:t>
      </w:r>
      <w:r>
        <w:rPr>
          <w:i/>
          <w:iCs/>
          <w:lang w:val="fr-FR"/>
        </w:rPr>
        <w:t>.</w:t>
      </w:r>
    </w:p>
    <w:p w14:paraId="44D3F8B0" w14:textId="77777777" w:rsidR="00481721" w:rsidRPr="00287BD3" w:rsidRDefault="00481721" w:rsidP="0083213D">
      <w:pPr>
        <w:pStyle w:val="Firstnumbering"/>
        <w:numPr>
          <w:ilvl w:val="0"/>
          <w:numId w:val="0"/>
        </w:numPr>
        <w:ind w:left="567"/>
        <w:rPr>
          <w:i/>
          <w:iCs/>
          <w:lang w:val="fr-FR"/>
        </w:rPr>
      </w:pPr>
    </w:p>
    <w:p w14:paraId="44B88BD9" w14:textId="43BA0C67" w:rsidR="00EA0676" w:rsidRPr="00287BD3" w:rsidRDefault="00287BD3" w:rsidP="0083213D">
      <w:pPr>
        <w:pStyle w:val="Firstnumbering"/>
        <w:numPr>
          <w:ilvl w:val="0"/>
          <w:numId w:val="0"/>
        </w:numPr>
        <w:ind w:left="567"/>
        <w:rPr>
          <w:i/>
          <w:iCs/>
          <w:lang w:val="fr-FR"/>
        </w:rPr>
      </w:pPr>
      <w:r w:rsidRPr="00287BD3">
        <w:rPr>
          <w:i/>
          <w:iCs/>
          <w:lang w:val="fr-FR"/>
        </w:rPr>
        <w:t>L’insuffisance des capacités financières et techniques continue d’entraver la mise en œuvre. De nombreuses Parties ont identifié un besoin d’assistance en matière d’échange d’informations, de recherche et de surveillance, ainsi que de renforcement des capacités, afin de satisfaire leurs obligations au titre de la CMS. Seule une minorité de Parties a signalé une augmentation des ressources disponibles pour la conservation des espèces migratrices, tandis que d’autres continuent de faire face à des insuffisances de financement.</w:t>
      </w:r>
    </w:p>
    <w:p w14:paraId="76D9EFCD" w14:textId="1E4AF5DB" w:rsidR="00B32220" w:rsidRDefault="00B32220" w:rsidP="0083213D">
      <w:pPr>
        <w:pStyle w:val="Firstnumbering"/>
        <w:numPr>
          <w:ilvl w:val="0"/>
          <w:numId w:val="0"/>
        </w:numPr>
        <w:ind w:left="567"/>
        <w:rPr>
          <w:i/>
          <w:iCs/>
          <w:highlight w:val="yellow"/>
          <w:lang w:val="fr-FR"/>
        </w:rPr>
      </w:pPr>
      <w:r>
        <w:rPr>
          <w:i/>
          <w:iCs/>
          <w:highlight w:val="yellow"/>
          <w:lang w:val="fr-FR"/>
        </w:rPr>
        <w:br w:type="page"/>
      </w:r>
    </w:p>
    <w:p w14:paraId="16AA22C4" w14:textId="06A3C039" w:rsidR="005D669C" w:rsidRDefault="005D669C" w:rsidP="005D669C">
      <w:pPr>
        <w:spacing w:after="0" w:line="240" w:lineRule="auto"/>
        <w:ind w:left="567"/>
        <w:jc w:val="both"/>
        <w:rPr>
          <w:i/>
          <w:iCs/>
          <w:lang w:val="fr-FR"/>
        </w:rPr>
      </w:pPr>
      <w:r w:rsidRPr="005D669C">
        <w:rPr>
          <w:i/>
          <w:iCs/>
          <w:lang w:val="fr-FR"/>
        </w:rPr>
        <w:lastRenderedPageBreak/>
        <w:t>Les informations fournies par les rapports nationaux permettent d’identifier les priorités essentielles pour les actions futures et offrent des perspectives précieuses sur les réussites et les défis en cours. Les efforts continus visant à renforcer la législation, les politiques et les stratégies, la coopération internationale ainsi que la disponibilité des connaissances et des données scientifiques se sont imposés comme des priorités récurrentes, indispensables pour atteindre des résultats en matière de conservation des espèces migratrices et de leurs habitats. Les rapports nationaux constituent une base pour le suivi des progrès et l’orientation des actions stratégiques au cours de la prochaine période triennale</w:t>
      </w:r>
      <w:r>
        <w:rPr>
          <w:i/>
          <w:iCs/>
          <w:lang w:val="fr-FR"/>
        </w:rPr>
        <w:t>. »</w:t>
      </w:r>
    </w:p>
    <w:p w14:paraId="533B6C37" w14:textId="77777777" w:rsidR="005D669C" w:rsidRDefault="005D669C" w:rsidP="00C03C0F">
      <w:pPr>
        <w:spacing w:after="0" w:line="240" w:lineRule="auto"/>
        <w:jc w:val="both"/>
        <w:rPr>
          <w:i/>
          <w:lang w:val="fr-FR"/>
        </w:rPr>
      </w:pPr>
    </w:p>
    <w:p w14:paraId="4084C107" w14:textId="59E221E6" w:rsidR="00EA0676" w:rsidRPr="009F7089" w:rsidRDefault="00811F01" w:rsidP="00C03C0F">
      <w:pPr>
        <w:spacing w:after="0" w:line="240" w:lineRule="auto"/>
        <w:jc w:val="both"/>
        <w:rPr>
          <w:iCs/>
          <w:lang w:val="fr-FR"/>
        </w:rPr>
      </w:pPr>
      <w:r w:rsidRPr="009F7089">
        <w:rPr>
          <w:i/>
          <w:lang w:val="fr-FR"/>
        </w:rPr>
        <w:t>Révision du format des rapports nationaux pour la soumission à la COP16</w:t>
      </w:r>
    </w:p>
    <w:p w14:paraId="3FEE1391" w14:textId="77777777" w:rsidR="00EA0676" w:rsidRPr="009F7089" w:rsidRDefault="00EA0676">
      <w:pPr>
        <w:spacing w:after="0" w:line="240" w:lineRule="auto"/>
        <w:jc w:val="both"/>
        <w:rPr>
          <w:i/>
          <w:lang w:val="fr-FR"/>
        </w:rPr>
      </w:pPr>
    </w:p>
    <w:p w14:paraId="2B717C57" w14:textId="4C917BD4" w:rsidR="00EA0676" w:rsidRPr="009F7089" w:rsidRDefault="00811F01">
      <w:pPr>
        <w:pStyle w:val="ListParagraph"/>
        <w:numPr>
          <w:ilvl w:val="0"/>
          <w:numId w:val="10"/>
        </w:numPr>
        <w:spacing w:after="0" w:line="240" w:lineRule="auto"/>
        <w:ind w:left="567" w:hanging="567"/>
        <w:jc w:val="both"/>
        <w:rPr>
          <w:lang w:val="fr-FR"/>
        </w:rPr>
      </w:pPr>
      <w:r w:rsidRPr="009F7089">
        <w:rPr>
          <w:lang w:val="fr-FR"/>
        </w:rPr>
        <w:t>Avec l</w:t>
      </w:r>
      <w:r w:rsidR="009445D3" w:rsidRPr="009F7089">
        <w:rPr>
          <w:lang w:val="fr-FR"/>
        </w:rPr>
        <w:t>’</w:t>
      </w:r>
      <w:r w:rsidRPr="009F7089">
        <w:rPr>
          <w:lang w:val="fr-FR"/>
        </w:rPr>
        <w:t>adoption du PSEM lors de la COP14, les Parties ont convenu (par les décisions</w:t>
      </w:r>
      <w:r w:rsidR="009445D3" w:rsidRPr="009F7089">
        <w:rPr>
          <w:lang w:val="fr-FR"/>
        </w:rPr>
        <w:t> </w:t>
      </w:r>
      <w:r w:rsidRPr="009F7089">
        <w:rPr>
          <w:lang w:val="fr-FR"/>
        </w:rPr>
        <w:t>14.1 à 14.4) de réviser le modèle de rapport national afin de l</w:t>
      </w:r>
      <w:r w:rsidR="009445D3" w:rsidRPr="009F7089">
        <w:rPr>
          <w:lang w:val="fr-FR"/>
        </w:rPr>
        <w:t>’</w:t>
      </w:r>
      <w:r w:rsidRPr="009F7089">
        <w:rPr>
          <w:lang w:val="fr-FR"/>
        </w:rPr>
        <w:t xml:space="preserve">aligner avec le nouveau PSEM. Le document UNEP/CMS/COP15/Doc.15 </w:t>
      </w:r>
      <w:r w:rsidRPr="009F7089">
        <w:rPr>
          <w:i/>
          <w:iCs/>
          <w:lang w:val="fr-FR"/>
        </w:rPr>
        <w:t>Plan stratégique de Samarcande pour les espèces migratrices 2024-2032</w:t>
      </w:r>
      <w:r w:rsidRPr="009F7089">
        <w:rPr>
          <w:lang w:val="fr-FR"/>
        </w:rPr>
        <w:t xml:space="preserve"> décrit un cadre de suivi proposé avec des indicateurs permettant d</w:t>
      </w:r>
      <w:r w:rsidR="009445D3" w:rsidRPr="009F7089">
        <w:rPr>
          <w:lang w:val="fr-FR"/>
        </w:rPr>
        <w:t>’</w:t>
      </w:r>
      <w:r w:rsidRPr="009F7089">
        <w:rPr>
          <w:lang w:val="fr-FR"/>
        </w:rPr>
        <w:t>évaluer les progrès réalisés vers les 23</w:t>
      </w:r>
      <w:r w:rsidR="009445D3" w:rsidRPr="009F7089">
        <w:rPr>
          <w:lang w:val="fr-FR"/>
        </w:rPr>
        <w:t> </w:t>
      </w:r>
      <w:r w:rsidRPr="009F7089">
        <w:rPr>
          <w:lang w:val="fr-FR"/>
        </w:rPr>
        <w:t>cibles du PSEM, les rapports nationaux étant envisagés comme le principal mécanisme permettant aux Parties de rendre compte de la mise en œuvre. Dix-huit (39</w:t>
      </w:r>
      <w:r w:rsidR="009445D3" w:rsidRPr="009F7089">
        <w:rPr>
          <w:lang w:val="fr-FR"/>
        </w:rPr>
        <w:t> </w:t>
      </w:r>
      <w:r w:rsidRPr="009F7089">
        <w:rPr>
          <w:lang w:val="fr-FR"/>
        </w:rPr>
        <w:t>%) des indicateurs proposés devraient être renseignés par les Parties sur la base des rapports nationaux</w:t>
      </w:r>
      <w:r w:rsidR="009445D3" w:rsidRPr="009F7089">
        <w:rPr>
          <w:lang w:val="fr-FR"/>
        </w:rPr>
        <w:t> </w:t>
      </w:r>
      <w:r w:rsidRPr="009F7089">
        <w:rPr>
          <w:lang w:val="fr-FR"/>
        </w:rPr>
        <w:t>; cinq par les questions existantes, six par des questions modifiées, et sept par des questions nouvelles. S</w:t>
      </w:r>
      <w:r w:rsidR="009445D3" w:rsidRPr="009F7089">
        <w:rPr>
          <w:lang w:val="fr-FR"/>
        </w:rPr>
        <w:t>’</w:t>
      </w:r>
      <w:r w:rsidRPr="009F7089">
        <w:rPr>
          <w:lang w:val="fr-FR"/>
        </w:rPr>
        <w:t>appuyant sur les commentaires des Parties sur le modèle actuel, le processus de révision visera également à rationaliser le questionnaire en réduisant sa longueur et sa complexité, tout en veillant à ce qu</w:t>
      </w:r>
      <w:r w:rsidR="009445D3" w:rsidRPr="009F7089">
        <w:rPr>
          <w:lang w:val="fr-FR"/>
        </w:rPr>
        <w:t>’</w:t>
      </w:r>
      <w:r w:rsidRPr="009F7089">
        <w:rPr>
          <w:lang w:val="fr-FR"/>
        </w:rPr>
        <w:t>il reste un outil solide et précieux pour suivre les actions des Parties visant à mettre en œuvre les dispositions de la Convention et à conserver les espèces migratrices.</w:t>
      </w:r>
    </w:p>
    <w:p w14:paraId="3BBBE734" w14:textId="77777777" w:rsidR="00EA0676" w:rsidRPr="009F7089" w:rsidRDefault="00EA0676">
      <w:pPr>
        <w:pStyle w:val="ListParagraph"/>
        <w:spacing w:after="0" w:line="240" w:lineRule="auto"/>
        <w:ind w:left="567" w:hanging="567"/>
        <w:jc w:val="both"/>
        <w:rPr>
          <w:lang w:val="fr-FR"/>
        </w:rPr>
      </w:pPr>
    </w:p>
    <w:p w14:paraId="32A18850" w14:textId="282FABE5" w:rsidR="00EA0676" w:rsidRPr="009F7089" w:rsidRDefault="00811F01">
      <w:pPr>
        <w:pStyle w:val="ListParagraph"/>
        <w:numPr>
          <w:ilvl w:val="0"/>
          <w:numId w:val="10"/>
        </w:numPr>
        <w:spacing w:after="0" w:line="240" w:lineRule="auto"/>
        <w:ind w:left="567" w:hanging="567"/>
        <w:jc w:val="both"/>
        <w:rPr>
          <w:lang w:val="fr-FR"/>
        </w:rPr>
      </w:pPr>
      <w:r w:rsidRPr="009F7089">
        <w:rPr>
          <w:lang w:val="fr-FR"/>
        </w:rPr>
        <w:t>Comme indiqué aux paragraphes</w:t>
      </w:r>
      <w:r w:rsidR="009445D3" w:rsidRPr="009F7089">
        <w:rPr>
          <w:lang w:val="fr-FR"/>
        </w:rPr>
        <w:t> </w:t>
      </w:r>
      <w:r w:rsidRPr="009F7089">
        <w:rPr>
          <w:lang w:val="fr-FR"/>
        </w:rPr>
        <w:t>5 et 6 ci-dessus, le nouveau format des rapports nationaux devrait être élaboré en vue de l</w:t>
      </w:r>
      <w:r w:rsidR="009445D3" w:rsidRPr="009F7089">
        <w:rPr>
          <w:lang w:val="fr-FR"/>
        </w:rPr>
        <w:t>’</w:t>
      </w:r>
      <w:r w:rsidRPr="009F7089">
        <w:rPr>
          <w:lang w:val="fr-FR"/>
        </w:rPr>
        <w:t>établissement des rapports pour la COP16. Un projet de décision 15.BB(b) contenu dans le document UNEP/CMS/COP15/Doc.15 prie le Comité permanent d</w:t>
      </w:r>
      <w:r w:rsidR="009445D3" w:rsidRPr="009F7089">
        <w:rPr>
          <w:lang w:val="fr-FR"/>
        </w:rPr>
        <w:t>’</w:t>
      </w:r>
      <w:r w:rsidRPr="009F7089">
        <w:rPr>
          <w:lang w:val="fr-FR"/>
        </w:rPr>
        <w:t>adopter un nouveau modèle pour les rapports nationaux – aligné sur le PSEM – à soumettre à la COP16.</w:t>
      </w:r>
    </w:p>
    <w:p w14:paraId="79F73768" w14:textId="77777777" w:rsidR="00EA0676" w:rsidRPr="009F7089" w:rsidRDefault="00EA0676">
      <w:pPr>
        <w:pStyle w:val="ListParagraph"/>
        <w:ind w:left="567" w:hanging="567"/>
        <w:rPr>
          <w:lang w:val="fr-FR"/>
        </w:rPr>
      </w:pPr>
    </w:p>
    <w:p w14:paraId="1C158286" w14:textId="62881A27" w:rsidR="00EA0676" w:rsidRPr="009F7089" w:rsidRDefault="00811F01">
      <w:pPr>
        <w:pStyle w:val="ListParagraph"/>
        <w:numPr>
          <w:ilvl w:val="0"/>
          <w:numId w:val="10"/>
        </w:numPr>
        <w:spacing w:after="0" w:line="240" w:lineRule="auto"/>
        <w:ind w:left="567" w:hanging="567"/>
        <w:jc w:val="both"/>
        <w:rPr>
          <w:lang w:val="fr-FR"/>
        </w:rPr>
      </w:pPr>
      <w:r w:rsidRPr="009F7089">
        <w:rPr>
          <w:lang w:val="fr-FR"/>
        </w:rPr>
        <w:t>Compte tenu de la procédure établie pour réviser le modèle de rapports nationaux et du désir de rationaliser le processus d</w:t>
      </w:r>
      <w:r w:rsidR="009445D3" w:rsidRPr="009F7089">
        <w:rPr>
          <w:lang w:val="fr-FR"/>
        </w:rPr>
        <w:t>’</w:t>
      </w:r>
      <w:r w:rsidRPr="009F7089">
        <w:rPr>
          <w:lang w:val="fr-FR"/>
        </w:rPr>
        <w:t>établissement de rapports et de le rendre plus convivial pour les Parties, la COP peut étudier la pertinence pour décisions de continuer à inclure des demandes de rendre compte à la COP par le biais des rapports nationaux (voir les décisions actuelles à l</w:t>
      </w:r>
      <w:r w:rsidR="009445D3" w:rsidRPr="009F7089">
        <w:rPr>
          <w:lang w:val="fr-FR"/>
        </w:rPr>
        <w:t>’</w:t>
      </w:r>
      <w:r w:rsidRPr="009F7089">
        <w:rPr>
          <w:lang w:val="fr-FR"/>
        </w:rPr>
        <w:t>Annexe</w:t>
      </w:r>
      <w:r w:rsidR="009445D3" w:rsidRPr="009F7089">
        <w:rPr>
          <w:lang w:val="fr-FR"/>
        </w:rPr>
        <w:t> </w:t>
      </w:r>
      <w:r w:rsidRPr="009F7089">
        <w:rPr>
          <w:lang w:val="fr-FR"/>
        </w:rPr>
        <w:t>3). Le Secrétariat est d</w:t>
      </w:r>
      <w:r w:rsidR="009445D3" w:rsidRPr="009F7089">
        <w:rPr>
          <w:lang w:val="fr-FR"/>
        </w:rPr>
        <w:t>’</w:t>
      </w:r>
      <w:r w:rsidRPr="009F7089">
        <w:rPr>
          <w:lang w:val="fr-FR"/>
        </w:rPr>
        <w:t>avis que l</w:t>
      </w:r>
      <w:r w:rsidR="009445D3" w:rsidRPr="009F7089">
        <w:rPr>
          <w:lang w:val="fr-FR"/>
        </w:rPr>
        <w:t>’</w:t>
      </w:r>
      <w:r w:rsidRPr="009F7089">
        <w:rPr>
          <w:lang w:val="fr-FR"/>
        </w:rPr>
        <w:t>inclusion de ces décisions n</w:t>
      </w:r>
      <w:r w:rsidR="009445D3" w:rsidRPr="009F7089">
        <w:rPr>
          <w:lang w:val="fr-FR"/>
        </w:rPr>
        <w:t>’</w:t>
      </w:r>
      <w:r w:rsidRPr="009F7089">
        <w:rPr>
          <w:lang w:val="fr-FR"/>
        </w:rPr>
        <w:t>est peut-être pas nécessaire, car la révision du modèle, axée sur les cibles du PSEM, garantira le suivi de la mise en œuvre de la CMS. Tout rapport ad hoc des Parties à la COP pourrait être étayé par une décision correspondante adressée au Secrétariat afin de solliciter des réponses par le biais d</w:t>
      </w:r>
      <w:r w:rsidR="009445D3" w:rsidRPr="009F7089">
        <w:rPr>
          <w:lang w:val="fr-FR"/>
        </w:rPr>
        <w:t>’</w:t>
      </w:r>
      <w:r w:rsidRPr="009F7089">
        <w:rPr>
          <w:lang w:val="fr-FR"/>
        </w:rPr>
        <w:t>une notification ou d</w:t>
      </w:r>
      <w:r w:rsidR="009445D3" w:rsidRPr="009F7089">
        <w:rPr>
          <w:lang w:val="fr-FR"/>
        </w:rPr>
        <w:t>’</w:t>
      </w:r>
      <w:r w:rsidRPr="009F7089">
        <w:rPr>
          <w:lang w:val="fr-FR"/>
        </w:rPr>
        <w:t>un autre processus.</w:t>
      </w:r>
    </w:p>
    <w:p w14:paraId="003D1E55" w14:textId="77777777" w:rsidR="00EA0676" w:rsidRPr="009F7089" w:rsidRDefault="00EA0676">
      <w:pPr>
        <w:pStyle w:val="ListParagraph"/>
        <w:ind w:left="567" w:hanging="567"/>
        <w:rPr>
          <w:lang w:val="fr-FR"/>
        </w:rPr>
      </w:pPr>
    </w:p>
    <w:p w14:paraId="43C15994" w14:textId="3F13E8AC" w:rsidR="00EA0676" w:rsidRPr="009F7089" w:rsidRDefault="00811F01">
      <w:pPr>
        <w:pStyle w:val="ListParagraph"/>
        <w:numPr>
          <w:ilvl w:val="0"/>
          <w:numId w:val="10"/>
        </w:numPr>
        <w:spacing w:after="0" w:line="240" w:lineRule="auto"/>
        <w:ind w:left="567" w:hanging="567"/>
        <w:jc w:val="both"/>
        <w:rPr>
          <w:lang w:val="fr-FR"/>
        </w:rPr>
      </w:pPr>
      <w:r w:rsidRPr="009F7089">
        <w:rPr>
          <w:rFonts w:eastAsia="Calibri" w:cs="Arial"/>
          <w:lang w:val="fr-FR"/>
        </w:rPr>
        <w:t>Étant donné qu</w:t>
      </w:r>
      <w:r w:rsidR="009445D3" w:rsidRPr="009F7089">
        <w:rPr>
          <w:rFonts w:eastAsia="Calibri" w:cs="Arial"/>
          <w:lang w:val="fr-FR"/>
        </w:rPr>
        <w:t>’</w:t>
      </w:r>
      <w:r w:rsidRPr="009F7089">
        <w:rPr>
          <w:rFonts w:eastAsia="Calibri" w:cs="Arial"/>
          <w:lang w:val="fr-FR"/>
        </w:rPr>
        <w:t>une révision limitée du format des rapports nationaux a eu lieu pendant cette période intersessions, il n</w:t>
      </w:r>
      <w:r w:rsidR="009445D3" w:rsidRPr="009F7089">
        <w:rPr>
          <w:rFonts w:eastAsia="Calibri" w:cs="Arial"/>
          <w:lang w:val="fr-FR"/>
        </w:rPr>
        <w:t>’</w:t>
      </w:r>
      <w:r w:rsidRPr="009F7089">
        <w:rPr>
          <w:rFonts w:eastAsia="Calibri" w:cs="Arial"/>
          <w:lang w:val="fr-FR"/>
        </w:rPr>
        <w:t>a pas été possible de mettre pleinement en œuvre la décision</w:t>
      </w:r>
      <w:r w:rsidR="009445D3" w:rsidRPr="009F7089">
        <w:rPr>
          <w:rFonts w:eastAsia="Calibri" w:cs="Arial"/>
          <w:lang w:val="fr-FR"/>
        </w:rPr>
        <w:t> </w:t>
      </w:r>
      <w:r w:rsidRPr="009F7089">
        <w:rPr>
          <w:rFonts w:eastAsia="Calibri" w:cs="Arial"/>
          <w:lang w:val="fr-FR"/>
        </w:rPr>
        <w:t>14.26, qui prie le Comité permanent d</w:t>
      </w:r>
      <w:r w:rsidR="009445D3" w:rsidRPr="009F7089">
        <w:rPr>
          <w:rFonts w:eastAsia="Calibri" w:cs="Arial"/>
          <w:lang w:val="fr-FR"/>
        </w:rPr>
        <w:t>’</w:t>
      </w:r>
      <w:r w:rsidRPr="009F7089">
        <w:rPr>
          <w:rFonts w:eastAsia="Calibri" w:cs="Arial"/>
          <w:lang w:val="fr-FR"/>
        </w:rPr>
        <w:t>examiner les normes établies en matière de présentation des rapports conformément aux résolutions adoptées par la Convention. Dans l</w:t>
      </w:r>
      <w:r w:rsidR="009445D3" w:rsidRPr="009F7089">
        <w:rPr>
          <w:rFonts w:eastAsia="Calibri" w:cs="Arial"/>
          <w:lang w:val="fr-FR"/>
        </w:rPr>
        <w:t>’</w:t>
      </w:r>
      <w:r w:rsidRPr="009F7089">
        <w:rPr>
          <w:rFonts w:eastAsia="Calibri" w:cs="Arial"/>
          <w:lang w:val="fr-FR"/>
        </w:rPr>
        <w:t>Annexe</w:t>
      </w:r>
      <w:r w:rsidR="009445D3" w:rsidRPr="009F7089">
        <w:rPr>
          <w:rFonts w:eastAsia="Calibri" w:cs="Arial"/>
          <w:lang w:val="fr-FR"/>
        </w:rPr>
        <w:t> </w:t>
      </w:r>
      <w:r w:rsidRPr="009F7089">
        <w:rPr>
          <w:rFonts w:eastAsia="Calibri" w:cs="Arial"/>
          <w:lang w:val="fr-FR"/>
        </w:rPr>
        <w:t xml:space="preserve">4 de ce document, le Secrétariat a recensé les dispositions contenues dans les Résolutions de la CMS demandant aux Parties de rendre compte de la mise en œuvre des dispositions spécifiques de ces Résolutions par le biais de rapports nationaux. </w:t>
      </w:r>
      <w:r w:rsidRPr="009F7089">
        <w:rPr>
          <w:lang w:val="fr-FR"/>
        </w:rPr>
        <w:t>Pour les raisons résumées aux paragraphes</w:t>
      </w:r>
      <w:r w:rsidR="009445D3" w:rsidRPr="009F7089">
        <w:rPr>
          <w:lang w:val="fr-FR"/>
        </w:rPr>
        <w:t> </w:t>
      </w:r>
      <w:r w:rsidRPr="009F7089">
        <w:rPr>
          <w:lang w:val="fr-FR"/>
        </w:rPr>
        <w:t>14 et 15 ci-dessus, le Secrétariat recommande que les dispositions relatives à l</w:t>
      </w:r>
      <w:r w:rsidR="009445D3" w:rsidRPr="009F7089">
        <w:rPr>
          <w:lang w:val="fr-FR"/>
        </w:rPr>
        <w:t>’</w:t>
      </w:r>
      <w:r w:rsidRPr="009F7089">
        <w:rPr>
          <w:lang w:val="fr-FR"/>
        </w:rPr>
        <w:t>établissement des rapports contenues dans les Résolutions existantes, telles qu</w:t>
      </w:r>
      <w:r w:rsidR="009445D3" w:rsidRPr="009F7089">
        <w:rPr>
          <w:lang w:val="fr-FR"/>
        </w:rPr>
        <w:t>’</w:t>
      </w:r>
      <w:r w:rsidRPr="009F7089">
        <w:rPr>
          <w:lang w:val="fr-FR"/>
        </w:rPr>
        <w:t>énumérées à l</w:t>
      </w:r>
      <w:r w:rsidR="009445D3" w:rsidRPr="009F7089">
        <w:rPr>
          <w:lang w:val="fr-FR"/>
        </w:rPr>
        <w:t>’</w:t>
      </w:r>
      <w:r w:rsidRPr="009F7089">
        <w:rPr>
          <w:lang w:val="fr-FR"/>
        </w:rPr>
        <w:t>Annexe</w:t>
      </w:r>
      <w:r w:rsidR="009445D3" w:rsidRPr="009F7089">
        <w:rPr>
          <w:lang w:val="fr-FR"/>
        </w:rPr>
        <w:t> </w:t>
      </w:r>
      <w:r w:rsidRPr="009F7089">
        <w:rPr>
          <w:lang w:val="fr-FR"/>
        </w:rPr>
        <w:t xml:space="preserve">4, soient supprimées ou modifiées afin de garantir la cohérence avec le format révisé des </w:t>
      </w:r>
      <w:r w:rsidRPr="009F7089">
        <w:rPr>
          <w:lang w:val="fr-FR"/>
        </w:rPr>
        <w:lastRenderedPageBreak/>
        <w:t>rapports nationaux, une fois celui-ci disponible</w:t>
      </w:r>
      <w:r w:rsidRPr="009F7089">
        <w:rPr>
          <w:color w:val="EE0000"/>
          <w:lang w:val="fr-FR"/>
        </w:rPr>
        <w:t xml:space="preserve"> </w:t>
      </w:r>
      <w:r w:rsidRPr="009F7089">
        <w:rPr>
          <w:color w:val="000000" w:themeColor="text1"/>
          <w:lang w:val="fr-FR"/>
        </w:rPr>
        <w:t>– comme proposé dans le projet de décision figurant à l</w:t>
      </w:r>
      <w:r w:rsidR="009445D3" w:rsidRPr="009F7089">
        <w:rPr>
          <w:color w:val="000000" w:themeColor="text1"/>
          <w:lang w:val="fr-FR"/>
        </w:rPr>
        <w:t>’</w:t>
      </w:r>
      <w:r w:rsidRPr="009F7089">
        <w:rPr>
          <w:color w:val="000000" w:themeColor="text1"/>
          <w:lang w:val="fr-FR"/>
        </w:rPr>
        <w:t>Annexe</w:t>
      </w:r>
      <w:r w:rsidR="009445D3" w:rsidRPr="009F7089">
        <w:rPr>
          <w:color w:val="000000" w:themeColor="text1"/>
          <w:lang w:val="fr-FR"/>
        </w:rPr>
        <w:t> </w:t>
      </w:r>
      <w:r w:rsidRPr="009F7089">
        <w:rPr>
          <w:color w:val="000000" w:themeColor="text1"/>
          <w:lang w:val="fr-FR"/>
        </w:rPr>
        <w:t>1</w:t>
      </w:r>
      <w:r w:rsidRPr="009F7089">
        <w:rPr>
          <w:lang w:val="fr-FR"/>
        </w:rPr>
        <w:t xml:space="preserve">. </w:t>
      </w:r>
    </w:p>
    <w:p w14:paraId="1553546D" w14:textId="77777777" w:rsidR="00B32220" w:rsidRDefault="00B32220">
      <w:pPr>
        <w:pStyle w:val="Heading1"/>
        <w:spacing w:after="0" w:line="240" w:lineRule="auto"/>
        <w:rPr>
          <w:lang w:val="fr-FR"/>
        </w:rPr>
      </w:pPr>
    </w:p>
    <w:p w14:paraId="001B6103" w14:textId="76F7A3C9" w:rsidR="00EA0676" w:rsidRPr="009F7089" w:rsidRDefault="00811F01">
      <w:pPr>
        <w:pStyle w:val="Heading1"/>
        <w:spacing w:after="0" w:line="240" w:lineRule="auto"/>
        <w:rPr>
          <w:lang w:val="fr-FR"/>
        </w:rPr>
      </w:pPr>
      <w:r w:rsidRPr="009F7089">
        <w:rPr>
          <w:lang w:val="fr-FR"/>
        </w:rPr>
        <w:t>Actions recommandées</w:t>
      </w:r>
    </w:p>
    <w:p w14:paraId="35656344" w14:textId="77777777" w:rsidR="00EA0676" w:rsidRPr="009F7089" w:rsidRDefault="00EA0676">
      <w:pPr>
        <w:spacing w:after="0"/>
        <w:rPr>
          <w:lang w:val="fr-FR"/>
        </w:rPr>
      </w:pPr>
    </w:p>
    <w:p w14:paraId="0D9E03DF" w14:textId="79D1F44F" w:rsidR="00EA0676" w:rsidRPr="009F7089" w:rsidRDefault="00811F01" w:rsidP="00C03C0F">
      <w:pPr>
        <w:pStyle w:val="ListParagraph"/>
        <w:numPr>
          <w:ilvl w:val="0"/>
          <w:numId w:val="10"/>
        </w:numPr>
        <w:spacing w:after="0" w:line="240" w:lineRule="auto"/>
        <w:ind w:left="567" w:hanging="567"/>
        <w:contextualSpacing w:val="0"/>
        <w:jc w:val="both"/>
        <w:rPr>
          <w:iCs/>
          <w:lang w:val="fr-FR"/>
        </w:rPr>
      </w:pPr>
      <w:r w:rsidRPr="009F7089">
        <w:rPr>
          <w:iCs/>
          <w:lang w:val="fr-FR"/>
        </w:rPr>
        <w:t>Il est recommandé à la Conférence des Parties</w:t>
      </w:r>
      <w:r w:rsidR="009445D3" w:rsidRPr="009F7089">
        <w:rPr>
          <w:iCs/>
          <w:lang w:val="fr-FR"/>
        </w:rPr>
        <w:t> </w:t>
      </w:r>
      <w:r w:rsidRPr="009F7089">
        <w:rPr>
          <w:iCs/>
          <w:lang w:val="fr-FR"/>
        </w:rPr>
        <w:t>:</w:t>
      </w:r>
    </w:p>
    <w:p w14:paraId="02072D8D" w14:textId="77777777" w:rsidR="00EA0676" w:rsidRPr="009F7089" w:rsidRDefault="00EA0676">
      <w:pPr>
        <w:spacing w:after="0" w:line="240" w:lineRule="auto"/>
        <w:jc w:val="both"/>
        <w:rPr>
          <w:iCs/>
          <w:lang w:val="fr-FR"/>
        </w:rPr>
      </w:pPr>
    </w:p>
    <w:p w14:paraId="686B1BCA" w14:textId="061FCE49" w:rsidR="00EA0676" w:rsidRPr="009F7089" w:rsidRDefault="00811F01">
      <w:pPr>
        <w:pStyle w:val="ListParagraph"/>
        <w:numPr>
          <w:ilvl w:val="0"/>
          <w:numId w:val="11"/>
        </w:numPr>
        <w:spacing w:after="0" w:line="240" w:lineRule="auto"/>
        <w:ind w:hanging="579"/>
        <w:contextualSpacing w:val="0"/>
        <w:jc w:val="both"/>
        <w:rPr>
          <w:rFonts w:eastAsia="Arial" w:cs="Arial"/>
          <w:lang w:val="fr-FR"/>
        </w:rPr>
      </w:pPr>
      <w:r w:rsidRPr="009F7089">
        <w:rPr>
          <w:rFonts w:eastAsia="Arial" w:cs="Arial"/>
          <w:color w:val="000000" w:themeColor="text1"/>
          <w:lang w:val="fr-FR"/>
        </w:rPr>
        <w:t>d</w:t>
      </w:r>
      <w:r w:rsidR="009445D3" w:rsidRPr="009F7089">
        <w:rPr>
          <w:rFonts w:eastAsia="Arial" w:cs="Arial"/>
          <w:color w:val="000000" w:themeColor="text1"/>
          <w:lang w:val="fr-FR"/>
        </w:rPr>
        <w:t>’</w:t>
      </w:r>
      <w:r w:rsidRPr="009F7089">
        <w:rPr>
          <w:rFonts w:eastAsia="Arial" w:cs="Arial"/>
          <w:color w:val="000000" w:themeColor="text1"/>
          <w:lang w:val="fr-FR"/>
        </w:rPr>
        <w:t>adopter le projet de Décision figurant à l</w:t>
      </w:r>
      <w:r w:rsidR="009445D3" w:rsidRPr="009F7089">
        <w:rPr>
          <w:rFonts w:eastAsia="Arial" w:cs="Arial"/>
          <w:color w:val="000000" w:themeColor="text1"/>
          <w:lang w:val="fr-FR"/>
        </w:rPr>
        <w:t>’</w:t>
      </w:r>
      <w:r w:rsidRPr="009F7089">
        <w:rPr>
          <w:rFonts w:eastAsia="Arial" w:cs="Arial"/>
          <w:color w:val="000000" w:themeColor="text1"/>
          <w:lang w:val="fr-FR"/>
        </w:rPr>
        <w:t>Annexe</w:t>
      </w:r>
      <w:r w:rsidR="009445D3" w:rsidRPr="009F7089">
        <w:rPr>
          <w:rFonts w:eastAsia="Arial" w:cs="Arial"/>
          <w:color w:val="000000" w:themeColor="text1"/>
          <w:lang w:val="fr-FR"/>
        </w:rPr>
        <w:t> </w:t>
      </w:r>
      <w:r w:rsidRPr="009F7089">
        <w:rPr>
          <w:rFonts w:eastAsia="Arial" w:cs="Arial"/>
          <w:color w:val="000000" w:themeColor="text1"/>
          <w:lang w:val="fr-FR"/>
        </w:rPr>
        <w:t>1 du présent document</w:t>
      </w:r>
      <w:r w:rsidR="009445D3" w:rsidRPr="009F7089">
        <w:rPr>
          <w:rFonts w:eastAsia="Arial" w:cs="Arial"/>
          <w:color w:val="000000" w:themeColor="text1"/>
          <w:lang w:val="fr-FR"/>
        </w:rPr>
        <w:t> </w:t>
      </w:r>
      <w:r w:rsidRPr="009F7089">
        <w:rPr>
          <w:rFonts w:eastAsia="Arial" w:cs="Arial"/>
          <w:color w:val="000000" w:themeColor="text1"/>
          <w:lang w:val="fr-FR"/>
        </w:rPr>
        <w:t xml:space="preserve">; </w:t>
      </w:r>
    </w:p>
    <w:p w14:paraId="7015FC9C" w14:textId="77777777" w:rsidR="00EA0676" w:rsidRPr="009F7089" w:rsidRDefault="00EA0676">
      <w:pPr>
        <w:pStyle w:val="ListParagraph"/>
        <w:spacing w:after="0" w:line="240" w:lineRule="auto"/>
        <w:ind w:left="1146"/>
        <w:contextualSpacing w:val="0"/>
        <w:jc w:val="both"/>
        <w:rPr>
          <w:rFonts w:eastAsia="Arial" w:cs="Arial"/>
          <w:lang w:val="fr-FR"/>
        </w:rPr>
      </w:pPr>
    </w:p>
    <w:p w14:paraId="1688D08E" w14:textId="292808BD" w:rsidR="00EA0676" w:rsidRPr="009F7089" w:rsidRDefault="00811F01">
      <w:pPr>
        <w:pStyle w:val="ListParagraph"/>
        <w:numPr>
          <w:ilvl w:val="0"/>
          <w:numId w:val="11"/>
        </w:numPr>
        <w:spacing w:after="0" w:line="240" w:lineRule="auto"/>
        <w:ind w:hanging="579"/>
        <w:contextualSpacing w:val="0"/>
        <w:jc w:val="both"/>
        <w:rPr>
          <w:lang w:val="fr-FR"/>
        </w:rPr>
      </w:pPr>
      <w:r w:rsidRPr="009F7089">
        <w:rPr>
          <w:iCs/>
          <w:lang w:val="fr-FR"/>
        </w:rPr>
        <w:t>de prendre note de l</w:t>
      </w:r>
      <w:r w:rsidR="009445D3" w:rsidRPr="009F7089">
        <w:rPr>
          <w:iCs/>
          <w:lang w:val="fr-FR"/>
        </w:rPr>
        <w:t>’</w:t>
      </w:r>
      <w:r w:rsidRPr="009F7089">
        <w:rPr>
          <w:iCs/>
          <w:lang w:val="fr-FR"/>
        </w:rPr>
        <w:t>analyse des rapports nationaux figurant à l</w:t>
      </w:r>
      <w:r w:rsidR="009445D3" w:rsidRPr="009F7089">
        <w:rPr>
          <w:iCs/>
          <w:lang w:val="fr-FR"/>
        </w:rPr>
        <w:t>’</w:t>
      </w:r>
      <w:r w:rsidRPr="009F7089">
        <w:rPr>
          <w:iCs/>
          <w:lang w:val="fr-FR"/>
        </w:rPr>
        <w:t>Annexe</w:t>
      </w:r>
      <w:r w:rsidR="009445D3" w:rsidRPr="009F7089">
        <w:rPr>
          <w:iCs/>
          <w:lang w:val="fr-FR"/>
        </w:rPr>
        <w:t> </w:t>
      </w:r>
      <w:r w:rsidRPr="009F7089">
        <w:rPr>
          <w:iCs/>
          <w:lang w:val="fr-FR"/>
        </w:rPr>
        <w:t>2 du présent document</w:t>
      </w:r>
      <w:r w:rsidR="009445D3" w:rsidRPr="009F7089">
        <w:rPr>
          <w:iCs/>
          <w:lang w:val="fr-FR"/>
        </w:rPr>
        <w:t> </w:t>
      </w:r>
      <w:r w:rsidRPr="009F7089">
        <w:rPr>
          <w:iCs/>
          <w:lang w:val="fr-FR"/>
        </w:rPr>
        <w:t>;</w:t>
      </w:r>
    </w:p>
    <w:p w14:paraId="19B59002" w14:textId="77777777" w:rsidR="00EA0676" w:rsidRPr="009F7089" w:rsidRDefault="00EA0676">
      <w:pPr>
        <w:pStyle w:val="ListParagraph"/>
        <w:spacing w:after="0" w:line="240" w:lineRule="auto"/>
        <w:ind w:left="1146"/>
        <w:contextualSpacing w:val="0"/>
        <w:jc w:val="both"/>
        <w:rPr>
          <w:lang w:val="fr-FR"/>
        </w:rPr>
      </w:pPr>
    </w:p>
    <w:p w14:paraId="65626DF2" w14:textId="66E89E3D" w:rsidR="00EA0676" w:rsidRPr="009F7089" w:rsidRDefault="00811F01">
      <w:pPr>
        <w:pStyle w:val="ListParagraph"/>
        <w:numPr>
          <w:ilvl w:val="0"/>
          <w:numId w:val="11"/>
        </w:numPr>
        <w:spacing w:after="0" w:line="240" w:lineRule="auto"/>
        <w:ind w:hanging="579"/>
        <w:contextualSpacing w:val="0"/>
        <w:jc w:val="both"/>
        <w:rPr>
          <w:lang w:val="fr-FR"/>
        </w:rPr>
      </w:pPr>
      <w:r w:rsidRPr="009F7089">
        <w:rPr>
          <w:iCs/>
          <w:lang w:val="fr-FR"/>
        </w:rPr>
        <w:t>d</w:t>
      </w:r>
      <w:r w:rsidR="009445D3" w:rsidRPr="009F7089">
        <w:rPr>
          <w:iCs/>
          <w:lang w:val="fr-FR"/>
        </w:rPr>
        <w:t>’</w:t>
      </w:r>
      <w:r w:rsidRPr="009F7089">
        <w:rPr>
          <w:iCs/>
          <w:lang w:val="fr-FR"/>
        </w:rPr>
        <w:t>abroger les décisions</w:t>
      </w:r>
      <w:r w:rsidR="009445D3" w:rsidRPr="009F7089">
        <w:rPr>
          <w:iCs/>
          <w:lang w:val="fr-FR"/>
        </w:rPr>
        <w:t> </w:t>
      </w:r>
      <w:r w:rsidRPr="009F7089">
        <w:rPr>
          <w:iCs/>
          <w:lang w:val="fr-FR"/>
        </w:rPr>
        <w:t>14.25 à 14.27.</w:t>
      </w:r>
    </w:p>
    <w:p w14:paraId="0C20D939" w14:textId="77777777" w:rsidR="00EA0676" w:rsidRPr="009F7089" w:rsidRDefault="00EA0676">
      <w:pPr>
        <w:spacing w:after="0" w:line="240" w:lineRule="auto"/>
        <w:jc w:val="both"/>
        <w:rPr>
          <w:b/>
          <w:bCs/>
          <w:lang w:val="fr-FR"/>
        </w:rPr>
      </w:pPr>
    </w:p>
    <w:p w14:paraId="6DC91AA4" w14:textId="77777777" w:rsidR="00EA0676" w:rsidRPr="009F7089" w:rsidRDefault="00EA0676">
      <w:pPr>
        <w:spacing w:after="0" w:line="240" w:lineRule="auto"/>
        <w:jc w:val="both"/>
        <w:rPr>
          <w:b/>
          <w:bCs/>
          <w:lang w:val="fr-FR"/>
        </w:rPr>
        <w:sectPr w:rsidR="00EA0676" w:rsidRPr="009F7089">
          <w:headerReference w:type="even" r:id="rId13"/>
          <w:headerReference w:type="default" r:id="rId14"/>
          <w:footerReference w:type="even" r:id="rId15"/>
          <w:footerReference w:type="default" r:id="rId16"/>
          <w:headerReference w:type="first" r:id="rId17"/>
          <w:pgSz w:w="11906" w:h="16838" w:code="9"/>
          <w:pgMar w:top="1440" w:right="1440" w:bottom="1440" w:left="1440" w:header="720" w:footer="720" w:gutter="0"/>
          <w:cols w:space="720"/>
          <w:titlePg/>
          <w:docGrid w:linePitch="360"/>
        </w:sectPr>
      </w:pPr>
    </w:p>
    <w:p w14:paraId="570FF824" w14:textId="224FD6EE" w:rsidR="00EA0676" w:rsidRPr="009F7089" w:rsidRDefault="00811F01">
      <w:pPr>
        <w:pStyle w:val="paragraph"/>
        <w:spacing w:before="0" w:beforeAutospacing="0" w:after="0" w:afterAutospacing="0"/>
        <w:jc w:val="right"/>
        <w:textAlignment w:val="baseline"/>
        <w:rPr>
          <w:rFonts w:ascii="Arial" w:hAnsi="Arial" w:cs="Arial"/>
          <w:sz w:val="22"/>
          <w:szCs w:val="22"/>
          <w:lang w:val="fr-FR"/>
        </w:rPr>
      </w:pPr>
      <w:r w:rsidRPr="009F7089">
        <w:rPr>
          <w:rStyle w:val="normaltextrun"/>
          <w:rFonts w:ascii="Arial" w:eastAsiaTheme="majorEastAsia" w:hAnsi="Arial" w:cs="Arial"/>
          <w:b/>
          <w:bCs/>
          <w:caps/>
          <w:sz w:val="22"/>
          <w:szCs w:val="22"/>
          <w:lang w:val="fr-FR"/>
        </w:rPr>
        <w:lastRenderedPageBreak/>
        <w:t>Annexe</w:t>
      </w:r>
      <w:r w:rsidR="009445D3" w:rsidRPr="009F7089">
        <w:rPr>
          <w:rStyle w:val="normaltextrun"/>
          <w:rFonts w:ascii="Arial" w:eastAsiaTheme="majorEastAsia" w:hAnsi="Arial" w:cs="Arial"/>
          <w:b/>
          <w:bCs/>
          <w:caps/>
          <w:sz w:val="22"/>
          <w:szCs w:val="22"/>
          <w:lang w:val="fr-FR"/>
        </w:rPr>
        <w:t> </w:t>
      </w:r>
      <w:r w:rsidRPr="009F7089">
        <w:rPr>
          <w:rStyle w:val="normaltextrun"/>
          <w:rFonts w:ascii="Arial" w:eastAsiaTheme="majorEastAsia" w:hAnsi="Arial" w:cs="Arial"/>
          <w:b/>
          <w:bCs/>
          <w:caps/>
          <w:sz w:val="22"/>
          <w:szCs w:val="22"/>
          <w:lang w:val="fr-FR"/>
        </w:rPr>
        <w:t>1</w:t>
      </w:r>
    </w:p>
    <w:p w14:paraId="1AAF72F1" w14:textId="77777777" w:rsidR="00EA0676" w:rsidRPr="009F7089" w:rsidRDefault="00EA0676">
      <w:pPr>
        <w:pStyle w:val="paragraph"/>
        <w:spacing w:before="0" w:beforeAutospacing="0" w:after="0" w:afterAutospacing="0"/>
        <w:jc w:val="both"/>
        <w:textAlignment w:val="baseline"/>
        <w:rPr>
          <w:rStyle w:val="eop"/>
          <w:rFonts w:ascii="Arial" w:eastAsiaTheme="majorEastAsia" w:hAnsi="Arial" w:cs="Arial"/>
          <w:sz w:val="22"/>
          <w:szCs w:val="22"/>
          <w:lang w:val="fr-FR"/>
        </w:rPr>
      </w:pPr>
    </w:p>
    <w:p w14:paraId="57D956AD" w14:textId="77777777" w:rsidR="00EA0676" w:rsidRPr="009F7089" w:rsidRDefault="00EA0676">
      <w:pPr>
        <w:pStyle w:val="paragraph"/>
        <w:spacing w:before="0" w:beforeAutospacing="0" w:after="0" w:afterAutospacing="0"/>
        <w:jc w:val="both"/>
        <w:textAlignment w:val="baseline"/>
        <w:rPr>
          <w:rFonts w:ascii="Arial" w:hAnsi="Arial" w:cs="Arial"/>
          <w:sz w:val="22"/>
          <w:szCs w:val="22"/>
          <w:lang w:val="fr-FR"/>
        </w:rPr>
      </w:pPr>
    </w:p>
    <w:p w14:paraId="47DEFD7E" w14:textId="77777777" w:rsidR="00EA0676" w:rsidRPr="009F7089" w:rsidRDefault="00811F01">
      <w:pPr>
        <w:pStyle w:val="paragraph"/>
        <w:spacing w:before="0" w:beforeAutospacing="0" w:after="0" w:afterAutospacing="0"/>
        <w:jc w:val="center"/>
        <w:textAlignment w:val="baseline"/>
        <w:rPr>
          <w:rStyle w:val="eop"/>
          <w:rFonts w:ascii="Arial" w:eastAsiaTheme="majorEastAsia" w:hAnsi="Arial" w:cs="Arial"/>
          <w:sz w:val="22"/>
          <w:szCs w:val="22"/>
          <w:lang w:val="fr-FR"/>
        </w:rPr>
      </w:pPr>
      <w:r w:rsidRPr="009F7089">
        <w:rPr>
          <w:rStyle w:val="normaltextrun"/>
          <w:rFonts w:ascii="Arial" w:eastAsiaTheme="majorEastAsia" w:hAnsi="Arial" w:cs="Arial"/>
          <w:sz w:val="22"/>
          <w:szCs w:val="22"/>
          <w:lang w:val="fr-FR"/>
        </w:rPr>
        <w:t>PROJET DE DÉCISION</w:t>
      </w:r>
    </w:p>
    <w:p w14:paraId="50AFB206" w14:textId="77777777" w:rsidR="00EA0676" w:rsidRPr="009F7089" w:rsidRDefault="00EA0676">
      <w:pPr>
        <w:pStyle w:val="paragraph"/>
        <w:spacing w:before="0" w:beforeAutospacing="0" w:after="0" w:afterAutospacing="0"/>
        <w:jc w:val="both"/>
        <w:textAlignment w:val="baseline"/>
        <w:rPr>
          <w:rFonts w:ascii="Arial" w:hAnsi="Arial" w:cs="Arial"/>
          <w:sz w:val="22"/>
          <w:szCs w:val="22"/>
          <w:lang w:val="fr-FR"/>
        </w:rPr>
      </w:pPr>
    </w:p>
    <w:p w14:paraId="7F4D758E" w14:textId="77777777" w:rsidR="00EA0676" w:rsidRPr="009F7089" w:rsidRDefault="00811F01">
      <w:pPr>
        <w:pStyle w:val="paragraph"/>
        <w:pBdr>
          <w:top w:val="single" w:sz="6" w:space="0" w:color="FFFFFF"/>
          <w:left w:val="single" w:sz="6" w:space="0" w:color="FFFFFF"/>
          <w:bottom w:val="single" w:sz="6" w:space="0" w:color="FFFFFF"/>
          <w:right w:val="single" w:sz="6" w:space="0" w:color="FFFFFF"/>
        </w:pBdr>
        <w:spacing w:before="0" w:beforeAutospacing="0" w:after="0" w:afterAutospacing="0"/>
        <w:jc w:val="center"/>
        <w:textAlignment w:val="baseline"/>
        <w:rPr>
          <w:rFonts w:ascii="Arial" w:hAnsi="Arial" w:cs="Arial"/>
          <w:sz w:val="22"/>
          <w:szCs w:val="22"/>
          <w:lang w:val="fr-FR"/>
        </w:rPr>
      </w:pPr>
      <w:r w:rsidRPr="009F7089">
        <w:rPr>
          <w:rStyle w:val="normaltextrun"/>
          <w:rFonts w:ascii="Arial" w:eastAsiaTheme="majorEastAsia" w:hAnsi="Arial" w:cs="Arial"/>
          <w:b/>
          <w:bCs/>
          <w:caps/>
          <w:sz w:val="22"/>
          <w:szCs w:val="22"/>
          <w:lang w:val="fr-FR"/>
        </w:rPr>
        <w:t>Rapports nationaux</w:t>
      </w:r>
    </w:p>
    <w:p w14:paraId="59A3BF92" w14:textId="77777777" w:rsidR="00EA0676" w:rsidRPr="009F7089" w:rsidRDefault="00EA0676">
      <w:pPr>
        <w:pStyle w:val="paragraph"/>
        <w:spacing w:before="0" w:beforeAutospacing="0" w:after="0" w:afterAutospacing="0"/>
        <w:jc w:val="both"/>
        <w:textAlignment w:val="baseline"/>
        <w:rPr>
          <w:rStyle w:val="eop"/>
          <w:rFonts w:ascii="Arial" w:eastAsiaTheme="majorEastAsia" w:hAnsi="Arial" w:cs="Arial"/>
          <w:sz w:val="22"/>
          <w:szCs w:val="22"/>
          <w:lang w:val="fr-FR"/>
        </w:rPr>
      </w:pPr>
    </w:p>
    <w:p w14:paraId="79F92EF5" w14:textId="77777777" w:rsidR="00EA0676" w:rsidRPr="009F7089" w:rsidRDefault="00EA0676">
      <w:pPr>
        <w:pStyle w:val="paragraph"/>
        <w:spacing w:before="0" w:beforeAutospacing="0" w:after="0" w:afterAutospacing="0"/>
        <w:jc w:val="both"/>
        <w:textAlignment w:val="baseline"/>
        <w:rPr>
          <w:rStyle w:val="eop"/>
          <w:rFonts w:ascii="Arial" w:eastAsiaTheme="majorEastAsia" w:hAnsi="Arial" w:cs="Arial"/>
          <w:sz w:val="22"/>
          <w:szCs w:val="22"/>
          <w:lang w:val="fr-FR"/>
        </w:rPr>
      </w:pPr>
    </w:p>
    <w:p w14:paraId="678B74EC" w14:textId="77777777" w:rsidR="00EA0676" w:rsidRPr="009F7089" w:rsidRDefault="00811F01">
      <w:pPr>
        <w:pStyle w:val="paragraph"/>
        <w:spacing w:before="0" w:beforeAutospacing="0" w:after="0" w:afterAutospacing="0"/>
        <w:jc w:val="both"/>
        <w:textAlignment w:val="baseline"/>
        <w:rPr>
          <w:rFonts w:ascii="Arial" w:hAnsi="Arial" w:cs="Arial"/>
          <w:sz w:val="22"/>
          <w:szCs w:val="22"/>
          <w:lang w:val="fr-FR"/>
        </w:rPr>
      </w:pPr>
      <w:r w:rsidRPr="009F7089">
        <w:rPr>
          <w:rStyle w:val="normaltextrun"/>
          <w:rFonts w:ascii="Arial" w:eastAsiaTheme="majorEastAsia" w:hAnsi="Arial" w:cs="Arial"/>
          <w:b/>
          <w:bCs/>
          <w:i/>
          <w:iCs/>
          <w:sz w:val="22"/>
          <w:szCs w:val="22"/>
          <w:lang w:val="fr-FR"/>
        </w:rPr>
        <w:t>Adressée au Comité permanent</w:t>
      </w:r>
      <w:r w:rsidRPr="009F7089">
        <w:rPr>
          <w:rStyle w:val="eop"/>
          <w:rFonts w:ascii="Arial" w:eastAsiaTheme="majorEastAsia" w:hAnsi="Arial" w:cs="Arial"/>
          <w:sz w:val="22"/>
          <w:szCs w:val="22"/>
          <w:lang w:val="fr-FR"/>
        </w:rPr>
        <w:t> </w:t>
      </w:r>
    </w:p>
    <w:p w14:paraId="6C116EC1" w14:textId="77777777" w:rsidR="00EA0676" w:rsidRPr="009F7089" w:rsidRDefault="00EA0676">
      <w:pPr>
        <w:pStyle w:val="paragraph"/>
        <w:spacing w:before="0" w:beforeAutospacing="0" w:after="0" w:afterAutospacing="0"/>
        <w:jc w:val="both"/>
        <w:textAlignment w:val="baseline"/>
        <w:rPr>
          <w:rFonts w:ascii="Arial" w:hAnsi="Arial" w:cs="Arial"/>
          <w:sz w:val="22"/>
          <w:szCs w:val="22"/>
          <w:lang w:val="fr-FR"/>
        </w:rPr>
      </w:pPr>
    </w:p>
    <w:p w14:paraId="73D2C6F7" w14:textId="1BE71415" w:rsidR="00EA0676" w:rsidRPr="009F7089" w:rsidRDefault="00811F01">
      <w:pPr>
        <w:pStyle w:val="paragraph"/>
        <w:spacing w:before="0" w:beforeAutospacing="0" w:after="0" w:afterAutospacing="0"/>
        <w:ind w:left="840" w:hanging="840"/>
        <w:jc w:val="both"/>
        <w:textAlignment w:val="baseline"/>
        <w:rPr>
          <w:rStyle w:val="normaltextrun"/>
          <w:rFonts w:ascii="Arial" w:eastAsiaTheme="majorEastAsia" w:hAnsi="Arial" w:cs="Arial"/>
          <w:sz w:val="22"/>
          <w:szCs w:val="22"/>
          <w:lang w:val="fr-FR"/>
        </w:rPr>
      </w:pPr>
      <w:r w:rsidRPr="009F7089">
        <w:rPr>
          <w:rStyle w:val="normaltextrun"/>
          <w:rFonts w:ascii="Arial" w:eastAsiaTheme="majorEastAsia" w:hAnsi="Arial" w:cs="Arial"/>
          <w:sz w:val="22"/>
          <w:szCs w:val="22"/>
          <w:lang w:val="fr-FR"/>
        </w:rPr>
        <w:t>15.AA</w:t>
      </w:r>
      <w:r w:rsidRPr="009F7089">
        <w:rPr>
          <w:rStyle w:val="tabchar"/>
          <w:rFonts w:ascii="Arial" w:eastAsiaTheme="majorEastAsia" w:hAnsi="Arial" w:cs="Arial"/>
          <w:sz w:val="22"/>
          <w:szCs w:val="22"/>
          <w:lang w:val="fr-FR"/>
        </w:rPr>
        <w:t xml:space="preserve"> </w:t>
      </w:r>
      <w:r w:rsidRPr="009F7089">
        <w:rPr>
          <w:rStyle w:val="tabchar"/>
          <w:rFonts w:ascii="Arial" w:eastAsiaTheme="majorEastAsia" w:hAnsi="Arial" w:cs="Arial"/>
          <w:sz w:val="22"/>
          <w:szCs w:val="22"/>
          <w:lang w:val="fr-FR"/>
        </w:rPr>
        <w:tab/>
      </w:r>
      <w:r w:rsidRPr="009F7089">
        <w:rPr>
          <w:rStyle w:val="normaltextrun"/>
          <w:rFonts w:ascii="Arial" w:eastAsiaTheme="majorEastAsia" w:hAnsi="Arial" w:cs="Arial"/>
          <w:sz w:val="22"/>
          <w:szCs w:val="22"/>
          <w:lang w:val="fr-FR"/>
        </w:rPr>
        <w:t xml:space="preserve">Il est demandé au Comité permanent </w:t>
      </w:r>
      <w:bookmarkStart w:id="4" w:name="_Hlk210661268"/>
      <w:r w:rsidRPr="009F7089">
        <w:rPr>
          <w:rStyle w:val="normaltextrun"/>
          <w:rFonts w:ascii="Arial" w:eastAsiaTheme="majorEastAsia" w:hAnsi="Arial" w:cs="Arial"/>
          <w:sz w:val="22"/>
          <w:szCs w:val="22"/>
          <w:lang w:val="fr-FR"/>
        </w:rPr>
        <w:t>d</w:t>
      </w:r>
      <w:r w:rsidR="009445D3" w:rsidRPr="009F7089">
        <w:rPr>
          <w:rStyle w:val="normaltextrun"/>
          <w:rFonts w:ascii="Arial" w:eastAsiaTheme="majorEastAsia" w:hAnsi="Arial" w:cs="Arial"/>
          <w:sz w:val="22"/>
          <w:szCs w:val="22"/>
          <w:lang w:val="fr-FR"/>
        </w:rPr>
        <w:t>’</w:t>
      </w:r>
      <w:r w:rsidRPr="009F7089">
        <w:rPr>
          <w:rStyle w:val="normaltextrun"/>
          <w:rFonts w:ascii="Arial" w:eastAsiaTheme="majorEastAsia" w:hAnsi="Arial" w:cs="Arial"/>
          <w:sz w:val="22"/>
          <w:szCs w:val="22"/>
          <w:lang w:val="fr-FR"/>
        </w:rPr>
        <w:t>examiner les dispositions des Résolutions demandant aux Parties de rendre compte de la mise en œuvre d</w:t>
      </w:r>
      <w:r w:rsidR="009445D3" w:rsidRPr="009F7089">
        <w:rPr>
          <w:rStyle w:val="normaltextrun"/>
          <w:rFonts w:ascii="Arial" w:eastAsiaTheme="majorEastAsia" w:hAnsi="Arial" w:cs="Arial"/>
          <w:sz w:val="22"/>
          <w:szCs w:val="22"/>
          <w:lang w:val="fr-FR"/>
        </w:rPr>
        <w:t>’</w:t>
      </w:r>
      <w:r w:rsidRPr="009F7089">
        <w:rPr>
          <w:rStyle w:val="normaltextrun"/>
          <w:rFonts w:ascii="Arial" w:eastAsiaTheme="majorEastAsia" w:hAnsi="Arial" w:cs="Arial"/>
          <w:sz w:val="22"/>
          <w:szCs w:val="22"/>
          <w:lang w:val="fr-FR"/>
        </w:rPr>
        <w:t>activités spécifiques par le biais des rapports nationaux de la CMS, telles que résumées dans l</w:t>
      </w:r>
      <w:r w:rsidR="009445D3" w:rsidRPr="009F7089">
        <w:rPr>
          <w:rStyle w:val="normaltextrun"/>
          <w:rFonts w:ascii="Arial" w:eastAsiaTheme="majorEastAsia" w:hAnsi="Arial" w:cs="Arial"/>
          <w:sz w:val="22"/>
          <w:szCs w:val="22"/>
          <w:lang w:val="fr-FR"/>
        </w:rPr>
        <w:t>’</w:t>
      </w:r>
      <w:r w:rsidRPr="009F7089">
        <w:rPr>
          <w:rStyle w:val="normaltextrun"/>
          <w:rFonts w:ascii="Arial" w:eastAsiaTheme="majorEastAsia" w:hAnsi="Arial" w:cs="Arial"/>
          <w:sz w:val="22"/>
          <w:szCs w:val="22"/>
          <w:lang w:val="fr-FR"/>
        </w:rPr>
        <w:t>Annexe</w:t>
      </w:r>
      <w:r w:rsidR="009445D3" w:rsidRPr="009F7089">
        <w:rPr>
          <w:rStyle w:val="normaltextrun"/>
          <w:rFonts w:ascii="Arial" w:eastAsiaTheme="majorEastAsia" w:hAnsi="Arial" w:cs="Arial"/>
          <w:sz w:val="22"/>
          <w:szCs w:val="22"/>
          <w:lang w:val="fr-FR"/>
        </w:rPr>
        <w:t> </w:t>
      </w:r>
      <w:r w:rsidRPr="009F7089">
        <w:rPr>
          <w:rStyle w:val="normaltextrun"/>
          <w:rFonts w:ascii="Arial" w:eastAsiaTheme="majorEastAsia" w:hAnsi="Arial" w:cs="Arial"/>
          <w:sz w:val="22"/>
          <w:szCs w:val="22"/>
          <w:lang w:val="fr-FR"/>
        </w:rPr>
        <w:t>4 du document UNEP/CMS/COP15/Doc.22, et de proposer à la COP16 leur suppression ou leur amendement, selon le cas, afin de garantir la cohérence avec le format révisé des rapports nationaux.</w:t>
      </w:r>
    </w:p>
    <w:p w14:paraId="7827DE73" w14:textId="77777777" w:rsidR="00EA0676" w:rsidRPr="009F7089" w:rsidRDefault="00EA0676">
      <w:pPr>
        <w:pStyle w:val="paragraph"/>
        <w:spacing w:before="0" w:beforeAutospacing="0" w:after="0" w:afterAutospacing="0"/>
        <w:jc w:val="both"/>
        <w:textAlignment w:val="baseline"/>
        <w:rPr>
          <w:rStyle w:val="normaltextrun"/>
          <w:rFonts w:ascii="Arial" w:hAnsi="Arial" w:cs="Arial"/>
          <w:sz w:val="22"/>
          <w:szCs w:val="22"/>
          <w:lang w:val="fr-FR"/>
        </w:rPr>
      </w:pPr>
    </w:p>
    <w:bookmarkEnd w:id="4"/>
    <w:p w14:paraId="1EDFF9FA" w14:textId="77777777" w:rsidR="00EA0676" w:rsidRPr="009F7089" w:rsidRDefault="00EA0676">
      <w:pPr>
        <w:pStyle w:val="paragraph"/>
        <w:spacing w:before="0" w:beforeAutospacing="0" w:after="0" w:afterAutospacing="0"/>
        <w:jc w:val="both"/>
        <w:textAlignment w:val="baseline"/>
        <w:rPr>
          <w:rFonts w:ascii="Arial" w:hAnsi="Arial" w:cs="Arial"/>
          <w:sz w:val="22"/>
          <w:szCs w:val="22"/>
          <w:lang w:val="fr-FR"/>
        </w:rPr>
        <w:sectPr w:rsidR="00EA0676" w:rsidRPr="009F7089">
          <w:headerReference w:type="first" r:id="rId18"/>
          <w:footerReference w:type="first" r:id="rId19"/>
          <w:pgSz w:w="11906" w:h="16838"/>
          <w:pgMar w:top="1440" w:right="1440" w:bottom="1440" w:left="1440" w:header="720" w:footer="720" w:gutter="0"/>
          <w:cols w:space="720"/>
          <w:titlePg/>
          <w:docGrid w:linePitch="360"/>
        </w:sectPr>
      </w:pPr>
    </w:p>
    <w:p w14:paraId="1185A72B" w14:textId="5516575D" w:rsidR="00EA0676" w:rsidRPr="009F7089" w:rsidRDefault="00811F01">
      <w:pPr>
        <w:spacing w:after="0" w:line="240" w:lineRule="auto"/>
        <w:jc w:val="right"/>
        <w:rPr>
          <w:b/>
          <w:bCs/>
          <w:lang w:val="fr-FR"/>
        </w:rPr>
      </w:pPr>
      <w:r w:rsidRPr="009F7089">
        <w:rPr>
          <w:b/>
          <w:bCs/>
          <w:lang w:val="fr-FR"/>
        </w:rPr>
        <w:lastRenderedPageBreak/>
        <w:t>ANNEXE</w:t>
      </w:r>
      <w:r w:rsidR="009445D3" w:rsidRPr="009F7089">
        <w:rPr>
          <w:b/>
          <w:bCs/>
          <w:lang w:val="fr-FR"/>
        </w:rPr>
        <w:t> </w:t>
      </w:r>
      <w:r w:rsidRPr="009F7089">
        <w:rPr>
          <w:b/>
          <w:bCs/>
          <w:lang w:val="fr-FR"/>
        </w:rPr>
        <w:t>2</w:t>
      </w:r>
    </w:p>
    <w:p w14:paraId="4F6ACAB4" w14:textId="77777777" w:rsidR="00EA0676" w:rsidRPr="009F7089" w:rsidRDefault="00EA0676">
      <w:pPr>
        <w:spacing w:after="0" w:line="240" w:lineRule="auto"/>
        <w:jc w:val="right"/>
        <w:rPr>
          <w:b/>
          <w:bCs/>
          <w:lang w:val="fr-FR"/>
        </w:rPr>
      </w:pPr>
    </w:p>
    <w:p w14:paraId="4EEF2A11" w14:textId="77777777" w:rsidR="00EA0676" w:rsidRPr="009F7089" w:rsidRDefault="00EA0676">
      <w:pPr>
        <w:spacing w:after="0" w:line="240" w:lineRule="auto"/>
        <w:jc w:val="center"/>
        <w:rPr>
          <w:b/>
          <w:bCs/>
          <w:lang w:val="fr-FR"/>
        </w:rPr>
      </w:pPr>
    </w:p>
    <w:p w14:paraId="482D9D60" w14:textId="5FA9914C" w:rsidR="00EA0676" w:rsidRPr="009F7089" w:rsidRDefault="00811F01">
      <w:pPr>
        <w:spacing w:after="0" w:line="240" w:lineRule="auto"/>
        <w:jc w:val="center"/>
        <w:rPr>
          <w:b/>
          <w:bCs/>
          <w:lang w:val="fr-FR"/>
        </w:rPr>
      </w:pPr>
      <w:r w:rsidRPr="009F7089">
        <w:rPr>
          <w:b/>
          <w:bCs/>
          <w:lang w:val="fr-FR"/>
        </w:rPr>
        <w:t>ANALYSE DES RAPPORTS NATIONAUX DE LA CMS SOUMIS À LA COP</w:t>
      </w:r>
      <w:r w:rsidR="009445D3" w:rsidRPr="009F7089">
        <w:rPr>
          <w:b/>
          <w:bCs/>
          <w:lang w:val="fr-FR"/>
        </w:rPr>
        <w:t> </w:t>
      </w:r>
      <w:r w:rsidRPr="009F7089">
        <w:rPr>
          <w:b/>
          <w:bCs/>
          <w:lang w:val="fr-FR"/>
        </w:rPr>
        <w:t>15</w:t>
      </w:r>
    </w:p>
    <w:p w14:paraId="18FB457E" w14:textId="77777777" w:rsidR="00EA0676" w:rsidRPr="009F7089" w:rsidRDefault="00EA0676">
      <w:pPr>
        <w:spacing w:after="0" w:line="240" w:lineRule="auto"/>
        <w:jc w:val="center"/>
        <w:rPr>
          <w:b/>
          <w:bCs/>
          <w:lang w:val="fr-FR"/>
        </w:rPr>
      </w:pPr>
    </w:p>
    <w:p w14:paraId="7AA5AF89" w14:textId="59F8D805" w:rsidR="00EA0676" w:rsidRPr="009F7089" w:rsidRDefault="00811F01">
      <w:pPr>
        <w:spacing w:after="0" w:line="240" w:lineRule="auto"/>
        <w:jc w:val="both"/>
        <w:rPr>
          <w:lang w:val="fr-FR"/>
        </w:rPr>
      </w:pPr>
      <w:r w:rsidRPr="009F7089">
        <w:rPr>
          <w:i/>
          <w:iCs/>
          <w:lang w:val="fr-FR"/>
        </w:rPr>
        <w:t>Note</w:t>
      </w:r>
      <w:r w:rsidR="009445D3" w:rsidRPr="009F7089">
        <w:rPr>
          <w:i/>
          <w:iCs/>
          <w:lang w:val="fr-FR"/>
        </w:rPr>
        <w:t> </w:t>
      </w:r>
      <w:r w:rsidRPr="009F7089">
        <w:rPr>
          <w:i/>
          <w:iCs/>
          <w:lang w:val="fr-FR"/>
        </w:rPr>
        <w:t>: en raison de sa longueur, l</w:t>
      </w:r>
      <w:r w:rsidR="009445D3" w:rsidRPr="009F7089">
        <w:rPr>
          <w:i/>
          <w:iCs/>
          <w:lang w:val="fr-FR"/>
        </w:rPr>
        <w:t>’</w:t>
      </w:r>
      <w:r w:rsidRPr="009F7089">
        <w:rPr>
          <w:i/>
          <w:iCs/>
          <w:lang w:val="fr-FR"/>
        </w:rPr>
        <w:t xml:space="preserve">Annexe est présentée dans un fichier séparé </w:t>
      </w:r>
      <w:hyperlink r:id="rId20" w:history="1">
        <w:r w:rsidRPr="007042D1">
          <w:rPr>
            <w:rStyle w:val="Hyperlink"/>
            <w:i/>
            <w:iCs/>
            <w:lang w:val="fr-FR"/>
          </w:rPr>
          <w:t>ici</w:t>
        </w:r>
      </w:hyperlink>
    </w:p>
    <w:p w14:paraId="217C9FB8" w14:textId="77777777" w:rsidR="00EA0676" w:rsidRPr="009F7089" w:rsidRDefault="00EA0676">
      <w:pPr>
        <w:spacing w:after="0" w:line="240" w:lineRule="auto"/>
        <w:jc w:val="both"/>
        <w:rPr>
          <w:lang w:val="fr-FR"/>
        </w:rPr>
      </w:pPr>
    </w:p>
    <w:p w14:paraId="666EE70F" w14:textId="77777777" w:rsidR="00EA0676" w:rsidRPr="009F7089" w:rsidRDefault="00EA0676">
      <w:pPr>
        <w:spacing w:after="0" w:line="240" w:lineRule="auto"/>
        <w:jc w:val="both"/>
        <w:rPr>
          <w:lang w:val="fr-FR"/>
        </w:rPr>
        <w:sectPr w:rsidR="00EA0676" w:rsidRPr="009F7089">
          <w:headerReference w:type="even" r:id="rId21"/>
          <w:headerReference w:type="default" r:id="rId22"/>
          <w:pgSz w:w="11906" w:h="16838" w:code="9"/>
          <w:pgMar w:top="1440" w:right="1440" w:bottom="1440" w:left="1440" w:header="720" w:footer="720" w:gutter="0"/>
          <w:cols w:space="720"/>
          <w:docGrid w:linePitch="360"/>
        </w:sectPr>
      </w:pPr>
    </w:p>
    <w:p w14:paraId="47A30663" w14:textId="52CDCBD7" w:rsidR="00EA0676" w:rsidRPr="00610811" w:rsidRDefault="00811F01">
      <w:pPr>
        <w:spacing w:after="0" w:line="240" w:lineRule="auto"/>
        <w:jc w:val="right"/>
        <w:rPr>
          <w:b/>
          <w:bCs/>
          <w:lang w:val="fr-FR"/>
        </w:rPr>
      </w:pPr>
      <w:r w:rsidRPr="00610811">
        <w:rPr>
          <w:b/>
          <w:bCs/>
          <w:lang w:val="fr-FR"/>
        </w:rPr>
        <w:lastRenderedPageBreak/>
        <w:t>ANNEX</w:t>
      </w:r>
      <w:r w:rsidR="00E850EF" w:rsidRPr="00610811">
        <w:rPr>
          <w:b/>
          <w:bCs/>
          <w:lang w:val="fr-FR"/>
        </w:rPr>
        <w:t>E</w:t>
      </w:r>
      <w:r w:rsidRPr="00610811">
        <w:rPr>
          <w:b/>
          <w:bCs/>
          <w:lang w:val="fr-FR"/>
        </w:rPr>
        <w:t xml:space="preserve"> 3</w:t>
      </w:r>
    </w:p>
    <w:p w14:paraId="5438D8EF" w14:textId="77777777" w:rsidR="00EA0676" w:rsidRPr="00610811" w:rsidRDefault="00EA0676">
      <w:pPr>
        <w:spacing w:after="0" w:line="240" w:lineRule="auto"/>
        <w:rPr>
          <w:b/>
          <w:bCs/>
          <w:highlight w:val="yellow"/>
          <w:lang w:val="fr-FR"/>
        </w:rPr>
      </w:pPr>
    </w:p>
    <w:p w14:paraId="23E721EA" w14:textId="77777777" w:rsidR="00EA0676" w:rsidRPr="00610811" w:rsidRDefault="00EA0676">
      <w:pPr>
        <w:spacing w:after="0" w:line="240" w:lineRule="auto"/>
        <w:rPr>
          <w:b/>
          <w:bCs/>
          <w:highlight w:val="yellow"/>
          <w:lang w:val="fr-FR"/>
        </w:rPr>
      </w:pPr>
    </w:p>
    <w:p w14:paraId="0AFC2373" w14:textId="5B9C9071" w:rsidR="00EA0676" w:rsidRPr="00610811" w:rsidRDefault="0091395C" w:rsidP="0091395C">
      <w:pPr>
        <w:spacing w:after="0" w:line="240" w:lineRule="auto"/>
        <w:jc w:val="center"/>
        <w:rPr>
          <w:b/>
          <w:bCs/>
          <w:color w:val="000000" w:themeColor="text1"/>
          <w:lang w:val="fr-FR"/>
        </w:rPr>
      </w:pPr>
      <w:r w:rsidRPr="00610811">
        <w:rPr>
          <w:b/>
          <w:bCs/>
          <w:color w:val="000000" w:themeColor="text1"/>
          <w:lang w:val="fr-FR"/>
        </w:rPr>
        <w:t>DÉCISIONS DE LA COP14 CONCERNANT LES INFORMATIONS QUE LES PARTIES DOIVENT COMMUNIQUER DANS LEURS RAPPORTS NATIONAUX</w:t>
      </w:r>
    </w:p>
    <w:p w14:paraId="7F9925EB" w14:textId="77777777" w:rsidR="0091395C" w:rsidRPr="00610811" w:rsidRDefault="0091395C" w:rsidP="0091395C">
      <w:pPr>
        <w:spacing w:after="0" w:line="240" w:lineRule="auto"/>
        <w:jc w:val="center"/>
        <w:rPr>
          <w:rFonts w:eastAsia="Calibri" w:cs="Arial"/>
          <w:highlight w:val="yellow"/>
          <w:lang w:val="fr-FR"/>
        </w:rPr>
      </w:pPr>
    </w:p>
    <w:p w14:paraId="05E896F9" w14:textId="71F18FD6" w:rsidR="00EA0676" w:rsidRPr="00610811" w:rsidRDefault="007C0405" w:rsidP="00A07C03">
      <w:pPr>
        <w:spacing w:after="240" w:line="240" w:lineRule="auto"/>
        <w:ind w:left="567"/>
        <w:rPr>
          <w:rFonts w:eastAsia="Calibri" w:cs="Arial"/>
          <w:b/>
          <w:bCs/>
          <w:i/>
          <w:iCs/>
          <w:sz w:val="20"/>
          <w:szCs w:val="20"/>
          <w:lang w:val="fr-FR"/>
        </w:rPr>
      </w:pPr>
      <w:r w:rsidRPr="00610811">
        <w:rPr>
          <w:rFonts w:eastAsia="Calibri" w:cs="Arial"/>
          <w:b/>
          <w:bCs/>
          <w:i/>
          <w:iCs/>
          <w:sz w:val="20"/>
          <w:szCs w:val="20"/>
          <w:lang w:val="fr-FR"/>
        </w:rPr>
        <w:t>Décision</w:t>
      </w:r>
      <w:r w:rsidR="00811F01" w:rsidRPr="00610811">
        <w:rPr>
          <w:rFonts w:eastAsia="Calibri" w:cs="Arial"/>
          <w:b/>
          <w:bCs/>
          <w:i/>
          <w:iCs/>
          <w:sz w:val="20"/>
          <w:szCs w:val="20"/>
          <w:lang w:val="fr-FR"/>
        </w:rPr>
        <w:t xml:space="preserve"> 14.31 </w:t>
      </w:r>
      <w:r w:rsidR="00C868C4" w:rsidRPr="00610811">
        <w:rPr>
          <w:rFonts w:eastAsia="Calibri" w:cs="Arial"/>
          <w:b/>
          <w:bCs/>
          <w:i/>
          <w:iCs/>
          <w:sz w:val="20"/>
          <w:szCs w:val="20"/>
          <w:lang w:val="fr-FR"/>
        </w:rPr>
        <w:t>Les prises</w:t>
      </w:r>
      <w:r w:rsidR="000A038B" w:rsidRPr="00610811">
        <w:rPr>
          <w:rFonts w:eastAsia="Calibri" w:cs="Arial"/>
          <w:b/>
          <w:bCs/>
          <w:i/>
          <w:iCs/>
          <w:sz w:val="20"/>
          <w:szCs w:val="20"/>
          <w:lang w:val="fr-FR"/>
        </w:rPr>
        <w:t xml:space="preserve"> accessoires et les autres formes de mortalité dues à la pêche</w:t>
      </w:r>
      <w:r w:rsidR="00811F01" w:rsidRPr="00610811">
        <w:rPr>
          <w:rFonts w:eastAsia="Calibri" w:cs="Arial"/>
          <w:b/>
          <w:bCs/>
          <w:i/>
          <w:iCs/>
          <w:sz w:val="20"/>
          <w:szCs w:val="20"/>
          <w:lang w:val="fr-FR"/>
        </w:rPr>
        <w:t>:</w:t>
      </w:r>
    </w:p>
    <w:p w14:paraId="46F477AB" w14:textId="6FA86FAA" w:rsidR="00EA0676" w:rsidRPr="00610811" w:rsidRDefault="00811F01">
      <w:pPr>
        <w:spacing w:after="240" w:line="240" w:lineRule="auto"/>
        <w:ind w:left="567"/>
        <w:jc w:val="both"/>
        <w:rPr>
          <w:rFonts w:eastAsia="Calibri" w:cs="Arial"/>
          <w:i/>
          <w:iCs/>
          <w:sz w:val="20"/>
          <w:szCs w:val="20"/>
          <w:lang w:val="fr-FR"/>
        </w:rPr>
      </w:pPr>
      <w:r w:rsidRPr="00610811">
        <w:rPr>
          <w:rFonts w:eastAsia="Calibri" w:cs="Arial"/>
          <w:i/>
          <w:iCs/>
          <w:sz w:val="20"/>
          <w:szCs w:val="20"/>
          <w:lang w:val="fr-FR"/>
        </w:rPr>
        <w:t xml:space="preserve">[...] c) </w:t>
      </w:r>
      <w:r w:rsidR="008E2203" w:rsidRPr="00A07C03">
        <w:rPr>
          <w:rFonts w:cs="Arial"/>
          <w:i/>
          <w:sz w:val="20"/>
          <w:szCs w:val="20"/>
          <w:lang w:val="fr-FR"/>
        </w:rPr>
        <w:t>faire rapport à la Conférence des Parties lors de sa 15</w:t>
      </w:r>
      <w:r w:rsidR="008E2203" w:rsidRPr="00A07C03">
        <w:rPr>
          <w:rFonts w:cs="Arial"/>
          <w:i/>
          <w:sz w:val="20"/>
          <w:szCs w:val="20"/>
          <w:vertAlign w:val="superscript"/>
          <w:lang w:val="fr-FR"/>
        </w:rPr>
        <w:t>e</w:t>
      </w:r>
      <w:r w:rsidR="008E2203" w:rsidRPr="00A07C03">
        <w:rPr>
          <w:rFonts w:cs="Arial"/>
          <w:i/>
          <w:sz w:val="20"/>
          <w:szCs w:val="20"/>
          <w:lang w:val="fr-FR"/>
        </w:rPr>
        <w:t xml:space="preserve"> réunion sur la mise en œuvre de la Décision 14.31 (b) lors de la présentation des rapports nationaux. </w:t>
      </w:r>
      <w:r w:rsidRPr="00610811">
        <w:rPr>
          <w:rFonts w:eastAsia="Calibri" w:cs="Arial"/>
          <w:i/>
          <w:sz w:val="20"/>
          <w:szCs w:val="20"/>
          <w:lang w:val="fr-FR"/>
        </w:rPr>
        <w:t xml:space="preserve"> </w:t>
      </w:r>
      <w:r w:rsidRPr="00610811">
        <w:rPr>
          <w:rFonts w:eastAsia="Calibri" w:cs="Arial"/>
          <w:i/>
          <w:iCs/>
          <w:sz w:val="20"/>
          <w:szCs w:val="20"/>
          <w:lang w:val="fr-FR"/>
        </w:rPr>
        <w:t>[...]</w:t>
      </w:r>
    </w:p>
    <w:p w14:paraId="2B9FB137" w14:textId="037954F2" w:rsidR="00EA0676" w:rsidRPr="00610811" w:rsidRDefault="007C0405">
      <w:pPr>
        <w:spacing w:after="240" w:line="240" w:lineRule="auto"/>
        <w:ind w:left="567"/>
        <w:jc w:val="both"/>
        <w:rPr>
          <w:rFonts w:eastAsia="Calibri" w:cs="Arial"/>
          <w:b/>
          <w:bCs/>
          <w:i/>
          <w:iCs/>
          <w:sz w:val="20"/>
          <w:szCs w:val="20"/>
          <w:lang w:val="fr-FR"/>
        </w:rPr>
      </w:pPr>
      <w:r w:rsidRPr="00610811">
        <w:rPr>
          <w:rFonts w:eastAsia="Calibri" w:cs="Arial"/>
          <w:b/>
          <w:bCs/>
          <w:i/>
          <w:iCs/>
          <w:sz w:val="20"/>
          <w:szCs w:val="20"/>
          <w:lang w:val="fr-FR"/>
        </w:rPr>
        <w:t>Décision</w:t>
      </w:r>
      <w:r w:rsidR="00811F01" w:rsidRPr="00610811">
        <w:rPr>
          <w:rFonts w:eastAsia="Calibri" w:cs="Arial"/>
          <w:b/>
          <w:bCs/>
          <w:i/>
          <w:iCs/>
          <w:sz w:val="20"/>
          <w:szCs w:val="20"/>
          <w:lang w:val="fr-FR"/>
        </w:rPr>
        <w:t xml:space="preserve"> 14.44 </w:t>
      </w:r>
      <w:r w:rsidR="00D20805" w:rsidRPr="00610811">
        <w:rPr>
          <w:rFonts w:eastAsia="Calibri" w:cs="Arial"/>
          <w:b/>
          <w:bCs/>
          <w:i/>
          <w:iCs/>
          <w:sz w:val="20"/>
          <w:szCs w:val="20"/>
          <w:lang w:val="fr-FR"/>
        </w:rPr>
        <w:t>Bruit marin</w:t>
      </w:r>
      <w:r w:rsidR="00811F01" w:rsidRPr="00610811">
        <w:rPr>
          <w:rFonts w:eastAsia="Calibri" w:cs="Arial"/>
          <w:b/>
          <w:bCs/>
          <w:i/>
          <w:iCs/>
          <w:sz w:val="20"/>
          <w:szCs w:val="20"/>
          <w:lang w:val="fr-FR"/>
        </w:rPr>
        <w:t>:</w:t>
      </w:r>
    </w:p>
    <w:p w14:paraId="285E5982" w14:textId="60BC8833" w:rsidR="00EA0676" w:rsidRPr="00610811" w:rsidRDefault="00811F01">
      <w:pPr>
        <w:spacing w:after="240" w:line="240" w:lineRule="auto"/>
        <w:ind w:left="567"/>
        <w:jc w:val="both"/>
        <w:rPr>
          <w:rFonts w:eastAsia="Calibri" w:cs="Arial"/>
          <w:i/>
          <w:iCs/>
          <w:sz w:val="20"/>
          <w:szCs w:val="20"/>
          <w:lang w:val="fr-FR"/>
        </w:rPr>
      </w:pPr>
      <w:r w:rsidRPr="00610811">
        <w:rPr>
          <w:rFonts w:eastAsia="Calibri" w:cs="Arial"/>
          <w:i/>
          <w:iCs/>
          <w:sz w:val="20"/>
          <w:szCs w:val="20"/>
          <w:lang w:val="fr-FR"/>
        </w:rPr>
        <w:t xml:space="preserve">[...] e) </w:t>
      </w:r>
      <w:r w:rsidR="00BC411D" w:rsidRPr="00A07C03">
        <w:rPr>
          <w:rFonts w:cs="Arial"/>
          <w:i/>
          <w:sz w:val="20"/>
          <w:szCs w:val="20"/>
          <w:lang w:val="fr-FR"/>
        </w:rPr>
        <w:t>fournir des informations sur la mise en œuvre de la Résolution 12.14 par le biais des rapports nationaux</w:t>
      </w:r>
      <w:r w:rsidRPr="00610811">
        <w:rPr>
          <w:rFonts w:eastAsia="Calibri" w:cs="Arial"/>
          <w:i/>
          <w:iCs/>
          <w:sz w:val="20"/>
          <w:szCs w:val="20"/>
          <w:lang w:val="fr-FR"/>
        </w:rPr>
        <w:t>. [...]</w:t>
      </w:r>
    </w:p>
    <w:p w14:paraId="469C917D" w14:textId="1D8EFDB2" w:rsidR="00EA0676" w:rsidRPr="00610811" w:rsidRDefault="007C0405">
      <w:pPr>
        <w:spacing w:after="240" w:line="240" w:lineRule="auto"/>
        <w:ind w:left="567"/>
        <w:jc w:val="both"/>
        <w:rPr>
          <w:rFonts w:eastAsia="Calibri" w:cs="Arial"/>
          <w:b/>
          <w:bCs/>
          <w:i/>
          <w:iCs/>
          <w:sz w:val="20"/>
          <w:szCs w:val="20"/>
          <w:lang w:val="fr-FR"/>
        </w:rPr>
      </w:pPr>
      <w:r w:rsidRPr="00610811">
        <w:rPr>
          <w:rFonts w:eastAsia="Calibri" w:cs="Arial"/>
          <w:b/>
          <w:bCs/>
          <w:i/>
          <w:iCs/>
          <w:sz w:val="20"/>
          <w:szCs w:val="20"/>
          <w:lang w:val="fr-FR"/>
        </w:rPr>
        <w:t>Décision</w:t>
      </w:r>
      <w:r w:rsidR="00811F01" w:rsidRPr="00610811">
        <w:rPr>
          <w:rFonts w:eastAsia="Calibri" w:cs="Arial"/>
          <w:b/>
          <w:bCs/>
          <w:i/>
          <w:iCs/>
          <w:sz w:val="20"/>
          <w:szCs w:val="20"/>
          <w:lang w:val="fr-FR"/>
        </w:rPr>
        <w:t xml:space="preserve"> 14.48 </w:t>
      </w:r>
      <w:r w:rsidR="008C31F2" w:rsidRPr="00610811">
        <w:rPr>
          <w:rFonts w:eastAsia="Calibri" w:cs="Arial"/>
          <w:b/>
          <w:bCs/>
          <w:i/>
          <w:iCs/>
          <w:sz w:val="20"/>
          <w:szCs w:val="20"/>
          <w:lang w:val="fr-FR"/>
        </w:rPr>
        <w:t xml:space="preserve">Réduire </w:t>
      </w:r>
      <w:r w:rsidR="002979C1" w:rsidRPr="00610811">
        <w:rPr>
          <w:rFonts w:eastAsia="Calibri" w:cs="Arial"/>
          <w:b/>
          <w:bCs/>
          <w:i/>
          <w:iCs/>
          <w:sz w:val="20"/>
          <w:szCs w:val="20"/>
          <w:lang w:val="fr-FR"/>
        </w:rPr>
        <w:t>le risque de collision avec les navires pour la mégafaune marine</w:t>
      </w:r>
      <w:r w:rsidR="00811F01" w:rsidRPr="00610811">
        <w:rPr>
          <w:rFonts w:eastAsia="Calibri" w:cs="Arial"/>
          <w:b/>
          <w:bCs/>
          <w:i/>
          <w:iCs/>
          <w:sz w:val="20"/>
          <w:szCs w:val="20"/>
          <w:lang w:val="fr-FR"/>
        </w:rPr>
        <w:t>:</w:t>
      </w:r>
    </w:p>
    <w:p w14:paraId="7F864A43" w14:textId="4CF2AA76" w:rsidR="00EA0676" w:rsidRPr="005D58D6" w:rsidRDefault="00811F01">
      <w:pPr>
        <w:spacing w:after="240" w:line="240" w:lineRule="auto"/>
        <w:ind w:left="567"/>
        <w:jc w:val="both"/>
        <w:rPr>
          <w:rFonts w:eastAsia="Calibri" w:cs="Arial"/>
          <w:i/>
          <w:iCs/>
          <w:sz w:val="20"/>
          <w:szCs w:val="20"/>
          <w:lang w:val="fr-FR"/>
        </w:rPr>
      </w:pPr>
      <w:r w:rsidRPr="00610811">
        <w:rPr>
          <w:rFonts w:eastAsia="Calibri" w:cs="Arial"/>
          <w:i/>
          <w:iCs/>
          <w:sz w:val="20"/>
          <w:szCs w:val="20"/>
          <w:lang w:val="fr-FR"/>
        </w:rPr>
        <w:t xml:space="preserve">[...] d) </w:t>
      </w:r>
      <w:r w:rsidR="006353FC" w:rsidRPr="00A07C03">
        <w:rPr>
          <w:rFonts w:cs="Arial"/>
          <w:i/>
          <w:sz w:val="20"/>
          <w:szCs w:val="20"/>
          <w:lang w:val="fr-FR"/>
        </w:rPr>
        <w:t>Faire rapport à la 15</w:t>
      </w:r>
      <w:r w:rsidR="006353FC" w:rsidRPr="00A07C03">
        <w:rPr>
          <w:rFonts w:cs="Arial"/>
          <w:i/>
          <w:sz w:val="20"/>
          <w:szCs w:val="20"/>
          <w:vertAlign w:val="superscript"/>
          <w:lang w:val="fr-FR"/>
        </w:rPr>
        <w:t>e</w:t>
      </w:r>
      <w:r w:rsidR="006353FC" w:rsidRPr="00A07C03">
        <w:rPr>
          <w:rFonts w:cs="Arial"/>
          <w:i/>
          <w:sz w:val="20"/>
          <w:szCs w:val="20"/>
          <w:lang w:val="fr-FR"/>
        </w:rPr>
        <w:t xml:space="preserve"> session de la Conférence des Parties sur les progrès réalisés dans </w:t>
      </w:r>
      <w:r w:rsidR="006353FC" w:rsidRPr="005D58D6">
        <w:rPr>
          <w:rFonts w:cs="Arial"/>
          <w:i/>
          <w:sz w:val="20"/>
          <w:szCs w:val="20"/>
          <w:lang w:val="fr-FR"/>
        </w:rPr>
        <w:t>la mise en œuvre de la décision au moyen de leurs Rapports nationaux</w:t>
      </w:r>
      <w:r w:rsidR="006353FC" w:rsidRPr="005D58D6" w:rsidDel="006353FC">
        <w:rPr>
          <w:rFonts w:eastAsia="Calibri" w:cs="Arial"/>
          <w:i/>
          <w:iCs/>
          <w:sz w:val="20"/>
          <w:szCs w:val="20"/>
          <w:lang w:val="fr-FR"/>
        </w:rPr>
        <w:t xml:space="preserve"> </w:t>
      </w:r>
      <w:r w:rsidRPr="005D58D6">
        <w:rPr>
          <w:rFonts w:eastAsia="Calibri" w:cs="Arial"/>
          <w:i/>
          <w:iCs/>
          <w:sz w:val="20"/>
          <w:szCs w:val="20"/>
          <w:lang w:val="fr-FR"/>
        </w:rPr>
        <w:t>[...]</w:t>
      </w:r>
    </w:p>
    <w:p w14:paraId="5DDBF515" w14:textId="638789CC" w:rsidR="00EA0676" w:rsidRPr="005D58D6" w:rsidRDefault="007C0405">
      <w:pPr>
        <w:spacing w:after="240" w:line="240" w:lineRule="auto"/>
        <w:ind w:left="567"/>
        <w:jc w:val="both"/>
        <w:rPr>
          <w:rFonts w:eastAsia="Calibri" w:cs="Arial"/>
          <w:b/>
          <w:bCs/>
          <w:i/>
          <w:iCs/>
          <w:sz w:val="20"/>
          <w:szCs w:val="20"/>
          <w:lang w:val="fr-FR"/>
        </w:rPr>
      </w:pPr>
      <w:r w:rsidRPr="005D58D6">
        <w:rPr>
          <w:rFonts w:eastAsia="Calibri" w:cs="Arial"/>
          <w:b/>
          <w:bCs/>
          <w:i/>
          <w:iCs/>
          <w:sz w:val="20"/>
          <w:szCs w:val="20"/>
          <w:lang w:val="fr-FR"/>
        </w:rPr>
        <w:t>Décision</w:t>
      </w:r>
      <w:r w:rsidR="00811F01" w:rsidRPr="005D58D6">
        <w:rPr>
          <w:rFonts w:eastAsia="Calibri" w:cs="Arial"/>
          <w:b/>
          <w:bCs/>
          <w:i/>
          <w:iCs/>
          <w:sz w:val="20"/>
          <w:szCs w:val="20"/>
          <w:lang w:val="fr-FR"/>
        </w:rPr>
        <w:t xml:space="preserve"> 14.61 </w:t>
      </w:r>
      <w:r w:rsidR="006353FC" w:rsidRPr="005D58D6">
        <w:rPr>
          <w:rFonts w:eastAsia="Calibri" w:cs="Arial"/>
          <w:b/>
          <w:bCs/>
          <w:i/>
          <w:iCs/>
          <w:sz w:val="20"/>
          <w:szCs w:val="20"/>
          <w:lang w:val="fr-FR"/>
        </w:rPr>
        <w:t>Aires importantes pour les requins et les raises (AIRR)</w:t>
      </w:r>
      <w:r w:rsidR="00EA0C73" w:rsidRPr="005D58D6">
        <w:rPr>
          <w:rFonts w:eastAsia="Calibri" w:cs="Arial"/>
          <w:b/>
          <w:bCs/>
          <w:i/>
          <w:iCs/>
          <w:sz w:val="20"/>
          <w:szCs w:val="20"/>
          <w:lang w:val="fr-FR"/>
        </w:rPr>
        <w:t>:</w:t>
      </w:r>
    </w:p>
    <w:p w14:paraId="5A561380" w14:textId="4A27AE70" w:rsidR="00EA0676" w:rsidRPr="005D58D6" w:rsidRDefault="00811F01">
      <w:pPr>
        <w:spacing w:after="240" w:line="240" w:lineRule="auto"/>
        <w:ind w:left="567"/>
        <w:jc w:val="both"/>
        <w:rPr>
          <w:rFonts w:eastAsia="Calibri" w:cs="Arial"/>
          <w:i/>
          <w:iCs/>
          <w:sz w:val="20"/>
          <w:szCs w:val="20"/>
          <w:lang w:val="fr-FR"/>
        </w:rPr>
      </w:pPr>
      <w:r w:rsidRPr="005D58D6">
        <w:rPr>
          <w:rFonts w:eastAsia="Calibri" w:cs="Arial"/>
          <w:i/>
          <w:iCs/>
          <w:sz w:val="20"/>
          <w:szCs w:val="20"/>
          <w:lang w:val="fr-FR"/>
        </w:rPr>
        <w:t xml:space="preserve">[...] </w:t>
      </w:r>
      <w:r w:rsidR="006327C5" w:rsidRPr="005D58D6">
        <w:rPr>
          <w:rFonts w:eastAsia="Calibri" w:cs="Arial"/>
          <w:i/>
          <w:iCs/>
          <w:sz w:val="20"/>
          <w:szCs w:val="20"/>
          <w:lang w:val="fr-FR"/>
        </w:rPr>
        <w:t>c</w:t>
      </w:r>
      <w:r w:rsidRPr="005D58D6">
        <w:rPr>
          <w:rFonts w:eastAsia="Calibri" w:cs="Arial"/>
          <w:i/>
          <w:iCs/>
          <w:sz w:val="20"/>
          <w:szCs w:val="20"/>
          <w:lang w:val="fr-FR"/>
        </w:rPr>
        <w:t xml:space="preserve">) </w:t>
      </w:r>
      <w:r w:rsidR="00236446" w:rsidRPr="005D58D6">
        <w:rPr>
          <w:rFonts w:cs="Arial"/>
          <w:bCs/>
          <w:i/>
          <w:sz w:val="20"/>
          <w:szCs w:val="20"/>
          <w:lang w:val="fr-FR"/>
        </w:rPr>
        <w:t>rendre compte</w:t>
      </w:r>
      <w:r w:rsidR="00236446" w:rsidRPr="005D58D6">
        <w:rPr>
          <w:rFonts w:cs="Arial"/>
          <w:i/>
          <w:sz w:val="20"/>
          <w:szCs w:val="20"/>
          <w:lang w:val="fr-FR"/>
        </w:rPr>
        <w:t xml:space="preserve"> à la 15</w:t>
      </w:r>
      <w:r w:rsidR="00236446" w:rsidRPr="005D58D6">
        <w:rPr>
          <w:rFonts w:cs="Arial"/>
          <w:i/>
          <w:sz w:val="20"/>
          <w:szCs w:val="20"/>
          <w:vertAlign w:val="superscript"/>
          <w:lang w:val="fr-FR"/>
        </w:rPr>
        <w:t>e</w:t>
      </w:r>
      <w:r w:rsidR="00236446" w:rsidRPr="005D58D6">
        <w:rPr>
          <w:rFonts w:cs="Arial"/>
          <w:i/>
          <w:sz w:val="20"/>
          <w:szCs w:val="20"/>
          <w:lang w:val="fr-FR"/>
        </w:rPr>
        <w:t> Session de la Conférence des Parties des progrès accomplis dans la mise en œuvre de la décision d'atténuer les menaces qui pèsent sur les AIRR au moyen de leurs rapports nationaux</w:t>
      </w:r>
      <w:r w:rsidRPr="005D58D6">
        <w:rPr>
          <w:rFonts w:eastAsia="Calibri" w:cs="Arial"/>
          <w:i/>
          <w:iCs/>
          <w:sz w:val="20"/>
          <w:szCs w:val="20"/>
          <w:lang w:val="fr-FR"/>
        </w:rPr>
        <w:t>.</w:t>
      </w:r>
    </w:p>
    <w:p w14:paraId="3336EC6B" w14:textId="793094A1" w:rsidR="00EA0676" w:rsidRPr="00610811" w:rsidRDefault="007C0405">
      <w:pPr>
        <w:spacing w:after="240" w:line="240" w:lineRule="auto"/>
        <w:ind w:left="567"/>
        <w:jc w:val="both"/>
        <w:rPr>
          <w:rFonts w:eastAsia="Calibri" w:cs="Arial"/>
          <w:i/>
          <w:iCs/>
          <w:sz w:val="20"/>
          <w:szCs w:val="20"/>
          <w:lang w:val="fr-FR"/>
        </w:rPr>
      </w:pPr>
      <w:r w:rsidRPr="00610811">
        <w:rPr>
          <w:rFonts w:eastAsia="Calibri" w:cs="Arial"/>
          <w:b/>
          <w:bCs/>
          <w:i/>
          <w:iCs/>
          <w:sz w:val="20"/>
          <w:szCs w:val="20"/>
          <w:lang w:val="fr-FR"/>
        </w:rPr>
        <w:t>Décision</w:t>
      </w:r>
      <w:r w:rsidR="00811F01" w:rsidRPr="00610811">
        <w:rPr>
          <w:rFonts w:eastAsia="Calibri" w:cs="Arial"/>
          <w:b/>
          <w:bCs/>
          <w:i/>
          <w:iCs/>
          <w:sz w:val="20"/>
          <w:szCs w:val="20"/>
          <w:lang w:val="fr-FR"/>
        </w:rPr>
        <w:t xml:space="preserve"> 14.65 </w:t>
      </w:r>
      <w:r w:rsidR="00454B10" w:rsidRPr="00610811">
        <w:rPr>
          <w:rFonts w:eastAsia="Calibri" w:cs="Arial"/>
          <w:b/>
          <w:bCs/>
          <w:i/>
          <w:iCs/>
          <w:sz w:val="20"/>
          <w:szCs w:val="20"/>
          <w:lang w:val="fr-FR"/>
        </w:rPr>
        <w:t>Écosystèmes d’herbiers marins</w:t>
      </w:r>
      <w:r w:rsidR="00811F01" w:rsidRPr="00610811">
        <w:rPr>
          <w:rFonts w:eastAsia="Calibri" w:cs="Arial"/>
          <w:b/>
          <w:bCs/>
          <w:i/>
          <w:iCs/>
          <w:sz w:val="20"/>
          <w:szCs w:val="20"/>
          <w:lang w:val="fr-FR"/>
        </w:rPr>
        <w:t>:</w:t>
      </w:r>
    </w:p>
    <w:p w14:paraId="5D189352" w14:textId="42410D08" w:rsidR="00EA0676" w:rsidRPr="00042DDA" w:rsidRDefault="00811F01" w:rsidP="007D4042">
      <w:pPr>
        <w:spacing w:after="240" w:line="240" w:lineRule="auto"/>
        <w:ind w:left="567"/>
        <w:jc w:val="both"/>
        <w:rPr>
          <w:rFonts w:cs="Arial"/>
          <w:sz w:val="20"/>
          <w:szCs w:val="20"/>
          <w:lang w:val="fr-FR"/>
        </w:rPr>
      </w:pPr>
      <w:r w:rsidRPr="004E5B8E">
        <w:rPr>
          <w:rFonts w:eastAsia="Calibri" w:cs="Arial"/>
          <w:i/>
          <w:iCs/>
          <w:sz w:val="20"/>
          <w:szCs w:val="20"/>
          <w:lang w:val="fr-FR"/>
        </w:rPr>
        <w:t>[...] c</w:t>
      </w:r>
      <w:r w:rsidRPr="004E5B8E">
        <w:rPr>
          <w:rFonts w:eastAsia="Calibri" w:cs="Arial"/>
          <w:sz w:val="20"/>
          <w:szCs w:val="20"/>
          <w:lang w:val="fr-FR"/>
        </w:rPr>
        <w:t xml:space="preserve">) </w:t>
      </w:r>
      <w:r w:rsidR="00F4175D" w:rsidRPr="004E5B8E">
        <w:rPr>
          <w:rFonts w:cs="Arial"/>
          <w:i/>
          <w:iCs/>
          <w:sz w:val="20"/>
          <w:szCs w:val="20"/>
          <w:lang w:val="fr-FR"/>
        </w:rPr>
        <w:t>rendre compte à la Conférence des Parties, lors de sa 15</w:t>
      </w:r>
      <w:r w:rsidR="00F4175D" w:rsidRPr="004E5B8E">
        <w:rPr>
          <w:rFonts w:cs="Arial"/>
          <w:i/>
          <w:iCs/>
          <w:sz w:val="20"/>
          <w:szCs w:val="20"/>
          <w:vertAlign w:val="superscript"/>
          <w:lang w:val="fr-FR"/>
        </w:rPr>
        <w:t>e</w:t>
      </w:r>
      <w:r w:rsidR="00F4175D" w:rsidRPr="004E5B8E">
        <w:rPr>
          <w:rFonts w:cs="Arial"/>
          <w:i/>
          <w:iCs/>
          <w:sz w:val="20"/>
          <w:szCs w:val="20"/>
          <w:lang w:val="fr-FR"/>
        </w:rPr>
        <w:t xml:space="preserve"> session, des progrès accomplis au moyen des rapports nationaux</w:t>
      </w:r>
      <w:r w:rsidR="00F4175D" w:rsidRPr="00042DDA">
        <w:rPr>
          <w:rFonts w:cs="Arial"/>
          <w:sz w:val="20"/>
          <w:szCs w:val="20"/>
          <w:lang w:val="fr-FR"/>
        </w:rPr>
        <w:t>.</w:t>
      </w:r>
      <w:r w:rsidR="00F4175D" w:rsidRPr="00042DDA" w:rsidDel="00F4175D">
        <w:rPr>
          <w:rFonts w:eastAsia="Calibri" w:cs="Arial"/>
          <w:i/>
          <w:iCs/>
          <w:sz w:val="20"/>
          <w:szCs w:val="20"/>
          <w:lang w:val="fr-FR"/>
        </w:rPr>
        <w:t xml:space="preserve"> </w:t>
      </w:r>
      <w:r w:rsidR="00CF0939" w:rsidRPr="00042DDA">
        <w:rPr>
          <w:rFonts w:eastAsia="Calibri" w:cs="Arial"/>
          <w:sz w:val="20"/>
          <w:szCs w:val="20"/>
          <w:lang w:val="fr-FR"/>
        </w:rPr>
        <w:t>(sur la mise en œuvre des paragraphes a) et b) de la présente décision, qui confient aux Parties un certain nombre de tâches concernant l'identification des espèces migratrices utilisant les herbiers marins et l'inclusion des herbiers marins dans les aires marines protégées)</w:t>
      </w:r>
      <w:r w:rsidR="00AC0FE3">
        <w:rPr>
          <w:rFonts w:eastAsia="Calibri" w:cs="Arial"/>
          <w:sz w:val="20"/>
          <w:szCs w:val="20"/>
          <w:lang w:val="fr-FR"/>
        </w:rPr>
        <w:t>.</w:t>
      </w:r>
    </w:p>
    <w:p w14:paraId="12D89173" w14:textId="3A636F62" w:rsidR="00EA0676" w:rsidRPr="00042DDA" w:rsidRDefault="007C0405">
      <w:pPr>
        <w:spacing w:after="240" w:line="240" w:lineRule="auto"/>
        <w:ind w:left="567"/>
        <w:jc w:val="both"/>
        <w:rPr>
          <w:rFonts w:eastAsia="Calibri" w:cs="Arial"/>
          <w:b/>
          <w:bCs/>
          <w:i/>
          <w:iCs/>
          <w:sz w:val="20"/>
          <w:szCs w:val="20"/>
          <w:lang w:val="fr-FR"/>
        </w:rPr>
      </w:pPr>
      <w:r w:rsidRPr="00042DDA">
        <w:rPr>
          <w:rFonts w:eastAsia="Calibri" w:cs="Arial"/>
          <w:b/>
          <w:bCs/>
          <w:i/>
          <w:iCs/>
          <w:sz w:val="20"/>
          <w:szCs w:val="20"/>
          <w:lang w:val="fr-FR"/>
        </w:rPr>
        <w:t>Décision</w:t>
      </w:r>
      <w:r w:rsidR="00811F01" w:rsidRPr="00042DDA">
        <w:rPr>
          <w:rFonts w:eastAsia="Calibri" w:cs="Arial"/>
          <w:b/>
          <w:bCs/>
          <w:i/>
          <w:iCs/>
          <w:sz w:val="20"/>
          <w:szCs w:val="20"/>
          <w:lang w:val="fr-FR"/>
        </w:rPr>
        <w:t xml:space="preserve"> 14.69 </w:t>
      </w:r>
      <w:r w:rsidR="00421760" w:rsidRPr="00042DDA">
        <w:rPr>
          <w:rFonts w:eastAsia="Calibri" w:cs="Arial"/>
          <w:b/>
          <w:bCs/>
          <w:i/>
          <w:iCs/>
          <w:sz w:val="20"/>
          <w:szCs w:val="20"/>
          <w:lang w:val="fr-FR"/>
        </w:rPr>
        <w:t>Priorités de conservation pour les cétacés</w:t>
      </w:r>
      <w:r w:rsidR="00811F01" w:rsidRPr="00042DDA">
        <w:rPr>
          <w:rFonts w:eastAsia="Calibri" w:cs="Arial"/>
          <w:b/>
          <w:bCs/>
          <w:i/>
          <w:iCs/>
          <w:sz w:val="20"/>
          <w:szCs w:val="20"/>
          <w:lang w:val="fr-FR"/>
        </w:rPr>
        <w:t>:</w:t>
      </w:r>
    </w:p>
    <w:p w14:paraId="1950A865" w14:textId="59F9F314" w:rsidR="00EA0676" w:rsidRPr="00042DDA" w:rsidRDefault="00811F01">
      <w:pPr>
        <w:spacing w:after="240" w:line="240" w:lineRule="auto"/>
        <w:ind w:left="567"/>
        <w:jc w:val="both"/>
        <w:rPr>
          <w:rFonts w:eastAsia="Calibri" w:cs="Arial"/>
          <w:i/>
          <w:iCs/>
          <w:sz w:val="20"/>
          <w:szCs w:val="20"/>
          <w:lang w:val="fr-FR"/>
        </w:rPr>
      </w:pPr>
      <w:r w:rsidRPr="00042DDA">
        <w:rPr>
          <w:rFonts w:eastAsia="Calibri" w:cs="Arial"/>
          <w:i/>
          <w:iCs/>
          <w:sz w:val="20"/>
          <w:szCs w:val="20"/>
          <w:lang w:val="fr-FR"/>
        </w:rPr>
        <w:t xml:space="preserve">[...] b) </w:t>
      </w:r>
      <w:r w:rsidR="00D1063D" w:rsidRPr="00042DDA">
        <w:rPr>
          <w:rFonts w:cs="Arial"/>
          <w:i/>
          <w:sz w:val="20"/>
          <w:szCs w:val="20"/>
          <w:lang w:val="fr-FR"/>
        </w:rPr>
        <w:t>rendre compte des progrès réalisés grâce à leur rapports nationaux</w:t>
      </w:r>
      <w:r w:rsidR="00612B13">
        <w:rPr>
          <w:rFonts w:cs="Arial"/>
          <w:i/>
          <w:sz w:val="20"/>
          <w:szCs w:val="20"/>
          <w:lang w:val="fr-FR"/>
        </w:rPr>
        <w:t xml:space="preserve"> </w:t>
      </w:r>
      <w:r w:rsidR="00612B13" w:rsidRPr="00612B13">
        <w:rPr>
          <w:rFonts w:cs="Arial"/>
          <w:i/>
          <w:sz w:val="20"/>
          <w:szCs w:val="20"/>
          <w:lang w:val="fr-FR"/>
        </w:rPr>
        <w:t>[...]</w:t>
      </w:r>
      <w:r w:rsidR="00D1063D" w:rsidRPr="00042DDA">
        <w:rPr>
          <w:rFonts w:cs="Arial"/>
          <w:iCs/>
          <w:sz w:val="20"/>
          <w:szCs w:val="20"/>
          <w:lang w:val="fr-FR"/>
        </w:rPr>
        <w:t xml:space="preserve"> </w:t>
      </w:r>
      <w:r w:rsidR="008342AB" w:rsidRPr="00042DDA">
        <w:rPr>
          <w:rFonts w:eastAsia="Calibri" w:cs="Arial"/>
          <w:sz w:val="20"/>
          <w:szCs w:val="20"/>
          <w:lang w:val="fr-FR"/>
        </w:rPr>
        <w:t>(lors de l'examen des priorités régionales pour la conservation des cétacés, conformément au paragraphe a) de la présente décision).</w:t>
      </w:r>
    </w:p>
    <w:p w14:paraId="4658E656" w14:textId="33465386" w:rsidR="00EA0676" w:rsidRPr="00610811" w:rsidRDefault="007C0405">
      <w:pPr>
        <w:spacing w:after="240" w:line="240" w:lineRule="auto"/>
        <w:ind w:left="567"/>
        <w:jc w:val="both"/>
        <w:rPr>
          <w:rFonts w:eastAsia="Calibri" w:cs="Arial"/>
          <w:b/>
          <w:bCs/>
          <w:i/>
          <w:iCs/>
          <w:sz w:val="20"/>
          <w:szCs w:val="20"/>
          <w:lang w:val="fr-FR"/>
        </w:rPr>
      </w:pPr>
      <w:r w:rsidRPr="00610811">
        <w:rPr>
          <w:rFonts w:eastAsia="Calibri" w:cs="Arial"/>
          <w:b/>
          <w:bCs/>
          <w:i/>
          <w:iCs/>
          <w:sz w:val="20"/>
          <w:szCs w:val="20"/>
          <w:lang w:val="fr-FR"/>
        </w:rPr>
        <w:t>Décision</w:t>
      </w:r>
      <w:r w:rsidR="00811F01" w:rsidRPr="00610811">
        <w:rPr>
          <w:rFonts w:eastAsia="Calibri" w:cs="Arial"/>
          <w:b/>
          <w:bCs/>
          <w:i/>
          <w:iCs/>
          <w:sz w:val="20"/>
          <w:szCs w:val="20"/>
          <w:lang w:val="fr-FR"/>
        </w:rPr>
        <w:t xml:space="preserve"> 14.79 </w:t>
      </w:r>
      <w:r w:rsidR="00C22BF7" w:rsidRPr="00610811">
        <w:rPr>
          <w:rFonts w:eastAsia="Calibri" w:cs="Arial"/>
          <w:b/>
          <w:bCs/>
          <w:i/>
          <w:iCs/>
          <w:sz w:val="20"/>
          <w:szCs w:val="20"/>
          <w:lang w:val="fr-FR"/>
        </w:rPr>
        <w:t>Plan d’action pour la protection et la conservation des baleines</w:t>
      </w:r>
      <w:r w:rsidR="0046348C" w:rsidRPr="00610811">
        <w:rPr>
          <w:rFonts w:eastAsia="Calibri" w:cs="Arial"/>
          <w:b/>
          <w:bCs/>
          <w:i/>
          <w:iCs/>
          <w:sz w:val="20"/>
          <w:szCs w:val="20"/>
          <w:lang w:val="fr-FR"/>
        </w:rPr>
        <w:t xml:space="preserve"> de l’Atlantique sud</w:t>
      </w:r>
      <w:r w:rsidR="00EA0C73" w:rsidRPr="00610811">
        <w:rPr>
          <w:rFonts w:eastAsia="Calibri" w:cs="Arial"/>
          <w:b/>
          <w:bCs/>
          <w:i/>
          <w:iCs/>
          <w:sz w:val="20"/>
          <w:szCs w:val="20"/>
          <w:lang w:val="fr-FR"/>
        </w:rPr>
        <w:t>:</w:t>
      </w:r>
    </w:p>
    <w:p w14:paraId="5B893B32" w14:textId="401DB5FA" w:rsidR="00EA0676" w:rsidRPr="00610811" w:rsidRDefault="00811F01">
      <w:pPr>
        <w:spacing w:after="240" w:line="240" w:lineRule="auto"/>
        <w:ind w:left="567"/>
        <w:jc w:val="both"/>
        <w:rPr>
          <w:rFonts w:eastAsia="Calibri" w:cs="Arial"/>
          <w:i/>
          <w:iCs/>
          <w:sz w:val="20"/>
          <w:szCs w:val="20"/>
          <w:lang w:val="fr-FR"/>
        </w:rPr>
      </w:pPr>
      <w:r w:rsidRPr="00610811">
        <w:rPr>
          <w:rFonts w:eastAsia="Calibri" w:cs="Arial"/>
          <w:i/>
          <w:iCs/>
          <w:sz w:val="20"/>
          <w:szCs w:val="20"/>
          <w:lang w:val="fr-FR"/>
        </w:rPr>
        <w:t xml:space="preserve">[...] </w:t>
      </w:r>
      <w:r w:rsidR="00080585" w:rsidRPr="00A07C03">
        <w:rPr>
          <w:rFonts w:cs="Arial"/>
          <w:i/>
          <w:iCs/>
          <w:sz w:val="20"/>
          <w:szCs w:val="20"/>
          <w:shd w:val="clear" w:color="auto" w:fill="FFFFFF"/>
          <w:lang w:val="fr-FR"/>
        </w:rPr>
        <w:t xml:space="preserve">Les Parties sont invitées à soumettre, à travers leurs rapports nationaux, des rapports d'activité sur la mise en œuvre du Plan d'action pour la protection et la conservation des baleines de l’Atlantique sud (Annexe 1 à la Résolution UNEP/CMS/Résolution 12.17 </w:t>
      </w:r>
      <w:r w:rsidR="00080585" w:rsidRPr="00EA0C73">
        <w:rPr>
          <w:rFonts w:cs="Arial"/>
          <w:i/>
          <w:iCs/>
          <w:sz w:val="20"/>
          <w:szCs w:val="20"/>
          <w:shd w:val="clear" w:color="auto" w:fill="FFFFFF"/>
          <w:lang w:val="fr-FR"/>
        </w:rPr>
        <w:t>Conservation et gestion des baleines et de leurs habitats dans la région de l’Atlantique sud</w:t>
      </w:r>
      <w:r w:rsidR="00080585" w:rsidRPr="00A07C03">
        <w:rPr>
          <w:rFonts w:cs="Arial"/>
          <w:i/>
          <w:iCs/>
          <w:sz w:val="20"/>
          <w:szCs w:val="20"/>
          <w:shd w:val="clear" w:color="auto" w:fill="FFFFFF"/>
          <w:lang w:val="fr-FR"/>
        </w:rPr>
        <w:t>), y compris le suivi et l'efficacité des mesures prises, à la Conférence des Parties lors de sa 15</w:t>
      </w:r>
      <w:r w:rsidR="00080585" w:rsidRPr="00A07C03">
        <w:rPr>
          <w:rFonts w:cs="Arial"/>
          <w:i/>
          <w:iCs/>
          <w:sz w:val="20"/>
          <w:szCs w:val="20"/>
          <w:shd w:val="clear" w:color="auto" w:fill="FFFFFF"/>
          <w:vertAlign w:val="superscript"/>
          <w:lang w:val="fr-FR"/>
        </w:rPr>
        <w:t>e</w:t>
      </w:r>
      <w:r w:rsidR="00080585" w:rsidRPr="00A07C03">
        <w:rPr>
          <w:rFonts w:cs="Arial"/>
          <w:i/>
          <w:iCs/>
          <w:sz w:val="20"/>
          <w:szCs w:val="20"/>
          <w:shd w:val="clear" w:color="auto" w:fill="FFFFFF"/>
          <w:lang w:val="fr-FR"/>
        </w:rPr>
        <w:t xml:space="preserve"> réunion.</w:t>
      </w:r>
    </w:p>
    <w:p w14:paraId="3AB0D1B8" w14:textId="3E8531DA" w:rsidR="00EA0676" w:rsidRPr="00610811" w:rsidRDefault="007C0405">
      <w:pPr>
        <w:spacing w:after="240" w:line="240" w:lineRule="auto"/>
        <w:ind w:left="567"/>
        <w:jc w:val="both"/>
        <w:rPr>
          <w:rFonts w:eastAsia="Calibri" w:cs="Arial"/>
          <w:b/>
          <w:bCs/>
          <w:i/>
          <w:iCs/>
          <w:sz w:val="20"/>
          <w:szCs w:val="20"/>
          <w:lang w:val="fr-FR"/>
        </w:rPr>
      </w:pPr>
      <w:r w:rsidRPr="00610811">
        <w:rPr>
          <w:rFonts w:eastAsia="Calibri" w:cs="Arial"/>
          <w:b/>
          <w:bCs/>
          <w:i/>
          <w:iCs/>
          <w:sz w:val="20"/>
          <w:szCs w:val="20"/>
          <w:lang w:val="fr-FR"/>
        </w:rPr>
        <w:t>Décision</w:t>
      </w:r>
      <w:r w:rsidR="00811F01" w:rsidRPr="00610811">
        <w:rPr>
          <w:rFonts w:eastAsia="Calibri" w:cs="Arial"/>
          <w:b/>
          <w:bCs/>
          <w:i/>
          <w:iCs/>
          <w:sz w:val="20"/>
          <w:szCs w:val="20"/>
          <w:lang w:val="fr-FR"/>
        </w:rPr>
        <w:t xml:space="preserve"> 14.130 </w:t>
      </w:r>
      <w:r w:rsidR="00E3076C" w:rsidRPr="00610811">
        <w:rPr>
          <w:rFonts w:eastAsia="Calibri" w:cs="Arial"/>
          <w:b/>
          <w:bCs/>
          <w:i/>
          <w:iCs/>
          <w:sz w:val="20"/>
          <w:szCs w:val="20"/>
          <w:lang w:val="fr-FR"/>
        </w:rPr>
        <w:t>Plan d’action pour les oiseux terrestres migrateurs d’Afrique - Eurasie</w:t>
      </w:r>
      <w:r w:rsidR="00811F01" w:rsidRPr="00610811">
        <w:rPr>
          <w:rFonts w:eastAsia="Calibri" w:cs="Arial"/>
          <w:b/>
          <w:bCs/>
          <w:i/>
          <w:iCs/>
          <w:sz w:val="20"/>
          <w:szCs w:val="20"/>
          <w:lang w:val="fr-FR"/>
        </w:rPr>
        <w:t xml:space="preserve"> (AEMLAP)</w:t>
      </w:r>
      <w:r w:rsidR="00EA0C73" w:rsidRPr="00610811">
        <w:rPr>
          <w:rFonts w:eastAsia="Calibri" w:cs="Arial"/>
          <w:b/>
          <w:bCs/>
          <w:i/>
          <w:iCs/>
          <w:sz w:val="20"/>
          <w:szCs w:val="20"/>
          <w:lang w:val="fr-FR"/>
        </w:rPr>
        <w:t>:</w:t>
      </w:r>
    </w:p>
    <w:p w14:paraId="2C6A508B" w14:textId="093F1EE4" w:rsidR="00CF30FD" w:rsidRDefault="00E3076C">
      <w:pPr>
        <w:spacing w:after="240" w:line="240" w:lineRule="auto"/>
        <w:ind w:left="567"/>
        <w:jc w:val="both"/>
        <w:rPr>
          <w:rFonts w:cs="Arial"/>
          <w:i/>
          <w:iCs/>
          <w:sz w:val="20"/>
          <w:szCs w:val="20"/>
          <w:lang w:val="fr-FR"/>
        </w:rPr>
      </w:pPr>
      <w:r w:rsidRPr="00610811">
        <w:rPr>
          <w:rFonts w:eastAsia="Calibri" w:cs="Arial"/>
          <w:i/>
          <w:iCs/>
          <w:sz w:val="20"/>
          <w:szCs w:val="20"/>
          <w:lang w:val="fr-FR"/>
        </w:rPr>
        <w:t xml:space="preserve">Les </w:t>
      </w:r>
      <w:r w:rsidR="00811F01" w:rsidRPr="00610811">
        <w:rPr>
          <w:rFonts w:eastAsia="Calibri" w:cs="Arial"/>
          <w:i/>
          <w:iCs/>
          <w:sz w:val="20"/>
          <w:szCs w:val="20"/>
          <w:lang w:val="fr-FR"/>
        </w:rPr>
        <w:t>Parties [...] g</w:t>
      </w:r>
      <w:r w:rsidR="00811F01" w:rsidRPr="00610811">
        <w:rPr>
          <w:rFonts w:eastAsia="Calibri" w:cs="Arial"/>
          <w:sz w:val="20"/>
          <w:szCs w:val="20"/>
          <w:lang w:val="fr-FR"/>
        </w:rPr>
        <w:t xml:space="preserve">) </w:t>
      </w:r>
      <w:r w:rsidR="00A202BE" w:rsidRPr="00A07C03">
        <w:rPr>
          <w:rFonts w:cs="Arial"/>
          <w:i/>
          <w:iCs/>
          <w:sz w:val="20"/>
          <w:szCs w:val="20"/>
          <w:lang w:val="fr-FR"/>
        </w:rPr>
        <w:t>sont priées de donner des informations dans les rapports nationaux soumis à la COP15, sur les progrès accomplis dans la mise en œuvre de l'AEMLAP et son intégration dans d'autres accords internationaux pertinents, notamment sur le suivi et l'efficacité des mesures prises, afin d'atteindre les objectifs de la CMS</w:t>
      </w:r>
      <w:r w:rsidR="00444A27">
        <w:rPr>
          <w:rFonts w:cs="Arial"/>
          <w:i/>
          <w:iCs/>
          <w:sz w:val="20"/>
          <w:szCs w:val="20"/>
          <w:lang w:val="fr-FR"/>
        </w:rPr>
        <w:t xml:space="preserve">; </w:t>
      </w:r>
      <w:r w:rsidR="00444A27" w:rsidRPr="00444A27">
        <w:rPr>
          <w:rFonts w:cs="Arial"/>
          <w:i/>
          <w:iCs/>
          <w:sz w:val="20"/>
          <w:szCs w:val="20"/>
          <w:lang w:val="fr-FR"/>
        </w:rPr>
        <w:t>[...]</w:t>
      </w:r>
      <w:r w:rsidR="00444A27">
        <w:rPr>
          <w:rFonts w:cs="Arial"/>
          <w:i/>
          <w:iCs/>
          <w:sz w:val="20"/>
          <w:szCs w:val="20"/>
          <w:lang w:val="fr-FR"/>
        </w:rPr>
        <w:t xml:space="preserve"> </w:t>
      </w:r>
      <w:r w:rsidR="00CF30FD">
        <w:rPr>
          <w:rFonts w:cs="Arial"/>
          <w:i/>
          <w:iCs/>
          <w:sz w:val="20"/>
          <w:szCs w:val="20"/>
          <w:lang w:val="fr-FR"/>
        </w:rPr>
        <w:br w:type="page"/>
      </w:r>
    </w:p>
    <w:p w14:paraId="05A0B007" w14:textId="6244C2D4" w:rsidR="00EA0676" w:rsidRPr="00610811" w:rsidRDefault="007C0405">
      <w:pPr>
        <w:spacing w:after="240" w:line="240" w:lineRule="auto"/>
        <w:ind w:left="567"/>
        <w:jc w:val="both"/>
        <w:rPr>
          <w:rFonts w:eastAsia="Calibri" w:cs="Arial"/>
          <w:b/>
          <w:bCs/>
          <w:i/>
          <w:iCs/>
          <w:color w:val="000000" w:themeColor="text1"/>
          <w:sz w:val="20"/>
          <w:szCs w:val="20"/>
          <w:lang w:val="fr-FR"/>
        </w:rPr>
      </w:pPr>
      <w:r w:rsidRPr="00610811">
        <w:rPr>
          <w:rFonts w:eastAsia="Calibri" w:cs="Arial"/>
          <w:b/>
          <w:bCs/>
          <w:i/>
          <w:iCs/>
          <w:color w:val="000000" w:themeColor="text1"/>
          <w:sz w:val="20"/>
          <w:szCs w:val="20"/>
          <w:lang w:val="fr-FR"/>
        </w:rPr>
        <w:lastRenderedPageBreak/>
        <w:t>Décision</w:t>
      </w:r>
      <w:r w:rsidR="00811F01" w:rsidRPr="00610811">
        <w:rPr>
          <w:rFonts w:eastAsia="Calibri" w:cs="Arial"/>
          <w:b/>
          <w:bCs/>
          <w:i/>
          <w:iCs/>
          <w:color w:val="000000" w:themeColor="text1"/>
          <w:sz w:val="20"/>
          <w:szCs w:val="20"/>
          <w:lang w:val="fr-FR"/>
        </w:rPr>
        <w:t xml:space="preserve"> 14.137 </w:t>
      </w:r>
      <w:r w:rsidR="008C3770" w:rsidRPr="00610811">
        <w:rPr>
          <w:rFonts w:eastAsia="Calibri" w:cs="Arial"/>
          <w:b/>
          <w:bCs/>
          <w:i/>
          <w:iCs/>
          <w:color w:val="000000" w:themeColor="text1"/>
          <w:sz w:val="20"/>
          <w:szCs w:val="20"/>
          <w:lang w:val="fr-FR"/>
        </w:rPr>
        <w:t>Voies de migration</w:t>
      </w:r>
      <w:r w:rsidR="00EA0C73" w:rsidRPr="00610811">
        <w:rPr>
          <w:rFonts w:eastAsia="Calibri" w:cs="Arial"/>
          <w:b/>
          <w:bCs/>
          <w:i/>
          <w:iCs/>
          <w:color w:val="000000" w:themeColor="text1"/>
          <w:sz w:val="20"/>
          <w:szCs w:val="20"/>
          <w:lang w:val="fr-FR"/>
        </w:rPr>
        <w:t>:</w:t>
      </w:r>
    </w:p>
    <w:p w14:paraId="008DB39F" w14:textId="02F31B1B" w:rsidR="00EA0676" w:rsidRPr="00610811" w:rsidRDefault="008C3770">
      <w:pPr>
        <w:spacing w:after="240" w:line="240" w:lineRule="auto"/>
        <w:ind w:left="567"/>
        <w:jc w:val="both"/>
        <w:rPr>
          <w:rFonts w:eastAsia="Calibri" w:cs="Arial"/>
          <w:i/>
          <w:iCs/>
          <w:color w:val="000000" w:themeColor="text1"/>
          <w:sz w:val="20"/>
          <w:szCs w:val="20"/>
          <w:lang w:val="fr-FR"/>
        </w:rPr>
      </w:pPr>
      <w:r w:rsidRPr="00610811">
        <w:rPr>
          <w:rFonts w:eastAsia="Calibri" w:cs="Arial"/>
          <w:i/>
          <w:iCs/>
          <w:color w:val="000000" w:themeColor="text1"/>
          <w:sz w:val="20"/>
          <w:szCs w:val="20"/>
          <w:lang w:val="fr-FR"/>
        </w:rPr>
        <w:t xml:space="preserve">Les </w:t>
      </w:r>
      <w:r w:rsidR="00811F01" w:rsidRPr="00610811">
        <w:rPr>
          <w:rFonts w:eastAsia="Calibri" w:cs="Arial"/>
          <w:i/>
          <w:iCs/>
          <w:color w:val="000000" w:themeColor="text1"/>
          <w:sz w:val="20"/>
          <w:szCs w:val="20"/>
          <w:lang w:val="fr-FR"/>
        </w:rPr>
        <w:t xml:space="preserve">Parties: [...] d) </w:t>
      </w:r>
      <w:r w:rsidR="005430CB" w:rsidRPr="00A07C03">
        <w:rPr>
          <w:rFonts w:cs="Arial"/>
          <w:i/>
          <w:iCs/>
          <w:sz w:val="20"/>
          <w:szCs w:val="20"/>
          <w:lang w:val="fr-FR"/>
        </w:rPr>
        <w:t xml:space="preserve">sont invitées à faire état, dans les rapports nationaux, des progrès accomplis dans la mise en œuvre de la résolution 12.11 (Rev.COP14) </w:t>
      </w:r>
      <w:r w:rsidR="005430CB" w:rsidRPr="00EA0C73">
        <w:rPr>
          <w:rFonts w:cs="Arial"/>
          <w:i/>
          <w:iCs/>
          <w:sz w:val="20"/>
          <w:szCs w:val="20"/>
          <w:lang w:val="fr-FR"/>
        </w:rPr>
        <w:t>voies de migration</w:t>
      </w:r>
      <w:r w:rsidR="005430CB" w:rsidRPr="00A07C03">
        <w:rPr>
          <w:rFonts w:cs="Arial"/>
          <w:i/>
          <w:iCs/>
          <w:sz w:val="20"/>
          <w:szCs w:val="20"/>
          <w:lang w:val="fr-FR"/>
        </w:rPr>
        <w:t>, y compris le suivi de l’efficacité des mesures prises, à la 15</w:t>
      </w:r>
      <w:r w:rsidR="005430CB" w:rsidRPr="00A07C03">
        <w:rPr>
          <w:rFonts w:cs="Arial"/>
          <w:i/>
          <w:iCs/>
          <w:sz w:val="20"/>
          <w:szCs w:val="20"/>
          <w:vertAlign w:val="superscript"/>
          <w:lang w:val="fr-FR"/>
        </w:rPr>
        <w:t>e</w:t>
      </w:r>
      <w:r w:rsidR="005430CB" w:rsidRPr="00A07C03">
        <w:rPr>
          <w:rFonts w:cs="Arial"/>
          <w:i/>
          <w:iCs/>
          <w:sz w:val="20"/>
          <w:szCs w:val="20"/>
          <w:lang w:val="fr-FR"/>
        </w:rPr>
        <w:t> session de la Conférence des Parties (COP15)</w:t>
      </w:r>
    </w:p>
    <w:p w14:paraId="57307B48" w14:textId="10C0DF3E" w:rsidR="00EA0676" w:rsidRPr="00610811" w:rsidRDefault="007C0405">
      <w:pPr>
        <w:spacing w:after="240" w:line="240" w:lineRule="auto"/>
        <w:ind w:left="567"/>
        <w:jc w:val="both"/>
        <w:rPr>
          <w:rFonts w:eastAsia="Calibri" w:cs="Arial"/>
          <w:i/>
          <w:iCs/>
          <w:color w:val="000000" w:themeColor="text1"/>
          <w:sz w:val="20"/>
          <w:szCs w:val="20"/>
          <w:lang w:val="fr-FR"/>
        </w:rPr>
      </w:pPr>
      <w:r w:rsidRPr="00610811">
        <w:rPr>
          <w:rFonts w:eastAsia="Calibri" w:cs="Arial"/>
          <w:b/>
          <w:bCs/>
          <w:i/>
          <w:iCs/>
          <w:color w:val="000000" w:themeColor="text1"/>
          <w:sz w:val="20"/>
          <w:szCs w:val="20"/>
          <w:lang w:val="fr-FR"/>
        </w:rPr>
        <w:t>Décision</w:t>
      </w:r>
      <w:r w:rsidR="00811F01" w:rsidRPr="00610811">
        <w:rPr>
          <w:rFonts w:eastAsia="Calibri" w:cs="Arial"/>
          <w:b/>
          <w:bCs/>
          <w:i/>
          <w:iCs/>
          <w:color w:val="000000" w:themeColor="text1"/>
          <w:sz w:val="20"/>
          <w:szCs w:val="20"/>
          <w:lang w:val="fr-FR"/>
        </w:rPr>
        <w:t xml:space="preserve"> 14.182 </w:t>
      </w:r>
      <w:r w:rsidR="005430CB" w:rsidRPr="00610811">
        <w:rPr>
          <w:rFonts w:eastAsia="Calibri" w:cs="Arial"/>
          <w:b/>
          <w:bCs/>
          <w:i/>
          <w:iCs/>
          <w:color w:val="000000" w:themeColor="text1"/>
          <w:sz w:val="20"/>
          <w:szCs w:val="20"/>
          <w:lang w:val="fr-FR"/>
        </w:rPr>
        <w:t>Prélèvement ill</w:t>
      </w:r>
      <w:r w:rsidR="00CF30FD">
        <w:rPr>
          <w:rFonts w:eastAsia="Calibri" w:cs="Arial"/>
          <w:b/>
          <w:bCs/>
          <w:i/>
          <w:iCs/>
          <w:color w:val="000000" w:themeColor="text1"/>
          <w:sz w:val="20"/>
          <w:szCs w:val="20"/>
          <w:lang w:val="fr-FR"/>
        </w:rPr>
        <w:t>é</w:t>
      </w:r>
      <w:r w:rsidR="005430CB" w:rsidRPr="00610811">
        <w:rPr>
          <w:rFonts w:eastAsia="Calibri" w:cs="Arial"/>
          <w:b/>
          <w:bCs/>
          <w:i/>
          <w:iCs/>
          <w:color w:val="000000" w:themeColor="text1"/>
          <w:sz w:val="20"/>
          <w:szCs w:val="20"/>
          <w:lang w:val="fr-FR"/>
        </w:rPr>
        <w:t>gal et non durable d’espèces sauvages</w:t>
      </w:r>
      <w:r w:rsidR="00EA0C73" w:rsidRPr="00610811">
        <w:rPr>
          <w:rFonts w:eastAsia="Calibri" w:cs="Arial"/>
          <w:b/>
          <w:bCs/>
          <w:i/>
          <w:iCs/>
          <w:color w:val="000000" w:themeColor="text1"/>
          <w:sz w:val="20"/>
          <w:szCs w:val="20"/>
          <w:lang w:val="fr-FR"/>
        </w:rPr>
        <w:t>:</w:t>
      </w:r>
    </w:p>
    <w:p w14:paraId="79F64C8D" w14:textId="2D0F77DE" w:rsidR="00EA0676" w:rsidRPr="00610811" w:rsidRDefault="005430CB">
      <w:pPr>
        <w:spacing w:after="240" w:line="240" w:lineRule="auto"/>
        <w:ind w:left="567"/>
        <w:jc w:val="both"/>
        <w:rPr>
          <w:rFonts w:eastAsia="Calibri" w:cs="Arial"/>
          <w:i/>
          <w:iCs/>
          <w:color w:val="000000" w:themeColor="text1"/>
          <w:sz w:val="20"/>
          <w:szCs w:val="20"/>
          <w:lang w:val="fr-FR"/>
        </w:rPr>
      </w:pPr>
      <w:r w:rsidRPr="00610811">
        <w:rPr>
          <w:rFonts w:eastAsia="Calibri" w:cs="Arial"/>
          <w:i/>
          <w:iCs/>
          <w:color w:val="000000" w:themeColor="text1"/>
          <w:sz w:val="20"/>
          <w:szCs w:val="20"/>
          <w:lang w:val="fr-FR"/>
        </w:rPr>
        <w:t xml:space="preserve">Les </w:t>
      </w:r>
      <w:r w:rsidR="00811F01" w:rsidRPr="00610811">
        <w:rPr>
          <w:rFonts w:eastAsia="Calibri" w:cs="Arial"/>
          <w:i/>
          <w:iCs/>
          <w:color w:val="000000" w:themeColor="text1"/>
          <w:sz w:val="20"/>
          <w:szCs w:val="20"/>
          <w:lang w:val="fr-FR"/>
        </w:rPr>
        <w:t xml:space="preserve">Parties </w:t>
      </w:r>
      <w:r w:rsidR="003E3CE8">
        <w:rPr>
          <w:rFonts w:eastAsia="Calibri" w:cs="Arial"/>
          <w:i/>
          <w:iCs/>
          <w:color w:val="000000" w:themeColor="text1"/>
          <w:sz w:val="20"/>
          <w:szCs w:val="20"/>
          <w:lang w:val="fr-FR"/>
        </w:rPr>
        <w:t>sont invitées</w:t>
      </w:r>
      <w:r w:rsidR="00500C41">
        <w:rPr>
          <w:rFonts w:eastAsia="Calibri" w:cs="Arial"/>
          <w:i/>
          <w:iCs/>
          <w:color w:val="000000" w:themeColor="text1"/>
          <w:sz w:val="20"/>
          <w:szCs w:val="20"/>
          <w:lang w:val="fr-FR"/>
        </w:rPr>
        <w:t xml:space="preserve"> à</w:t>
      </w:r>
      <w:r w:rsidR="00811F01" w:rsidRPr="00610811">
        <w:rPr>
          <w:rFonts w:eastAsia="Calibri" w:cs="Arial"/>
          <w:i/>
          <w:iCs/>
          <w:color w:val="000000" w:themeColor="text1"/>
          <w:sz w:val="20"/>
          <w:szCs w:val="20"/>
          <w:lang w:val="fr-FR"/>
        </w:rPr>
        <w:t xml:space="preserve"> [...] k) </w:t>
      </w:r>
      <w:r w:rsidR="00864E7D" w:rsidRPr="00A07C03">
        <w:rPr>
          <w:rFonts w:cs="Arial"/>
          <w:i/>
          <w:iCs/>
          <w:sz w:val="20"/>
          <w:szCs w:val="20"/>
          <w:lang w:val="fr-FR"/>
        </w:rPr>
        <w:t>inclure des mises à jour sur la mise en œuvre de la présente Décision et de la Résolution 11.31 (Rev.COP14) dans leurs rapports nationaux à soumettre avant la 15</w:t>
      </w:r>
      <w:r w:rsidR="00864E7D" w:rsidRPr="00A07C03">
        <w:rPr>
          <w:rFonts w:cs="Arial"/>
          <w:i/>
          <w:iCs/>
          <w:sz w:val="20"/>
          <w:szCs w:val="20"/>
          <w:vertAlign w:val="superscript"/>
          <w:lang w:val="fr-FR"/>
        </w:rPr>
        <w:t>e</w:t>
      </w:r>
      <w:r w:rsidR="00864E7D" w:rsidRPr="00A07C03">
        <w:rPr>
          <w:rFonts w:cs="Arial"/>
          <w:i/>
          <w:iCs/>
          <w:sz w:val="20"/>
          <w:szCs w:val="20"/>
          <w:lang w:val="fr-FR"/>
        </w:rPr>
        <w:t xml:space="preserve"> Session de la Conférence des Parties</w:t>
      </w:r>
      <w:r w:rsidR="00811F01" w:rsidRPr="00610811">
        <w:rPr>
          <w:rFonts w:eastAsia="Calibri" w:cs="Arial"/>
          <w:i/>
          <w:iCs/>
          <w:color w:val="000000" w:themeColor="text1"/>
          <w:sz w:val="20"/>
          <w:szCs w:val="20"/>
          <w:lang w:val="fr-FR"/>
        </w:rPr>
        <w:t>.</w:t>
      </w:r>
    </w:p>
    <w:p w14:paraId="78E3A8E4" w14:textId="5BC55658" w:rsidR="00EA0676" w:rsidRPr="00610811" w:rsidRDefault="007C0405">
      <w:pPr>
        <w:spacing w:after="240" w:line="240" w:lineRule="auto"/>
        <w:ind w:left="567"/>
        <w:jc w:val="both"/>
        <w:rPr>
          <w:rFonts w:eastAsia="Calibri" w:cs="Arial"/>
          <w:b/>
          <w:bCs/>
          <w:i/>
          <w:iCs/>
          <w:color w:val="000000" w:themeColor="text1"/>
          <w:sz w:val="20"/>
          <w:szCs w:val="20"/>
          <w:lang w:val="fr-FR"/>
        </w:rPr>
      </w:pPr>
      <w:r w:rsidRPr="00610811">
        <w:rPr>
          <w:rFonts w:eastAsia="Calibri" w:cs="Arial"/>
          <w:b/>
          <w:bCs/>
          <w:i/>
          <w:iCs/>
          <w:color w:val="000000" w:themeColor="text1"/>
          <w:sz w:val="20"/>
          <w:szCs w:val="20"/>
          <w:lang w:val="fr-FR"/>
        </w:rPr>
        <w:t>Décision</w:t>
      </w:r>
      <w:r w:rsidR="00811F01" w:rsidRPr="00610811">
        <w:rPr>
          <w:rFonts w:eastAsia="Calibri" w:cs="Arial"/>
          <w:b/>
          <w:bCs/>
          <w:i/>
          <w:iCs/>
          <w:color w:val="000000" w:themeColor="text1"/>
          <w:sz w:val="20"/>
          <w:szCs w:val="20"/>
          <w:lang w:val="fr-FR"/>
        </w:rPr>
        <w:t xml:space="preserve"> 14.194 </w:t>
      </w:r>
      <w:r w:rsidR="00864E7D" w:rsidRPr="00610811">
        <w:rPr>
          <w:rFonts w:eastAsia="Calibri" w:cs="Arial"/>
          <w:b/>
          <w:bCs/>
          <w:i/>
          <w:iCs/>
          <w:color w:val="000000" w:themeColor="text1"/>
          <w:sz w:val="20"/>
          <w:szCs w:val="20"/>
          <w:lang w:val="fr-FR"/>
        </w:rPr>
        <w:t>Connectivité écologique</w:t>
      </w:r>
      <w:r w:rsidR="00EA0C73" w:rsidRPr="00610811">
        <w:rPr>
          <w:rFonts w:eastAsia="Calibri" w:cs="Arial"/>
          <w:b/>
          <w:bCs/>
          <w:i/>
          <w:iCs/>
          <w:color w:val="000000" w:themeColor="text1"/>
          <w:sz w:val="20"/>
          <w:szCs w:val="20"/>
          <w:lang w:val="fr-FR"/>
        </w:rPr>
        <w:t>:</w:t>
      </w:r>
    </w:p>
    <w:p w14:paraId="50D333C7" w14:textId="3C8E585E" w:rsidR="00EA0676" w:rsidRPr="00610811" w:rsidRDefault="00811F01">
      <w:pPr>
        <w:spacing w:after="240" w:line="240" w:lineRule="auto"/>
        <w:ind w:left="567"/>
        <w:jc w:val="both"/>
        <w:rPr>
          <w:rFonts w:eastAsia="Calibri" w:cs="Arial"/>
          <w:i/>
          <w:iCs/>
          <w:color w:val="000000" w:themeColor="text1"/>
          <w:sz w:val="20"/>
          <w:szCs w:val="20"/>
          <w:lang w:val="fr-FR"/>
        </w:rPr>
      </w:pPr>
      <w:r w:rsidRPr="00610811">
        <w:rPr>
          <w:rFonts w:eastAsia="Calibri" w:cs="Arial"/>
          <w:i/>
          <w:iCs/>
          <w:color w:val="000000" w:themeColor="text1"/>
          <w:sz w:val="20"/>
          <w:szCs w:val="20"/>
          <w:lang w:val="fr-FR"/>
        </w:rPr>
        <w:t xml:space="preserve">[...] c) </w:t>
      </w:r>
      <w:r w:rsidR="000B030A" w:rsidRPr="00A07C03">
        <w:rPr>
          <w:rFonts w:cs="Arial"/>
          <w:i/>
          <w:iCs/>
          <w:sz w:val="20"/>
          <w:szCs w:val="20"/>
          <w:lang w:val="fr-FR"/>
        </w:rPr>
        <w:t>rendre compte des actions entreprises en (a) et (b) dans le Rapport national à soumettre à la 15</w:t>
      </w:r>
      <w:r w:rsidR="000B030A" w:rsidRPr="00A07C03">
        <w:rPr>
          <w:rFonts w:cs="Arial"/>
          <w:i/>
          <w:iCs/>
          <w:sz w:val="20"/>
          <w:szCs w:val="20"/>
          <w:vertAlign w:val="superscript"/>
          <w:lang w:val="fr-FR"/>
        </w:rPr>
        <w:t>e</w:t>
      </w:r>
      <w:r w:rsidR="000B030A" w:rsidRPr="00A07C03">
        <w:rPr>
          <w:rFonts w:cs="Arial"/>
          <w:i/>
          <w:iCs/>
          <w:sz w:val="20"/>
          <w:szCs w:val="20"/>
          <w:lang w:val="fr-FR"/>
        </w:rPr>
        <w:t xml:space="preserve"> Session de la Conférence des Parties.</w:t>
      </w:r>
    </w:p>
    <w:p w14:paraId="51764A5C" w14:textId="698C9774" w:rsidR="00EA0676" w:rsidRPr="00610811" w:rsidRDefault="007C0405">
      <w:pPr>
        <w:spacing w:after="240" w:line="240" w:lineRule="auto"/>
        <w:ind w:left="567"/>
        <w:jc w:val="both"/>
        <w:rPr>
          <w:rFonts w:eastAsia="Calibri" w:cs="Arial"/>
          <w:b/>
          <w:bCs/>
          <w:i/>
          <w:iCs/>
          <w:color w:val="000000" w:themeColor="text1"/>
          <w:sz w:val="20"/>
          <w:szCs w:val="20"/>
          <w:highlight w:val="yellow"/>
          <w:lang w:val="fr-FR"/>
        </w:rPr>
      </w:pPr>
      <w:r w:rsidRPr="00610811">
        <w:rPr>
          <w:rFonts w:eastAsia="Calibri" w:cs="Arial"/>
          <w:b/>
          <w:bCs/>
          <w:i/>
          <w:iCs/>
          <w:color w:val="000000" w:themeColor="text1"/>
          <w:sz w:val="20"/>
          <w:szCs w:val="20"/>
          <w:lang w:val="fr-FR"/>
        </w:rPr>
        <w:t>Décision</w:t>
      </w:r>
      <w:r w:rsidR="00811F01" w:rsidRPr="00610811">
        <w:rPr>
          <w:rFonts w:eastAsia="Calibri" w:cs="Arial"/>
          <w:b/>
          <w:bCs/>
          <w:i/>
          <w:iCs/>
          <w:color w:val="000000" w:themeColor="text1"/>
          <w:sz w:val="20"/>
          <w:szCs w:val="20"/>
          <w:lang w:val="fr-FR"/>
        </w:rPr>
        <w:t xml:space="preserve"> 14.207 </w:t>
      </w:r>
      <w:r w:rsidR="000B030A" w:rsidRPr="00610811">
        <w:rPr>
          <w:rFonts w:eastAsia="Calibri" w:cs="Arial"/>
          <w:b/>
          <w:bCs/>
          <w:i/>
          <w:iCs/>
          <w:color w:val="000000" w:themeColor="text1"/>
          <w:sz w:val="20"/>
          <w:szCs w:val="20"/>
          <w:lang w:val="fr-FR"/>
        </w:rPr>
        <w:t>Énergie renouvables et espèces migratrices</w:t>
      </w:r>
      <w:r w:rsidR="00EA0C73" w:rsidRPr="00610811">
        <w:rPr>
          <w:rFonts w:eastAsia="Calibri" w:cs="Arial"/>
          <w:b/>
          <w:bCs/>
          <w:i/>
          <w:iCs/>
          <w:color w:val="000000" w:themeColor="text1"/>
          <w:sz w:val="20"/>
          <w:szCs w:val="20"/>
          <w:lang w:val="fr-FR"/>
        </w:rPr>
        <w:t>:</w:t>
      </w:r>
    </w:p>
    <w:p w14:paraId="420F88EF" w14:textId="11C7322B" w:rsidR="00EA0676" w:rsidRPr="00B33D66" w:rsidRDefault="00811F01">
      <w:pPr>
        <w:spacing w:after="240" w:line="240" w:lineRule="auto"/>
        <w:ind w:left="567"/>
        <w:jc w:val="both"/>
        <w:rPr>
          <w:rFonts w:eastAsia="Calibri" w:cs="Arial"/>
          <w:i/>
          <w:iCs/>
          <w:sz w:val="20"/>
          <w:szCs w:val="20"/>
          <w:lang w:val="fr-FR"/>
        </w:rPr>
      </w:pPr>
      <w:r w:rsidRPr="00AD006D">
        <w:rPr>
          <w:rFonts w:eastAsia="Calibri" w:cs="Arial"/>
          <w:i/>
          <w:iCs/>
          <w:color w:val="000000" w:themeColor="text1"/>
          <w:sz w:val="20"/>
          <w:szCs w:val="20"/>
          <w:lang w:val="fr-FR"/>
        </w:rPr>
        <w:t xml:space="preserve">[...] d) </w:t>
      </w:r>
      <w:r w:rsidR="000F6209" w:rsidRPr="00AD006D">
        <w:rPr>
          <w:rFonts w:cs="Arial"/>
          <w:i/>
          <w:iCs/>
          <w:sz w:val="20"/>
          <w:szCs w:val="20"/>
          <w:lang w:val="fr-FR"/>
        </w:rPr>
        <w:t>priées de rendre compte à la COP15 des activités susmentionnées dans leurs rapports nationaux</w:t>
      </w:r>
      <w:r w:rsidR="000F6209" w:rsidRPr="00AD006D">
        <w:rPr>
          <w:rFonts w:cs="Arial"/>
          <w:sz w:val="20"/>
          <w:szCs w:val="20"/>
          <w:lang w:val="fr-FR"/>
        </w:rPr>
        <w:t xml:space="preserve"> </w:t>
      </w:r>
      <w:r w:rsidR="00CB76FB" w:rsidRPr="00B33D66">
        <w:rPr>
          <w:rFonts w:eastAsia="Calibri" w:cs="Arial"/>
          <w:sz w:val="20"/>
          <w:szCs w:val="20"/>
          <w:lang w:val="fr-FR"/>
        </w:rPr>
        <w:t>(notamment l'intégration de la biodiversité et des espèces migratrices dans les plans d'action nationaux en matière d'énergie et de climat, l'aménagement du territoire et la législation, etc.).</w:t>
      </w:r>
    </w:p>
    <w:p w14:paraId="690506AC" w14:textId="33851D99" w:rsidR="00EA0676" w:rsidRPr="00610811" w:rsidRDefault="007C0405">
      <w:pPr>
        <w:spacing w:line="240" w:lineRule="auto"/>
        <w:ind w:firstLine="567"/>
        <w:jc w:val="both"/>
        <w:rPr>
          <w:b/>
          <w:bCs/>
          <w:i/>
          <w:iCs/>
          <w:sz w:val="20"/>
          <w:szCs w:val="20"/>
          <w:lang w:val="fr-FR"/>
        </w:rPr>
      </w:pPr>
      <w:r w:rsidRPr="00610811">
        <w:rPr>
          <w:b/>
          <w:bCs/>
          <w:i/>
          <w:iCs/>
          <w:sz w:val="20"/>
          <w:szCs w:val="20"/>
          <w:lang w:val="fr-FR"/>
        </w:rPr>
        <w:t>Décision</w:t>
      </w:r>
      <w:r w:rsidR="00811F01" w:rsidRPr="00610811">
        <w:rPr>
          <w:b/>
          <w:bCs/>
          <w:i/>
          <w:iCs/>
          <w:sz w:val="20"/>
          <w:szCs w:val="20"/>
          <w:lang w:val="fr-FR"/>
        </w:rPr>
        <w:t xml:space="preserve"> 14.21 </w:t>
      </w:r>
      <w:r w:rsidR="00C525BC" w:rsidRPr="00610811">
        <w:rPr>
          <w:b/>
          <w:bCs/>
          <w:i/>
          <w:iCs/>
          <w:sz w:val="20"/>
          <w:szCs w:val="20"/>
          <w:lang w:val="fr-FR"/>
        </w:rPr>
        <w:t>État de conservation des espèces migratrices</w:t>
      </w:r>
      <w:r w:rsidR="00811F01" w:rsidRPr="00610811">
        <w:rPr>
          <w:b/>
          <w:bCs/>
          <w:i/>
          <w:iCs/>
          <w:sz w:val="20"/>
          <w:szCs w:val="20"/>
          <w:lang w:val="fr-FR"/>
        </w:rPr>
        <w:t>:</w:t>
      </w:r>
    </w:p>
    <w:p w14:paraId="4DE9ACE1" w14:textId="34641219" w:rsidR="00661939" w:rsidRPr="00610811" w:rsidRDefault="00661939">
      <w:pPr>
        <w:spacing w:line="240" w:lineRule="auto"/>
        <w:ind w:left="567"/>
        <w:jc w:val="both"/>
        <w:rPr>
          <w:i/>
          <w:iCs/>
          <w:sz w:val="20"/>
          <w:szCs w:val="20"/>
          <w:lang w:val="fr-FR"/>
        </w:rPr>
      </w:pPr>
      <w:r w:rsidRPr="00A07C03">
        <w:rPr>
          <w:rFonts w:cs="Arial"/>
          <w:i/>
          <w:iCs/>
          <w:sz w:val="20"/>
          <w:szCs w:val="20"/>
          <w:lang w:val="fr-FR" w:eastAsia="ja-JP"/>
        </w:rPr>
        <w:t>Les Parties rendent compte, dans les rapports nationaux, des progrès accomplis dans la mise en œuvre de la Résolution 14.4, lors de la 15</w:t>
      </w:r>
      <w:r w:rsidRPr="00A07C03">
        <w:rPr>
          <w:rFonts w:cs="Arial"/>
          <w:i/>
          <w:iCs/>
          <w:sz w:val="20"/>
          <w:szCs w:val="20"/>
          <w:vertAlign w:val="superscript"/>
          <w:lang w:val="fr-FR" w:eastAsia="ja-JP"/>
        </w:rPr>
        <w:t>e</w:t>
      </w:r>
      <w:r w:rsidRPr="00A07C03">
        <w:rPr>
          <w:rFonts w:cs="Arial"/>
          <w:i/>
          <w:iCs/>
          <w:sz w:val="20"/>
          <w:szCs w:val="20"/>
          <w:lang w:val="fr-FR" w:eastAsia="ja-JP"/>
        </w:rPr>
        <w:t xml:space="preserve"> session de la Conférence des Parties.</w:t>
      </w:r>
    </w:p>
    <w:p w14:paraId="5C6B87D8" w14:textId="037EF563" w:rsidR="00EA0676" w:rsidRPr="00610811" w:rsidRDefault="007C0405">
      <w:pPr>
        <w:spacing w:after="240" w:line="240" w:lineRule="auto"/>
        <w:ind w:left="567"/>
        <w:jc w:val="both"/>
        <w:rPr>
          <w:rFonts w:eastAsia="Calibri" w:cs="Arial"/>
          <w:b/>
          <w:bCs/>
          <w:i/>
          <w:iCs/>
          <w:color w:val="000000" w:themeColor="text1"/>
          <w:sz w:val="20"/>
          <w:szCs w:val="20"/>
          <w:lang w:val="fr-FR"/>
        </w:rPr>
      </w:pPr>
      <w:r w:rsidRPr="00610811">
        <w:rPr>
          <w:rFonts w:eastAsia="Calibri" w:cs="Arial"/>
          <w:b/>
          <w:bCs/>
          <w:i/>
          <w:iCs/>
          <w:color w:val="000000" w:themeColor="text1"/>
          <w:sz w:val="20"/>
          <w:szCs w:val="20"/>
          <w:lang w:val="fr-FR"/>
        </w:rPr>
        <w:t>Décision</w:t>
      </w:r>
      <w:r w:rsidR="00811F01" w:rsidRPr="00610811">
        <w:rPr>
          <w:rFonts w:eastAsia="Calibri" w:cs="Arial"/>
          <w:b/>
          <w:bCs/>
          <w:i/>
          <w:iCs/>
          <w:color w:val="000000" w:themeColor="text1"/>
          <w:sz w:val="20"/>
          <w:szCs w:val="20"/>
          <w:lang w:val="fr-FR"/>
        </w:rPr>
        <w:t xml:space="preserve"> 14.211 </w:t>
      </w:r>
      <w:r w:rsidR="00B418DE" w:rsidRPr="00610811">
        <w:rPr>
          <w:rFonts w:eastAsia="Calibri" w:cs="Arial"/>
          <w:b/>
          <w:bCs/>
          <w:i/>
          <w:iCs/>
          <w:color w:val="000000" w:themeColor="text1"/>
          <w:sz w:val="20"/>
          <w:szCs w:val="20"/>
          <w:lang w:val="fr-FR"/>
        </w:rPr>
        <w:t>Changement climatique et espèces migratrices</w:t>
      </w:r>
      <w:r w:rsidR="000C31FF" w:rsidRPr="00610811">
        <w:rPr>
          <w:rFonts w:eastAsia="Calibri" w:cs="Arial"/>
          <w:b/>
          <w:bCs/>
          <w:i/>
          <w:iCs/>
          <w:color w:val="000000" w:themeColor="text1"/>
          <w:sz w:val="20"/>
          <w:szCs w:val="20"/>
          <w:lang w:val="fr-FR"/>
        </w:rPr>
        <w:t>:</w:t>
      </w:r>
    </w:p>
    <w:p w14:paraId="2447487B" w14:textId="6155E5A3" w:rsidR="00EA0676" w:rsidRPr="00610811" w:rsidRDefault="00811F01">
      <w:pPr>
        <w:spacing w:after="240" w:line="240" w:lineRule="auto"/>
        <w:ind w:left="567"/>
        <w:jc w:val="both"/>
        <w:rPr>
          <w:rFonts w:eastAsia="Calibri" w:cs="Arial"/>
          <w:i/>
          <w:iCs/>
          <w:color w:val="000000" w:themeColor="text1"/>
          <w:sz w:val="20"/>
          <w:szCs w:val="20"/>
          <w:lang w:val="fr-FR"/>
        </w:rPr>
      </w:pPr>
      <w:r w:rsidRPr="00610811">
        <w:rPr>
          <w:rFonts w:eastAsia="Calibri" w:cs="Arial"/>
          <w:i/>
          <w:iCs/>
          <w:color w:val="000000" w:themeColor="text1"/>
          <w:sz w:val="20"/>
          <w:szCs w:val="20"/>
          <w:lang w:val="fr-FR"/>
        </w:rPr>
        <w:t xml:space="preserve">[...] f) </w:t>
      </w:r>
      <w:r w:rsidR="00245439" w:rsidRPr="00A07C03">
        <w:rPr>
          <w:rFonts w:cs="Arial"/>
          <w:i/>
          <w:noProof/>
          <w:sz w:val="20"/>
          <w:szCs w:val="20"/>
          <w:lang w:val="fr-FR"/>
        </w:rPr>
        <w:t>rendre compte des progrès réalisés dans la mise en œuvre de cette Décision, via des études de cas et leurs Rapports nationaux, lors de la 15</w:t>
      </w:r>
      <w:r w:rsidR="00245439" w:rsidRPr="00A07C03">
        <w:rPr>
          <w:rFonts w:cs="Arial"/>
          <w:i/>
          <w:noProof/>
          <w:sz w:val="20"/>
          <w:szCs w:val="20"/>
          <w:vertAlign w:val="superscript"/>
          <w:lang w:val="fr-FR"/>
        </w:rPr>
        <w:t>e</w:t>
      </w:r>
      <w:r w:rsidR="00245439" w:rsidRPr="00A07C03">
        <w:rPr>
          <w:rFonts w:cs="Arial"/>
          <w:i/>
          <w:noProof/>
          <w:sz w:val="20"/>
          <w:szCs w:val="20"/>
          <w:lang w:val="fr-FR"/>
        </w:rPr>
        <w:t xml:space="preserve"> Session de la Conférence des Parties.</w:t>
      </w:r>
    </w:p>
    <w:p w14:paraId="1F07F0AF" w14:textId="35BBD3AF" w:rsidR="009B04C5" w:rsidRPr="00610811" w:rsidRDefault="007C0405" w:rsidP="009B04C5">
      <w:pPr>
        <w:spacing w:after="240" w:line="240" w:lineRule="auto"/>
        <w:ind w:left="567"/>
        <w:jc w:val="both"/>
        <w:rPr>
          <w:rFonts w:eastAsia="Calibri" w:cs="Arial"/>
          <w:b/>
          <w:bCs/>
          <w:i/>
          <w:iCs/>
          <w:color w:val="000000" w:themeColor="text1"/>
          <w:sz w:val="20"/>
          <w:szCs w:val="20"/>
          <w:lang w:val="fr-FR"/>
        </w:rPr>
      </w:pPr>
      <w:r w:rsidRPr="00610811">
        <w:rPr>
          <w:rFonts w:eastAsia="Calibri" w:cs="Arial"/>
          <w:b/>
          <w:bCs/>
          <w:i/>
          <w:iCs/>
          <w:color w:val="000000" w:themeColor="text1"/>
          <w:sz w:val="20"/>
          <w:szCs w:val="20"/>
          <w:lang w:val="fr-FR"/>
        </w:rPr>
        <w:t>Décision</w:t>
      </w:r>
      <w:r w:rsidR="00811F01" w:rsidRPr="00610811">
        <w:rPr>
          <w:rFonts w:eastAsia="Calibri" w:cs="Arial"/>
          <w:b/>
          <w:bCs/>
          <w:i/>
          <w:iCs/>
          <w:color w:val="000000" w:themeColor="text1"/>
          <w:sz w:val="20"/>
          <w:szCs w:val="20"/>
          <w:lang w:val="fr-FR"/>
        </w:rPr>
        <w:t xml:space="preserve"> 14.213 </w:t>
      </w:r>
      <w:r w:rsidR="00AC5F06" w:rsidRPr="00610811">
        <w:rPr>
          <w:rFonts w:eastAsia="Calibri" w:cs="Arial"/>
          <w:b/>
          <w:bCs/>
          <w:i/>
          <w:iCs/>
          <w:color w:val="000000" w:themeColor="text1"/>
          <w:sz w:val="20"/>
          <w:szCs w:val="20"/>
          <w:lang w:val="fr-FR"/>
        </w:rPr>
        <w:t>Changement climatique et espèces migratrices</w:t>
      </w:r>
      <w:r w:rsidR="00811F01" w:rsidRPr="00610811">
        <w:rPr>
          <w:rFonts w:eastAsia="Calibri" w:cs="Arial"/>
          <w:b/>
          <w:bCs/>
          <w:i/>
          <w:iCs/>
          <w:color w:val="000000" w:themeColor="text1"/>
          <w:sz w:val="20"/>
          <w:szCs w:val="20"/>
          <w:lang w:val="fr-FR"/>
        </w:rPr>
        <w:t xml:space="preserve">: </w:t>
      </w:r>
    </w:p>
    <w:p w14:paraId="3C026E44" w14:textId="77777777" w:rsidR="009B04C5" w:rsidRPr="00610811" w:rsidRDefault="00E94947" w:rsidP="009B04C5">
      <w:pPr>
        <w:spacing w:after="240" w:line="240" w:lineRule="auto"/>
        <w:ind w:left="567"/>
        <w:jc w:val="both"/>
        <w:rPr>
          <w:rFonts w:eastAsia="Calibri" w:cs="Arial"/>
          <w:b/>
          <w:bCs/>
          <w:i/>
          <w:iCs/>
          <w:color w:val="000000" w:themeColor="text1"/>
          <w:sz w:val="20"/>
          <w:szCs w:val="20"/>
          <w:lang w:val="fr-FR"/>
        </w:rPr>
      </w:pPr>
      <w:r w:rsidRPr="00EA0C73">
        <w:rPr>
          <w:rFonts w:cs="Arial"/>
          <w:noProof/>
          <w:sz w:val="20"/>
          <w:szCs w:val="20"/>
          <w:lang w:val="fr-FR"/>
        </w:rPr>
        <w:t xml:space="preserve">Le Comité permanent est invité à : </w:t>
      </w:r>
    </w:p>
    <w:p w14:paraId="1864B576" w14:textId="77777777" w:rsidR="009B04C5" w:rsidRPr="00EA0C73" w:rsidRDefault="00E94947" w:rsidP="009B04C5">
      <w:pPr>
        <w:pStyle w:val="ListParagraph"/>
        <w:numPr>
          <w:ilvl w:val="0"/>
          <w:numId w:val="34"/>
        </w:numPr>
        <w:rPr>
          <w:rFonts w:cs="Arial"/>
          <w:noProof/>
          <w:sz w:val="20"/>
          <w:szCs w:val="20"/>
          <w:lang w:val="fr-FR"/>
        </w:rPr>
      </w:pPr>
      <w:r w:rsidRPr="00EA0C73">
        <w:rPr>
          <w:rFonts w:cs="Arial"/>
          <w:noProof/>
          <w:sz w:val="20"/>
          <w:szCs w:val="20"/>
          <w:lang w:val="fr-FR"/>
        </w:rPr>
        <w:t>réviser/amender le format du Rapport national en vue de saisir les réponses des Parties à la Résolution 12.21 (Rev.COP14) et les décisions relatives au changement climatique adoptées lors de la COP14 ; et</w:t>
      </w:r>
    </w:p>
    <w:p w14:paraId="3CBEB97F" w14:textId="77777777" w:rsidR="009B04C5" w:rsidRPr="00EA0C73" w:rsidRDefault="009B04C5" w:rsidP="009B04C5">
      <w:pPr>
        <w:pStyle w:val="ListParagraph"/>
        <w:rPr>
          <w:rFonts w:cs="Arial"/>
          <w:noProof/>
          <w:sz w:val="20"/>
          <w:szCs w:val="20"/>
          <w:lang w:val="fr-FR"/>
        </w:rPr>
      </w:pPr>
    </w:p>
    <w:p w14:paraId="57C66615" w14:textId="4C499491" w:rsidR="00EA0676" w:rsidRPr="00A07C03" w:rsidRDefault="00E94947" w:rsidP="009B04C5">
      <w:pPr>
        <w:pStyle w:val="ListParagraph"/>
        <w:numPr>
          <w:ilvl w:val="0"/>
          <w:numId w:val="34"/>
        </w:numPr>
        <w:rPr>
          <w:rFonts w:eastAsia="Calibri"/>
          <w:i/>
          <w:iCs/>
          <w:color w:val="000000" w:themeColor="text1"/>
          <w:lang w:val="fr-FR"/>
        </w:rPr>
      </w:pPr>
      <w:r w:rsidRPr="00EA0C73">
        <w:rPr>
          <w:rFonts w:cs="Arial"/>
          <w:noProof/>
          <w:sz w:val="20"/>
          <w:szCs w:val="20"/>
          <w:lang w:val="fr-FR"/>
        </w:rPr>
        <w:t>rendre compte des progrès accomplis dans la mise en œuvre de cette Décision lors de la 15</w:t>
      </w:r>
      <w:r w:rsidRPr="00EA0C73">
        <w:rPr>
          <w:rFonts w:cs="Arial"/>
          <w:noProof/>
          <w:sz w:val="20"/>
          <w:szCs w:val="20"/>
          <w:vertAlign w:val="superscript"/>
          <w:lang w:val="fr-FR"/>
        </w:rPr>
        <w:t>e</w:t>
      </w:r>
      <w:r w:rsidRPr="00EA0C73">
        <w:rPr>
          <w:rFonts w:cs="Arial"/>
          <w:noProof/>
          <w:sz w:val="20"/>
          <w:szCs w:val="20"/>
          <w:lang w:val="fr-FR"/>
        </w:rPr>
        <w:t xml:space="preserve"> Session de la Conférence des Parties.</w:t>
      </w:r>
    </w:p>
    <w:p w14:paraId="7147279D" w14:textId="14C6F985" w:rsidR="00EA0676" w:rsidRPr="00610811" w:rsidRDefault="007C0405">
      <w:pPr>
        <w:spacing w:after="240" w:line="240" w:lineRule="auto"/>
        <w:ind w:left="567"/>
        <w:jc w:val="both"/>
        <w:rPr>
          <w:rFonts w:eastAsia="Calibri" w:cs="Arial"/>
          <w:b/>
          <w:bCs/>
          <w:i/>
          <w:iCs/>
          <w:color w:val="000000" w:themeColor="text1"/>
          <w:sz w:val="20"/>
          <w:szCs w:val="20"/>
          <w:lang w:val="fr-FR"/>
        </w:rPr>
      </w:pPr>
      <w:r w:rsidRPr="00610811">
        <w:rPr>
          <w:rFonts w:eastAsia="Calibri" w:cs="Arial"/>
          <w:b/>
          <w:bCs/>
          <w:i/>
          <w:iCs/>
          <w:color w:val="000000" w:themeColor="text1"/>
          <w:sz w:val="20"/>
          <w:szCs w:val="20"/>
          <w:lang w:val="fr-FR"/>
        </w:rPr>
        <w:t>Décision</w:t>
      </w:r>
      <w:r w:rsidR="00811F01" w:rsidRPr="00610811">
        <w:rPr>
          <w:rFonts w:eastAsia="Calibri" w:cs="Arial"/>
          <w:b/>
          <w:bCs/>
          <w:i/>
          <w:iCs/>
          <w:color w:val="000000" w:themeColor="text1"/>
          <w:sz w:val="20"/>
          <w:szCs w:val="20"/>
          <w:lang w:val="fr-FR"/>
        </w:rPr>
        <w:t xml:space="preserve"> 14.215 </w:t>
      </w:r>
      <w:r w:rsidR="00472E9F" w:rsidRPr="00610811">
        <w:rPr>
          <w:rFonts w:eastAsia="Calibri" w:cs="Arial"/>
          <w:b/>
          <w:bCs/>
          <w:i/>
          <w:iCs/>
          <w:color w:val="000000" w:themeColor="text1"/>
          <w:sz w:val="20"/>
          <w:szCs w:val="20"/>
          <w:lang w:val="fr-FR"/>
        </w:rPr>
        <w:t>Changement climatique et espèces migratrices</w:t>
      </w:r>
      <w:r w:rsidR="00811F01" w:rsidRPr="00610811">
        <w:rPr>
          <w:rFonts w:eastAsia="Calibri" w:cs="Arial"/>
          <w:b/>
          <w:bCs/>
          <w:i/>
          <w:iCs/>
          <w:color w:val="000000" w:themeColor="text1"/>
          <w:sz w:val="20"/>
          <w:szCs w:val="20"/>
          <w:lang w:val="fr-FR"/>
        </w:rPr>
        <w:t xml:space="preserve">: </w:t>
      </w:r>
    </w:p>
    <w:p w14:paraId="48838E49" w14:textId="77777777" w:rsidR="007E280B" w:rsidRPr="00A07C03" w:rsidRDefault="007E280B" w:rsidP="00A07C03">
      <w:pPr>
        <w:spacing w:line="240" w:lineRule="auto"/>
        <w:ind w:left="567"/>
        <w:rPr>
          <w:rFonts w:cs="Arial"/>
          <w:i/>
          <w:iCs/>
          <w:noProof/>
          <w:sz w:val="20"/>
          <w:szCs w:val="20"/>
          <w:lang w:val="fr-FR"/>
        </w:rPr>
      </w:pPr>
      <w:r w:rsidRPr="00A07C03">
        <w:rPr>
          <w:rFonts w:cs="Arial"/>
          <w:i/>
          <w:iCs/>
          <w:noProof/>
          <w:sz w:val="20"/>
          <w:szCs w:val="20"/>
          <w:lang w:val="fr-FR"/>
        </w:rPr>
        <w:t xml:space="preserve">Le Secrétariat et le Conseiller scientifique sur le changement climatique nommé par la COP, sous réserve de la disponibilité de ressources externes, devraient : </w:t>
      </w:r>
    </w:p>
    <w:p w14:paraId="57A8F629" w14:textId="17780BA2" w:rsidR="006C6CFE" w:rsidRPr="00612B13" w:rsidRDefault="00811F01">
      <w:pPr>
        <w:spacing w:after="240" w:line="240" w:lineRule="auto"/>
        <w:ind w:left="567"/>
        <w:jc w:val="both"/>
        <w:rPr>
          <w:rFonts w:eastAsia="Calibri" w:cs="Arial"/>
          <w:i/>
          <w:iCs/>
          <w:color w:val="000000" w:themeColor="text1"/>
          <w:sz w:val="20"/>
          <w:szCs w:val="20"/>
          <w:lang w:val="fr-FR"/>
        </w:rPr>
      </w:pPr>
      <w:r w:rsidRPr="00612B13">
        <w:rPr>
          <w:rFonts w:eastAsia="Calibri" w:cs="Arial"/>
          <w:i/>
          <w:iCs/>
          <w:color w:val="000000" w:themeColor="text1"/>
          <w:sz w:val="20"/>
          <w:szCs w:val="20"/>
          <w:lang w:val="fr-FR"/>
        </w:rPr>
        <w:t xml:space="preserve">[...] c) </w:t>
      </w:r>
      <w:r w:rsidR="006C6CFE" w:rsidRPr="00A07C03">
        <w:rPr>
          <w:rFonts w:cs="Arial"/>
          <w:i/>
          <w:noProof/>
          <w:sz w:val="20"/>
          <w:szCs w:val="20"/>
          <w:lang w:val="fr-FR"/>
        </w:rPr>
        <w:t>proposer des révisions au format du Rapport national pour examen par le Comité permanent lors de sa 56</w:t>
      </w:r>
      <w:r w:rsidR="006C6CFE" w:rsidRPr="00A07C03">
        <w:rPr>
          <w:rFonts w:cs="Arial"/>
          <w:i/>
          <w:noProof/>
          <w:sz w:val="20"/>
          <w:szCs w:val="20"/>
          <w:vertAlign w:val="superscript"/>
          <w:lang w:val="fr-FR"/>
        </w:rPr>
        <w:t>e</w:t>
      </w:r>
      <w:r w:rsidR="006C6CFE" w:rsidRPr="00A07C03">
        <w:rPr>
          <w:rFonts w:cs="Arial"/>
          <w:i/>
          <w:noProof/>
          <w:sz w:val="20"/>
          <w:szCs w:val="20"/>
          <w:lang w:val="fr-FR"/>
        </w:rPr>
        <w:t xml:space="preserve"> ou de sa 57</w:t>
      </w:r>
      <w:r w:rsidR="006C6CFE" w:rsidRPr="00A07C03">
        <w:rPr>
          <w:rFonts w:cs="Arial"/>
          <w:i/>
          <w:noProof/>
          <w:sz w:val="20"/>
          <w:szCs w:val="20"/>
          <w:vertAlign w:val="superscript"/>
          <w:lang w:val="fr-FR"/>
        </w:rPr>
        <w:t>e</w:t>
      </w:r>
      <w:r w:rsidR="006C6CFE" w:rsidRPr="00A07C03">
        <w:rPr>
          <w:rFonts w:cs="Arial"/>
          <w:i/>
          <w:noProof/>
          <w:sz w:val="20"/>
          <w:szCs w:val="20"/>
          <w:lang w:val="fr-FR"/>
        </w:rPr>
        <w:t xml:space="preserve"> Réunion</w:t>
      </w:r>
      <w:r w:rsidR="006C6CFE" w:rsidRPr="00EA0C73">
        <w:rPr>
          <w:rFonts w:cs="Arial"/>
          <w:iCs/>
          <w:noProof/>
          <w:sz w:val="20"/>
          <w:szCs w:val="20"/>
          <w:lang w:val="fr-FR"/>
        </w:rPr>
        <w:t xml:space="preserve"> </w:t>
      </w:r>
    </w:p>
    <w:p w14:paraId="480A7594" w14:textId="28051885" w:rsidR="00EA0676" w:rsidRPr="00610811" w:rsidRDefault="007C0405">
      <w:pPr>
        <w:spacing w:after="240" w:line="240" w:lineRule="auto"/>
        <w:ind w:left="567"/>
        <w:jc w:val="both"/>
        <w:rPr>
          <w:rFonts w:eastAsia="Calibri" w:cs="Arial"/>
          <w:b/>
          <w:bCs/>
          <w:i/>
          <w:iCs/>
          <w:color w:val="000000" w:themeColor="text1"/>
          <w:sz w:val="20"/>
          <w:szCs w:val="20"/>
          <w:lang w:val="fr-FR"/>
        </w:rPr>
      </w:pPr>
      <w:r w:rsidRPr="00610811">
        <w:rPr>
          <w:rFonts w:eastAsia="Calibri" w:cs="Arial"/>
          <w:b/>
          <w:bCs/>
          <w:i/>
          <w:iCs/>
          <w:color w:val="000000" w:themeColor="text1"/>
          <w:sz w:val="20"/>
          <w:szCs w:val="20"/>
          <w:lang w:val="fr-FR"/>
        </w:rPr>
        <w:t>Décision</w:t>
      </w:r>
      <w:r w:rsidR="00811F01" w:rsidRPr="00610811">
        <w:rPr>
          <w:rFonts w:eastAsia="Calibri" w:cs="Arial"/>
          <w:b/>
          <w:bCs/>
          <w:i/>
          <w:iCs/>
          <w:color w:val="000000" w:themeColor="text1"/>
          <w:sz w:val="20"/>
          <w:szCs w:val="20"/>
          <w:lang w:val="fr-FR"/>
        </w:rPr>
        <w:t xml:space="preserve"> 14.232 </w:t>
      </w:r>
      <w:r w:rsidR="006C6CFE" w:rsidRPr="00610811">
        <w:rPr>
          <w:rFonts w:eastAsia="Calibri" w:cs="Arial"/>
          <w:b/>
          <w:bCs/>
          <w:i/>
          <w:iCs/>
          <w:color w:val="000000" w:themeColor="text1"/>
          <w:sz w:val="20"/>
          <w:szCs w:val="20"/>
          <w:lang w:val="fr-FR"/>
        </w:rPr>
        <w:t>Orientations concernant la creation d’une liste consultative d’espèces agrégrées par familles et genres inscrites à l’Annexe II:</w:t>
      </w:r>
    </w:p>
    <w:p w14:paraId="4052D364" w14:textId="4C39D160" w:rsidR="00EA0676" w:rsidRPr="00610811" w:rsidRDefault="00EA0C73" w:rsidP="00A07C03">
      <w:pPr>
        <w:spacing w:after="0" w:line="240" w:lineRule="auto"/>
        <w:ind w:left="567"/>
        <w:jc w:val="both"/>
        <w:rPr>
          <w:highlight w:val="yellow"/>
          <w:lang w:val="fr-FR"/>
        </w:rPr>
      </w:pPr>
      <w:r w:rsidRPr="00A07C03">
        <w:rPr>
          <w:rFonts w:cs="Arial"/>
          <w:i/>
          <w:sz w:val="20"/>
          <w:szCs w:val="20"/>
          <w:lang w:val="fr-FR"/>
        </w:rPr>
        <w:t>Les Parties sont invitées à utiliser la liste annexée à la Résolution 14.19 pour les aider à rédiger leur rapport national sur les espèces pour lesquelles elles constituent un État de l'aire de répartition.</w:t>
      </w:r>
    </w:p>
    <w:p w14:paraId="14CB333B" w14:textId="77777777" w:rsidR="00EA0676" w:rsidRPr="00610811" w:rsidRDefault="00EA0676">
      <w:pPr>
        <w:spacing w:after="0" w:line="240" w:lineRule="auto"/>
        <w:jc w:val="both"/>
        <w:rPr>
          <w:highlight w:val="yellow"/>
          <w:lang w:val="fr-FR"/>
        </w:rPr>
        <w:sectPr w:rsidR="00EA0676" w:rsidRPr="00610811">
          <w:headerReference w:type="even" r:id="rId23"/>
          <w:headerReference w:type="default" r:id="rId24"/>
          <w:pgSz w:w="11906" w:h="16838" w:code="9"/>
          <w:pgMar w:top="1440" w:right="1440" w:bottom="1440" w:left="1440" w:header="720" w:footer="720" w:gutter="0"/>
          <w:cols w:space="720"/>
          <w:docGrid w:linePitch="360"/>
        </w:sectPr>
      </w:pPr>
    </w:p>
    <w:p w14:paraId="52791CEC" w14:textId="548645EB" w:rsidR="00EA0676" w:rsidRPr="004E5C86" w:rsidRDefault="00811F01">
      <w:pPr>
        <w:spacing w:after="0" w:line="240" w:lineRule="auto"/>
        <w:jc w:val="right"/>
        <w:rPr>
          <w:lang w:val="fr-FR"/>
        </w:rPr>
      </w:pPr>
      <w:r w:rsidRPr="004E5C86">
        <w:rPr>
          <w:b/>
          <w:bCs/>
          <w:lang w:val="fr-FR"/>
        </w:rPr>
        <w:lastRenderedPageBreak/>
        <w:t>ANNEX</w:t>
      </w:r>
      <w:r w:rsidR="000F55C5" w:rsidRPr="004E5C86">
        <w:rPr>
          <w:b/>
          <w:bCs/>
          <w:lang w:val="fr-FR"/>
        </w:rPr>
        <w:t>E</w:t>
      </w:r>
      <w:r w:rsidRPr="004E5C86">
        <w:rPr>
          <w:b/>
          <w:bCs/>
          <w:lang w:val="fr-FR"/>
        </w:rPr>
        <w:t xml:space="preserve"> 4</w:t>
      </w:r>
    </w:p>
    <w:p w14:paraId="0B57764F" w14:textId="77777777" w:rsidR="00EA0676" w:rsidRPr="004E5C86" w:rsidRDefault="00EA0676">
      <w:pPr>
        <w:spacing w:after="0" w:line="240" w:lineRule="auto"/>
        <w:jc w:val="both"/>
        <w:rPr>
          <w:lang w:val="fr-FR"/>
        </w:rPr>
      </w:pPr>
    </w:p>
    <w:p w14:paraId="1C65AAF6" w14:textId="73FD1316" w:rsidR="00EA0676" w:rsidRPr="00610811" w:rsidRDefault="00DD5888">
      <w:pPr>
        <w:spacing w:after="120" w:line="240" w:lineRule="auto"/>
        <w:jc w:val="center"/>
        <w:rPr>
          <w:b/>
          <w:bCs/>
          <w:lang w:val="fr-FR"/>
        </w:rPr>
      </w:pPr>
      <w:r w:rsidRPr="004E5C86">
        <w:rPr>
          <w:b/>
          <w:bCs/>
          <w:lang w:val="fr-FR"/>
        </w:rPr>
        <w:t xml:space="preserve">DISPOSITIONS CONTENUES DANS LES RÉSOLUTIONS DEMANDANT AUX PARTIES DE </w:t>
      </w:r>
      <w:r w:rsidR="00B22F6C">
        <w:rPr>
          <w:b/>
          <w:bCs/>
          <w:lang w:val="fr-FR"/>
        </w:rPr>
        <w:t>RENDRE COMPTE DANS LE CADRE DE</w:t>
      </w:r>
      <w:r w:rsidR="00A16E69">
        <w:rPr>
          <w:b/>
          <w:bCs/>
          <w:lang w:val="fr-FR"/>
        </w:rPr>
        <w:t xml:space="preserve"> </w:t>
      </w:r>
      <w:r w:rsidR="00FE4621">
        <w:rPr>
          <w:b/>
          <w:bCs/>
          <w:lang w:val="fr-FR"/>
        </w:rPr>
        <w:t xml:space="preserve">LEURS </w:t>
      </w:r>
      <w:r w:rsidRPr="004E5C86">
        <w:rPr>
          <w:b/>
          <w:bCs/>
          <w:lang w:val="fr-FR"/>
        </w:rPr>
        <w:t>RAPPORTS NATIONAUX</w:t>
      </w:r>
      <w:r w:rsidR="00FE4621">
        <w:rPr>
          <w:b/>
          <w:bCs/>
          <w:lang w:val="fr-FR"/>
        </w:rPr>
        <w:t xml:space="preserve"> CMS</w:t>
      </w:r>
    </w:p>
    <w:p w14:paraId="34891D1F" w14:textId="77777777" w:rsidR="00DD5888" w:rsidRPr="00610811" w:rsidRDefault="00DD5888">
      <w:pPr>
        <w:spacing w:after="120" w:line="240" w:lineRule="auto"/>
        <w:jc w:val="center"/>
        <w:rPr>
          <w:b/>
          <w:bCs/>
          <w:highlight w:val="yellow"/>
          <w:lang w:val="fr-FR"/>
        </w:rPr>
      </w:pPr>
    </w:p>
    <w:p w14:paraId="035C582B" w14:textId="28F83B95" w:rsidR="00EA0676" w:rsidRPr="00610811" w:rsidRDefault="007D60D2">
      <w:pPr>
        <w:spacing w:after="0"/>
        <w:jc w:val="both"/>
        <w:rPr>
          <w:b/>
          <w:bCs/>
          <w:i/>
          <w:iCs/>
          <w:color w:val="000000" w:themeColor="text1"/>
          <w:sz w:val="20"/>
          <w:szCs w:val="20"/>
          <w:lang w:val="fr-FR"/>
        </w:rPr>
      </w:pPr>
      <w:r w:rsidRPr="00610811">
        <w:rPr>
          <w:b/>
          <w:bCs/>
          <w:i/>
          <w:iCs/>
          <w:color w:val="000000" w:themeColor="text1"/>
          <w:sz w:val="20"/>
          <w:szCs w:val="20"/>
          <w:lang w:val="fr-FR"/>
        </w:rPr>
        <w:t>Résolution</w:t>
      </w:r>
      <w:r w:rsidR="00811F01" w:rsidRPr="00610811">
        <w:rPr>
          <w:b/>
          <w:bCs/>
          <w:i/>
          <w:iCs/>
          <w:color w:val="000000" w:themeColor="text1"/>
          <w:sz w:val="20"/>
          <w:szCs w:val="20"/>
          <w:lang w:val="fr-FR"/>
        </w:rPr>
        <w:t xml:space="preserve"> 11.15 (Rev.COP14) </w:t>
      </w:r>
      <w:r w:rsidR="00790BE3" w:rsidRPr="00610811">
        <w:rPr>
          <w:b/>
          <w:bCs/>
          <w:i/>
          <w:iCs/>
          <w:color w:val="000000" w:themeColor="text1"/>
          <w:sz w:val="20"/>
          <w:szCs w:val="20"/>
          <w:lang w:val="fr-FR"/>
        </w:rPr>
        <w:t>Prévenir l’empoisonnement des oiseaux migrateurs</w:t>
      </w:r>
    </w:p>
    <w:p w14:paraId="5D21088B" w14:textId="77777777" w:rsidR="00371F92" w:rsidRDefault="004908D7">
      <w:pPr>
        <w:spacing w:after="0"/>
        <w:jc w:val="both"/>
        <w:rPr>
          <w:b/>
          <w:bCs/>
          <w:color w:val="000000" w:themeColor="text1"/>
          <w:sz w:val="20"/>
          <w:szCs w:val="20"/>
          <w:lang w:val="fr-FR"/>
        </w:rPr>
      </w:pPr>
      <w:r w:rsidRPr="004908D7">
        <w:rPr>
          <w:b/>
          <w:bCs/>
          <w:color w:val="000000" w:themeColor="text1"/>
          <w:sz w:val="20"/>
          <w:szCs w:val="20"/>
          <w:lang w:val="fr-FR"/>
        </w:rPr>
        <w:t>(modification proposée au titre du point 26.2 de l'ordre du jour de la COP15)</w:t>
      </w:r>
    </w:p>
    <w:p w14:paraId="3F2A6EB4" w14:textId="6741A9EE" w:rsidR="00EA0676" w:rsidRPr="00610811" w:rsidRDefault="00811F01">
      <w:pPr>
        <w:spacing w:after="0"/>
        <w:jc w:val="both"/>
        <w:rPr>
          <w:i/>
          <w:iCs/>
          <w:color w:val="000000" w:themeColor="text1"/>
          <w:sz w:val="20"/>
          <w:szCs w:val="20"/>
          <w:lang w:val="fr-FR"/>
        </w:rPr>
      </w:pPr>
      <w:r w:rsidRPr="00610811">
        <w:rPr>
          <w:i/>
          <w:iCs/>
          <w:color w:val="000000" w:themeColor="text1"/>
          <w:sz w:val="20"/>
          <w:szCs w:val="20"/>
          <w:lang w:val="fr-FR"/>
        </w:rPr>
        <w:t>“</w:t>
      </w:r>
      <w:r w:rsidR="00BD437B" w:rsidRPr="00610811">
        <w:rPr>
          <w:i/>
          <w:iCs/>
          <w:color w:val="000000" w:themeColor="text1"/>
          <w:sz w:val="20"/>
          <w:szCs w:val="20"/>
          <w:lang w:val="fr-FR"/>
        </w:rPr>
        <w:t>Demande aux Parties de rendre compte, aux prochaines sessions de la Conférence des Parties, des progrès accomplis dans la mise en œuvre des mesures prises au titre de la présente résolution et des résultats obtenus, dans le cadre de leurs rapports nationaux</w:t>
      </w:r>
      <w:r w:rsidRPr="00610811">
        <w:rPr>
          <w:i/>
          <w:iCs/>
          <w:color w:val="000000" w:themeColor="text1"/>
          <w:sz w:val="20"/>
          <w:szCs w:val="20"/>
          <w:lang w:val="fr-FR"/>
        </w:rPr>
        <w:t>”</w:t>
      </w:r>
    </w:p>
    <w:p w14:paraId="59E5D837" w14:textId="77777777" w:rsidR="00EA0676" w:rsidRPr="00610811" w:rsidRDefault="00EA0676">
      <w:pPr>
        <w:spacing w:after="0"/>
        <w:jc w:val="both"/>
        <w:rPr>
          <w:i/>
          <w:iCs/>
          <w:color w:val="000000" w:themeColor="text1"/>
          <w:sz w:val="20"/>
          <w:szCs w:val="20"/>
          <w:highlight w:val="yellow"/>
          <w:lang w:val="fr-FR"/>
          <w14:ligatures w14:val="standardContextual"/>
        </w:rPr>
      </w:pPr>
    </w:p>
    <w:p w14:paraId="61A4943D" w14:textId="32793A83" w:rsidR="00EA0676" w:rsidRPr="00610811" w:rsidRDefault="007D60D2">
      <w:pPr>
        <w:spacing w:after="0"/>
        <w:jc w:val="both"/>
        <w:rPr>
          <w:b/>
          <w:bCs/>
          <w:i/>
          <w:iCs/>
          <w:color w:val="000000" w:themeColor="text1"/>
          <w:sz w:val="20"/>
          <w:szCs w:val="20"/>
          <w:lang w:val="fr-FR"/>
        </w:rPr>
      </w:pPr>
      <w:r w:rsidRPr="00610811">
        <w:rPr>
          <w:b/>
          <w:bCs/>
          <w:i/>
          <w:iCs/>
          <w:color w:val="000000" w:themeColor="text1"/>
          <w:sz w:val="20"/>
          <w:szCs w:val="20"/>
          <w:lang w:val="fr-FR"/>
        </w:rPr>
        <w:t>Résolution</w:t>
      </w:r>
      <w:r w:rsidR="00811F01" w:rsidRPr="00610811">
        <w:rPr>
          <w:b/>
          <w:bCs/>
          <w:i/>
          <w:iCs/>
          <w:color w:val="000000" w:themeColor="text1"/>
          <w:sz w:val="20"/>
          <w:szCs w:val="20"/>
          <w:lang w:val="fr-FR"/>
        </w:rPr>
        <w:t xml:space="preserve"> 10.11 (Rev.COP13) </w:t>
      </w:r>
      <w:r w:rsidR="00790BE3" w:rsidRPr="00610811">
        <w:rPr>
          <w:b/>
          <w:bCs/>
          <w:i/>
          <w:iCs/>
          <w:color w:val="000000" w:themeColor="text1"/>
          <w:sz w:val="20"/>
          <w:szCs w:val="20"/>
          <w:lang w:val="fr-FR"/>
        </w:rPr>
        <w:t>Lignes électriques et oiseaux migrateurs</w:t>
      </w:r>
    </w:p>
    <w:p w14:paraId="01D7D556" w14:textId="4A26F06A" w:rsidR="00EA0676" w:rsidRPr="00610811" w:rsidRDefault="00811F01">
      <w:pPr>
        <w:spacing w:after="0"/>
        <w:jc w:val="both"/>
        <w:rPr>
          <w:i/>
          <w:iCs/>
          <w:color w:val="000000" w:themeColor="text1"/>
          <w:sz w:val="20"/>
          <w:szCs w:val="20"/>
          <w:lang w:val="fr-FR"/>
        </w:rPr>
      </w:pPr>
      <w:r w:rsidRPr="00610811">
        <w:rPr>
          <w:i/>
          <w:iCs/>
          <w:color w:val="000000" w:themeColor="text1"/>
          <w:sz w:val="20"/>
          <w:szCs w:val="20"/>
          <w:lang w:val="fr-FR"/>
        </w:rPr>
        <w:t>“</w:t>
      </w:r>
      <w:r w:rsidR="00FC6008" w:rsidRPr="00610811">
        <w:rPr>
          <w:i/>
          <w:iCs/>
          <w:color w:val="000000" w:themeColor="text1"/>
          <w:sz w:val="20"/>
          <w:szCs w:val="20"/>
          <w:lang w:val="fr-FR"/>
        </w:rPr>
        <w:t>Exhorte les Parties et invite les États non-Parties, les organisations intergouvernementales et les autres organismes compétents, le cas échéant, à intégrer les mesures énoncées dans la présente résolution dans leurs Stratégies et plans d’actions nationaux pour la diversité biologique et dans les législations concernées, s’il y a lieu, afin de s’assurer que l'impact des lignes électriques sur les populations d’oiseaux est réduit au minimum et demande aux Parties de rendre compte des progrès réalisés dans la mise en œuvre de cette Résolution à chaque conférence des Parties dans le cadre de leurs rapports nationaux</w:t>
      </w:r>
      <w:r w:rsidRPr="00610811">
        <w:rPr>
          <w:i/>
          <w:iCs/>
          <w:color w:val="000000" w:themeColor="text1"/>
          <w:sz w:val="20"/>
          <w:szCs w:val="20"/>
          <w:lang w:val="fr-FR"/>
        </w:rPr>
        <w:t>”</w:t>
      </w:r>
    </w:p>
    <w:p w14:paraId="501FEA4E" w14:textId="77777777" w:rsidR="00EA0676" w:rsidRPr="00610811" w:rsidRDefault="00EA0676">
      <w:pPr>
        <w:spacing w:after="0"/>
        <w:jc w:val="both"/>
        <w:rPr>
          <w:b/>
          <w:bCs/>
          <w:i/>
          <w:iCs/>
          <w:color w:val="000000" w:themeColor="text1"/>
          <w:sz w:val="20"/>
          <w:szCs w:val="20"/>
          <w:highlight w:val="yellow"/>
          <w:lang w:val="fr-FR"/>
        </w:rPr>
      </w:pPr>
    </w:p>
    <w:p w14:paraId="736C96AA" w14:textId="4EF0AC44" w:rsidR="00EA0676" w:rsidRPr="00610811" w:rsidRDefault="007D60D2">
      <w:pPr>
        <w:spacing w:after="0"/>
        <w:jc w:val="both"/>
        <w:rPr>
          <w:b/>
          <w:bCs/>
          <w:i/>
          <w:iCs/>
          <w:color w:val="000000" w:themeColor="text1"/>
          <w:sz w:val="20"/>
          <w:szCs w:val="20"/>
          <w:lang w:val="fr-FR"/>
        </w:rPr>
      </w:pPr>
      <w:r w:rsidRPr="00610811">
        <w:rPr>
          <w:b/>
          <w:bCs/>
          <w:i/>
          <w:iCs/>
          <w:color w:val="000000" w:themeColor="text1"/>
          <w:sz w:val="20"/>
          <w:szCs w:val="20"/>
          <w:lang w:val="fr-FR"/>
        </w:rPr>
        <w:t>Résolution</w:t>
      </w:r>
      <w:r w:rsidR="00811F01" w:rsidRPr="00610811">
        <w:rPr>
          <w:b/>
          <w:bCs/>
          <w:i/>
          <w:iCs/>
          <w:color w:val="000000" w:themeColor="text1"/>
          <w:sz w:val="20"/>
          <w:szCs w:val="20"/>
          <w:lang w:val="fr-FR"/>
        </w:rPr>
        <w:t xml:space="preserve"> 12.10 (Rev.COP14) </w:t>
      </w:r>
      <w:r w:rsidR="000214F1" w:rsidRPr="00610811">
        <w:rPr>
          <w:b/>
          <w:bCs/>
          <w:i/>
          <w:iCs/>
          <w:color w:val="000000" w:themeColor="text1"/>
          <w:sz w:val="20"/>
          <w:szCs w:val="20"/>
          <w:lang w:val="fr-FR"/>
        </w:rPr>
        <w:t>Conservation des vautours d’afrique-eurasie</w:t>
      </w:r>
    </w:p>
    <w:p w14:paraId="27DCF0EB" w14:textId="27C30310" w:rsidR="00EA0676" w:rsidRPr="00610811" w:rsidRDefault="00811F01">
      <w:pPr>
        <w:spacing w:after="0"/>
        <w:jc w:val="both"/>
        <w:rPr>
          <w:i/>
          <w:iCs/>
          <w:color w:val="000000" w:themeColor="text1"/>
          <w:sz w:val="20"/>
          <w:szCs w:val="20"/>
          <w:lang w:val="fr-FR"/>
        </w:rPr>
      </w:pPr>
      <w:r w:rsidRPr="00610811">
        <w:rPr>
          <w:i/>
          <w:iCs/>
          <w:color w:val="000000" w:themeColor="text1"/>
          <w:sz w:val="20"/>
          <w:szCs w:val="20"/>
          <w:lang w:val="fr-FR"/>
        </w:rPr>
        <w:t>“</w:t>
      </w:r>
      <w:r w:rsidR="001B2757" w:rsidRPr="00610811">
        <w:rPr>
          <w:i/>
          <w:iCs/>
          <w:color w:val="000000" w:themeColor="text1"/>
          <w:sz w:val="20"/>
          <w:szCs w:val="20"/>
          <w:lang w:val="fr-FR"/>
        </w:rPr>
        <w:t>Appelle les Parties à rendre compte de leurs progrès de mise en œuvre du MsAP Vautours, notamment de suivi de l’efficacité des mesures prises, à chaque session de la Conférence des Parties de la CMS, y compris dans leurs rapports nationaux</w:t>
      </w:r>
      <w:r w:rsidR="00923311" w:rsidRPr="00610811">
        <w:rPr>
          <w:i/>
          <w:iCs/>
          <w:color w:val="000000" w:themeColor="text1"/>
          <w:sz w:val="20"/>
          <w:szCs w:val="20"/>
          <w:lang w:val="fr-FR"/>
        </w:rPr>
        <w:t>.”</w:t>
      </w:r>
    </w:p>
    <w:p w14:paraId="62133645" w14:textId="77777777" w:rsidR="00EA0676" w:rsidRPr="00610811" w:rsidRDefault="00EA0676">
      <w:pPr>
        <w:spacing w:after="0"/>
        <w:jc w:val="both"/>
        <w:rPr>
          <w:i/>
          <w:iCs/>
          <w:color w:val="000000" w:themeColor="text1"/>
          <w:sz w:val="20"/>
          <w:szCs w:val="20"/>
          <w:highlight w:val="yellow"/>
          <w:lang w:val="fr-FR"/>
        </w:rPr>
      </w:pPr>
    </w:p>
    <w:p w14:paraId="1615D92C" w14:textId="618C1A4A" w:rsidR="00EA0676" w:rsidRPr="00610811" w:rsidRDefault="007D60D2">
      <w:pPr>
        <w:spacing w:after="0"/>
        <w:jc w:val="both"/>
        <w:rPr>
          <w:b/>
          <w:bCs/>
          <w:i/>
          <w:iCs/>
          <w:color w:val="000000" w:themeColor="text1"/>
          <w:sz w:val="20"/>
          <w:szCs w:val="20"/>
          <w:lang w:val="fr-FR"/>
        </w:rPr>
      </w:pPr>
      <w:r w:rsidRPr="00610811">
        <w:rPr>
          <w:b/>
          <w:bCs/>
          <w:i/>
          <w:iCs/>
          <w:color w:val="000000" w:themeColor="text1"/>
          <w:sz w:val="20"/>
          <w:szCs w:val="20"/>
          <w:lang w:val="fr-FR"/>
        </w:rPr>
        <w:t>Résolution</w:t>
      </w:r>
      <w:r w:rsidR="00811F01" w:rsidRPr="00610811">
        <w:rPr>
          <w:b/>
          <w:bCs/>
          <w:i/>
          <w:iCs/>
          <w:color w:val="000000" w:themeColor="text1"/>
          <w:sz w:val="20"/>
          <w:szCs w:val="20"/>
          <w:lang w:val="fr-FR"/>
        </w:rPr>
        <w:t xml:space="preserve"> 12.12 (Rev.COP14) </w:t>
      </w:r>
      <w:r w:rsidR="005D6B51" w:rsidRPr="00610811">
        <w:rPr>
          <w:b/>
          <w:bCs/>
          <w:i/>
          <w:iCs/>
          <w:color w:val="000000" w:themeColor="text1"/>
          <w:sz w:val="20"/>
          <w:szCs w:val="20"/>
          <w:lang w:val="fr-FR"/>
        </w:rPr>
        <w:t>Plans d’action pour les oiseaux</w:t>
      </w:r>
    </w:p>
    <w:p w14:paraId="5F393A3C" w14:textId="6936D4DB" w:rsidR="00EA0676" w:rsidRPr="009A3482" w:rsidRDefault="00811F01">
      <w:pPr>
        <w:spacing w:after="0"/>
        <w:jc w:val="both"/>
        <w:rPr>
          <w:b/>
          <w:bCs/>
          <w:color w:val="000000" w:themeColor="text1"/>
          <w:sz w:val="20"/>
          <w:szCs w:val="20"/>
          <w:lang w:val="fr-FR" w:eastAsia="ja-JP"/>
        </w:rPr>
      </w:pPr>
      <w:r w:rsidRPr="009A3482">
        <w:rPr>
          <w:b/>
          <w:bCs/>
          <w:color w:val="000000" w:themeColor="text1"/>
          <w:sz w:val="20"/>
          <w:szCs w:val="20"/>
          <w:lang w:val="fr-FR"/>
        </w:rPr>
        <w:t>(</w:t>
      </w:r>
      <w:r w:rsidR="00371F92" w:rsidRPr="009A3482">
        <w:rPr>
          <w:b/>
          <w:bCs/>
          <w:color w:val="000000" w:themeColor="text1"/>
          <w:sz w:val="20"/>
          <w:szCs w:val="20"/>
          <w:lang w:val="fr-FR"/>
        </w:rPr>
        <w:t>modification proposée au titre du point 26.4.1 de l'ordre du jour de la COP15</w:t>
      </w:r>
      <w:r w:rsidR="009A3482" w:rsidRPr="009A3482">
        <w:rPr>
          <w:b/>
          <w:bCs/>
          <w:color w:val="000000" w:themeColor="text1"/>
          <w:sz w:val="20"/>
          <w:szCs w:val="20"/>
          <w:lang w:val="fr-FR"/>
        </w:rPr>
        <w:t>)</w:t>
      </w:r>
    </w:p>
    <w:p w14:paraId="317BF40D" w14:textId="3E113394" w:rsidR="00EA0676" w:rsidRPr="00610811" w:rsidRDefault="00811F01">
      <w:pPr>
        <w:spacing w:after="0"/>
        <w:jc w:val="both"/>
        <w:rPr>
          <w:i/>
          <w:iCs/>
          <w:color w:val="000000" w:themeColor="text1"/>
          <w:sz w:val="20"/>
          <w:szCs w:val="20"/>
          <w:lang w:val="fr-FR"/>
        </w:rPr>
      </w:pPr>
      <w:r w:rsidRPr="00610811">
        <w:rPr>
          <w:i/>
          <w:iCs/>
          <w:color w:val="000000" w:themeColor="text1"/>
          <w:sz w:val="20"/>
          <w:szCs w:val="20"/>
          <w:lang w:val="fr-FR"/>
        </w:rPr>
        <w:t>“</w:t>
      </w:r>
      <w:r w:rsidR="003D33CF" w:rsidRPr="00610811">
        <w:rPr>
          <w:i/>
          <w:iCs/>
          <w:color w:val="000000" w:themeColor="text1"/>
          <w:sz w:val="20"/>
          <w:szCs w:val="20"/>
          <w:lang w:val="fr-FR"/>
        </w:rPr>
        <w:t>Demande aux Parties de rendre compte des progrès accomplis dans la mise en œuvre des plans d’action à chaque session de la Conférence des Parties dans le cadre de leur rapport national, y compris en ce qui concerne le plan d’action pour le bruant auréole et le plan d’action pour le faucon concolore (Falco concolor), une fois achevés.”</w:t>
      </w:r>
    </w:p>
    <w:p w14:paraId="7B4E71E8" w14:textId="3A0F6EF8" w:rsidR="00EA0676" w:rsidRPr="009A3482" w:rsidRDefault="00AE0D12">
      <w:pPr>
        <w:spacing w:after="0"/>
        <w:jc w:val="both"/>
        <w:rPr>
          <w:sz w:val="20"/>
          <w:szCs w:val="20"/>
          <w:highlight w:val="yellow"/>
          <w:lang w:val="fr-FR"/>
        </w:rPr>
      </w:pPr>
      <w:r w:rsidRPr="009A3482">
        <w:rPr>
          <w:sz w:val="20"/>
          <w:szCs w:val="20"/>
          <w:lang w:val="fr-FR"/>
        </w:rPr>
        <w:t xml:space="preserve">Élaboration, adoption et mise en œuvre de plans d'action pour les espèces prioritaires. La liste fait référence aux plans d'action pour les espèces suivantes: bruant </w:t>
      </w:r>
      <w:r w:rsidR="003D1601" w:rsidRPr="009A3482">
        <w:rPr>
          <w:sz w:val="20"/>
          <w:szCs w:val="20"/>
          <w:lang w:val="fr-FR"/>
        </w:rPr>
        <w:t>auréole</w:t>
      </w:r>
      <w:r w:rsidRPr="009A3482">
        <w:rPr>
          <w:sz w:val="20"/>
          <w:szCs w:val="20"/>
          <w:lang w:val="fr-FR"/>
        </w:rPr>
        <w:t xml:space="preserve">, fuligule de Baer, courlis de </w:t>
      </w:r>
      <w:r w:rsidR="003D1601" w:rsidRPr="009A3482">
        <w:rPr>
          <w:sz w:val="20"/>
          <w:szCs w:val="20"/>
          <w:lang w:val="fr-FR"/>
        </w:rPr>
        <w:t>Sibérie</w:t>
      </w:r>
      <w:r w:rsidRPr="009A3482">
        <w:rPr>
          <w:sz w:val="20"/>
          <w:szCs w:val="20"/>
          <w:lang w:val="fr-FR"/>
        </w:rPr>
        <w:t xml:space="preserve">, tourterelle des bois, rollier d'Europe, pélican frisé, </w:t>
      </w:r>
      <w:r w:rsidR="00B662E3" w:rsidRPr="009A3482">
        <w:rPr>
          <w:sz w:val="20"/>
          <w:szCs w:val="20"/>
          <w:lang w:val="fr-FR"/>
        </w:rPr>
        <w:t>érismature</w:t>
      </w:r>
      <w:r w:rsidRPr="009A3482">
        <w:rPr>
          <w:sz w:val="20"/>
          <w:szCs w:val="20"/>
          <w:lang w:val="fr-FR"/>
        </w:rPr>
        <w:t xml:space="preserve"> à tête blanche, frégate de </w:t>
      </w:r>
      <w:r w:rsidR="0028456F" w:rsidRPr="009A3482">
        <w:rPr>
          <w:sz w:val="20"/>
          <w:szCs w:val="20"/>
          <w:lang w:val="fr-FR"/>
        </w:rPr>
        <w:t>Andrews</w:t>
      </w:r>
      <w:r w:rsidRPr="009A3482">
        <w:rPr>
          <w:sz w:val="20"/>
          <w:szCs w:val="20"/>
          <w:lang w:val="fr-FR"/>
        </w:rPr>
        <w:t xml:space="preserve">, grande outarde, faucon </w:t>
      </w:r>
      <w:r w:rsidR="00E12744" w:rsidRPr="009A3482">
        <w:rPr>
          <w:sz w:val="20"/>
          <w:szCs w:val="20"/>
          <w:lang w:val="fr-FR"/>
        </w:rPr>
        <w:t>concolore</w:t>
      </w:r>
      <w:r w:rsidR="00811F01" w:rsidRPr="009A3482">
        <w:rPr>
          <w:sz w:val="20"/>
          <w:szCs w:val="20"/>
          <w:lang w:val="fr-FR"/>
        </w:rPr>
        <w:t xml:space="preserve">. </w:t>
      </w:r>
    </w:p>
    <w:p w14:paraId="48B39210" w14:textId="77777777" w:rsidR="00EA0676" w:rsidRPr="00610811" w:rsidRDefault="00EA0676">
      <w:pPr>
        <w:spacing w:after="0"/>
        <w:jc w:val="both"/>
        <w:rPr>
          <w:i/>
          <w:iCs/>
          <w:color w:val="000000" w:themeColor="text1"/>
          <w:sz w:val="20"/>
          <w:szCs w:val="20"/>
          <w:highlight w:val="yellow"/>
          <w:lang w:val="fr-FR"/>
        </w:rPr>
      </w:pPr>
    </w:p>
    <w:p w14:paraId="2BF748E7" w14:textId="666EFD2F" w:rsidR="00EA0676" w:rsidRPr="00610811" w:rsidRDefault="007D60D2">
      <w:pPr>
        <w:spacing w:after="0"/>
        <w:jc w:val="both"/>
        <w:rPr>
          <w:b/>
          <w:bCs/>
          <w:i/>
          <w:iCs/>
          <w:color w:val="000000" w:themeColor="text1"/>
          <w:sz w:val="20"/>
          <w:szCs w:val="20"/>
          <w:lang w:val="fr-FR"/>
        </w:rPr>
      </w:pPr>
      <w:r w:rsidRPr="00610811">
        <w:rPr>
          <w:b/>
          <w:bCs/>
          <w:i/>
          <w:iCs/>
          <w:color w:val="000000" w:themeColor="text1"/>
          <w:sz w:val="20"/>
          <w:szCs w:val="20"/>
          <w:lang w:val="fr-FR"/>
        </w:rPr>
        <w:t>Résolution</w:t>
      </w:r>
      <w:r w:rsidR="00811F01" w:rsidRPr="00610811">
        <w:rPr>
          <w:b/>
          <w:bCs/>
          <w:i/>
          <w:iCs/>
          <w:color w:val="000000" w:themeColor="text1"/>
          <w:sz w:val="20"/>
          <w:szCs w:val="20"/>
          <w:lang w:val="fr-FR"/>
        </w:rPr>
        <w:t xml:space="preserve"> 12.28 (Rev. COP14) Actions</w:t>
      </w:r>
      <w:r w:rsidR="00E12744" w:rsidRPr="00610811">
        <w:rPr>
          <w:b/>
          <w:bCs/>
          <w:i/>
          <w:iCs/>
          <w:color w:val="000000" w:themeColor="text1"/>
          <w:sz w:val="20"/>
          <w:szCs w:val="20"/>
          <w:lang w:val="fr-FR"/>
        </w:rPr>
        <w:t xml:space="preserve"> concertées</w:t>
      </w:r>
    </w:p>
    <w:p w14:paraId="48B49EA2" w14:textId="7A87BBD8" w:rsidR="00EA0676" w:rsidRPr="00A875FA" w:rsidRDefault="00811F01">
      <w:pPr>
        <w:spacing w:after="0"/>
        <w:jc w:val="both"/>
        <w:rPr>
          <w:b/>
          <w:bCs/>
          <w:color w:val="000000" w:themeColor="text1"/>
          <w:sz w:val="20"/>
          <w:szCs w:val="20"/>
          <w:lang w:val="fr-FR" w:eastAsia="ja-JP"/>
        </w:rPr>
      </w:pPr>
      <w:r w:rsidRPr="00A875FA">
        <w:rPr>
          <w:b/>
          <w:bCs/>
          <w:color w:val="000000" w:themeColor="text1"/>
          <w:sz w:val="20"/>
          <w:szCs w:val="20"/>
          <w:lang w:val="fr-FR"/>
        </w:rPr>
        <w:t>(</w:t>
      </w:r>
      <w:r w:rsidR="009A3482" w:rsidRPr="00A875FA">
        <w:rPr>
          <w:b/>
          <w:bCs/>
          <w:color w:val="000000" w:themeColor="text1"/>
          <w:sz w:val="20"/>
          <w:szCs w:val="20"/>
          <w:lang w:val="fr-FR"/>
        </w:rPr>
        <w:t>modification proposée au titre du point 31.1 de l'ordre du jour de la COP15</w:t>
      </w:r>
      <w:r w:rsidR="00A875FA" w:rsidRPr="00A875FA">
        <w:rPr>
          <w:b/>
          <w:bCs/>
          <w:color w:val="000000" w:themeColor="text1"/>
          <w:sz w:val="20"/>
          <w:szCs w:val="20"/>
          <w:lang w:val="fr-FR"/>
        </w:rPr>
        <w:t>)</w:t>
      </w:r>
    </w:p>
    <w:p w14:paraId="54368916" w14:textId="23F44698" w:rsidR="00EA0676" w:rsidRPr="00610811" w:rsidRDefault="00811F01">
      <w:pPr>
        <w:spacing w:after="0"/>
        <w:jc w:val="both"/>
        <w:rPr>
          <w:i/>
          <w:iCs/>
          <w:color w:val="000000" w:themeColor="text1"/>
          <w:sz w:val="20"/>
          <w:szCs w:val="20"/>
          <w:lang w:val="fr-FR"/>
        </w:rPr>
      </w:pPr>
      <w:r w:rsidRPr="00610811">
        <w:rPr>
          <w:i/>
          <w:iCs/>
          <w:color w:val="000000" w:themeColor="text1"/>
          <w:sz w:val="20"/>
          <w:szCs w:val="20"/>
          <w:lang w:val="fr-FR"/>
        </w:rPr>
        <w:t>“</w:t>
      </w:r>
      <w:r w:rsidR="00D36AA5" w:rsidRPr="00610811">
        <w:rPr>
          <w:i/>
          <w:iCs/>
          <w:color w:val="000000" w:themeColor="text1"/>
          <w:sz w:val="20"/>
          <w:szCs w:val="20"/>
          <w:lang w:val="fr-FR"/>
        </w:rPr>
        <w:t>Les Parties qui sont des États de l’aire de répartition des espèces concernées par les propositions d’actions concertées qui auront été acceptées devront présenter un rapport dans le cadre de leurs rapports nationaux sur les progrès accomplis en matière d’exécution des actions concertées</w:t>
      </w:r>
      <w:r w:rsidRPr="00610811">
        <w:rPr>
          <w:i/>
          <w:iCs/>
          <w:color w:val="000000" w:themeColor="text1"/>
          <w:sz w:val="20"/>
          <w:szCs w:val="20"/>
          <w:lang w:val="fr-FR"/>
        </w:rPr>
        <w:t>.”</w:t>
      </w:r>
    </w:p>
    <w:p w14:paraId="22A17288" w14:textId="77777777" w:rsidR="00FE4E20" w:rsidRPr="00FE4E20" w:rsidRDefault="00FE4E20" w:rsidP="002A701A">
      <w:pPr>
        <w:pStyle w:val="ListParagraph"/>
        <w:spacing w:after="0" w:line="276" w:lineRule="auto"/>
        <w:ind w:left="0"/>
        <w:jc w:val="both"/>
        <w:rPr>
          <w:color w:val="000000" w:themeColor="text1"/>
          <w:sz w:val="20"/>
          <w:szCs w:val="20"/>
          <w:lang w:val="fr-FR"/>
        </w:rPr>
      </w:pPr>
      <w:r w:rsidRPr="00FE4E20">
        <w:rPr>
          <w:color w:val="000000" w:themeColor="text1"/>
          <w:sz w:val="20"/>
          <w:szCs w:val="20"/>
          <w:lang w:val="fr-FR"/>
        </w:rPr>
        <w:t>Cela implique que le modèle de rapport national devrait inclure une section/question spécifique demandant des résumés sur :</w:t>
      </w:r>
    </w:p>
    <w:p w14:paraId="26B37E96" w14:textId="57E8714B" w:rsidR="00FE4E20" w:rsidRPr="00FE4E20" w:rsidRDefault="00FE4E20" w:rsidP="000C7425">
      <w:pPr>
        <w:pStyle w:val="ListParagraph"/>
        <w:numPr>
          <w:ilvl w:val="0"/>
          <w:numId w:val="35"/>
        </w:numPr>
        <w:spacing w:after="0" w:line="276" w:lineRule="auto"/>
        <w:ind w:left="426" w:hanging="426"/>
        <w:jc w:val="both"/>
        <w:rPr>
          <w:color w:val="000000" w:themeColor="text1"/>
          <w:sz w:val="20"/>
          <w:szCs w:val="20"/>
          <w:lang w:val="fr-FR"/>
        </w:rPr>
      </w:pPr>
      <w:r w:rsidRPr="00FE4E20">
        <w:rPr>
          <w:color w:val="000000" w:themeColor="text1"/>
          <w:sz w:val="20"/>
          <w:szCs w:val="20"/>
          <w:lang w:val="fr-FR"/>
        </w:rPr>
        <w:t>Les actions concertées auxquelles les Parties participent</w:t>
      </w:r>
    </w:p>
    <w:p w14:paraId="4F0BF64A" w14:textId="58BDCC92" w:rsidR="00FE4E20" w:rsidRPr="00FE4E20" w:rsidRDefault="00FE4E20" w:rsidP="000C7425">
      <w:pPr>
        <w:pStyle w:val="ListParagraph"/>
        <w:numPr>
          <w:ilvl w:val="0"/>
          <w:numId w:val="35"/>
        </w:numPr>
        <w:spacing w:after="0" w:line="276" w:lineRule="auto"/>
        <w:ind w:left="426" w:hanging="426"/>
        <w:jc w:val="both"/>
        <w:rPr>
          <w:color w:val="000000" w:themeColor="text1"/>
          <w:sz w:val="20"/>
          <w:szCs w:val="20"/>
          <w:lang w:val="fr-FR"/>
        </w:rPr>
      </w:pPr>
      <w:r w:rsidRPr="00FE4E20">
        <w:rPr>
          <w:color w:val="000000" w:themeColor="text1"/>
          <w:sz w:val="20"/>
          <w:szCs w:val="20"/>
          <w:lang w:val="fr-FR"/>
        </w:rPr>
        <w:t>Les activités entreprises dans le cadre de chaque action pendant la période de référence</w:t>
      </w:r>
    </w:p>
    <w:p w14:paraId="18F45EC2" w14:textId="0E3FF75A" w:rsidR="00FE4E20" w:rsidRPr="00FE4E20" w:rsidRDefault="00FE4E20" w:rsidP="000C7425">
      <w:pPr>
        <w:pStyle w:val="ListParagraph"/>
        <w:numPr>
          <w:ilvl w:val="0"/>
          <w:numId w:val="35"/>
        </w:numPr>
        <w:spacing w:after="0" w:line="276" w:lineRule="auto"/>
        <w:ind w:left="426" w:hanging="426"/>
        <w:jc w:val="both"/>
        <w:rPr>
          <w:color w:val="000000" w:themeColor="text1"/>
          <w:sz w:val="20"/>
          <w:szCs w:val="20"/>
          <w:lang w:val="fr-FR"/>
        </w:rPr>
      </w:pPr>
      <w:r w:rsidRPr="00FE4E20">
        <w:rPr>
          <w:color w:val="000000" w:themeColor="text1"/>
          <w:sz w:val="20"/>
          <w:szCs w:val="20"/>
          <w:lang w:val="fr-FR"/>
        </w:rPr>
        <w:t>Les résultats ou progrès réalisés (y compris les défis rencontrés ou les enseignements tirés)</w:t>
      </w:r>
    </w:p>
    <w:p w14:paraId="71E40533" w14:textId="77777777" w:rsidR="00FE4E20" w:rsidRPr="00FE4E20" w:rsidRDefault="00FE4E20" w:rsidP="0024697D">
      <w:pPr>
        <w:pStyle w:val="ListParagraph"/>
        <w:spacing w:after="0" w:line="240" w:lineRule="auto"/>
        <w:ind w:left="0"/>
        <w:contextualSpacing w:val="0"/>
        <w:jc w:val="both"/>
        <w:rPr>
          <w:color w:val="000000" w:themeColor="text1"/>
          <w:sz w:val="20"/>
          <w:szCs w:val="20"/>
          <w:lang w:val="fr-FR"/>
        </w:rPr>
      </w:pPr>
      <w:r w:rsidRPr="00FE4E20">
        <w:rPr>
          <w:color w:val="000000" w:themeColor="text1"/>
          <w:sz w:val="20"/>
          <w:szCs w:val="20"/>
          <w:lang w:val="fr-FR"/>
        </w:rPr>
        <w:t>Toutefois, ces informations figurent déjà dans les rapports sur la mise en œuvre des actions concertées qui sont présentés à la COP, et leur inclusion dans le rapport national constitue une duplication.</w:t>
      </w:r>
    </w:p>
    <w:p w14:paraId="53A875BB" w14:textId="77777777" w:rsidR="00FE4E20" w:rsidRPr="00FE4E20" w:rsidRDefault="00FE4E20" w:rsidP="00FE4E20">
      <w:pPr>
        <w:pStyle w:val="ListParagraph"/>
        <w:spacing w:after="0" w:line="276" w:lineRule="auto"/>
        <w:jc w:val="both"/>
        <w:rPr>
          <w:color w:val="000000" w:themeColor="text1"/>
          <w:sz w:val="20"/>
          <w:szCs w:val="20"/>
          <w:lang w:val="fr-FR"/>
        </w:rPr>
      </w:pPr>
    </w:p>
    <w:p w14:paraId="29753635" w14:textId="50CC9517" w:rsidR="00EA0676" w:rsidRPr="00612B13" w:rsidRDefault="007D60D2">
      <w:pPr>
        <w:spacing w:after="0"/>
        <w:jc w:val="both"/>
        <w:rPr>
          <w:b/>
          <w:bCs/>
          <w:i/>
          <w:iCs/>
          <w:color w:val="000000" w:themeColor="text1"/>
          <w:sz w:val="20"/>
          <w:szCs w:val="20"/>
          <w:lang w:val="fr-FR"/>
        </w:rPr>
      </w:pPr>
      <w:r w:rsidRPr="00612B13">
        <w:rPr>
          <w:b/>
          <w:bCs/>
          <w:i/>
          <w:iCs/>
          <w:color w:val="000000" w:themeColor="text1"/>
          <w:sz w:val="20"/>
          <w:szCs w:val="20"/>
          <w:lang w:val="fr-FR"/>
        </w:rPr>
        <w:t>Résolution</w:t>
      </w:r>
      <w:r w:rsidR="00811F01" w:rsidRPr="00612B13">
        <w:rPr>
          <w:b/>
          <w:bCs/>
          <w:i/>
          <w:iCs/>
          <w:color w:val="000000" w:themeColor="text1"/>
          <w:sz w:val="20"/>
          <w:szCs w:val="20"/>
          <w:lang w:val="fr-FR"/>
        </w:rPr>
        <w:t xml:space="preserve"> 14.18 </w:t>
      </w:r>
      <w:r w:rsidR="0084074F" w:rsidRPr="00612B13">
        <w:rPr>
          <w:b/>
          <w:bCs/>
          <w:i/>
          <w:iCs/>
          <w:color w:val="000000" w:themeColor="text1"/>
          <w:sz w:val="20"/>
          <w:szCs w:val="20"/>
          <w:lang w:val="fr-FR"/>
        </w:rPr>
        <w:t>Grippe aviaire</w:t>
      </w:r>
    </w:p>
    <w:p w14:paraId="10AD5F0E" w14:textId="1F7755E0" w:rsidR="00EA0676" w:rsidRPr="00D41623" w:rsidRDefault="005D2029">
      <w:pPr>
        <w:spacing w:after="0"/>
        <w:jc w:val="both"/>
        <w:rPr>
          <w:i/>
          <w:iCs/>
          <w:color w:val="000000" w:themeColor="text1"/>
          <w:sz w:val="20"/>
          <w:szCs w:val="20"/>
          <w:lang w:val="fr-FR"/>
        </w:rPr>
      </w:pPr>
      <w:r w:rsidRPr="00D41623">
        <w:rPr>
          <w:i/>
          <w:iCs/>
          <w:color w:val="000000" w:themeColor="text1"/>
          <w:sz w:val="20"/>
          <w:szCs w:val="20"/>
          <w:lang w:val="fr-FR"/>
        </w:rPr>
        <w:t>Demande au secr</w:t>
      </w:r>
      <w:r w:rsidR="0094604A">
        <w:rPr>
          <w:i/>
          <w:iCs/>
          <w:color w:val="000000" w:themeColor="text1"/>
          <w:sz w:val="20"/>
          <w:szCs w:val="20"/>
          <w:lang w:val="fr-FR"/>
        </w:rPr>
        <w:t>é</w:t>
      </w:r>
      <w:r w:rsidRPr="00D41623">
        <w:rPr>
          <w:i/>
          <w:iCs/>
          <w:color w:val="000000" w:themeColor="text1"/>
          <w:sz w:val="20"/>
          <w:szCs w:val="20"/>
          <w:lang w:val="fr-FR"/>
        </w:rPr>
        <w:t xml:space="preserve">tariat </w:t>
      </w:r>
      <w:r w:rsidR="008E336C">
        <w:rPr>
          <w:i/>
          <w:iCs/>
          <w:color w:val="000000" w:themeColor="text1"/>
          <w:sz w:val="20"/>
          <w:szCs w:val="20"/>
          <w:lang w:val="fr-FR"/>
        </w:rPr>
        <w:t>[…]</w:t>
      </w:r>
      <w:r w:rsidR="00D41623" w:rsidRPr="00D41623">
        <w:rPr>
          <w:rFonts w:eastAsia="Times New Roman" w:cs="Arial"/>
          <w:i/>
          <w:iCs/>
          <w:sz w:val="20"/>
          <w:szCs w:val="20"/>
          <w:lang w:val="fr-FR"/>
        </w:rPr>
        <w:t>d’inclure des informations sur la mise en œuvre de la présente Résolution dans les rapports nationaux</w:t>
      </w:r>
      <w:r w:rsidR="008E336C">
        <w:rPr>
          <w:rFonts w:eastAsia="Times New Roman" w:cs="Arial"/>
          <w:i/>
          <w:iCs/>
          <w:sz w:val="20"/>
          <w:szCs w:val="20"/>
          <w:lang w:val="fr-FR"/>
        </w:rPr>
        <w:t xml:space="preserve"> […]</w:t>
      </w:r>
    </w:p>
    <w:p w14:paraId="76F5E3FA" w14:textId="77777777" w:rsidR="00AD4202" w:rsidRPr="00AD4202" w:rsidRDefault="00AD4202" w:rsidP="00BB78AB">
      <w:pPr>
        <w:pStyle w:val="ListParagraph"/>
        <w:spacing w:after="0" w:line="240" w:lineRule="auto"/>
        <w:ind w:left="0"/>
        <w:contextualSpacing w:val="0"/>
        <w:jc w:val="both"/>
        <w:rPr>
          <w:color w:val="000000" w:themeColor="text1"/>
          <w:sz w:val="20"/>
          <w:szCs w:val="20"/>
          <w:lang w:val="fr-FR"/>
        </w:rPr>
      </w:pPr>
      <w:r w:rsidRPr="00AD4202">
        <w:rPr>
          <w:color w:val="000000" w:themeColor="text1"/>
          <w:sz w:val="20"/>
          <w:szCs w:val="20"/>
          <w:lang w:val="fr-FR"/>
        </w:rPr>
        <w:t>Cela inclurait la communication par les Parties d'informations sur les mesures concrètes prises pour prévenir et lutter contre les foyers d'IAHP, notamment :</w:t>
      </w:r>
    </w:p>
    <w:p w14:paraId="5237F870" w14:textId="00C1CE60" w:rsidR="00AD4202" w:rsidRPr="00AD4202" w:rsidRDefault="00AD4202" w:rsidP="00BB78AB">
      <w:pPr>
        <w:pStyle w:val="ListParagraph"/>
        <w:numPr>
          <w:ilvl w:val="0"/>
          <w:numId w:val="36"/>
        </w:numPr>
        <w:spacing w:after="0" w:line="276" w:lineRule="auto"/>
        <w:ind w:left="426" w:hanging="426"/>
        <w:jc w:val="both"/>
        <w:rPr>
          <w:color w:val="000000" w:themeColor="text1"/>
          <w:sz w:val="20"/>
          <w:szCs w:val="20"/>
          <w:lang w:val="fr-FR"/>
        </w:rPr>
      </w:pPr>
      <w:r w:rsidRPr="00AD4202">
        <w:rPr>
          <w:color w:val="000000" w:themeColor="text1"/>
          <w:sz w:val="20"/>
          <w:szCs w:val="20"/>
          <w:lang w:val="fr-FR"/>
        </w:rPr>
        <w:t xml:space="preserve">l'élaboration de plans d'urgence nationaux pour la faune sauvage </w:t>
      </w:r>
    </w:p>
    <w:p w14:paraId="4842BC06" w14:textId="49ACBCD6" w:rsidR="00AD4202" w:rsidRPr="00AD4202" w:rsidRDefault="00AD4202" w:rsidP="00BB78AB">
      <w:pPr>
        <w:pStyle w:val="ListParagraph"/>
        <w:numPr>
          <w:ilvl w:val="0"/>
          <w:numId w:val="36"/>
        </w:numPr>
        <w:spacing w:after="0" w:line="276" w:lineRule="auto"/>
        <w:ind w:left="426" w:hanging="426"/>
        <w:jc w:val="both"/>
        <w:rPr>
          <w:color w:val="000000" w:themeColor="text1"/>
          <w:sz w:val="20"/>
          <w:szCs w:val="20"/>
          <w:lang w:val="fr-FR"/>
        </w:rPr>
      </w:pPr>
      <w:r w:rsidRPr="00AD4202">
        <w:rPr>
          <w:color w:val="000000" w:themeColor="text1"/>
          <w:sz w:val="20"/>
          <w:szCs w:val="20"/>
          <w:lang w:val="fr-FR"/>
        </w:rPr>
        <w:lastRenderedPageBreak/>
        <w:t xml:space="preserve">l'évitement des mesures létales ou destructrices pour l'habitat </w:t>
      </w:r>
    </w:p>
    <w:p w14:paraId="43341C21" w14:textId="719878DA" w:rsidR="00AD4202" w:rsidRPr="00AD4202" w:rsidRDefault="00AD4202" w:rsidP="00BB78AB">
      <w:pPr>
        <w:pStyle w:val="ListParagraph"/>
        <w:numPr>
          <w:ilvl w:val="0"/>
          <w:numId w:val="36"/>
        </w:numPr>
        <w:spacing w:after="0" w:line="276" w:lineRule="auto"/>
        <w:ind w:left="426" w:hanging="426"/>
        <w:jc w:val="both"/>
        <w:rPr>
          <w:color w:val="000000" w:themeColor="text1"/>
          <w:sz w:val="20"/>
          <w:szCs w:val="20"/>
          <w:lang w:val="fr-FR"/>
        </w:rPr>
      </w:pPr>
      <w:r w:rsidRPr="00AD4202">
        <w:rPr>
          <w:color w:val="000000" w:themeColor="text1"/>
          <w:sz w:val="20"/>
          <w:szCs w:val="20"/>
          <w:lang w:val="fr-FR"/>
        </w:rPr>
        <w:t>la réduction des risques de transmission entre la faune sauvage et la volaille</w:t>
      </w:r>
    </w:p>
    <w:p w14:paraId="4127F1AF" w14:textId="144B6429" w:rsidR="00AD4202" w:rsidRPr="00BB78AB" w:rsidRDefault="00AD4202" w:rsidP="00BB78AB">
      <w:pPr>
        <w:pStyle w:val="ListParagraph"/>
        <w:numPr>
          <w:ilvl w:val="0"/>
          <w:numId w:val="36"/>
        </w:numPr>
        <w:spacing w:after="0" w:line="276" w:lineRule="auto"/>
        <w:ind w:left="426" w:hanging="426"/>
        <w:jc w:val="both"/>
        <w:rPr>
          <w:color w:val="000000" w:themeColor="text1"/>
          <w:sz w:val="20"/>
          <w:szCs w:val="20"/>
          <w:lang w:val="fr-FR"/>
        </w:rPr>
      </w:pPr>
      <w:r w:rsidRPr="00BB78AB">
        <w:rPr>
          <w:color w:val="000000" w:themeColor="text1"/>
          <w:sz w:val="20"/>
          <w:szCs w:val="20"/>
          <w:lang w:val="fr-FR"/>
        </w:rPr>
        <w:t xml:space="preserve">le soutien à la recherche, au suivi, à la surveillance, à l'alerte précoce et à la coopération internationale </w:t>
      </w:r>
    </w:p>
    <w:p w14:paraId="346F9C4B" w14:textId="77777777" w:rsidR="00AD4202" w:rsidRPr="00BB78AB" w:rsidRDefault="00AD4202" w:rsidP="00AD4202">
      <w:pPr>
        <w:pStyle w:val="ListParagraph"/>
        <w:spacing w:after="0" w:line="276" w:lineRule="auto"/>
        <w:jc w:val="both"/>
        <w:rPr>
          <w:color w:val="000000" w:themeColor="text1"/>
          <w:sz w:val="20"/>
          <w:szCs w:val="20"/>
          <w:lang w:val="fr-FR"/>
        </w:rPr>
      </w:pPr>
    </w:p>
    <w:p w14:paraId="5563B0AE" w14:textId="5A7BEA81" w:rsidR="00EA0676" w:rsidRPr="00F350FF" w:rsidRDefault="007D60D2">
      <w:pPr>
        <w:spacing w:after="0"/>
        <w:jc w:val="both"/>
        <w:rPr>
          <w:b/>
          <w:bCs/>
          <w:i/>
          <w:iCs/>
          <w:color w:val="000000" w:themeColor="text1"/>
          <w:sz w:val="20"/>
          <w:szCs w:val="20"/>
          <w:lang w:val="fr-FR"/>
        </w:rPr>
      </w:pPr>
      <w:r w:rsidRPr="00F350FF">
        <w:rPr>
          <w:b/>
          <w:bCs/>
          <w:i/>
          <w:iCs/>
          <w:color w:val="000000" w:themeColor="text1"/>
          <w:sz w:val="20"/>
          <w:szCs w:val="20"/>
          <w:lang w:val="fr-FR"/>
        </w:rPr>
        <w:t>Résolution</w:t>
      </w:r>
      <w:r w:rsidR="00811F01" w:rsidRPr="00F350FF">
        <w:rPr>
          <w:b/>
          <w:bCs/>
          <w:i/>
          <w:iCs/>
          <w:color w:val="000000" w:themeColor="text1"/>
          <w:sz w:val="20"/>
          <w:szCs w:val="20"/>
          <w:lang w:val="fr-FR"/>
        </w:rPr>
        <w:t xml:space="preserve"> 14.19 </w:t>
      </w:r>
      <w:r w:rsidR="0058742D" w:rsidRPr="00F350FF">
        <w:rPr>
          <w:b/>
          <w:bCs/>
          <w:i/>
          <w:iCs/>
          <w:color w:val="000000" w:themeColor="text1"/>
          <w:sz w:val="20"/>
          <w:szCs w:val="20"/>
          <w:lang w:val="fr-FR"/>
        </w:rPr>
        <w:t>Orientations sur le traitement des espèces incluses dans les familles agrégées inscrites à l’Annexe II</w:t>
      </w:r>
    </w:p>
    <w:p w14:paraId="6C7DD3C2" w14:textId="16D7060D" w:rsidR="00EA0676" w:rsidRPr="00F350FF" w:rsidRDefault="00811F01" w:rsidP="00F350FF">
      <w:pPr>
        <w:spacing w:after="0"/>
        <w:jc w:val="both"/>
        <w:rPr>
          <w:b/>
          <w:bCs/>
          <w:i/>
          <w:iCs/>
          <w:color w:val="000000" w:themeColor="text1"/>
          <w:sz w:val="20"/>
          <w:szCs w:val="20"/>
          <w:lang w:val="fr-FR"/>
        </w:rPr>
      </w:pPr>
      <w:r w:rsidRPr="00F350FF">
        <w:rPr>
          <w:b/>
          <w:bCs/>
          <w:color w:val="000000" w:themeColor="text1"/>
          <w:sz w:val="20"/>
          <w:szCs w:val="20"/>
          <w:lang w:val="fr-FR"/>
        </w:rPr>
        <w:t>(</w:t>
      </w:r>
      <w:r w:rsidR="00F350FF" w:rsidRPr="00F350FF">
        <w:rPr>
          <w:b/>
          <w:bCs/>
          <w:color w:val="000000" w:themeColor="text1"/>
          <w:sz w:val="20"/>
          <w:szCs w:val="20"/>
          <w:lang w:val="fr-FR"/>
        </w:rPr>
        <w:t>modification proposée au titre du point 29.1 de l'ordre du jour de la COP15)</w:t>
      </w:r>
    </w:p>
    <w:p w14:paraId="32319D6F" w14:textId="0B3BB0E7" w:rsidR="00EA0676" w:rsidRPr="00F350FF" w:rsidRDefault="00811F01">
      <w:pPr>
        <w:spacing w:after="0"/>
        <w:jc w:val="both"/>
        <w:rPr>
          <w:i/>
          <w:iCs/>
          <w:color w:val="000000" w:themeColor="text1"/>
          <w:sz w:val="20"/>
          <w:szCs w:val="20"/>
          <w:lang w:val="fr-FR"/>
        </w:rPr>
      </w:pPr>
      <w:r w:rsidRPr="00F350FF">
        <w:rPr>
          <w:i/>
          <w:iCs/>
          <w:color w:val="000000" w:themeColor="text1"/>
          <w:sz w:val="20"/>
          <w:szCs w:val="20"/>
          <w:lang w:val="fr-FR"/>
        </w:rPr>
        <w:t>“</w:t>
      </w:r>
      <w:r w:rsidR="007F297A" w:rsidRPr="00F350FF">
        <w:rPr>
          <w:i/>
          <w:iCs/>
          <w:color w:val="000000" w:themeColor="text1"/>
          <w:sz w:val="20"/>
          <w:szCs w:val="20"/>
          <w:lang w:val="fr-FR"/>
        </w:rPr>
        <w:t xml:space="preserve">Constatant en outre qu’il est attendu des Parties qu’elles fournissent dans les Rapports nationaux sur l’application de la Convention des informations sur les espèces inscrites aux annexes de la CMS pour lesquelles elles sont un État de l’aire de </w:t>
      </w:r>
      <w:r w:rsidR="004E13B5" w:rsidRPr="00F350FF">
        <w:rPr>
          <w:i/>
          <w:iCs/>
          <w:color w:val="000000" w:themeColor="text1"/>
          <w:sz w:val="20"/>
          <w:szCs w:val="20"/>
          <w:lang w:val="fr-FR"/>
        </w:rPr>
        <w:t>r</w:t>
      </w:r>
      <w:r w:rsidR="000469AC">
        <w:rPr>
          <w:i/>
          <w:iCs/>
          <w:color w:val="000000" w:themeColor="text1"/>
          <w:sz w:val="20"/>
          <w:szCs w:val="20"/>
          <w:lang w:val="fr-FR"/>
        </w:rPr>
        <w:t>é</w:t>
      </w:r>
      <w:r w:rsidR="004E13B5" w:rsidRPr="00F350FF">
        <w:rPr>
          <w:i/>
          <w:iCs/>
          <w:color w:val="000000" w:themeColor="text1"/>
          <w:sz w:val="20"/>
          <w:szCs w:val="20"/>
          <w:lang w:val="fr-FR"/>
        </w:rPr>
        <w:t>partition, et</w:t>
      </w:r>
      <w:r w:rsidRPr="00F350FF">
        <w:rPr>
          <w:i/>
          <w:iCs/>
          <w:color w:val="000000" w:themeColor="text1"/>
          <w:sz w:val="20"/>
          <w:szCs w:val="20"/>
          <w:lang w:val="fr-FR"/>
        </w:rPr>
        <w:t>”</w:t>
      </w:r>
    </w:p>
    <w:p w14:paraId="34716ACA" w14:textId="592591FA" w:rsidR="00EA0676" w:rsidRPr="00F350FF" w:rsidRDefault="00811F01">
      <w:pPr>
        <w:spacing w:after="0"/>
        <w:jc w:val="both"/>
        <w:rPr>
          <w:i/>
          <w:iCs/>
          <w:color w:val="000000" w:themeColor="text1"/>
          <w:sz w:val="20"/>
          <w:szCs w:val="20"/>
          <w:lang w:val="fr-FR"/>
        </w:rPr>
      </w:pPr>
      <w:r w:rsidRPr="00F350FF">
        <w:rPr>
          <w:i/>
          <w:iCs/>
          <w:color w:val="000000" w:themeColor="text1"/>
          <w:sz w:val="20"/>
          <w:szCs w:val="20"/>
          <w:lang w:val="fr-FR"/>
        </w:rPr>
        <w:t>“</w:t>
      </w:r>
      <w:r w:rsidR="00847636" w:rsidRPr="00F350FF">
        <w:rPr>
          <w:i/>
          <w:iCs/>
          <w:color w:val="000000" w:themeColor="text1"/>
          <w:sz w:val="20"/>
          <w:szCs w:val="20"/>
          <w:lang w:val="fr-FR"/>
        </w:rPr>
        <w:t>Invite les Parties à tenir compte de la liste mentionnée au paragraphe 1, lorsqu’ils établissent par exemple leurs rapports nationaux.</w:t>
      </w:r>
      <w:r w:rsidRPr="00F350FF">
        <w:rPr>
          <w:i/>
          <w:iCs/>
          <w:color w:val="000000" w:themeColor="text1"/>
          <w:sz w:val="20"/>
          <w:szCs w:val="20"/>
          <w:lang w:val="fr-FR"/>
        </w:rPr>
        <w:t>”</w:t>
      </w:r>
    </w:p>
    <w:p w14:paraId="7E1A9B73" w14:textId="77777777" w:rsidR="00EA0676" w:rsidRPr="00F350FF" w:rsidRDefault="00EA0676">
      <w:pPr>
        <w:spacing w:after="0"/>
        <w:jc w:val="both"/>
        <w:rPr>
          <w:i/>
          <w:iCs/>
          <w:color w:val="000000" w:themeColor="text1"/>
          <w:sz w:val="20"/>
          <w:szCs w:val="20"/>
          <w:lang w:val="fr-FR"/>
        </w:rPr>
      </w:pPr>
    </w:p>
    <w:p w14:paraId="5DCA8356" w14:textId="18C731BD" w:rsidR="00EA0676" w:rsidRPr="00612B13" w:rsidRDefault="007D60D2">
      <w:pPr>
        <w:spacing w:after="0"/>
        <w:jc w:val="both"/>
        <w:rPr>
          <w:b/>
          <w:bCs/>
          <w:i/>
          <w:iCs/>
          <w:color w:val="000000" w:themeColor="text1"/>
          <w:sz w:val="20"/>
          <w:szCs w:val="20"/>
          <w:lang w:val="fr-FR"/>
        </w:rPr>
      </w:pPr>
      <w:r w:rsidRPr="00612B13">
        <w:rPr>
          <w:b/>
          <w:bCs/>
          <w:i/>
          <w:iCs/>
          <w:color w:val="000000" w:themeColor="text1"/>
          <w:sz w:val="20"/>
          <w:szCs w:val="20"/>
          <w:lang w:val="fr-FR"/>
        </w:rPr>
        <w:t>Résolution</w:t>
      </w:r>
      <w:r w:rsidR="00811F01" w:rsidRPr="00612B13">
        <w:rPr>
          <w:b/>
          <w:bCs/>
          <w:i/>
          <w:iCs/>
          <w:color w:val="000000" w:themeColor="text1"/>
          <w:sz w:val="20"/>
          <w:szCs w:val="20"/>
          <w:lang w:val="fr-FR"/>
        </w:rPr>
        <w:t xml:space="preserve"> 12.20 </w:t>
      </w:r>
      <w:r w:rsidR="0095395F" w:rsidRPr="00612B13">
        <w:rPr>
          <w:b/>
          <w:bCs/>
          <w:i/>
          <w:iCs/>
          <w:color w:val="000000" w:themeColor="text1"/>
          <w:sz w:val="20"/>
          <w:szCs w:val="20"/>
          <w:lang w:val="fr-FR"/>
        </w:rPr>
        <w:t>Gestion des débris marins</w:t>
      </w:r>
    </w:p>
    <w:p w14:paraId="3D1D5E1F" w14:textId="528FDD68" w:rsidR="00EA0676" w:rsidRPr="00610811" w:rsidRDefault="00811F01">
      <w:pPr>
        <w:spacing w:after="0"/>
        <w:jc w:val="both"/>
        <w:rPr>
          <w:i/>
          <w:iCs/>
          <w:color w:val="000000" w:themeColor="text1"/>
          <w:sz w:val="20"/>
          <w:szCs w:val="20"/>
          <w:lang w:val="fr-FR"/>
        </w:rPr>
      </w:pPr>
      <w:r w:rsidRPr="00610811">
        <w:rPr>
          <w:i/>
          <w:iCs/>
          <w:color w:val="000000" w:themeColor="text1"/>
          <w:sz w:val="20"/>
          <w:szCs w:val="20"/>
          <w:lang w:val="fr-FR"/>
        </w:rPr>
        <w:t>“</w:t>
      </w:r>
      <w:r w:rsidR="00212223" w:rsidRPr="00610811">
        <w:rPr>
          <w:i/>
          <w:iCs/>
          <w:color w:val="000000" w:themeColor="text1"/>
          <w:sz w:val="20"/>
          <w:szCs w:val="20"/>
          <w:lang w:val="fr-FR"/>
        </w:rPr>
        <w:t>Prie les Parties de fournir les informations – si disponibles - sur les quantités, les impacts et les sources des débris marins dans les eaux placées sous leur juridiction sur les espèces marines répertoriées dans les Annexes I et II de la Convention dans leurs Rapports Nationaux</w:t>
      </w:r>
      <w:r w:rsidRPr="00610811">
        <w:rPr>
          <w:i/>
          <w:iCs/>
          <w:color w:val="000000" w:themeColor="text1"/>
          <w:sz w:val="20"/>
          <w:szCs w:val="20"/>
          <w:lang w:val="fr-FR"/>
        </w:rPr>
        <w:t>”</w:t>
      </w:r>
    </w:p>
    <w:p w14:paraId="2AB0A9F9" w14:textId="3E1351B7" w:rsidR="00EA0676" w:rsidRPr="00610811" w:rsidRDefault="00B95F1E">
      <w:pPr>
        <w:spacing w:after="0"/>
        <w:jc w:val="both"/>
        <w:rPr>
          <w:i/>
          <w:iCs/>
          <w:color w:val="000000" w:themeColor="text1"/>
          <w:sz w:val="20"/>
          <w:szCs w:val="20"/>
          <w:highlight w:val="yellow"/>
          <w:lang w:val="fr-FR"/>
        </w:rPr>
      </w:pPr>
      <w:r w:rsidRPr="002143A8">
        <w:rPr>
          <w:color w:val="000000" w:themeColor="text1"/>
          <w:sz w:val="20"/>
          <w:szCs w:val="20"/>
          <w:lang w:val="fr-FR"/>
        </w:rPr>
        <w:t>Peut également être pertinent:</w:t>
      </w:r>
      <w:r w:rsidRPr="00610811">
        <w:rPr>
          <w:color w:val="000000" w:themeColor="text1"/>
          <w:sz w:val="20"/>
          <w:szCs w:val="20"/>
          <w:lang w:val="fr-FR"/>
        </w:rPr>
        <w:t xml:space="preserve"> </w:t>
      </w:r>
      <w:r w:rsidR="00811F01" w:rsidRPr="00610811">
        <w:rPr>
          <w:i/>
          <w:iCs/>
          <w:color w:val="000000" w:themeColor="text1"/>
          <w:sz w:val="20"/>
          <w:szCs w:val="20"/>
          <w:lang w:val="fr-FR"/>
        </w:rPr>
        <w:t>“</w:t>
      </w:r>
      <w:r w:rsidR="00C20323" w:rsidRPr="00610811">
        <w:rPr>
          <w:i/>
          <w:iCs/>
          <w:color w:val="000000" w:themeColor="text1"/>
          <w:sz w:val="20"/>
          <w:szCs w:val="20"/>
          <w:lang w:val="fr-FR"/>
        </w:rPr>
        <w:t>Fait aussi appel aux Parties de signaler des mesures prises et leur succès relatif</w:t>
      </w:r>
      <w:r w:rsidR="00811F01" w:rsidRPr="00610811">
        <w:rPr>
          <w:i/>
          <w:iCs/>
          <w:color w:val="000000" w:themeColor="text1"/>
          <w:sz w:val="20"/>
          <w:szCs w:val="20"/>
          <w:lang w:val="fr-FR"/>
        </w:rPr>
        <w:t>”</w:t>
      </w:r>
      <w:r w:rsidR="002143A8">
        <w:rPr>
          <w:i/>
          <w:iCs/>
          <w:color w:val="000000" w:themeColor="text1"/>
          <w:sz w:val="20"/>
          <w:szCs w:val="20"/>
          <w:lang w:val="fr-FR"/>
        </w:rPr>
        <w:t>.</w:t>
      </w:r>
    </w:p>
    <w:p w14:paraId="56757FB6" w14:textId="77777777" w:rsidR="00EA0676" w:rsidRPr="00610811" w:rsidRDefault="00EA0676">
      <w:pPr>
        <w:spacing w:after="0"/>
        <w:jc w:val="both"/>
        <w:rPr>
          <w:i/>
          <w:iCs/>
          <w:color w:val="000000" w:themeColor="text1"/>
          <w:sz w:val="20"/>
          <w:szCs w:val="20"/>
          <w:highlight w:val="yellow"/>
          <w:lang w:val="fr-FR"/>
        </w:rPr>
      </w:pPr>
    </w:p>
    <w:p w14:paraId="74B1432E" w14:textId="27B81331" w:rsidR="00EA0676" w:rsidRPr="002143A8" w:rsidRDefault="007D60D2">
      <w:pPr>
        <w:spacing w:after="0"/>
        <w:jc w:val="both"/>
        <w:rPr>
          <w:b/>
          <w:bCs/>
          <w:i/>
          <w:iCs/>
          <w:color w:val="000000" w:themeColor="text1"/>
          <w:sz w:val="20"/>
          <w:szCs w:val="20"/>
          <w:lang w:val="fr-FR"/>
        </w:rPr>
      </w:pPr>
      <w:r w:rsidRPr="002143A8">
        <w:rPr>
          <w:b/>
          <w:bCs/>
          <w:i/>
          <w:iCs/>
          <w:color w:val="000000" w:themeColor="text1"/>
          <w:sz w:val="20"/>
          <w:szCs w:val="20"/>
          <w:lang w:val="fr-FR"/>
        </w:rPr>
        <w:t>Résolution</w:t>
      </w:r>
      <w:r w:rsidR="00811F01" w:rsidRPr="002143A8">
        <w:rPr>
          <w:b/>
          <w:bCs/>
          <w:i/>
          <w:iCs/>
          <w:color w:val="000000" w:themeColor="text1"/>
          <w:sz w:val="20"/>
          <w:szCs w:val="20"/>
          <w:lang w:val="fr-FR"/>
        </w:rPr>
        <w:t xml:space="preserve"> 12.22 </w:t>
      </w:r>
      <w:r w:rsidR="00F9243A" w:rsidRPr="002143A8">
        <w:rPr>
          <w:b/>
          <w:bCs/>
          <w:i/>
          <w:iCs/>
          <w:color w:val="000000" w:themeColor="text1"/>
          <w:sz w:val="20"/>
          <w:szCs w:val="20"/>
          <w:lang w:val="fr-FR"/>
        </w:rPr>
        <w:t>Prises accessoires</w:t>
      </w:r>
      <w:r w:rsidR="00811F01" w:rsidRPr="002143A8">
        <w:rPr>
          <w:b/>
          <w:bCs/>
          <w:i/>
          <w:iCs/>
          <w:color w:val="000000" w:themeColor="text1"/>
          <w:sz w:val="20"/>
          <w:szCs w:val="20"/>
          <w:lang w:val="fr-FR"/>
        </w:rPr>
        <w:t xml:space="preserve"> </w:t>
      </w:r>
    </w:p>
    <w:p w14:paraId="4F6B224A" w14:textId="0AFBDFE6" w:rsidR="00EA0676" w:rsidRPr="002143A8" w:rsidRDefault="00811F01">
      <w:pPr>
        <w:spacing w:after="0"/>
        <w:jc w:val="both"/>
        <w:rPr>
          <w:b/>
          <w:bCs/>
          <w:color w:val="000000" w:themeColor="text1"/>
          <w:sz w:val="20"/>
          <w:szCs w:val="20"/>
          <w:lang w:val="fr-FR" w:eastAsia="ja-JP"/>
        </w:rPr>
      </w:pPr>
      <w:r w:rsidRPr="002143A8">
        <w:rPr>
          <w:b/>
          <w:bCs/>
          <w:color w:val="000000" w:themeColor="text1"/>
          <w:sz w:val="20"/>
          <w:szCs w:val="20"/>
          <w:lang w:val="fr-FR"/>
        </w:rPr>
        <w:t>(</w:t>
      </w:r>
      <w:r w:rsidR="00F350FF" w:rsidRPr="002143A8">
        <w:rPr>
          <w:b/>
          <w:bCs/>
          <w:color w:val="000000" w:themeColor="text1"/>
          <w:sz w:val="20"/>
          <w:szCs w:val="20"/>
          <w:lang w:val="fr-FR"/>
        </w:rPr>
        <w:t xml:space="preserve">modification proposée au titre du point </w:t>
      </w:r>
      <w:r w:rsidR="002143A8" w:rsidRPr="002143A8">
        <w:rPr>
          <w:b/>
          <w:bCs/>
          <w:color w:val="000000" w:themeColor="text1"/>
          <w:sz w:val="20"/>
          <w:szCs w:val="20"/>
          <w:lang w:val="fr-FR"/>
        </w:rPr>
        <w:t>25.1</w:t>
      </w:r>
      <w:r w:rsidR="00F350FF" w:rsidRPr="002143A8">
        <w:rPr>
          <w:b/>
          <w:bCs/>
          <w:color w:val="000000" w:themeColor="text1"/>
          <w:sz w:val="20"/>
          <w:szCs w:val="20"/>
          <w:lang w:val="fr-FR"/>
        </w:rPr>
        <w:t>.1 de l'ordre du jour de la COP15</w:t>
      </w:r>
    </w:p>
    <w:p w14:paraId="5C0F3DFC" w14:textId="715981DA" w:rsidR="00EA0676" w:rsidRPr="00610811" w:rsidRDefault="00811F01">
      <w:pPr>
        <w:spacing w:after="0"/>
        <w:jc w:val="both"/>
        <w:rPr>
          <w:lang w:val="fr-FR"/>
        </w:rPr>
      </w:pPr>
      <w:r w:rsidRPr="002143A8">
        <w:rPr>
          <w:i/>
          <w:color w:val="000000" w:themeColor="text1"/>
          <w:sz w:val="20"/>
          <w:szCs w:val="20"/>
          <w:lang w:val="fr-FR"/>
        </w:rPr>
        <w:t>“</w:t>
      </w:r>
      <w:r w:rsidR="005708BB" w:rsidRPr="002143A8">
        <w:rPr>
          <w:i/>
          <w:color w:val="000000" w:themeColor="text1"/>
          <w:sz w:val="20"/>
          <w:szCs w:val="20"/>
          <w:lang w:val="fr-FR"/>
        </w:rPr>
        <w:t>Demande aux Parties à améliorer leurs rapports d’information et de données sur les prises accessoires dans leurs rapports nationaux pour la CMS ou à travers leurs rapports faits aux Accords affiliés à la CMS, en particulier portant sur les méthodes de réduction des prises accessoires qui se sont avérées être efficace</w:t>
      </w:r>
      <w:r w:rsidRPr="002143A8">
        <w:rPr>
          <w:i/>
          <w:color w:val="000000" w:themeColor="text1"/>
          <w:sz w:val="20"/>
          <w:szCs w:val="20"/>
          <w:lang w:val="fr-FR"/>
        </w:rPr>
        <w:t>”.</w:t>
      </w:r>
    </w:p>
    <w:p w14:paraId="4FC9C2DD" w14:textId="77777777" w:rsidR="00EA0676" w:rsidRPr="00610811" w:rsidRDefault="00EA0676">
      <w:pPr>
        <w:spacing w:after="0" w:line="240" w:lineRule="auto"/>
        <w:rPr>
          <w:lang w:val="fr-FR"/>
        </w:rPr>
      </w:pPr>
    </w:p>
    <w:sectPr w:rsidR="00EA0676" w:rsidRPr="00610811">
      <w:headerReference w:type="even" r:id="rId25"/>
      <w:headerReference w:type="default" r:id="rId2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F4535" w14:textId="77777777" w:rsidR="00293D71" w:rsidRDefault="00293D71">
      <w:pPr>
        <w:spacing w:after="0" w:line="240" w:lineRule="auto"/>
        <w:rPr>
          <w:lang w:val="fr-FR"/>
        </w:rPr>
      </w:pPr>
      <w:r>
        <w:rPr>
          <w:lang w:val="fr-FR"/>
        </w:rPr>
        <w:separator/>
      </w:r>
    </w:p>
  </w:endnote>
  <w:endnote w:type="continuationSeparator" w:id="0">
    <w:p w14:paraId="28468A2E" w14:textId="77777777" w:rsidR="00293D71" w:rsidRDefault="00293D71">
      <w:pPr>
        <w:spacing w:after="0" w:line="240" w:lineRule="auto"/>
        <w:rPr>
          <w:lang w:val="fr-FR"/>
        </w:rPr>
      </w:pPr>
      <w:r>
        <w:rPr>
          <w:lang w:val="fr-FR"/>
        </w:rPr>
        <w:continuationSeparator/>
      </w:r>
    </w:p>
  </w:endnote>
  <w:endnote w:type="continuationNotice" w:id="1">
    <w:p w14:paraId="0576590D" w14:textId="77777777" w:rsidR="00293D71" w:rsidRDefault="00293D71">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760335629"/>
      <w:docPartObj>
        <w:docPartGallery w:val="Page Numbers (Bottom of Page)"/>
        <w:docPartUnique/>
      </w:docPartObj>
    </w:sdtPr>
    <w:sdtEndPr>
      <w:rPr>
        <w:noProof/>
      </w:rPr>
    </w:sdtEndPr>
    <w:sdtContent>
      <w:p w14:paraId="0B623F59" w14:textId="07F6C14A" w:rsidR="006F3C5A" w:rsidRPr="006F3C5A" w:rsidRDefault="006F3C5A" w:rsidP="006F3C5A">
        <w:pPr>
          <w:pStyle w:val="Footer"/>
          <w:jc w:val="center"/>
          <w:rPr>
            <w:sz w:val="18"/>
            <w:szCs w:val="18"/>
          </w:rPr>
        </w:pPr>
        <w:r w:rsidRPr="006F3C5A">
          <w:rPr>
            <w:sz w:val="18"/>
            <w:szCs w:val="18"/>
          </w:rPr>
          <w:fldChar w:fldCharType="begin"/>
        </w:r>
        <w:r w:rsidRPr="006F3C5A">
          <w:rPr>
            <w:sz w:val="18"/>
            <w:szCs w:val="18"/>
          </w:rPr>
          <w:instrText xml:space="preserve"> PAGE   \* MERGEFORMAT </w:instrText>
        </w:r>
        <w:r w:rsidRPr="006F3C5A">
          <w:rPr>
            <w:sz w:val="18"/>
            <w:szCs w:val="18"/>
          </w:rPr>
          <w:fldChar w:fldCharType="separate"/>
        </w:r>
        <w:r w:rsidRPr="006F3C5A">
          <w:rPr>
            <w:noProof/>
            <w:sz w:val="18"/>
            <w:szCs w:val="18"/>
          </w:rPr>
          <w:t>2</w:t>
        </w:r>
        <w:r w:rsidRPr="006F3C5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16691274"/>
      <w:docPartObj>
        <w:docPartGallery w:val="Page Numbers (Bottom of Page)"/>
        <w:docPartUnique/>
      </w:docPartObj>
    </w:sdtPr>
    <w:sdtEndPr>
      <w:rPr>
        <w:noProof/>
      </w:rPr>
    </w:sdtEndPr>
    <w:sdtContent>
      <w:p w14:paraId="499ADE83" w14:textId="43E9E556" w:rsidR="006F3C5A" w:rsidRPr="006F3C5A" w:rsidRDefault="006F3C5A" w:rsidP="006F3C5A">
        <w:pPr>
          <w:pStyle w:val="Footer"/>
          <w:jc w:val="center"/>
          <w:rPr>
            <w:sz w:val="18"/>
            <w:szCs w:val="18"/>
          </w:rPr>
        </w:pPr>
        <w:r w:rsidRPr="006F3C5A">
          <w:rPr>
            <w:sz w:val="18"/>
            <w:szCs w:val="18"/>
          </w:rPr>
          <w:fldChar w:fldCharType="begin"/>
        </w:r>
        <w:r w:rsidRPr="006F3C5A">
          <w:rPr>
            <w:sz w:val="18"/>
            <w:szCs w:val="18"/>
          </w:rPr>
          <w:instrText xml:space="preserve"> PAGE   \* MERGEFORMAT </w:instrText>
        </w:r>
        <w:r w:rsidRPr="006F3C5A">
          <w:rPr>
            <w:sz w:val="18"/>
            <w:szCs w:val="18"/>
          </w:rPr>
          <w:fldChar w:fldCharType="separate"/>
        </w:r>
        <w:r w:rsidRPr="006F3C5A">
          <w:rPr>
            <w:noProof/>
            <w:sz w:val="18"/>
            <w:szCs w:val="18"/>
          </w:rPr>
          <w:t>2</w:t>
        </w:r>
        <w:r w:rsidRPr="006F3C5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1141267"/>
      <w:docPartObj>
        <w:docPartGallery w:val="Page Numbers (Bottom of Page)"/>
        <w:docPartUnique/>
      </w:docPartObj>
    </w:sdtPr>
    <w:sdtEndPr>
      <w:rPr>
        <w:noProof/>
      </w:rPr>
    </w:sdtEndPr>
    <w:sdtContent>
      <w:p w14:paraId="0115CA90" w14:textId="50B241BC" w:rsidR="006F3C5A" w:rsidRPr="006F3C5A" w:rsidRDefault="006F3C5A" w:rsidP="006F3C5A">
        <w:pPr>
          <w:pStyle w:val="Footer"/>
          <w:jc w:val="center"/>
          <w:rPr>
            <w:sz w:val="18"/>
            <w:szCs w:val="18"/>
          </w:rPr>
        </w:pPr>
        <w:r w:rsidRPr="006F3C5A">
          <w:rPr>
            <w:sz w:val="18"/>
            <w:szCs w:val="18"/>
          </w:rPr>
          <w:fldChar w:fldCharType="begin"/>
        </w:r>
        <w:r w:rsidRPr="006F3C5A">
          <w:rPr>
            <w:sz w:val="18"/>
            <w:szCs w:val="18"/>
          </w:rPr>
          <w:instrText xml:space="preserve"> PAGE   \* MERGEFORMAT </w:instrText>
        </w:r>
        <w:r w:rsidRPr="006F3C5A">
          <w:rPr>
            <w:sz w:val="18"/>
            <w:szCs w:val="18"/>
          </w:rPr>
          <w:fldChar w:fldCharType="separate"/>
        </w:r>
        <w:r w:rsidRPr="006F3C5A">
          <w:rPr>
            <w:noProof/>
            <w:sz w:val="18"/>
            <w:szCs w:val="18"/>
          </w:rPr>
          <w:t>2</w:t>
        </w:r>
        <w:r w:rsidRPr="006F3C5A">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8DBF2" w14:textId="77777777" w:rsidR="00293D71" w:rsidRDefault="00293D71">
      <w:pPr>
        <w:spacing w:after="0" w:line="240" w:lineRule="auto"/>
        <w:rPr>
          <w:lang w:val="fr-FR"/>
        </w:rPr>
      </w:pPr>
      <w:r>
        <w:rPr>
          <w:lang w:val="fr-FR"/>
        </w:rPr>
        <w:separator/>
      </w:r>
    </w:p>
  </w:footnote>
  <w:footnote w:type="continuationSeparator" w:id="0">
    <w:p w14:paraId="5E524430" w14:textId="77777777" w:rsidR="00293D71" w:rsidRDefault="00293D71">
      <w:pPr>
        <w:spacing w:after="0" w:line="240" w:lineRule="auto"/>
        <w:rPr>
          <w:lang w:val="fr-FR"/>
        </w:rPr>
      </w:pPr>
      <w:r>
        <w:rPr>
          <w:lang w:val="fr-FR"/>
        </w:rPr>
        <w:continuationSeparator/>
      </w:r>
    </w:p>
  </w:footnote>
  <w:footnote w:type="continuationNotice" w:id="1">
    <w:p w14:paraId="7214B53B" w14:textId="77777777" w:rsidR="00293D71" w:rsidRDefault="00293D71">
      <w:pPr>
        <w:spacing w:after="0" w:line="240" w:lineRule="auto"/>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DE6B" w14:textId="6F96E284" w:rsidR="00E85E7F" w:rsidRPr="002E0DE9" w:rsidRDefault="00E85E7F" w:rsidP="002E0DE9">
    <w:pPr>
      <w:pStyle w:val="Header"/>
      <w:pBdr>
        <w:bottom w:val="single" w:sz="4" w:space="1" w:color="auto"/>
      </w:pBdr>
      <w:rPr>
        <w:i/>
        <w:sz w:val="18"/>
        <w:szCs w:val="18"/>
      </w:rPr>
    </w:pPr>
    <w:r w:rsidRPr="002E0DE9">
      <w:rPr>
        <w:rFonts w:eastAsia="Times New Roman" w:cs="Arial"/>
        <w:i/>
        <w:sz w:val="18"/>
        <w:szCs w:val="18"/>
        <w:lang w:val="en-GB"/>
      </w:rPr>
      <w:t>UNEP/CMS/COP1</w:t>
    </w:r>
    <w:r w:rsidR="00C44B4C">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Pr="005E1F6E">
      <w:rPr>
        <w:rFonts w:eastAsia="Times New Roman" w:cs="Arial"/>
        <w:i/>
        <w:sz w:val="18"/>
        <w:szCs w:val="18"/>
        <w:lang w:val="en-GB"/>
      </w:rPr>
      <w:t>.</w:t>
    </w:r>
    <w:r>
      <w:rPr>
        <w:rFonts w:eastAsia="Times New Roman" w:cs="Arial"/>
        <w:i/>
        <w:sz w:val="18"/>
        <w:szCs w:val="18"/>
        <w:lang w:val="en-GB"/>
      </w:rPr>
      <w:t>2</w:t>
    </w:r>
    <w:r w:rsidR="00C44B4C">
      <w:rPr>
        <w:rFonts w:eastAsia="Times New Roman" w:cs="Arial"/>
        <w:i/>
        <w:sz w:val="18"/>
        <w:szCs w:val="18"/>
        <w:lang w:val="en-GB"/>
      </w:rPr>
      <w:t>2</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D9428" w14:textId="45C161FD" w:rsidR="000A1F5A" w:rsidRPr="002E0DE9" w:rsidRDefault="000A1F5A" w:rsidP="008A1DFB">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Doc.22/Annex</w:t>
    </w:r>
    <w:r w:rsidR="00E850EF">
      <w:rPr>
        <w:rFonts w:eastAsia="Times New Roman" w:cs="Arial"/>
        <w:i/>
        <w:sz w:val="18"/>
        <w:szCs w:val="18"/>
        <w:lang w:val="en-GB"/>
      </w:rPr>
      <w:t>e</w:t>
    </w:r>
    <w:r>
      <w:rPr>
        <w:rFonts w:eastAsia="Times New Roman" w:cs="Arial"/>
        <w:i/>
        <w:sz w:val="18"/>
        <w:szCs w:val="18"/>
        <w:lang w:val="en-GB"/>
      </w:rPr>
      <w:t xml:space="preserve"> 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B8B32" w14:textId="0030F7DB" w:rsidR="00771209" w:rsidRPr="002E0DE9" w:rsidRDefault="00771209" w:rsidP="008A1DFB">
    <w:pPr>
      <w:pStyle w:val="Header"/>
      <w:pBdr>
        <w:bottom w:val="single" w:sz="4" w:space="1" w:color="auto"/>
      </w:pBdr>
      <w:jc w:val="right"/>
      <w:rPr>
        <w:i/>
        <w:sz w:val="18"/>
        <w:szCs w:val="18"/>
      </w:rPr>
    </w:pPr>
    <w:r w:rsidRPr="002E0DE9">
      <w:rPr>
        <w:rFonts w:eastAsia="Times New Roman" w:cs="Arial"/>
        <w:i/>
        <w:sz w:val="18"/>
        <w:szCs w:val="18"/>
        <w:lang w:val="en-GB"/>
      </w:rPr>
      <w:t>UNEP/CMS/COP1</w:t>
    </w:r>
    <w:r w:rsidR="002A7593">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008A1DFB">
      <w:rPr>
        <w:rFonts w:eastAsia="Times New Roman" w:cs="Arial"/>
        <w:i/>
        <w:sz w:val="18"/>
        <w:szCs w:val="18"/>
        <w:lang w:val="en-GB"/>
      </w:rPr>
      <w:t>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60777" w14:textId="77777777" w:rsidR="002A0F06" w:rsidRPr="00FF59D5" w:rsidRDefault="002A0F06" w:rsidP="002A0F06">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bookmarkStart w:id="2" w:name="_Hlk208560916"/>
    <w:bookmarkStart w:id="3" w:name="_Hlk208560917"/>
    <w:r>
      <w:rPr>
        <w:noProof/>
      </w:rPr>
      <w:drawing>
        <wp:anchor distT="0" distB="0" distL="114300" distR="114300" simplePos="0" relativeHeight="251658242" behindDoc="0" locked="0" layoutInCell="1" allowOverlap="1" wp14:anchorId="05F912F6" wp14:editId="3F5919B8">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8240" behindDoc="0" locked="0" layoutInCell="1" allowOverlap="1" wp14:anchorId="583C8414" wp14:editId="24A3E41C">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lang w:val="en-GB"/>
      </w:rPr>
      <w:drawing>
        <wp:anchor distT="0" distB="0" distL="114300" distR="114300" simplePos="0" relativeHeight="251658241" behindDoc="0" locked="0" layoutInCell="1" allowOverlap="1" wp14:anchorId="3E72CEC7" wp14:editId="55738281">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p w14:paraId="6C6AAAB8" w14:textId="77777777" w:rsidR="002A0F06" w:rsidRDefault="002A0F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48E6" w14:textId="44B243C5" w:rsidR="00EA0676" w:rsidRDefault="00811F01" w:rsidP="00E850EF">
    <w:pPr>
      <w:pStyle w:val="Header"/>
      <w:pBdr>
        <w:bottom w:val="single" w:sz="4" w:space="1" w:color="auto"/>
      </w:pBdr>
      <w:jc w:val="right"/>
      <w:rPr>
        <w:rFonts w:eastAsia="Arial" w:cs="Arial"/>
        <w:color w:val="000000" w:themeColor="text1"/>
        <w:sz w:val="18"/>
        <w:szCs w:val="18"/>
      </w:rPr>
    </w:pPr>
    <w:r>
      <w:rPr>
        <w:rFonts w:eastAsia="Arial" w:cs="Arial"/>
        <w:i/>
        <w:iCs/>
        <w:color w:val="000000" w:themeColor="text1"/>
        <w:sz w:val="18"/>
        <w:szCs w:val="18"/>
      </w:rPr>
      <w:t>UNEP/CMS/COP15/Doc.22/Annex</w:t>
    </w:r>
    <w:r w:rsidR="006F3C5A">
      <w:rPr>
        <w:rFonts w:eastAsia="Arial" w:cs="Arial"/>
        <w:i/>
        <w:iCs/>
        <w:color w:val="000000" w:themeColor="text1"/>
        <w:sz w:val="18"/>
        <w:szCs w:val="18"/>
      </w:rPr>
      <w:t>e</w:t>
    </w:r>
    <w:r>
      <w:rPr>
        <w:rFonts w:eastAsia="Arial" w:cs="Arial"/>
        <w:i/>
        <w:iCs/>
        <w:color w:val="000000" w:themeColor="text1"/>
        <w:sz w:val="18"/>
        <w:szCs w:val="18"/>
      </w:rPr>
      <w:t xml:space="preserve"> 1</w:t>
    </w:r>
  </w:p>
  <w:p w14:paraId="14BC8250" w14:textId="77777777" w:rsidR="00EA0676" w:rsidRDefault="00EA0676">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C6F7" w14:textId="08AE47FB" w:rsidR="00D83C29" w:rsidRPr="002E0DE9" w:rsidRDefault="00D83C29" w:rsidP="002E0DE9">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Pr="005E1F6E">
      <w:rPr>
        <w:rFonts w:eastAsia="Times New Roman" w:cs="Arial"/>
        <w:i/>
        <w:sz w:val="18"/>
        <w:szCs w:val="18"/>
        <w:lang w:val="en-GB"/>
      </w:rPr>
      <w:t>.</w:t>
    </w:r>
    <w:r>
      <w:rPr>
        <w:rFonts w:eastAsia="Times New Roman" w:cs="Arial"/>
        <w:i/>
        <w:sz w:val="18"/>
        <w:szCs w:val="18"/>
        <w:lang w:val="en-GB"/>
      </w:rPr>
      <w:t>22/Annex</w:t>
    </w:r>
    <w:r w:rsidR="006F3C5A">
      <w:rPr>
        <w:rFonts w:eastAsia="Times New Roman" w:cs="Arial"/>
        <w:i/>
        <w:sz w:val="18"/>
        <w:szCs w:val="18"/>
        <w:lang w:val="en-GB"/>
      </w:rPr>
      <w:t>e</w:t>
    </w:r>
    <w:r>
      <w:rPr>
        <w:rFonts w:eastAsia="Times New Roman" w:cs="Arial"/>
        <w:i/>
        <w:sz w:val="18"/>
        <w:szCs w:val="18"/>
        <w:lang w:val="en-GB"/>
      </w:rPr>
      <w:t xml:space="preserve"> </w:t>
    </w:r>
    <w:r w:rsidR="006F3C5A">
      <w:rPr>
        <w:rFonts w:eastAsia="Times New Roman" w:cs="Arial"/>
        <w:i/>
        <w:sz w:val="18"/>
        <w:szCs w:val="18"/>
        <w:lang w:val="en-GB"/>
      </w:rPr>
      <w:t>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F4724" w14:textId="1234E833" w:rsidR="004946BB" w:rsidRPr="002E0DE9" w:rsidRDefault="004946BB" w:rsidP="008A1DFB">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Doc.2</w:t>
    </w:r>
    <w:r w:rsidR="00487496">
      <w:rPr>
        <w:rFonts w:eastAsia="Times New Roman" w:cs="Arial"/>
        <w:i/>
        <w:sz w:val="18"/>
        <w:szCs w:val="18"/>
        <w:lang w:val="en-GB"/>
      </w:rPr>
      <w:t>2</w:t>
    </w:r>
    <w:r>
      <w:rPr>
        <w:rFonts w:eastAsia="Times New Roman" w:cs="Arial"/>
        <w:i/>
        <w:sz w:val="18"/>
        <w:szCs w:val="18"/>
        <w:lang w:val="en-GB"/>
      </w:rPr>
      <w:t>/Annex 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F11D" w14:textId="407E6C59" w:rsidR="000C10D7" w:rsidRPr="002E0DE9" w:rsidRDefault="000C10D7" w:rsidP="002E0DE9">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Pr="005E1F6E">
      <w:rPr>
        <w:rFonts w:eastAsia="Times New Roman" w:cs="Arial"/>
        <w:i/>
        <w:sz w:val="18"/>
        <w:szCs w:val="18"/>
        <w:lang w:val="en-GB"/>
      </w:rPr>
      <w:t>.</w:t>
    </w:r>
    <w:r>
      <w:rPr>
        <w:rFonts w:eastAsia="Times New Roman" w:cs="Arial"/>
        <w:i/>
        <w:sz w:val="18"/>
        <w:szCs w:val="18"/>
        <w:lang w:val="en-GB"/>
      </w:rPr>
      <w:t>22/Annex</w:t>
    </w:r>
    <w:r w:rsidR="00CC274A">
      <w:rPr>
        <w:rFonts w:eastAsia="Times New Roman" w:cs="Arial"/>
        <w:i/>
        <w:sz w:val="18"/>
        <w:szCs w:val="18"/>
        <w:lang w:val="en-GB"/>
      </w:rPr>
      <w:t>e</w:t>
    </w:r>
    <w:r>
      <w:rPr>
        <w:rFonts w:eastAsia="Times New Roman" w:cs="Arial"/>
        <w:i/>
        <w:sz w:val="18"/>
        <w:szCs w:val="18"/>
        <w:lang w:val="en-GB"/>
      </w:rPr>
      <w:t xml:space="preserve"> </w:t>
    </w:r>
    <w:r w:rsidR="004946BB">
      <w:rPr>
        <w:rFonts w:eastAsia="Times New Roman" w:cs="Arial"/>
        <w:i/>
        <w:sz w:val="18"/>
        <w:szCs w:val="18"/>
        <w:lang w:val="en-GB"/>
      </w:rPr>
      <w:t>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4DE56" w14:textId="29C70313" w:rsidR="000C10D7" w:rsidRPr="002E0DE9" w:rsidRDefault="000C10D7" w:rsidP="008A1DFB">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Doc.22/Annex</w:t>
    </w:r>
    <w:r w:rsidR="00E850EF">
      <w:rPr>
        <w:rFonts w:eastAsia="Times New Roman" w:cs="Arial"/>
        <w:i/>
        <w:sz w:val="18"/>
        <w:szCs w:val="18"/>
        <w:lang w:val="en-GB"/>
      </w:rPr>
      <w:t>e</w:t>
    </w:r>
    <w:r>
      <w:rPr>
        <w:rFonts w:eastAsia="Times New Roman" w:cs="Arial"/>
        <w:i/>
        <w:sz w:val="18"/>
        <w:szCs w:val="18"/>
        <w:lang w:val="en-GB"/>
      </w:rPr>
      <w:t xml:space="preserve"> </w:t>
    </w:r>
    <w:r w:rsidR="00F2749E">
      <w:rPr>
        <w:rFonts w:eastAsia="Times New Roman" w:cs="Arial"/>
        <w:i/>
        <w:sz w:val="18"/>
        <w:szCs w:val="18"/>
        <w:lang w:val="en-GB"/>
      </w:rPr>
      <w:t>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119FE" w14:textId="0ACB9E23" w:rsidR="00AE6B80" w:rsidRPr="002E0DE9" w:rsidRDefault="007442D2" w:rsidP="002E0DE9">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Pr="005E1F6E">
      <w:rPr>
        <w:rFonts w:eastAsia="Times New Roman" w:cs="Arial"/>
        <w:i/>
        <w:sz w:val="18"/>
        <w:szCs w:val="18"/>
        <w:lang w:val="en-GB"/>
      </w:rPr>
      <w:t>.</w:t>
    </w:r>
    <w:r>
      <w:rPr>
        <w:rFonts w:eastAsia="Times New Roman" w:cs="Arial"/>
        <w:i/>
        <w:sz w:val="18"/>
        <w:szCs w:val="18"/>
        <w:lang w:val="en-GB"/>
      </w:rPr>
      <w:t>22/Annex</w:t>
    </w:r>
    <w:r w:rsidR="00CC274A">
      <w:rPr>
        <w:rFonts w:eastAsia="Times New Roman" w:cs="Arial"/>
        <w:i/>
        <w:sz w:val="18"/>
        <w:szCs w:val="18"/>
        <w:lang w:val="en-GB"/>
      </w:rPr>
      <w:t>e</w:t>
    </w:r>
    <w:r>
      <w:rPr>
        <w:rFonts w:eastAsia="Times New Roman" w:cs="Arial"/>
        <w:i/>
        <w:sz w:val="18"/>
        <w:szCs w:val="18"/>
        <w:lang w:val="en-GB"/>
      </w:rPr>
      <w:t xml:space="preserve"> </w:t>
    </w:r>
    <w:r w:rsidR="00455BF5">
      <w:rPr>
        <w:rFonts w:eastAsia="Times New Roman" w:cs="Arial"/>
        <w:i/>
        <w:sz w:val="18"/>
        <w:szCs w:val="18"/>
        <w:lang w:val="en-GB"/>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5640ACD"/>
    <w:multiLevelType w:val="hybridMultilevel"/>
    <w:tmpl w:val="235A9480"/>
    <w:lvl w:ilvl="0" w:tplc="041A0017">
      <w:start w:val="1"/>
      <w:numFmt w:val="lowerLetter"/>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 w15:restartNumberingAfterBreak="0">
    <w:nsid w:val="0BFB581E"/>
    <w:multiLevelType w:val="hybridMultilevel"/>
    <w:tmpl w:val="78327F1E"/>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 w15:restartNumberingAfterBreak="0">
    <w:nsid w:val="0F501834"/>
    <w:multiLevelType w:val="hybridMultilevel"/>
    <w:tmpl w:val="3E3E3D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4040C4F"/>
    <w:multiLevelType w:val="hybridMultilevel"/>
    <w:tmpl w:val="84867C50"/>
    <w:lvl w:ilvl="0" w:tplc="A94081EC">
      <w:start w:val="1"/>
      <w:numFmt w:val="decimal"/>
      <w:lvlText w:val="%1."/>
      <w:lvlJc w:val="left"/>
      <w:pPr>
        <w:ind w:left="360" w:hanging="360"/>
      </w:pPr>
      <w:rPr>
        <w:rFonts w:ascii="Arial" w:hAnsi="Arial" w:cs="Arial" w:hint="default"/>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157C7A63"/>
    <w:multiLevelType w:val="hybridMultilevel"/>
    <w:tmpl w:val="3E3E3D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FA39E6"/>
    <w:multiLevelType w:val="hybridMultilevel"/>
    <w:tmpl w:val="FCDAC036"/>
    <w:lvl w:ilvl="0" w:tplc="4796CDE8">
      <w:start w:val="1"/>
      <w:numFmt w:val="decimal"/>
      <w:lvlText w:val="%1."/>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EB5847AE">
      <w:start w:val="1"/>
      <w:numFmt w:val="lowerLetter"/>
      <w:lvlText w:val="%2)"/>
      <w:lvlJc w:val="left"/>
      <w:pPr>
        <w:ind w:left="142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624C9702">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AA10DA5E">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868C8F0">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52F86210">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542C7F52">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D7DA41FE">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3B6C100A">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171E7CD7"/>
    <w:multiLevelType w:val="hybridMultilevel"/>
    <w:tmpl w:val="7BB089EA"/>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19951C7D"/>
    <w:multiLevelType w:val="hybridMultilevel"/>
    <w:tmpl w:val="6E88C066"/>
    <w:lvl w:ilvl="0" w:tplc="20000001">
      <w:start w:val="1"/>
      <w:numFmt w:val="bullet"/>
      <w:lvlText w:val=""/>
      <w:lvlJc w:val="left"/>
      <w:pPr>
        <w:ind w:left="786" w:hanging="360"/>
      </w:pPr>
      <w:rPr>
        <w:rFonts w:ascii="Symbol" w:hAnsi="Symbol"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abstractNum w:abstractNumId="9" w15:restartNumberingAfterBreak="0">
    <w:nsid w:val="24A05613"/>
    <w:multiLevelType w:val="hybridMultilevel"/>
    <w:tmpl w:val="F24A8BE6"/>
    <w:lvl w:ilvl="0" w:tplc="81C4D070">
      <w:start w:val="1"/>
      <w:numFmt w:val="lowerLetter"/>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0" w15:restartNumberingAfterBreak="0">
    <w:nsid w:val="26D81EE8"/>
    <w:multiLevelType w:val="hybridMultilevel"/>
    <w:tmpl w:val="C4BE5BFA"/>
    <w:lvl w:ilvl="0" w:tplc="21262B08">
      <w:start w:val="1"/>
      <w:numFmt w:val="bullet"/>
      <w:lvlText w:val="-"/>
      <w:lvlJc w:val="left"/>
      <w:pPr>
        <w:ind w:left="720" w:hanging="360"/>
      </w:pPr>
      <w:rPr>
        <w:rFonts w:ascii="Aptos" w:hAnsi="Aptos" w:hint="default"/>
      </w:rPr>
    </w:lvl>
    <w:lvl w:ilvl="1" w:tplc="500A2272">
      <w:start w:val="1"/>
      <w:numFmt w:val="bullet"/>
      <w:lvlText w:val="o"/>
      <w:lvlJc w:val="left"/>
      <w:pPr>
        <w:ind w:left="1440" w:hanging="360"/>
      </w:pPr>
      <w:rPr>
        <w:rFonts w:ascii="Courier New" w:hAnsi="Courier New" w:cs="Times New Roman" w:hint="default"/>
      </w:rPr>
    </w:lvl>
    <w:lvl w:ilvl="2" w:tplc="B6CE998A">
      <w:start w:val="1"/>
      <w:numFmt w:val="bullet"/>
      <w:lvlText w:val=""/>
      <w:lvlJc w:val="left"/>
      <w:pPr>
        <w:ind w:left="2160" w:hanging="360"/>
      </w:pPr>
      <w:rPr>
        <w:rFonts w:ascii="Wingdings" w:hAnsi="Wingdings" w:hint="default"/>
      </w:rPr>
    </w:lvl>
    <w:lvl w:ilvl="3" w:tplc="B6C4FEA4">
      <w:start w:val="1"/>
      <w:numFmt w:val="bullet"/>
      <w:lvlText w:val=""/>
      <w:lvlJc w:val="left"/>
      <w:pPr>
        <w:ind w:left="2880" w:hanging="360"/>
      </w:pPr>
      <w:rPr>
        <w:rFonts w:ascii="Symbol" w:hAnsi="Symbol" w:hint="default"/>
      </w:rPr>
    </w:lvl>
    <w:lvl w:ilvl="4" w:tplc="9DE83486">
      <w:start w:val="1"/>
      <w:numFmt w:val="bullet"/>
      <w:lvlText w:val="o"/>
      <w:lvlJc w:val="left"/>
      <w:pPr>
        <w:ind w:left="3600" w:hanging="360"/>
      </w:pPr>
      <w:rPr>
        <w:rFonts w:ascii="Courier New" w:hAnsi="Courier New" w:cs="Times New Roman" w:hint="default"/>
      </w:rPr>
    </w:lvl>
    <w:lvl w:ilvl="5" w:tplc="4C90ADEE">
      <w:start w:val="1"/>
      <w:numFmt w:val="bullet"/>
      <w:lvlText w:val=""/>
      <w:lvlJc w:val="left"/>
      <w:pPr>
        <w:ind w:left="4320" w:hanging="360"/>
      </w:pPr>
      <w:rPr>
        <w:rFonts w:ascii="Wingdings" w:hAnsi="Wingdings" w:hint="default"/>
      </w:rPr>
    </w:lvl>
    <w:lvl w:ilvl="6" w:tplc="36FCAD26">
      <w:start w:val="1"/>
      <w:numFmt w:val="bullet"/>
      <w:lvlText w:val=""/>
      <w:lvlJc w:val="left"/>
      <w:pPr>
        <w:ind w:left="5040" w:hanging="360"/>
      </w:pPr>
      <w:rPr>
        <w:rFonts w:ascii="Symbol" w:hAnsi="Symbol" w:hint="default"/>
      </w:rPr>
    </w:lvl>
    <w:lvl w:ilvl="7" w:tplc="04101C6C">
      <w:start w:val="1"/>
      <w:numFmt w:val="bullet"/>
      <w:lvlText w:val="o"/>
      <w:lvlJc w:val="left"/>
      <w:pPr>
        <w:ind w:left="5760" w:hanging="360"/>
      </w:pPr>
      <w:rPr>
        <w:rFonts w:ascii="Courier New" w:hAnsi="Courier New" w:cs="Times New Roman" w:hint="default"/>
      </w:rPr>
    </w:lvl>
    <w:lvl w:ilvl="8" w:tplc="A866FC2E">
      <w:start w:val="1"/>
      <w:numFmt w:val="bullet"/>
      <w:lvlText w:val=""/>
      <w:lvlJc w:val="left"/>
      <w:pPr>
        <w:ind w:left="6480" w:hanging="360"/>
      </w:pPr>
      <w:rPr>
        <w:rFonts w:ascii="Wingdings" w:hAnsi="Wingdings" w:hint="default"/>
      </w:rPr>
    </w:lvl>
  </w:abstractNum>
  <w:abstractNum w:abstractNumId="11" w15:restartNumberingAfterBreak="0">
    <w:nsid w:val="274830AB"/>
    <w:multiLevelType w:val="hybridMultilevel"/>
    <w:tmpl w:val="AB1847F8"/>
    <w:lvl w:ilvl="0" w:tplc="8864DE0A">
      <w:start w:val="1"/>
      <w:numFmt w:val="lowerLetter"/>
      <w:lvlText w:val="%1)"/>
      <w:lvlJc w:val="left"/>
      <w:pPr>
        <w:ind w:left="1146" w:hanging="360"/>
      </w:pPr>
    </w:lvl>
    <w:lvl w:ilvl="1" w:tplc="CA7CB216">
      <w:start w:val="1"/>
      <w:numFmt w:val="lowerLetter"/>
      <w:lvlText w:val="%2."/>
      <w:lvlJc w:val="left"/>
      <w:pPr>
        <w:ind w:left="1440" w:hanging="360"/>
      </w:pPr>
    </w:lvl>
    <w:lvl w:ilvl="2" w:tplc="987E80D2">
      <w:start w:val="1"/>
      <w:numFmt w:val="lowerRoman"/>
      <w:lvlText w:val="%3."/>
      <w:lvlJc w:val="right"/>
      <w:pPr>
        <w:ind w:left="2160" w:hanging="180"/>
      </w:pPr>
    </w:lvl>
    <w:lvl w:ilvl="3" w:tplc="7766227A">
      <w:start w:val="1"/>
      <w:numFmt w:val="decimal"/>
      <w:lvlText w:val="%4."/>
      <w:lvlJc w:val="left"/>
      <w:pPr>
        <w:ind w:left="2880" w:hanging="360"/>
      </w:pPr>
    </w:lvl>
    <w:lvl w:ilvl="4" w:tplc="E8E66AC6">
      <w:start w:val="1"/>
      <w:numFmt w:val="lowerLetter"/>
      <w:lvlText w:val="%5."/>
      <w:lvlJc w:val="left"/>
      <w:pPr>
        <w:ind w:left="3600" w:hanging="360"/>
      </w:pPr>
    </w:lvl>
    <w:lvl w:ilvl="5" w:tplc="AF2469D6">
      <w:start w:val="1"/>
      <w:numFmt w:val="lowerRoman"/>
      <w:lvlText w:val="%6."/>
      <w:lvlJc w:val="right"/>
      <w:pPr>
        <w:ind w:left="4320" w:hanging="180"/>
      </w:pPr>
    </w:lvl>
    <w:lvl w:ilvl="6" w:tplc="D0B65C14">
      <w:start w:val="1"/>
      <w:numFmt w:val="decimal"/>
      <w:lvlText w:val="%7."/>
      <w:lvlJc w:val="left"/>
      <w:pPr>
        <w:ind w:left="5040" w:hanging="360"/>
      </w:pPr>
    </w:lvl>
    <w:lvl w:ilvl="7" w:tplc="E7CE4EE4">
      <w:start w:val="1"/>
      <w:numFmt w:val="lowerLetter"/>
      <w:lvlText w:val="%8."/>
      <w:lvlJc w:val="left"/>
      <w:pPr>
        <w:ind w:left="5760" w:hanging="360"/>
      </w:pPr>
    </w:lvl>
    <w:lvl w:ilvl="8" w:tplc="DE46DB7C">
      <w:start w:val="1"/>
      <w:numFmt w:val="lowerRoman"/>
      <w:lvlText w:val="%9."/>
      <w:lvlJc w:val="right"/>
      <w:pPr>
        <w:ind w:left="6480" w:hanging="180"/>
      </w:pPr>
    </w:lvl>
  </w:abstractNum>
  <w:abstractNum w:abstractNumId="12" w15:restartNumberingAfterBreak="0">
    <w:nsid w:val="28434309"/>
    <w:multiLevelType w:val="hybridMultilevel"/>
    <w:tmpl w:val="DA0CAFB2"/>
    <w:lvl w:ilvl="0" w:tplc="100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F13C81"/>
    <w:multiLevelType w:val="multilevel"/>
    <w:tmpl w:val="51FA4954"/>
    <w:lvl w:ilvl="0">
      <w:start w:val="1"/>
      <w:numFmt w:val="lowerLetter"/>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14"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52E5EE"/>
    <w:multiLevelType w:val="hybridMultilevel"/>
    <w:tmpl w:val="807CB18A"/>
    <w:lvl w:ilvl="0" w:tplc="AAB09080">
      <w:start w:val="1"/>
      <w:numFmt w:val="lowerLetter"/>
      <w:lvlText w:val="%1)"/>
      <w:lvlJc w:val="left"/>
      <w:pPr>
        <w:ind w:left="1440" w:hanging="360"/>
      </w:pPr>
    </w:lvl>
    <w:lvl w:ilvl="1" w:tplc="1F94EED6">
      <w:start w:val="1"/>
      <w:numFmt w:val="lowerLetter"/>
      <w:lvlText w:val="%2."/>
      <w:lvlJc w:val="left"/>
      <w:pPr>
        <w:ind w:left="2160" w:hanging="360"/>
      </w:pPr>
    </w:lvl>
    <w:lvl w:ilvl="2" w:tplc="0F8CAFEE">
      <w:start w:val="1"/>
      <w:numFmt w:val="lowerRoman"/>
      <w:lvlText w:val="%3."/>
      <w:lvlJc w:val="right"/>
      <w:pPr>
        <w:ind w:left="2880" w:hanging="180"/>
      </w:pPr>
    </w:lvl>
    <w:lvl w:ilvl="3" w:tplc="ADD426C2">
      <w:start w:val="1"/>
      <w:numFmt w:val="decimal"/>
      <w:lvlText w:val="%4."/>
      <w:lvlJc w:val="left"/>
      <w:pPr>
        <w:ind w:left="3600" w:hanging="360"/>
      </w:pPr>
    </w:lvl>
    <w:lvl w:ilvl="4" w:tplc="5C0E18E4">
      <w:start w:val="1"/>
      <w:numFmt w:val="lowerLetter"/>
      <w:lvlText w:val="%5."/>
      <w:lvlJc w:val="left"/>
      <w:pPr>
        <w:ind w:left="4320" w:hanging="360"/>
      </w:pPr>
    </w:lvl>
    <w:lvl w:ilvl="5" w:tplc="473C23FA">
      <w:start w:val="1"/>
      <w:numFmt w:val="lowerRoman"/>
      <w:lvlText w:val="%6."/>
      <w:lvlJc w:val="right"/>
      <w:pPr>
        <w:ind w:left="5040" w:hanging="180"/>
      </w:pPr>
    </w:lvl>
    <w:lvl w:ilvl="6" w:tplc="AB3A3AB8">
      <w:start w:val="1"/>
      <w:numFmt w:val="decimal"/>
      <w:lvlText w:val="%7."/>
      <w:lvlJc w:val="left"/>
      <w:pPr>
        <w:ind w:left="5760" w:hanging="360"/>
      </w:pPr>
    </w:lvl>
    <w:lvl w:ilvl="7" w:tplc="32E604E6">
      <w:start w:val="1"/>
      <w:numFmt w:val="lowerLetter"/>
      <w:lvlText w:val="%8."/>
      <w:lvlJc w:val="left"/>
      <w:pPr>
        <w:ind w:left="6480" w:hanging="360"/>
      </w:pPr>
    </w:lvl>
    <w:lvl w:ilvl="8" w:tplc="6BACFECA">
      <w:start w:val="1"/>
      <w:numFmt w:val="lowerRoman"/>
      <w:lvlText w:val="%9."/>
      <w:lvlJc w:val="right"/>
      <w:pPr>
        <w:ind w:left="7200" w:hanging="180"/>
      </w:pPr>
    </w:lvl>
  </w:abstractNum>
  <w:abstractNum w:abstractNumId="16" w15:restartNumberingAfterBreak="0">
    <w:nsid w:val="3FE03839"/>
    <w:multiLevelType w:val="hybridMultilevel"/>
    <w:tmpl w:val="67128EF4"/>
    <w:lvl w:ilvl="0" w:tplc="21262B08">
      <w:start w:val="1"/>
      <w:numFmt w:val="bullet"/>
      <w:lvlText w:val="-"/>
      <w:lvlJc w:val="left"/>
      <w:pPr>
        <w:ind w:left="720" w:hanging="360"/>
      </w:pPr>
      <w:rPr>
        <w:rFonts w:ascii="Aptos" w:hAnsi="Apto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8" w15:restartNumberingAfterBreak="0">
    <w:nsid w:val="42AD2639"/>
    <w:multiLevelType w:val="hybridMultilevel"/>
    <w:tmpl w:val="49BC3D8A"/>
    <w:lvl w:ilvl="0" w:tplc="21262B08">
      <w:start w:val="1"/>
      <w:numFmt w:val="bullet"/>
      <w:lvlText w:val="-"/>
      <w:lvlJc w:val="left"/>
      <w:pPr>
        <w:ind w:left="720" w:hanging="360"/>
      </w:pPr>
      <w:rPr>
        <w:rFonts w:ascii="Aptos" w:hAnsi="Apto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0966F1"/>
    <w:multiLevelType w:val="hybridMultilevel"/>
    <w:tmpl w:val="7BB089E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4F1522A9"/>
    <w:multiLevelType w:val="hybridMultilevel"/>
    <w:tmpl w:val="B7582340"/>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7C73F92"/>
    <w:multiLevelType w:val="hybridMultilevel"/>
    <w:tmpl w:val="766CAED4"/>
    <w:lvl w:ilvl="0" w:tplc="94C49C5A">
      <w:start w:val="1"/>
      <w:numFmt w:val="decimal"/>
      <w:lvlText w:val="%1."/>
      <w:lvlJc w:val="left"/>
      <w:pPr>
        <w:ind w:left="720" w:hanging="360"/>
      </w:pPr>
      <w:rPr>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FD8370D"/>
    <w:multiLevelType w:val="hybridMultilevel"/>
    <w:tmpl w:val="662E80A8"/>
    <w:lvl w:ilvl="0" w:tplc="04070017">
      <w:start w:val="1"/>
      <w:numFmt w:val="lowerLetter"/>
      <w:lvlText w:val="%1)"/>
      <w:lvlJc w:val="left"/>
      <w:pPr>
        <w:ind w:left="927" w:hanging="360"/>
      </w:p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4" w15:restartNumberingAfterBreak="0">
    <w:nsid w:val="619560C2"/>
    <w:multiLevelType w:val="hybridMultilevel"/>
    <w:tmpl w:val="C1323E3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6858488D"/>
    <w:multiLevelType w:val="hybridMultilevel"/>
    <w:tmpl w:val="2622405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 w15:restartNumberingAfterBreak="0">
    <w:nsid w:val="6ECA018F"/>
    <w:multiLevelType w:val="hybridMultilevel"/>
    <w:tmpl w:val="EF94AFA6"/>
    <w:lvl w:ilvl="0" w:tplc="FFFFFFFF">
      <w:start w:val="1"/>
      <w:numFmt w:val="decimal"/>
      <w:lvlText w:val="%1."/>
      <w:lvlJc w:val="left"/>
      <w:pPr>
        <w:ind w:left="128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1726D4"/>
    <w:multiLevelType w:val="hybridMultilevel"/>
    <w:tmpl w:val="74486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1" w15:restartNumberingAfterBreak="0">
    <w:nsid w:val="763176B9"/>
    <w:multiLevelType w:val="multilevel"/>
    <w:tmpl w:val="F2A425B2"/>
    <w:lvl w:ilvl="0">
      <w:start w:val="1"/>
      <w:numFmt w:val="lowerLetter"/>
      <w:lvlText w:val="%1)"/>
      <w:lvlJc w:val="left"/>
      <w:pPr>
        <w:tabs>
          <w:tab w:val="num" w:pos="720"/>
        </w:tabs>
        <w:ind w:left="720" w:hanging="360"/>
      </w:pPr>
      <w:rPr>
        <w:rFonts w:ascii="Arial" w:hAnsi="Arial" w:cs="Aria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3" w15:restartNumberingAfterBreak="0">
    <w:nsid w:val="7C464D04"/>
    <w:multiLevelType w:val="hybridMultilevel"/>
    <w:tmpl w:val="812E3F94"/>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6269280">
    <w:abstractNumId w:val="19"/>
  </w:num>
  <w:num w:numId="2" w16cid:durableId="571506409">
    <w:abstractNumId w:val="30"/>
  </w:num>
  <w:num w:numId="3" w16cid:durableId="716246252">
    <w:abstractNumId w:val="0"/>
  </w:num>
  <w:num w:numId="4" w16cid:durableId="19828832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0089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19020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6206141">
    <w:abstractNumId w:val="14"/>
  </w:num>
  <w:num w:numId="8" w16cid:durableId="442119784">
    <w:abstractNumId w:val="33"/>
  </w:num>
  <w:num w:numId="9" w16cid:durableId="1854760622">
    <w:abstractNumId w:val="25"/>
  </w:num>
  <w:num w:numId="10" w16cid:durableId="1305936502">
    <w:abstractNumId w:val="22"/>
  </w:num>
  <w:num w:numId="11" w16cid:durableId="336422706">
    <w:abstractNumId w:val="1"/>
  </w:num>
  <w:num w:numId="12" w16cid:durableId="1635912092">
    <w:abstractNumId w:val="3"/>
  </w:num>
  <w:num w:numId="13" w16cid:durableId="600723340">
    <w:abstractNumId w:val="5"/>
  </w:num>
  <w:num w:numId="14" w16cid:durableId="550071325">
    <w:abstractNumId w:val="29"/>
  </w:num>
  <w:num w:numId="15" w16cid:durableId="1075275170">
    <w:abstractNumId w:val="26"/>
  </w:num>
  <w:num w:numId="16" w16cid:durableId="313993202">
    <w:abstractNumId w:val="28"/>
  </w:num>
  <w:num w:numId="17" w16cid:durableId="665400505">
    <w:abstractNumId w:val="12"/>
  </w:num>
  <w:num w:numId="18" w16cid:durableId="142744703">
    <w:abstractNumId w:val="4"/>
  </w:num>
  <w:num w:numId="19" w16cid:durableId="954409978">
    <w:abstractNumId w:val="8"/>
  </w:num>
  <w:num w:numId="20" w16cid:durableId="19341238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1601856">
    <w:abstractNumId w:val="20"/>
  </w:num>
  <w:num w:numId="22" w16cid:durableId="207844972">
    <w:abstractNumId w:val="7"/>
  </w:num>
  <w:num w:numId="23" w16cid:durableId="1221210255">
    <w:abstractNumId w:val="27"/>
  </w:num>
  <w:num w:numId="24" w16cid:durableId="2126995694">
    <w:abstractNumId w:val="15"/>
  </w:num>
  <w:num w:numId="25" w16cid:durableId="1622763553">
    <w:abstractNumId w:val="17"/>
  </w:num>
  <w:num w:numId="26" w16cid:durableId="1868324687">
    <w:abstractNumId w:val="21"/>
  </w:num>
  <w:num w:numId="27" w16cid:durableId="489757597">
    <w:abstractNumId w:val="10"/>
  </w:num>
  <w:num w:numId="28" w16cid:durableId="1432967694">
    <w:abstractNumId w:val="13"/>
  </w:num>
  <w:num w:numId="29" w16cid:durableId="1455060628">
    <w:abstractNumId w:val="31"/>
  </w:num>
  <w:num w:numId="30" w16cid:durableId="101145314">
    <w:abstractNumId w:val="11"/>
  </w:num>
  <w:num w:numId="31" w16cid:durableId="965162424">
    <w:abstractNumId w:val="24"/>
  </w:num>
  <w:num w:numId="32" w16cid:durableId="140734259">
    <w:abstractNumId w:val="9"/>
  </w:num>
  <w:num w:numId="33" w16cid:durableId="783498797">
    <w:abstractNumId w:val="2"/>
  </w:num>
  <w:num w:numId="34" w16cid:durableId="183448868">
    <w:abstractNumId w:val="23"/>
  </w:num>
  <w:num w:numId="35" w16cid:durableId="1183473047">
    <w:abstractNumId w:val="16"/>
  </w:num>
  <w:num w:numId="36" w16cid:durableId="14076124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016E"/>
    <w:rsid w:val="00000A2C"/>
    <w:rsid w:val="000102AD"/>
    <w:rsid w:val="00011F03"/>
    <w:rsid w:val="00016521"/>
    <w:rsid w:val="00016763"/>
    <w:rsid w:val="000167C1"/>
    <w:rsid w:val="000214F1"/>
    <w:rsid w:val="00023446"/>
    <w:rsid w:val="00023C37"/>
    <w:rsid w:val="0002419D"/>
    <w:rsid w:val="00024278"/>
    <w:rsid w:val="0002523C"/>
    <w:rsid w:val="00025538"/>
    <w:rsid w:val="00027261"/>
    <w:rsid w:val="00027512"/>
    <w:rsid w:val="000316DD"/>
    <w:rsid w:val="0003222B"/>
    <w:rsid w:val="000362FC"/>
    <w:rsid w:val="00040331"/>
    <w:rsid w:val="00040342"/>
    <w:rsid w:val="00042A22"/>
    <w:rsid w:val="00042DDA"/>
    <w:rsid w:val="00044BD0"/>
    <w:rsid w:val="00045EDF"/>
    <w:rsid w:val="000463BF"/>
    <w:rsid w:val="000469AC"/>
    <w:rsid w:val="00050296"/>
    <w:rsid w:val="0005029E"/>
    <w:rsid w:val="000539AB"/>
    <w:rsid w:val="00055318"/>
    <w:rsid w:val="0005566E"/>
    <w:rsid w:val="0005616E"/>
    <w:rsid w:val="00056612"/>
    <w:rsid w:val="00057B77"/>
    <w:rsid w:val="00060B2D"/>
    <w:rsid w:val="00061140"/>
    <w:rsid w:val="000620DF"/>
    <w:rsid w:val="00062FD4"/>
    <w:rsid w:val="0006301A"/>
    <w:rsid w:val="00063C40"/>
    <w:rsid w:val="000661B2"/>
    <w:rsid w:val="00066FD8"/>
    <w:rsid w:val="00070C65"/>
    <w:rsid w:val="00070CD5"/>
    <w:rsid w:val="0007249C"/>
    <w:rsid w:val="00072BBB"/>
    <w:rsid w:val="00072CFF"/>
    <w:rsid w:val="00074098"/>
    <w:rsid w:val="00075378"/>
    <w:rsid w:val="00076B7E"/>
    <w:rsid w:val="00076FDE"/>
    <w:rsid w:val="000776D2"/>
    <w:rsid w:val="000777BB"/>
    <w:rsid w:val="00080585"/>
    <w:rsid w:val="00080E71"/>
    <w:rsid w:val="00081045"/>
    <w:rsid w:val="00082F24"/>
    <w:rsid w:val="000832D7"/>
    <w:rsid w:val="00083B7D"/>
    <w:rsid w:val="00084892"/>
    <w:rsid w:val="00086201"/>
    <w:rsid w:val="00087B41"/>
    <w:rsid w:val="00087F26"/>
    <w:rsid w:val="00091828"/>
    <w:rsid w:val="000957DB"/>
    <w:rsid w:val="00095B47"/>
    <w:rsid w:val="000A038B"/>
    <w:rsid w:val="000A1F5A"/>
    <w:rsid w:val="000A2533"/>
    <w:rsid w:val="000A29C5"/>
    <w:rsid w:val="000A4C9C"/>
    <w:rsid w:val="000A6332"/>
    <w:rsid w:val="000B030A"/>
    <w:rsid w:val="000B08E9"/>
    <w:rsid w:val="000B6E59"/>
    <w:rsid w:val="000C10D7"/>
    <w:rsid w:val="000C31FF"/>
    <w:rsid w:val="000C34B8"/>
    <w:rsid w:val="000C3963"/>
    <w:rsid w:val="000C5651"/>
    <w:rsid w:val="000C7425"/>
    <w:rsid w:val="000D1196"/>
    <w:rsid w:val="000D1497"/>
    <w:rsid w:val="000D3ED6"/>
    <w:rsid w:val="000D435D"/>
    <w:rsid w:val="000D447A"/>
    <w:rsid w:val="000D4D7D"/>
    <w:rsid w:val="000D6CB1"/>
    <w:rsid w:val="000E2282"/>
    <w:rsid w:val="000E2B12"/>
    <w:rsid w:val="000E364F"/>
    <w:rsid w:val="000E3E2E"/>
    <w:rsid w:val="000E6D58"/>
    <w:rsid w:val="000F066E"/>
    <w:rsid w:val="000F3016"/>
    <w:rsid w:val="000F4163"/>
    <w:rsid w:val="000F55C5"/>
    <w:rsid w:val="000F5BC5"/>
    <w:rsid w:val="000F6209"/>
    <w:rsid w:val="0010022F"/>
    <w:rsid w:val="00101399"/>
    <w:rsid w:val="00101B99"/>
    <w:rsid w:val="0010223F"/>
    <w:rsid w:val="00102A85"/>
    <w:rsid w:val="00103B52"/>
    <w:rsid w:val="00103C7C"/>
    <w:rsid w:val="00105672"/>
    <w:rsid w:val="00111075"/>
    <w:rsid w:val="00112562"/>
    <w:rsid w:val="0011262B"/>
    <w:rsid w:val="00113009"/>
    <w:rsid w:val="001147AC"/>
    <w:rsid w:val="001149D6"/>
    <w:rsid w:val="00115EB1"/>
    <w:rsid w:val="00120697"/>
    <w:rsid w:val="00121B2B"/>
    <w:rsid w:val="00124CB4"/>
    <w:rsid w:val="0012597B"/>
    <w:rsid w:val="00125F6F"/>
    <w:rsid w:val="00127550"/>
    <w:rsid w:val="00127DDE"/>
    <w:rsid w:val="00131EAE"/>
    <w:rsid w:val="001341B9"/>
    <w:rsid w:val="00134BEE"/>
    <w:rsid w:val="00134C69"/>
    <w:rsid w:val="00137609"/>
    <w:rsid w:val="00137BB7"/>
    <w:rsid w:val="00140F41"/>
    <w:rsid w:val="0014163A"/>
    <w:rsid w:val="00141ACD"/>
    <w:rsid w:val="00142337"/>
    <w:rsid w:val="00142F1F"/>
    <w:rsid w:val="00143459"/>
    <w:rsid w:val="00143D52"/>
    <w:rsid w:val="00146CC6"/>
    <w:rsid w:val="00147D76"/>
    <w:rsid w:val="00147F40"/>
    <w:rsid w:val="00151841"/>
    <w:rsid w:val="00153DDD"/>
    <w:rsid w:val="00154AEC"/>
    <w:rsid w:val="00155763"/>
    <w:rsid w:val="00155FC4"/>
    <w:rsid w:val="001560B5"/>
    <w:rsid w:val="0015698A"/>
    <w:rsid w:val="001577AB"/>
    <w:rsid w:val="001610B1"/>
    <w:rsid w:val="00164674"/>
    <w:rsid w:val="00164897"/>
    <w:rsid w:val="0016497C"/>
    <w:rsid w:val="0016562A"/>
    <w:rsid w:val="00165A03"/>
    <w:rsid w:val="00166A02"/>
    <w:rsid w:val="001670BD"/>
    <w:rsid w:val="001733DA"/>
    <w:rsid w:val="00175DC3"/>
    <w:rsid w:val="00177179"/>
    <w:rsid w:val="00181046"/>
    <w:rsid w:val="00184004"/>
    <w:rsid w:val="00184287"/>
    <w:rsid w:val="001863D7"/>
    <w:rsid w:val="001864C6"/>
    <w:rsid w:val="00190ADA"/>
    <w:rsid w:val="00191F12"/>
    <w:rsid w:val="00197F91"/>
    <w:rsid w:val="001A2FE4"/>
    <w:rsid w:val="001A5062"/>
    <w:rsid w:val="001A5C46"/>
    <w:rsid w:val="001A7615"/>
    <w:rsid w:val="001A7DD6"/>
    <w:rsid w:val="001B05BD"/>
    <w:rsid w:val="001B0B36"/>
    <w:rsid w:val="001B0BE4"/>
    <w:rsid w:val="001B1312"/>
    <w:rsid w:val="001B2757"/>
    <w:rsid w:val="001B3101"/>
    <w:rsid w:val="001B5D9E"/>
    <w:rsid w:val="001C0BBD"/>
    <w:rsid w:val="001C21E5"/>
    <w:rsid w:val="001C282D"/>
    <w:rsid w:val="001C2EA2"/>
    <w:rsid w:val="001C2F4B"/>
    <w:rsid w:val="001C2FF7"/>
    <w:rsid w:val="001C3C7C"/>
    <w:rsid w:val="001C416B"/>
    <w:rsid w:val="001C458A"/>
    <w:rsid w:val="001C46B0"/>
    <w:rsid w:val="001C46D1"/>
    <w:rsid w:val="001D1428"/>
    <w:rsid w:val="001D1B19"/>
    <w:rsid w:val="001D1F67"/>
    <w:rsid w:val="001D78BF"/>
    <w:rsid w:val="001E0D37"/>
    <w:rsid w:val="001E1C32"/>
    <w:rsid w:val="001E46A2"/>
    <w:rsid w:val="001E70F7"/>
    <w:rsid w:val="001E73CD"/>
    <w:rsid w:val="001E7E56"/>
    <w:rsid w:val="001F35DC"/>
    <w:rsid w:val="001F40AB"/>
    <w:rsid w:val="001F5799"/>
    <w:rsid w:val="001F61CF"/>
    <w:rsid w:val="001F6A8E"/>
    <w:rsid w:val="0020169E"/>
    <w:rsid w:val="002025BC"/>
    <w:rsid w:val="00202A42"/>
    <w:rsid w:val="00206F6E"/>
    <w:rsid w:val="002103A6"/>
    <w:rsid w:val="0021216C"/>
    <w:rsid w:val="00212223"/>
    <w:rsid w:val="00212E09"/>
    <w:rsid w:val="00213D2A"/>
    <w:rsid w:val="002143A8"/>
    <w:rsid w:val="0021525B"/>
    <w:rsid w:val="002203CC"/>
    <w:rsid w:val="00222ED7"/>
    <w:rsid w:val="002233A4"/>
    <w:rsid w:val="00224B2C"/>
    <w:rsid w:val="00224DF1"/>
    <w:rsid w:val="002252A3"/>
    <w:rsid w:val="002258FA"/>
    <w:rsid w:val="002311C3"/>
    <w:rsid w:val="00231876"/>
    <w:rsid w:val="0023199F"/>
    <w:rsid w:val="002326AB"/>
    <w:rsid w:val="002344B8"/>
    <w:rsid w:val="00235010"/>
    <w:rsid w:val="00236446"/>
    <w:rsid w:val="00237957"/>
    <w:rsid w:val="002405FD"/>
    <w:rsid w:val="002430CF"/>
    <w:rsid w:val="00243392"/>
    <w:rsid w:val="00245439"/>
    <w:rsid w:val="0024697D"/>
    <w:rsid w:val="00252A87"/>
    <w:rsid w:val="00252BA1"/>
    <w:rsid w:val="00252C2D"/>
    <w:rsid w:val="00252E6C"/>
    <w:rsid w:val="00255657"/>
    <w:rsid w:val="00262758"/>
    <w:rsid w:val="002629D5"/>
    <w:rsid w:val="0026320F"/>
    <w:rsid w:val="0026471E"/>
    <w:rsid w:val="00266299"/>
    <w:rsid w:val="002673CB"/>
    <w:rsid w:val="00267559"/>
    <w:rsid w:val="002723F3"/>
    <w:rsid w:val="00272591"/>
    <w:rsid w:val="00272696"/>
    <w:rsid w:val="0027580E"/>
    <w:rsid w:val="00276CA0"/>
    <w:rsid w:val="002774C8"/>
    <w:rsid w:val="002808F0"/>
    <w:rsid w:val="00280C8F"/>
    <w:rsid w:val="002830AC"/>
    <w:rsid w:val="00284272"/>
    <w:rsid w:val="0028456F"/>
    <w:rsid w:val="002849A2"/>
    <w:rsid w:val="00284A9C"/>
    <w:rsid w:val="002854DE"/>
    <w:rsid w:val="00285DEB"/>
    <w:rsid w:val="00287BD3"/>
    <w:rsid w:val="00291825"/>
    <w:rsid w:val="00291AE7"/>
    <w:rsid w:val="00293868"/>
    <w:rsid w:val="00293D71"/>
    <w:rsid w:val="002940D5"/>
    <w:rsid w:val="00294E3A"/>
    <w:rsid w:val="002979C1"/>
    <w:rsid w:val="002A0F06"/>
    <w:rsid w:val="002A1C90"/>
    <w:rsid w:val="002A55CE"/>
    <w:rsid w:val="002A56C1"/>
    <w:rsid w:val="002A6FD8"/>
    <w:rsid w:val="002A701A"/>
    <w:rsid w:val="002A7593"/>
    <w:rsid w:val="002A7E86"/>
    <w:rsid w:val="002B1250"/>
    <w:rsid w:val="002B1D9A"/>
    <w:rsid w:val="002B209F"/>
    <w:rsid w:val="002B2806"/>
    <w:rsid w:val="002B3AA9"/>
    <w:rsid w:val="002B4B7A"/>
    <w:rsid w:val="002B5CC7"/>
    <w:rsid w:val="002B6AA1"/>
    <w:rsid w:val="002B7F36"/>
    <w:rsid w:val="002C03BD"/>
    <w:rsid w:val="002C0B40"/>
    <w:rsid w:val="002C37DE"/>
    <w:rsid w:val="002C4DBC"/>
    <w:rsid w:val="002D0A9A"/>
    <w:rsid w:val="002D17E8"/>
    <w:rsid w:val="002D3F98"/>
    <w:rsid w:val="002D7A7E"/>
    <w:rsid w:val="002D7FE6"/>
    <w:rsid w:val="002E0465"/>
    <w:rsid w:val="002E0926"/>
    <w:rsid w:val="002E0DE9"/>
    <w:rsid w:val="002E14F7"/>
    <w:rsid w:val="002E15DD"/>
    <w:rsid w:val="002E1CC3"/>
    <w:rsid w:val="002E43B0"/>
    <w:rsid w:val="002E6174"/>
    <w:rsid w:val="002E6A7D"/>
    <w:rsid w:val="002E793D"/>
    <w:rsid w:val="003004BA"/>
    <w:rsid w:val="003017D0"/>
    <w:rsid w:val="00302F64"/>
    <w:rsid w:val="00303000"/>
    <w:rsid w:val="003037F9"/>
    <w:rsid w:val="00303C08"/>
    <w:rsid w:val="00306E86"/>
    <w:rsid w:val="00307220"/>
    <w:rsid w:val="00307595"/>
    <w:rsid w:val="0030790B"/>
    <w:rsid w:val="003107D2"/>
    <w:rsid w:val="00311115"/>
    <w:rsid w:val="0031284C"/>
    <w:rsid w:val="00314F80"/>
    <w:rsid w:val="003166DD"/>
    <w:rsid w:val="00316BB3"/>
    <w:rsid w:val="003205B8"/>
    <w:rsid w:val="00323E1E"/>
    <w:rsid w:val="003268FF"/>
    <w:rsid w:val="00331D38"/>
    <w:rsid w:val="0033258E"/>
    <w:rsid w:val="00334075"/>
    <w:rsid w:val="003346C8"/>
    <w:rsid w:val="00334D62"/>
    <w:rsid w:val="00335C1E"/>
    <w:rsid w:val="00337E37"/>
    <w:rsid w:val="00341D87"/>
    <w:rsid w:val="003434AF"/>
    <w:rsid w:val="003438D2"/>
    <w:rsid w:val="0034761F"/>
    <w:rsid w:val="0035024E"/>
    <w:rsid w:val="0035074A"/>
    <w:rsid w:val="0035110A"/>
    <w:rsid w:val="003524DD"/>
    <w:rsid w:val="00352D32"/>
    <w:rsid w:val="003532AB"/>
    <w:rsid w:val="00353BFE"/>
    <w:rsid w:val="00353E27"/>
    <w:rsid w:val="0035425D"/>
    <w:rsid w:val="003543B2"/>
    <w:rsid w:val="00356AE9"/>
    <w:rsid w:val="00356F8E"/>
    <w:rsid w:val="00357DFF"/>
    <w:rsid w:val="003612F5"/>
    <w:rsid w:val="0036167E"/>
    <w:rsid w:val="00361B81"/>
    <w:rsid w:val="00361EB2"/>
    <w:rsid w:val="00362E44"/>
    <w:rsid w:val="0036344F"/>
    <w:rsid w:val="003634BE"/>
    <w:rsid w:val="0036559C"/>
    <w:rsid w:val="003658FB"/>
    <w:rsid w:val="003669FF"/>
    <w:rsid w:val="00367CDE"/>
    <w:rsid w:val="00370D9C"/>
    <w:rsid w:val="00371F92"/>
    <w:rsid w:val="0037794E"/>
    <w:rsid w:val="00382CF2"/>
    <w:rsid w:val="00383116"/>
    <w:rsid w:val="00383319"/>
    <w:rsid w:val="00383F58"/>
    <w:rsid w:val="003843B4"/>
    <w:rsid w:val="00386886"/>
    <w:rsid w:val="00390D53"/>
    <w:rsid w:val="00392839"/>
    <w:rsid w:val="00392BB7"/>
    <w:rsid w:val="003930E3"/>
    <w:rsid w:val="0039447F"/>
    <w:rsid w:val="003947CB"/>
    <w:rsid w:val="0039527B"/>
    <w:rsid w:val="003A1EE6"/>
    <w:rsid w:val="003A1F1A"/>
    <w:rsid w:val="003A4A8A"/>
    <w:rsid w:val="003A5305"/>
    <w:rsid w:val="003B1925"/>
    <w:rsid w:val="003B1E90"/>
    <w:rsid w:val="003B56CC"/>
    <w:rsid w:val="003B58B2"/>
    <w:rsid w:val="003B6A1A"/>
    <w:rsid w:val="003B7DAA"/>
    <w:rsid w:val="003B7F35"/>
    <w:rsid w:val="003C17EA"/>
    <w:rsid w:val="003C1D96"/>
    <w:rsid w:val="003C42FA"/>
    <w:rsid w:val="003C569E"/>
    <w:rsid w:val="003C5AD0"/>
    <w:rsid w:val="003C668B"/>
    <w:rsid w:val="003D1601"/>
    <w:rsid w:val="003D33CF"/>
    <w:rsid w:val="003D5263"/>
    <w:rsid w:val="003D5D83"/>
    <w:rsid w:val="003D6934"/>
    <w:rsid w:val="003D7587"/>
    <w:rsid w:val="003E094B"/>
    <w:rsid w:val="003E2940"/>
    <w:rsid w:val="003E2BE8"/>
    <w:rsid w:val="003E3CE8"/>
    <w:rsid w:val="003E731A"/>
    <w:rsid w:val="003E7752"/>
    <w:rsid w:val="003E789E"/>
    <w:rsid w:val="003E78F2"/>
    <w:rsid w:val="003E7CC5"/>
    <w:rsid w:val="003F1D8D"/>
    <w:rsid w:val="003F4291"/>
    <w:rsid w:val="00400877"/>
    <w:rsid w:val="00402631"/>
    <w:rsid w:val="00403F02"/>
    <w:rsid w:val="00407476"/>
    <w:rsid w:val="00410CFD"/>
    <w:rsid w:val="00410F98"/>
    <w:rsid w:val="00416006"/>
    <w:rsid w:val="00417F01"/>
    <w:rsid w:val="004207F7"/>
    <w:rsid w:val="00421760"/>
    <w:rsid w:val="0042177A"/>
    <w:rsid w:val="00421ECC"/>
    <w:rsid w:val="00425E63"/>
    <w:rsid w:val="0042637F"/>
    <w:rsid w:val="00431FE3"/>
    <w:rsid w:val="0043325F"/>
    <w:rsid w:val="00437E98"/>
    <w:rsid w:val="004411D8"/>
    <w:rsid w:val="00441C50"/>
    <w:rsid w:val="00441D9C"/>
    <w:rsid w:val="00443325"/>
    <w:rsid w:val="00444A27"/>
    <w:rsid w:val="00445927"/>
    <w:rsid w:val="00450AAE"/>
    <w:rsid w:val="004529BA"/>
    <w:rsid w:val="004531F1"/>
    <w:rsid w:val="00454B10"/>
    <w:rsid w:val="00455BF5"/>
    <w:rsid w:val="0045656D"/>
    <w:rsid w:val="00457A20"/>
    <w:rsid w:val="0046064B"/>
    <w:rsid w:val="004608C4"/>
    <w:rsid w:val="0046317A"/>
    <w:rsid w:val="0046348C"/>
    <w:rsid w:val="004639CE"/>
    <w:rsid w:val="00464491"/>
    <w:rsid w:val="004645A7"/>
    <w:rsid w:val="00464E01"/>
    <w:rsid w:val="0046551A"/>
    <w:rsid w:val="004671B9"/>
    <w:rsid w:val="004714F5"/>
    <w:rsid w:val="00472BCE"/>
    <w:rsid w:val="00472C5D"/>
    <w:rsid w:val="00472E9F"/>
    <w:rsid w:val="004747CC"/>
    <w:rsid w:val="00474E72"/>
    <w:rsid w:val="004804AE"/>
    <w:rsid w:val="00480B30"/>
    <w:rsid w:val="00481721"/>
    <w:rsid w:val="00481771"/>
    <w:rsid w:val="00481F82"/>
    <w:rsid w:val="00482896"/>
    <w:rsid w:val="00483626"/>
    <w:rsid w:val="00483704"/>
    <w:rsid w:val="00486DA7"/>
    <w:rsid w:val="00486F5B"/>
    <w:rsid w:val="00487496"/>
    <w:rsid w:val="004908D7"/>
    <w:rsid w:val="00490E09"/>
    <w:rsid w:val="00493E0E"/>
    <w:rsid w:val="004946BB"/>
    <w:rsid w:val="0049594D"/>
    <w:rsid w:val="00495AC3"/>
    <w:rsid w:val="00495B71"/>
    <w:rsid w:val="00496B4A"/>
    <w:rsid w:val="004A001E"/>
    <w:rsid w:val="004A2826"/>
    <w:rsid w:val="004A40E0"/>
    <w:rsid w:val="004A4C49"/>
    <w:rsid w:val="004A5B50"/>
    <w:rsid w:val="004A5EC0"/>
    <w:rsid w:val="004A63E2"/>
    <w:rsid w:val="004A6B61"/>
    <w:rsid w:val="004A7635"/>
    <w:rsid w:val="004A7EE2"/>
    <w:rsid w:val="004B0260"/>
    <w:rsid w:val="004B45D7"/>
    <w:rsid w:val="004B4653"/>
    <w:rsid w:val="004B732F"/>
    <w:rsid w:val="004B7542"/>
    <w:rsid w:val="004B76E0"/>
    <w:rsid w:val="004C015B"/>
    <w:rsid w:val="004C04D9"/>
    <w:rsid w:val="004C1FDD"/>
    <w:rsid w:val="004C49B0"/>
    <w:rsid w:val="004C6867"/>
    <w:rsid w:val="004C74B0"/>
    <w:rsid w:val="004C7DDA"/>
    <w:rsid w:val="004D01C8"/>
    <w:rsid w:val="004D06C9"/>
    <w:rsid w:val="004E1015"/>
    <w:rsid w:val="004E13B5"/>
    <w:rsid w:val="004E16C5"/>
    <w:rsid w:val="004E35DA"/>
    <w:rsid w:val="004E3A96"/>
    <w:rsid w:val="004E4ADA"/>
    <w:rsid w:val="004E544D"/>
    <w:rsid w:val="004E544E"/>
    <w:rsid w:val="004E5B8E"/>
    <w:rsid w:val="004E5C86"/>
    <w:rsid w:val="004F4CD3"/>
    <w:rsid w:val="004F6916"/>
    <w:rsid w:val="004F6CF3"/>
    <w:rsid w:val="00500C41"/>
    <w:rsid w:val="0050234D"/>
    <w:rsid w:val="00504E45"/>
    <w:rsid w:val="00504F6D"/>
    <w:rsid w:val="005052A9"/>
    <w:rsid w:val="0050551B"/>
    <w:rsid w:val="005065FA"/>
    <w:rsid w:val="005105BF"/>
    <w:rsid w:val="00510D06"/>
    <w:rsid w:val="0051107B"/>
    <w:rsid w:val="00511C59"/>
    <w:rsid w:val="00516A25"/>
    <w:rsid w:val="00525018"/>
    <w:rsid w:val="00525A25"/>
    <w:rsid w:val="0052786B"/>
    <w:rsid w:val="00531BD1"/>
    <w:rsid w:val="005330F7"/>
    <w:rsid w:val="00534A9F"/>
    <w:rsid w:val="0053505B"/>
    <w:rsid w:val="00540C5F"/>
    <w:rsid w:val="005412E4"/>
    <w:rsid w:val="005430CB"/>
    <w:rsid w:val="00544224"/>
    <w:rsid w:val="005446D0"/>
    <w:rsid w:val="00547993"/>
    <w:rsid w:val="00550546"/>
    <w:rsid w:val="0055344C"/>
    <w:rsid w:val="005537EC"/>
    <w:rsid w:val="00560914"/>
    <w:rsid w:val="0056288C"/>
    <w:rsid w:val="0056344A"/>
    <w:rsid w:val="00563598"/>
    <w:rsid w:val="00566CAD"/>
    <w:rsid w:val="005679D4"/>
    <w:rsid w:val="005708BB"/>
    <w:rsid w:val="00571968"/>
    <w:rsid w:val="005753E7"/>
    <w:rsid w:val="00576110"/>
    <w:rsid w:val="005820AE"/>
    <w:rsid w:val="00586D51"/>
    <w:rsid w:val="0058742D"/>
    <w:rsid w:val="0059045C"/>
    <w:rsid w:val="0059075E"/>
    <w:rsid w:val="005910A8"/>
    <w:rsid w:val="00591B83"/>
    <w:rsid w:val="00591EA5"/>
    <w:rsid w:val="00592E95"/>
    <w:rsid w:val="00593F9D"/>
    <w:rsid w:val="00594BF6"/>
    <w:rsid w:val="0059533D"/>
    <w:rsid w:val="00596EFD"/>
    <w:rsid w:val="00597EB1"/>
    <w:rsid w:val="005A0DBE"/>
    <w:rsid w:val="005A13AD"/>
    <w:rsid w:val="005A2A3E"/>
    <w:rsid w:val="005A2FDC"/>
    <w:rsid w:val="005A356D"/>
    <w:rsid w:val="005A5839"/>
    <w:rsid w:val="005A5BCC"/>
    <w:rsid w:val="005A6339"/>
    <w:rsid w:val="005B23A6"/>
    <w:rsid w:val="005B2E45"/>
    <w:rsid w:val="005B3AFC"/>
    <w:rsid w:val="005C01DA"/>
    <w:rsid w:val="005C0EE1"/>
    <w:rsid w:val="005C28E8"/>
    <w:rsid w:val="005C3C76"/>
    <w:rsid w:val="005C5625"/>
    <w:rsid w:val="005C5777"/>
    <w:rsid w:val="005C5C48"/>
    <w:rsid w:val="005C60E0"/>
    <w:rsid w:val="005C64C6"/>
    <w:rsid w:val="005C6B92"/>
    <w:rsid w:val="005D02E0"/>
    <w:rsid w:val="005D0E0C"/>
    <w:rsid w:val="005D1FC8"/>
    <w:rsid w:val="005D2029"/>
    <w:rsid w:val="005D2060"/>
    <w:rsid w:val="005D515E"/>
    <w:rsid w:val="005D58D6"/>
    <w:rsid w:val="005D5F44"/>
    <w:rsid w:val="005D669C"/>
    <w:rsid w:val="005D6B51"/>
    <w:rsid w:val="005E1101"/>
    <w:rsid w:val="005E1386"/>
    <w:rsid w:val="005E1F6E"/>
    <w:rsid w:val="005E27D3"/>
    <w:rsid w:val="005E2985"/>
    <w:rsid w:val="005E3A87"/>
    <w:rsid w:val="005E6365"/>
    <w:rsid w:val="005E6D3C"/>
    <w:rsid w:val="005F07E4"/>
    <w:rsid w:val="005F089C"/>
    <w:rsid w:val="005F0B15"/>
    <w:rsid w:val="005F17CB"/>
    <w:rsid w:val="005F6376"/>
    <w:rsid w:val="005F660D"/>
    <w:rsid w:val="005F738C"/>
    <w:rsid w:val="005F7489"/>
    <w:rsid w:val="005F7D05"/>
    <w:rsid w:val="0060067F"/>
    <w:rsid w:val="006032E6"/>
    <w:rsid w:val="00606309"/>
    <w:rsid w:val="00606313"/>
    <w:rsid w:val="00607C4C"/>
    <w:rsid w:val="00610811"/>
    <w:rsid w:val="00610891"/>
    <w:rsid w:val="00611B17"/>
    <w:rsid w:val="00612B13"/>
    <w:rsid w:val="0061416F"/>
    <w:rsid w:val="00615493"/>
    <w:rsid w:val="0061562D"/>
    <w:rsid w:val="00615CD1"/>
    <w:rsid w:val="00616643"/>
    <w:rsid w:val="0062055A"/>
    <w:rsid w:val="0062159F"/>
    <w:rsid w:val="00622513"/>
    <w:rsid w:val="00622968"/>
    <w:rsid w:val="00630CDF"/>
    <w:rsid w:val="00630F21"/>
    <w:rsid w:val="006327C5"/>
    <w:rsid w:val="006353FC"/>
    <w:rsid w:val="0063739D"/>
    <w:rsid w:val="006379B9"/>
    <w:rsid w:val="00637A33"/>
    <w:rsid w:val="00637FB5"/>
    <w:rsid w:val="00637FE7"/>
    <w:rsid w:val="0064003F"/>
    <w:rsid w:val="00641B7F"/>
    <w:rsid w:val="00642057"/>
    <w:rsid w:val="00643717"/>
    <w:rsid w:val="00644541"/>
    <w:rsid w:val="00644C83"/>
    <w:rsid w:val="00645984"/>
    <w:rsid w:val="00654127"/>
    <w:rsid w:val="00654C6C"/>
    <w:rsid w:val="0065571E"/>
    <w:rsid w:val="00656207"/>
    <w:rsid w:val="00656FA0"/>
    <w:rsid w:val="006573CA"/>
    <w:rsid w:val="00661939"/>
    <w:rsid w:val="00663E84"/>
    <w:rsid w:val="00665D62"/>
    <w:rsid w:val="00666DDF"/>
    <w:rsid w:val="006704FB"/>
    <w:rsid w:val="006710EE"/>
    <w:rsid w:val="00672890"/>
    <w:rsid w:val="00675FBD"/>
    <w:rsid w:val="006773E5"/>
    <w:rsid w:val="00682E3D"/>
    <w:rsid w:val="006833CF"/>
    <w:rsid w:val="006843DB"/>
    <w:rsid w:val="00684666"/>
    <w:rsid w:val="00686705"/>
    <w:rsid w:val="006867A3"/>
    <w:rsid w:val="00691818"/>
    <w:rsid w:val="00692C14"/>
    <w:rsid w:val="00692CEE"/>
    <w:rsid w:val="00693A3F"/>
    <w:rsid w:val="00694F5A"/>
    <w:rsid w:val="006A3931"/>
    <w:rsid w:val="006A4415"/>
    <w:rsid w:val="006A7B09"/>
    <w:rsid w:val="006A7DC4"/>
    <w:rsid w:val="006B1477"/>
    <w:rsid w:val="006B1590"/>
    <w:rsid w:val="006B225D"/>
    <w:rsid w:val="006B2A26"/>
    <w:rsid w:val="006B2BD7"/>
    <w:rsid w:val="006B592A"/>
    <w:rsid w:val="006B61C6"/>
    <w:rsid w:val="006B6B8D"/>
    <w:rsid w:val="006C0316"/>
    <w:rsid w:val="006C6B28"/>
    <w:rsid w:val="006C6CFE"/>
    <w:rsid w:val="006D1CD7"/>
    <w:rsid w:val="006D2054"/>
    <w:rsid w:val="006D3642"/>
    <w:rsid w:val="006D48F2"/>
    <w:rsid w:val="006D4B61"/>
    <w:rsid w:val="006D5503"/>
    <w:rsid w:val="006D6EF6"/>
    <w:rsid w:val="006D716B"/>
    <w:rsid w:val="006D7B1C"/>
    <w:rsid w:val="006E00CA"/>
    <w:rsid w:val="006E2E31"/>
    <w:rsid w:val="006E59A8"/>
    <w:rsid w:val="006E5B8C"/>
    <w:rsid w:val="006E7880"/>
    <w:rsid w:val="006F397D"/>
    <w:rsid w:val="006F3C5A"/>
    <w:rsid w:val="006F492D"/>
    <w:rsid w:val="006F6C58"/>
    <w:rsid w:val="006F78F0"/>
    <w:rsid w:val="00702B5A"/>
    <w:rsid w:val="00702F81"/>
    <w:rsid w:val="007042D1"/>
    <w:rsid w:val="00704E4A"/>
    <w:rsid w:val="00706B98"/>
    <w:rsid w:val="007124EC"/>
    <w:rsid w:val="00712D81"/>
    <w:rsid w:val="00713413"/>
    <w:rsid w:val="0071405D"/>
    <w:rsid w:val="007157DA"/>
    <w:rsid w:val="00723402"/>
    <w:rsid w:val="00724306"/>
    <w:rsid w:val="007246C6"/>
    <w:rsid w:val="00724918"/>
    <w:rsid w:val="00724947"/>
    <w:rsid w:val="007259EC"/>
    <w:rsid w:val="0072684F"/>
    <w:rsid w:val="0072692B"/>
    <w:rsid w:val="00730F05"/>
    <w:rsid w:val="007312C4"/>
    <w:rsid w:val="007314DA"/>
    <w:rsid w:val="00731974"/>
    <w:rsid w:val="007335BD"/>
    <w:rsid w:val="00733E0D"/>
    <w:rsid w:val="00734EF0"/>
    <w:rsid w:val="0073690F"/>
    <w:rsid w:val="007442D2"/>
    <w:rsid w:val="0074443B"/>
    <w:rsid w:val="007448AD"/>
    <w:rsid w:val="00745C33"/>
    <w:rsid w:val="007461DA"/>
    <w:rsid w:val="007506AC"/>
    <w:rsid w:val="007520EB"/>
    <w:rsid w:val="00752B16"/>
    <w:rsid w:val="00752B22"/>
    <w:rsid w:val="00755E47"/>
    <w:rsid w:val="00755F48"/>
    <w:rsid w:val="0075649A"/>
    <w:rsid w:val="0075711A"/>
    <w:rsid w:val="0076018C"/>
    <w:rsid w:val="00760821"/>
    <w:rsid w:val="007643C3"/>
    <w:rsid w:val="007649EB"/>
    <w:rsid w:val="00767ED2"/>
    <w:rsid w:val="00767F24"/>
    <w:rsid w:val="00771209"/>
    <w:rsid w:val="00772C69"/>
    <w:rsid w:val="00773150"/>
    <w:rsid w:val="007745D2"/>
    <w:rsid w:val="00774ED9"/>
    <w:rsid w:val="007811B3"/>
    <w:rsid w:val="00784009"/>
    <w:rsid w:val="00784E28"/>
    <w:rsid w:val="0078591A"/>
    <w:rsid w:val="00786430"/>
    <w:rsid w:val="00786961"/>
    <w:rsid w:val="00786A7B"/>
    <w:rsid w:val="00786E16"/>
    <w:rsid w:val="0078758D"/>
    <w:rsid w:val="00787F1B"/>
    <w:rsid w:val="00790A8B"/>
    <w:rsid w:val="00790BE3"/>
    <w:rsid w:val="007975DB"/>
    <w:rsid w:val="00797BB8"/>
    <w:rsid w:val="007A0786"/>
    <w:rsid w:val="007A2F3C"/>
    <w:rsid w:val="007A314B"/>
    <w:rsid w:val="007A3BD5"/>
    <w:rsid w:val="007A47F0"/>
    <w:rsid w:val="007A5530"/>
    <w:rsid w:val="007A5930"/>
    <w:rsid w:val="007A6877"/>
    <w:rsid w:val="007A723B"/>
    <w:rsid w:val="007B2387"/>
    <w:rsid w:val="007B34CE"/>
    <w:rsid w:val="007B5B86"/>
    <w:rsid w:val="007B63E3"/>
    <w:rsid w:val="007B6A51"/>
    <w:rsid w:val="007B7478"/>
    <w:rsid w:val="007C0405"/>
    <w:rsid w:val="007C1F6C"/>
    <w:rsid w:val="007C24C2"/>
    <w:rsid w:val="007C3945"/>
    <w:rsid w:val="007C3DEC"/>
    <w:rsid w:val="007C54C2"/>
    <w:rsid w:val="007C54D8"/>
    <w:rsid w:val="007D06B9"/>
    <w:rsid w:val="007D2764"/>
    <w:rsid w:val="007D4042"/>
    <w:rsid w:val="007D50E5"/>
    <w:rsid w:val="007D5628"/>
    <w:rsid w:val="007D60D2"/>
    <w:rsid w:val="007D65ED"/>
    <w:rsid w:val="007D7E1C"/>
    <w:rsid w:val="007E169A"/>
    <w:rsid w:val="007E16E6"/>
    <w:rsid w:val="007E280B"/>
    <w:rsid w:val="007E3BED"/>
    <w:rsid w:val="007E4FEA"/>
    <w:rsid w:val="007E6335"/>
    <w:rsid w:val="007F031E"/>
    <w:rsid w:val="007F213B"/>
    <w:rsid w:val="007F297A"/>
    <w:rsid w:val="007F707A"/>
    <w:rsid w:val="00800D81"/>
    <w:rsid w:val="00803EDE"/>
    <w:rsid w:val="0080401E"/>
    <w:rsid w:val="008056E5"/>
    <w:rsid w:val="00806F49"/>
    <w:rsid w:val="00810E43"/>
    <w:rsid w:val="008111DA"/>
    <w:rsid w:val="00811F01"/>
    <w:rsid w:val="0081585B"/>
    <w:rsid w:val="00816618"/>
    <w:rsid w:val="00817BA4"/>
    <w:rsid w:val="00817FC7"/>
    <w:rsid w:val="00820572"/>
    <w:rsid w:val="008207E3"/>
    <w:rsid w:val="00821090"/>
    <w:rsid w:val="0082138E"/>
    <w:rsid w:val="00821798"/>
    <w:rsid w:val="00823C2B"/>
    <w:rsid w:val="00823F2E"/>
    <w:rsid w:val="008240F6"/>
    <w:rsid w:val="00826C1F"/>
    <w:rsid w:val="0083213D"/>
    <w:rsid w:val="00832193"/>
    <w:rsid w:val="008342AB"/>
    <w:rsid w:val="00835D1F"/>
    <w:rsid w:val="008361B7"/>
    <w:rsid w:val="008364F4"/>
    <w:rsid w:val="00837BC1"/>
    <w:rsid w:val="008401C2"/>
    <w:rsid w:val="0084074F"/>
    <w:rsid w:val="0084195F"/>
    <w:rsid w:val="00842B75"/>
    <w:rsid w:val="008466B9"/>
    <w:rsid w:val="00847636"/>
    <w:rsid w:val="00847778"/>
    <w:rsid w:val="00847FF5"/>
    <w:rsid w:val="00850089"/>
    <w:rsid w:val="00851C57"/>
    <w:rsid w:val="00852D56"/>
    <w:rsid w:val="00853DF9"/>
    <w:rsid w:val="00854111"/>
    <w:rsid w:val="008544EA"/>
    <w:rsid w:val="00855D45"/>
    <w:rsid w:val="0085667D"/>
    <w:rsid w:val="008570D8"/>
    <w:rsid w:val="00857154"/>
    <w:rsid w:val="00860A88"/>
    <w:rsid w:val="008610C7"/>
    <w:rsid w:val="00862E32"/>
    <w:rsid w:val="008632E3"/>
    <w:rsid w:val="008633D2"/>
    <w:rsid w:val="00864772"/>
    <w:rsid w:val="00864E7D"/>
    <w:rsid w:val="008651A6"/>
    <w:rsid w:val="0087019F"/>
    <w:rsid w:val="00870B2E"/>
    <w:rsid w:val="00871567"/>
    <w:rsid w:val="00871E2C"/>
    <w:rsid w:val="00872FF8"/>
    <w:rsid w:val="008751F0"/>
    <w:rsid w:val="008754B4"/>
    <w:rsid w:val="00875E97"/>
    <w:rsid w:val="0087662D"/>
    <w:rsid w:val="00877374"/>
    <w:rsid w:val="00880032"/>
    <w:rsid w:val="0088171A"/>
    <w:rsid w:val="0088180F"/>
    <w:rsid w:val="00882B7C"/>
    <w:rsid w:val="008835C6"/>
    <w:rsid w:val="00883F16"/>
    <w:rsid w:val="008852CE"/>
    <w:rsid w:val="00891AD4"/>
    <w:rsid w:val="00892BB1"/>
    <w:rsid w:val="0089335F"/>
    <w:rsid w:val="008940E0"/>
    <w:rsid w:val="00895715"/>
    <w:rsid w:val="00895F00"/>
    <w:rsid w:val="00896C9B"/>
    <w:rsid w:val="008972ED"/>
    <w:rsid w:val="008A1DFB"/>
    <w:rsid w:val="008A26F8"/>
    <w:rsid w:val="008A2E38"/>
    <w:rsid w:val="008A2FC1"/>
    <w:rsid w:val="008A33C6"/>
    <w:rsid w:val="008A39CC"/>
    <w:rsid w:val="008A3B48"/>
    <w:rsid w:val="008A497E"/>
    <w:rsid w:val="008A6180"/>
    <w:rsid w:val="008B0AC3"/>
    <w:rsid w:val="008B454D"/>
    <w:rsid w:val="008B4576"/>
    <w:rsid w:val="008B7199"/>
    <w:rsid w:val="008B71C5"/>
    <w:rsid w:val="008C2CCC"/>
    <w:rsid w:val="008C2E1F"/>
    <w:rsid w:val="008C31F2"/>
    <w:rsid w:val="008C3770"/>
    <w:rsid w:val="008C3A4A"/>
    <w:rsid w:val="008C5B6D"/>
    <w:rsid w:val="008C605F"/>
    <w:rsid w:val="008C60D1"/>
    <w:rsid w:val="008C7AD2"/>
    <w:rsid w:val="008D0842"/>
    <w:rsid w:val="008D2B02"/>
    <w:rsid w:val="008D351A"/>
    <w:rsid w:val="008D4635"/>
    <w:rsid w:val="008D7F9C"/>
    <w:rsid w:val="008E04EE"/>
    <w:rsid w:val="008E0733"/>
    <w:rsid w:val="008E12AD"/>
    <w:rsid w:val="008E1AAB"/>
    <w:rsid w:val="008E2203"/>
    <w:rsid w:val="008E336C"/>
    <w:rsid w:val="008E399F"/>
    <w:rsid w:val="008E3E19"/>
    <w:rsid w:val="008E41A5"/>
    <w:rsid w:val="008E4970"/>
    <w:rsid w:val="008E4B88"/>
    <w:rsid w:val="008E4BAF"/>
    <w:rsid w:val="008E4CD9"/>
    <w:rsid w:val="008E50BA"/>
    <w:rsid w:val="008E5D71"/>
    <w:rsid w:val="008E65C7"/>
    <w:rsid w:val="008F034C"/>
    <w:rsid w:val="008F2072"/>
    <w:rsid w:val="008F2CCD"/>
    <w:rsid w:val="008F6291"/>
    <w:rsid w:val="009015DD"/>
    <w:rsid w:val="00901AE6"/>
    <w:rsid w:val="00901B31"/>
    <w:rsid w:val="00901D09"/>
    <w:rsid w:val="00903BE3"/>
    <w:rsid w:val="009040B1"/>
    <w:rsid w:val="009065FD"/>
    <w:rsid w:val="0090701A"/>
    <w:rsid w:val="00907D71"/>
    <w:rsid w:val="00907F7A"/>
    <w:rsid w:val="009110C7"/>
    <w:rsid w:val="00912189"/>
    <w:rsid w:val="009138FE"/>
    <w:rsid w:val="0091395C"/>
    <w:rsid w:val="00913FC2"/>
    <w:rsid w:val="00914AEA"/>
    <w:rsid w:val="00914BDF"/>
    <w:rsid w:val="009154F5"/>
    <w:rsid w:val="0091618F"/>
    <w:rsid w:val="009172D6"/>
    <w:rsid w:val="00917A57"/>
    <w:rsid w:val="00920500"/>
    <w:rsid w:val="0092141A"/>
    <w:rsid w:val="00923228"/>
    <w:rsid w:val="00923311"/>
    <w:rsid w:val="00923D31"/>
    <w:rsid w:val="00925555"/>
    <w:rsid w:val="00932D34"/>
    <w:rsid w:val="00933B90"/>
    <w:rsid w:val="00933FEA"/>
    <w:rsid w:val="009370DB"/>
    <w:rsid w:val="0093713A"/>
    <w:rsid w:val="009409C6"/>
    <w:rsid w:val="00941D3A"/>
    <w:rsid w:val="009433C1"/>
    <w:rsid w:val="009445B6"/>
    <w:rsid w:val="009445D3"/>
    <w:rsid w:val="00945769"/>
    <w:rsid w:val="0094604A"/>
    <w:rsid w:val="0094634B"/>
    <w:rsid w:val="00947089"/>
    <w:rsid w:val="00951510"/>
    <w:rsid w:val="009519A2"/>
    <w:rsid w:val="00952AA6"/>
    <w:rsid w:val="0095395F"/>
    <w:rsid w:val="00953C94"/>
    <w:rsid w:val="009550D5"/>
    <w:rsid w:val="0096027C"/>
    <w:rsid w:val="009608F5"/>
    <w:rsid w:val="00960DC1"/>
    <w:rsid w:val="00962447"/>
    <w:rsid w:val="00962708"/>
    <w:rsid w:val="00962C28"/>
    <w:rsid w:val="009651D5"/>
    <w:rsid w:val="009664C3"/>
    <w:rsid w:val="009717B9"/>
    <w:rsid w:val="009738C4"/>
    <w:rsid w:val="00973FA8"/>
    <w:rsid w:val="00974B83"/>
    <w:rsid w:val="0097520C"/>
    <w:rsid w:val="009800F4"/>
    <w:rsid w:val="00980913"/>
    <w:rsid w:val="009817A6"/>
    <w:rsid w:val="00983910"/>
    <w:rsid w:val="00983FBF"/>
    <w:rsid w:val="00985BCF"/>
    <w:rsid w:val="009869D2"/>
    <w:rsid w:val="00987702"/>
    <w:rsid w:val="00993D2A"/>
    <w:rsid w:val="0099490C"/>
    <w:rsid w:val="00994EC3"/>
    <w:rsid w:val="009963EA"/>
    <w:rsid w:val="00997E2B"/>
    <w:rsid w:val="00997F04"/>
    <w:rsid w:val="009A08AE"/>
    <w:rsid w:val="009A2337"/>
    <w:rsid w:val="009A3482"/>
    <w:rsid w:val="009A392C"/>
    <w:rsid w:val="009A4CE4"/>
    <w:rsid w:val="009A6A0D"/>
    <w:rsid w:val="009A6D6B"/>
    <w:rsid w:val="009A6D6E"/>
    <w:rsid w:val="009A784B"/>
    <w:rsid w:val="009B04C5"/>
    <w:rsid w:val="009B0A45"/>
    <w:rsid w:val="009B1C1F"/>
    <w:rsid w:val="009B28A1"/>
    <w:rsid w:val="009B3413"/>
    <w:rsid w:val="009B3CF3"/>
    <w:rsid w:val="009B5C8D"/>
    <w:rsid w:val="009B747B"/>
    <w:rsid w:val="009B75FF"/>
    <w:rsid w:val="009C01F1"/>
    <w:rsid w:val="009C06D7"/>
    <w:rsid w:val="009C1687"/>
    <w:rsid w:val="009C2106"/>
    <w:rsid w:val="009C2C3D"/>
    <w:rsid w:val="009C4969"/>
    <w:rsid w:val="009C5D8A"/>
    <w:rsid w:val="009C7767"/>
    <w:rsid w:val="009C7D02"/>
    <w:rsid w:val="009D0D2F"/>
    <w:rsid w:val="009D0EE3"/>
    <w:rsid w:val="009D1ACC"/>
    <w:rsid w:val="009D2EFC"/>
    <w:rsid w:val="009D7865"/>
    <w:rsid w:val="009E0C57"/>
    <w:rsid w:val="009F2081"/>
    <w:rsid w:val="009F2225"/>
    <w:rsid w:val="009F33B6"/>
    <w:rsid w:val="009F6500"/>
    <w:rsid w:val="009F6C60"/>
    <w:rsid w:val="009F7089"/>
    <w:rsid w:val="009F7822"/>
    <w:rsid w:val="00A007DD"/>
    <w:rsid w:val="00A00A80"/>
    <w:rsid w:val="00A0488A"/>
    <w:rsid w:val="00A04900"/>
    <w:rsid w:val="00A06533"/>
    <w:rsid w:val="00A07711"/>
    <w:rsid w:val="00A07C03"/>
    <w:rsid w:val="00A135F9"/>
    <w:rsid w:val="00A1447F"/>
    <w:rsid w:val="00A15BDB"/>
    <w:rsid w:val="00A16E69"/>
    <w:rsid w:val="00A202BE"/>
    <w:rsid w:val="00A2089D"/>
    <w:rsid w:val="00A213FA"/>
    <w:rsid w:val="00A21E98"/>
    <w:rsid w:val="00A22299"/>
    <w:rsid w:val="00A2265D"/>
    <w:rsid w:val="00A23CC6"/>
    <w:rsid w:val="00A2430F"/>
    <w:rsid w:val="00A2441A"/>
    <w:rsid w:val="00A24BF4"/>
    <w:rsid w:val="00A24D5C"/>
    <w:rsid w:val="00A3061A"/>
    <w:rsid w:val="00A31CEC"/>
    <w:rsid w:val="00A350E8"/>
    <w:rsid w:val="00A36291"/>
    <w:rsid w:val="00A375E8"/>
    <w:rsid w:val="00A408CD"/>
    <w:rsid w:val="00A4266C"/>
    <w:rsid w:val="00A4339C"/>
    <w:rsid w:val="00A44ED2"/>
    <w:rsid w:val="00A45996"/>
    <w:rsid w:val="00A506B3"/>
    <w:rsid w:val="00A52B59"/>
    <w:rsid w:val="00A53E82"/>
    <w:rsid w:val="00A5442D"/>
    <w:rsid w:val="00A5496E"/>
    <w:rsid w:val="00A54992"/>
    <w:rsid w:val="00A55EFD"/>
    <w:rsid w:val="00A56750"/>
    <w:rsid w:val="00A568DF"/>
    <w:rsid w:val="00A6124F"/>
    <w:rsid w:val="00A6178C"/>
    <w:rsid w:val="00A61FA3"/>
    <w:rsid w:val="00A62448"/>
    <w:rsid w:val="00A626E6"/>
    <w:rsid w:val="00A659BD"/>
    <w:rsid w:val="00A65EB0"/>
    <w:rsid w:val="00A714D4"/>
    <w:rsid w:val="00A719CF"/>
    <w:rsid w:val="00A71FC9"/>
    <w:rsid w:val="00A72101"/>
    <w:rsid w:val="00A73D54"/>
    <w:rsid w:val="00A742ED"/>
    <w:rsid w:val="00A74351"/>
    <w:rsid w:val="00A7525E"/>
    <w:rsid w:val="00A75B27"/>
    <w:rsid w:val="00A840B7"/>
    <w:rsid w:val="00A8428C"/>
    <w:rsid w:val="00A85980"/>
    <w:rsid w:val="00A875FA"/>
    <w:rsid w:val="00A93363"/>
    <w:rsid w:val="00A93C7C"/>
    <w:rsid w:val="00A93E23"/>
    <w:rsid w:val="00A94B4D"/>
    <w:rsid w:val="00A96316"/>
    <w:rsid w:val="00A97B79"/>
    <w:rsid w:val="00AA0AE0"/>
    <w:rsid w:val="00AB247D"/>
    <w:rsid w:val="00AB42AD"/>
    <w:rsid w:val="00AB751F"/>
    <w:rsid w:val="00AC01CE"/>
    <w:rsid w:val="00AC0FE3"/>
    <w:rsid w:val="00AC5F06"/>
    <w:rsid w:val="00AC60AA"/>
    <w:rsid w:val="00AC62B0"/>
    <w:rsid w:val="00AC6645"/>
    <w:rsid w:val="00AC6DE5"/>
    <w:rsid w:val="00AC720D"/>
    <w:rsid w:val="00AC7CDE"/>
    <w:rsid w:val="00AD006D"/>
    <w:rsid w:val="00AD19C8"/>
    <w:rsid w:val="00AD2F05"/>
    <w:rsid w:val="00AD4008"/>
    <w:rsid w:val="00AD417F"/>
    <w:rsid w:val="00AD4202"/>
    <w:rsid w:val="00AD4F4C"/>
    <w:rsid w:val="00AD51BF"/>
    <w:rsid w:val="00AD5EC7"/>
    <w:rsid w:val="00AE0137"/>
    <w:rsid w:val="00AE092F"/>
    <w:rsid w:val="00AE0D12"/>
    <w:rsid w:val="00AE12C9"/>
    <w:rsid w:val="00AE404B"/>
    <w:rsid w:val="00AE4CAE"/>
    <w:rsid w:val="00AE5FBB"/>
    <w:rsid w:val="00AE6B80"/>
    <w:rsid w:val="00AE7388"/>
    <w:rsid w:val="00AE76C8"/>
    <w:rsid w:val="00AE7D9F"/>
    <w:rsid w:val="00AF01ED"/>
    <w:rsid w:val="00AF024E"/>
    <w:rsid w:val="00AF221D"/>
    <w:rsid w:val="00AF6124"/>
    <w:rsid w:val="00AF63ED"/>
    <w:rsid w:val="00B00384"/>
    <w:rsid w:val="00B01BA7"/>
    <w:rsid w:val="00B01CEB"/>
    <w:rsid w:val="00B03114"/>
    <w:rsid w:val="00B03682"/>
    <w:rsid w:val="00B038FF"/>
    <w:rsid w:val="00B04AB1"/>
    <w:rsid w:val="00B1005C"/>
    <w:rsid w:val="00B10105"/>
    <w:rsid w:val="00B132FC"/>
    <w:rsid w:val="00B13AB7"/>
    <w:rsid w:val="00B13F28"/>
    <w:rsid w:val="00B14B44"/>
    <w:rsid w:val="00B17F57"/>
    <w:rsid w:val="00B2055E"/>
    <w:rsid w:val="00B20C8D"/>
    <w:rsid w:val="00B21753"/>
    <w:rsid w:val="00B22F6C"/>
    <w:rsid w:val="00B241FF"/>
    <w:rsid w:val="00B24676"/>
    <w:rsid w:val="00B26F11"/>
    <w:rsid w:val="00B276E6"/>
    <w:rsid w:val="00B27774"/>
    <w:rsid w:val="00B27EF9"/>
    <w:rsid w:val="00B317C7"/>
    <w:rsid w:val="00B31802"/>
    <w:rsid w:val="00B32220"/>
    <w:rsid w:val="00B32D82"/>
    <w:rsid w:val="00B33183"/>
    <w:rsid w:val="00B33D66"/>
    <w:rsid w:val="00B34AEA"/>
    <w:rsid w:val="00B3594A"/>
    <w:rsid w:val="00B409D7"/>
    <w:rsid w:val="00B40F2B"/>
    <w:rsid w:val="00B418DE"/>
    <w:rsid w:val="00B42F23"/>
    <w:rsid w:val="00B45E6F"/>
    <w:rsid w:val="00B45F02"/>
    <w:rsid w:val="00B475C2"/>
    <w:rsid w:val="00B50C4D"/>
    <w:rsid w:val="00B50C71"/>
    <w:rsid w:val="00B51A11"/>
    <w:rsid w:val="00B51B3F"/>
    <w:rsid w:val="00B52C56"/>
    <w:rsid w:val="00B53E03"/>
    <w:rsid w:val="00B579C7"/>
    <w:rsid w:val="00B609A5"/>
    <w:rsid w:val="00B618C0"/>
    <w:rsid w:val="00B61E7D"/>
    <w:rsid w:val="00B62E9A"/>
    <w:rsid w:val="00B650F0"/>
    <w:rsid w:val="00B662E3"/>
    <w:rsid w:val="00B665AB"/>
    <w:rsid w:val="00B67BFF"/>
    <w:rsid w:val="00B716CD"/>
    <w:rsid w:val="00B71DAE"/>
    <w:rsid w:val="00B7235D"/>
    <w:rsid w:val="00B737D5"/>
    <w:rsid w:val="00B73AB3"/>
    <w:rsid w:val="00B75F3E"/>
    <w:rsid w:val="00B777D2"/>
    <w:rsid w:val="00B778D7"/>
    <w:rsid w:val="00B81CB2"/>
    <w:rsid w:val="00B82714"/>
    <w:rsid w:val="00B83123"/>
    <w:rsid w:val="00B83C01"/>
    <w:rsid w:val="00B8456F"/>
    <w:rsid w:val="00B85392"/>
    <w:rsid w:val="00B865C9"/>
    <w:rsid w:val="00B86FD6"/>
    <w:rsid w:val="00B87BA0"/>
    <w:rsid w:val="00B9034E"/>
    <w:rsid w:val="00B90F4C"/>
    <w:rsid w:val="00B922B4"/>
    <w:rsid w:val="00B928B1"/>
    <w:rsid w:val="00B93B28"/>
    <w:rsid w:val="00B95F1E"/>
    <w:rsid w:val="00BA49F4"/>
    <w:rsid w:val="00BA4C3A"/>
    <w:rsid w:val="00BA649B"/>
    <w:rsid w:val="00BA7E1B"/>
    <w:rsid w:val="00BB0089"/>
    <w:rsid w:val="00BB0C81"/>
    <w:rsid w:val="00BB0EC3"/>
    <w:rsid w:val="00BB74B0"/>
    <w:rsid w:val="00BB78AB"/>
    <w:rsid w:val="00BB7FAE"/>
    <w:rsid w:val="00BC1BD9"/>
    <w:rsid w:val="00BC1CEE"/>
    <w:rsid w:val="00BC273C"/>
    <w:rsid w:val="00BC28C5"/>
    <w:rsid w:val="00BC324A"/>
    <w:rsid w:val="00BC37C9"/>
    <w:rsid w:val="00BC411D"/>
    <w:rsid w:val="00BC5700"/>
    <w:rsid w:val="00BC60DB"/>
    <w:rsid w:val="00BC6165"/>
    <w:rsid w:val="00BC664D"/>
    <w:rsid w:val="00BC7C87"/>
    <w:rsid w:val="00BD1D59"/>
    <w:rsid w:val="00BD3485"/>
    <w:rsid w:val="00BD437B"/>
    <w:rsid w:val="00BE2A71"/>
    <w:rsid w:val="00BE54DD"/>
    <w:rsid w:val="00BE550C"/>
    <w:rsid w:val="00BE5AA3"/>
    <w:rsid w:val="00BE62CA"/>
    <w:rsid w:val="00BE6737"/>
    <w:rsid w:val="00BF1DEE"/>
    <w:rsid w:val="00BF274E"/>
    <w:rsid w:val="00BF2FED"/>
    <w:rsid w:val="00BF3C05"/>
    <w:rsid w:val="00BF3C08"/>
    <w:rsid w:val="00BF6278"/>
    <w:rsid w:val="00BF6E0A"/>
    <w:rsid w:val="00C00820"/>
    <w:rsid w:val="00C01ED7"/>
    <w:rsid w:val="00C02214"/>
    <w:rsid w:val="00C02DF2"/>
    <w:rsid w:val="00C03C0F"/>
    <w:rsid w:val="00C076C6"/>
    <w:rsid w:val="00C07763"/>
    <w:rsid w:val="00C108C1"/>
    <w:rsid w:val="00C108CD"/>
    <w:rsid w:val="00C20323"/>
    <w:rsid w:val="00C21311"/>
    <w:rsid w:val="00C21FE2"/>
    <w:rsid w:val="00C22028"/>
    <w:rsid w:val="00C22BF7"/>
    <w:rsid w:val="00C235F9"/>
    <w:rsid w:val="00C23713"/>
    <w:rsid w:val="00C23A0D"/>
    <w:rsid w:val="00C23BE8"/>
    <w:rsid w:val="00C23C37"/>
    <w:rsid w:val="00C24AEE"/>
    <w:rsid w:val="00C302B0"/>
    <w:rsid w:val="00C31872"/>
    <w:rsid w:val="00C32E9F"/>
    <w:rsid w:val="00C3495E"/>
    <w:rsid w:val="00C34F42"/>
    <w:rsid w:val="00C365ED"/>
    <w:rsid w:val="00C36CA7"/>
    <w:rsid w:val="00C37E84"/>
    <w:rsid w:val="00C41501"/>
    <w:rsid w:val="00C427C8"/>
    <w:rsid w:val="00C42850"/>
    <w:rsid w:val="00C4326D"/>
    <w:rsid w:val="00C44B4C"/>
    <w:rsid w:val="00C476FE"/>
    <w:rsid w:val="00C525BC"/>
    <w:rsid w:val="00C53D00"/>
    <w:rsid w:val="00C53E81"/>
    <w:rsid w:val="00C6280D"/>
    <w:rsid w:val="00C628F9"/>
    <w:rsid w:val="00C64D52"/>
    <w:rsid w:val="00C65B42"/>
    <w:rsid w:val="00C65FAF"/>
    <w:rsid w:val="00C66189"/>
    <w:rsid w:val="00C6629C"/>
    <w:rsid w:val="00C67F12"/>
    <w:rsid w:val="00C71F44"/>
    <w:rsid w:val="00C7200B"/>
    <w:rsid w:val="00C73EE2"/>
    <w:rsid w:val="00C7409D"/>
    <w:rsid w:val="00C74CE1"/>
    <w:rsid w:val="00C75D2E"/>
    <w:rsid w:val="00C76BFB"/>
    <w:rsid w:val="00C76E70"/>
    <w:rsid w:val="00C80307"/>
    <w:rsid w:val="00C80975"/>
    <w:rsid w:val="00C84FF1"/>
    <w:rsid w:val="00C868C4"/>
    <w:rsid w:val="00C907ED"/>
    <w:rsid w:val="00C90A17"/>
    <w:rsid w:val="00C92D03"/>
    <w:rsid w:val="00C96A31"/>
    <w:rsid w:val="00C96EB5"/>
    <w:rsid w:val="00C974A1"/>
    <w:rsid w:val="00CA0E5B"/>
    <w:rsid w:val="00CA0E9F"/>
    <w:rsid w:val="00CA2659"/>
    <w:rsid w:val="00CA5129"/>
    <w:rsid w:val="00CA5864"/>
    <w:rsid w:val="00CA61E8"/>
    <w:rsid w:val="00CB040D"/>
    <w:rsid w:val="00CB04DB"/>
    <w:rsid w:val="00CB51B4"/>
    <w:rsid w:val="00CB7102"/>
    <w:rsid w:val="00CB76FB"/>
    <w:rsid w:val="00CB7C3F"/>
    <w:rsid w:val="00CC0485"/>
    <w:rsid w:val="00CC1DED"/>
    <w:rsid w:val="00CC20D1"/>
    <w:rsid w:val="00CC22C3"/>
    <w:rsid w:val="00CC26A0"/>
    <w:rsid w:val="00CC274A"/>
    <w:rsid w:val="00CC368E"/>
    <w:rsid w:val="00CC52B2"/>
    <w:rsid w:val="00CC65DB"/>
    <w:rsid w:val="00CC671A"/>
    <w:rsid w:val="00CC685A"/>
    <w:rsid w:val="00CD3412"/>
    <w:rsid w:val="00CD3758"/>
    <w:rsid w:val="00CD38C9"/>
    <w:rsid w:val="00CD443F"/>
    <w:rsid w:val="00CD51B5"/>
    <w:rsid w:val="00CE3B63"/>
    <w:rsid w:val="00CE52A4"/>
    <w:rsid w:val="00CE57A0"/>
    <w:rsid w:val="00CE63A5"/>
    <w:rsid w:val="00CE70A7"/>
    <w:rsid w:val="00CE7821"/>
    <w:rsid w:val="00CF0939"/>
    <w:rsid w:val="00CF0D15"/>
    <w:rsid w:val="00CF30FD"/>
    <w:rsid w:val="00CF36E1"/>
    <w:rsid w:val="00CF49FC"/>
    <w:rsid w:val="00CF5D3B"/>
    <w:rsid w:val="00CF645E"/>
    <w:rsid w:val="00CF7108"/>
    <w:rsid w:val="00D06A7F"/>
    <w:rsid w:val="00D076BB"/>
    <w:rsid w:val="00D1063D"/>
    <w:rsid w:val="00D11ECE"/>
    <w:rsid w:val="00D205B1"/>
    <w:rsid w:val="00D20805"/>
    <w:rsid w:val="00D21080"/>
    <w:rsid w:val="00D21109"/>
    <w:rsid w:val="00D21EE3"/>
    <w:rsid w:val="00D23D05"/>
    <w:rsid w:val="00D24B32"/>
    <w:rsid w:val="00D26127"/>
    <w:rsid w:val="00D27D16"/>
    <w:rsid w:val="00D316C7"/>
    <w:rsid w:val="00D31757"/>
    <w:rsid w:val="00D351D3"/>
    <w:rsid w:val="00D36AA5"/>
    <w:rsid w:val="00D377EA"/>
    <w:rsid w:val="00D40160"/>
    <w:rsid w:val="00D405E3"/>
    <w:rsid w:val="00D41537"/>
    <w:rsid w:val="00D41623"/>
    <w:rsid w:val="00D418E6"/>
    <w:rsid w:val="00D41C91"/>
    <w:rsid w:val="00D43AE5"/>
    <w:rsid w:val="00D46462"/>
    <w:rsid w:val="00D4691A"/>
    <w:rsid w:val="00D5567F"/>
    <w:rsid w:val="00D56650"/>
    <w:rsid w:val="00D56C89"/>
    <w:rsid w:val="00D600B3"/>
    <w:rsid w:val="00D6270A"/>
    <w:rsid w:val="00D62FDB"/>
    <w:rsid w:val="00D66773"/>
    <w:rsid w:val="00D671F6"/>
    <w:rsid w:val="00D7004A"/>
    <w:rsid w:val="00D81366"/>
    <w:rsid w:val="00D8210B"/>
    <w:rsid w:val="00D830EC"/>
    <w:rsid w:val="00D83C29"/>
    <w:rsid w:val="00D84369"/>
    <w:rsid w:val="00D847C3"/>
    <w:rsid w:val="00D86542"/>
    <w:rsid w:val="00D935C0"/>
    <w:rsid w:val="00D93628"/>
    <w:rsid w:val="00D94CD9"/>
    <w:rsid w:val="00DA1B25"/>
    <w:rsid w:val="00DA20C8"/>
    <w:rsid w:val="00DA30A4"/>
    <w:rsid w:val="00DA44AC"/>
    <w:rsid w:val="00DA6FFE"/>
    <w:rsid w:val="00DA7454"/>
    <w:rsid w:val="00DB0B6C"/>
    <w:rsid w:val="00DB33FA"/>
    <w:rsid w:val="00DB3C18"/>
    <w:rsid w:val="00DB46DE"/>
    <w:rsid w:val="00DB4B11"/>
    <w:rsid w:val="00DC099F"/>
    <w:rsid w:val="00DC1B95"/>
    <w:rsid w:val="00DC448D"/>
    <w:rsid w:val="00DC63B1"/>
    <w:rsid w:val="00DC64F6"/>
    <w:rsid w:val="00DC7B46"/>
    <w:rsid w:val="00DD4088"/>
    <w:rsid w:val="00DD4314"/>
    <w:rsid w:val="00DD455B"/>
    <w:rsid w:val="00DD57DD"/>
    <w:rsid w:val="00DD5888"/>
    <w:rsid w:val="00DE0A9E"/>
    <w:rsid w:val="00DE1742"/>
    <w:rsid w:val="00DE346B"/>
    <w:rsid w:val="00DE481B"/>
    <w:rsid w:val="00DE608B"/>
    <w:rsid w:val="00DE72F3"/>
    <w:rsid w:val="00DE7D61"/>
    <w:rsid w:val="00DF3048"/>
    <w:rsid w:val="00DF35C5"/>
    <w:rsid w:val="00DF5A11"/>
    <w:rsid w:val="00DF7B89"/>
    <w:rsid w:val="00DF7C28"/>
    <w:rsid w:val="00E0320D"/>
    <w:rsid w:val="00E03910"/>
    <w:rsid w:val="00E03BB9"/>
    <w:rsid w:val="00E04057"/>
    <w:rsid w:val="00E05FB0"/>
    <w:rsid w:val="00E06E7E"/>
    <w:rsid w:val="00E10715"/>
    <w:rsid w:val="00E11A40"/>
    <w:rsid w:val="00E11E98"/>
    <w:rsid w:val="00E12744"/>
    <w:rsid w:val="00E130A3"/>
    <w:rsid w:val="00E14BD5"/>
    <w:rsid w:val="00E2109A"/>
    <w:rsid w:val="00E248A9"/>
    <w:rsid w:val="00E2529B"/>
    <w:rsid w:val="00E30006"/>
    <w:rsid w:val="00E3059F"/>
    <w:rsid w:val="00E3076C"/>
    <w:rsid w:val="00E31B45"/>
    <w:rsid w:val="00E3259F"/>
    <w:rsid w:val="00E325A1"/>
    <w:rsid w:val="00E32B87"/>
    <w:rsid w:val="00E34169"/>
    <w:rsid w:val="00E37FFE"/>
    <w:rsid w:val="00E412CB"/>
    <w:rsid w:val="00E4182C"/>
    <w:rsid w:val="00E46BEB"/>
    <w:rsid w:val="00E526C3"/>
    <w:rsid w:val="00E5502B"/>
    <w:rsid w:val="00E55458"/>
    <w:rsid w:val="00E55756"/>
    <w:rsid w:val="00E559D8"/>
    <w:rsid w:val="00E55A66"/>
    <w:rsid w:val="00E55F1A"/>
    <w:rsid w:val="00E56C45"/>
    <w:rsid w:val="00E626E0"/>
    <w:rsid w:val="00E6633B"/>
    <w:rsid w:val="00E6685B"/>
    <w:rsid w:val="00E6694C"/>
    <w:rsid w:val="00E67166"/>
    <w:rsid w:val="00E677F0"/>
    <w:rsid w:val="00E7318B"/>
    <w:rsid w:val="00E74165"/>
    <w:rsid w:val="00E75340"/>
    <w:rsid w:val="00E75FB2"/>
    <w:rsid w:val="00E7641B"/>
    <w:rsid w:val="00E76B8E"/>
    <w:rsid w:val="00E77D51"/>
    <w:rsid w:val="00E803E5"/>
    <w:rsid w:val="00E81167"/>
    <w:rsid w:val="00E81710"/>
    <w:rsid w:val="00E850EF"/>
    <w:rsid w:val="00E85994"/>
    <w:rsid w:val="00E85E7F"/>
    <w:rsid w:val="00E86BC1"/>
    <w:rsid w:val="00E91B92"/>
    <w:rsid w:val="00E94947"/>
    <w:rsid w:val="00E94CA8"/>
    <w:rsid w:val="00E95F6C"/>
    <w:rsid w:val="00E9608A"/>
    <w:rsid w:val="00E97303"/>
    <w:rsid w:val="00E97E29"/>
    <w:rsid w:val="00EA0676"/>
    <w:rsid w:val="00EA0C73"/>
    <w:rsid w:val="00EA2FDE"/>
    <w:rsid w:val="00EA34AC"/>
    <w:rsid w:val="00EA36EA"/>
    <w:rsid w:val="00EA3E1E"/>
    <w:rsid w:val="00EA49DC"/>
    <w:rsid w:val="00EA668D"/>
    <w:rsid w:val="00EA7943"/>
    <w:rsid w:val="00EB2B53"/>
    <w:rsid w:val="00EB3205"/>
    <w:rsid w:val="00EB3539"/>
    <w:rsid w:val="00EB651C"/>
    <w:rsid w:val="00EB6730"/>
    <w:rsid w:val="00EB673D"/>
    <w:rsid w:val="00EB7B2E"/>
    <w:rsid w:val="00EC09DC"/>
    <w:rsid w:val="00EC3128"/>
    <w:rsid w:val="00EC4392"/>
    <w:rsid w:val="00EC489A"/>
    <w:rsid w:val="00EC7200"/>
    <w:rsid w:val="00EC7900"/>
    <w:rsid w:val="00ED00A7"/>
    <w:rsid w:val="00ED00BB"/>
    <w:rsid w:val="00ED2013"/>
    <w:rsid w:val="00ED50F3"/>
    <w:rsid w:val="00EE0724"/>
    <w:rsid w:val="00EE1411"/>
    <w:rsid w:val="00EE235F"/>
    <w:rsid w:val="00EE35ED"/>
    <w:rsid w:val="00EE7C24"/>
    <w:rsid w:val="00EE7C2B"/>
    <w:rsid w:val="00EF0F86"/>
    <w:rsid w:val="00EF1027"/>
    <w:rsid w:val="00EF128D"/>
    <w:rsid w:val="00EF3698"/>
    <w:rsid w:val="00EF44D3"/>
    <w:rsid w:val="00EF6970"/>
    <w:rsid w:val="00F00E7C"/>
    <w:rsid w:val="00F0305C"/>
    <w:rsid w:val="00F063D5"/>
    <w:rsid w:val="00F0652C"/>
    <w:rsid w:val="00F067DE"/>
    <w:rsid w:val="00F071CF"/>
    <w:rsid w:val="00F07A89"/>
    <w:rsid w:val="00F10B12"/>
    <w:rsid w:val="00F117E7"/>
    <w:rsid w:val="00F12706"/>
    <w:rsid w:val="00F12B0E"/>
    <w:rsid w:val="00F14C32"/>
    <w:rsid w:val="00F166B9"/>
    <w:rsid w:val="00F231E8"/>
    <w:rsid w:val="00F26BA0"/>
    <w:rsid w:val="00F2749E"/>
    <w:rsid w:val="00F30D58"/>
    <w:rsid w:val="00F31461"/>
    <w:rsid w:val="00F350FF"/>
    <w:rsid w:val="00F354DE"/>
    <w:rsid w:val="00F4175D"/>
    <w:rsid w:val="00F41BED"/>
    <w:rsid w:val="00F41D79"/>
    <w:rsid w:val="00F41DF5"/>
    <w:rsid w:val="00F454F1"/>
    <w:rsid w:val="00F47DB0"/>
    <w:rsid w:val="00F50EC3"/>
    <w:rsid w:val="00F53636"/>
    <w:rsid w:val="00F53A50"/>
    <w:rsid w:val="00F55A97"/>
    <w:rsid w:val="00F55B14"/>
    <w:rsid w:val="00F55EE8"/>
    <w:rsid w:val="00F66E39"/>
    <w:rsid w:val="00F67E81"/>
    <w:rsid w:val="00F7155B"/>
    <w:rsid w:val="00F71F8E"/>
    <w:rsid w:val="00F72EDD"/>
    <w:rsid w:val="00F74F81"/>
    <w:rsid w:val="00F75474"/>
    <w:rsid w:val="00F754E7"/>
    <w:rsid w:val="00F75697"/>
    <w:rsid w:val="00F762C3"/>
    <w:rsid w:val="00F77332"/>
    <w:rsid w:val="00F8097B"/>
    <w:rsid w:val="00F84173"/>
    <w:rsid w:val="00F90208"/>
    <w:rsid w:val="00F9090F"/>
    <w:rsid w:val="00F9091F"/>
    <w:rsid w:val="00F914DC"/>
    <w:rsid w:val="00F922DA"/>
    <w:rsid w:val="00F9243A"/>
    <w:rsid w:val="00F95411"/>
    <w:rsid w:val="00F955D7"/>
    <w:rsid w:val="00F972F3"/>
    <w:rsid w:val="00FA29AC"/>
    <w:rsid w:val="00FA4E34"/>
    <w:rsid w:val="00FA5582"/>
    <w:rsid w:val="00FA642A"/>
    <w:rsid w:val="00FB2413"/>
    <w:rsid w:val="00FB2C12"/>
    <w:rsid w:val="00FB2E93"/>
    <w:rsid w:val="00FB44AD"/>
    <w:rsid w:val="00FB44B5"/>
    <w:rsid w:val="00FB4E6F"/>
    <w:rsid w:val="00FB5F5F"/>
    <w:rsid w:val="00FB6159"/>
    <w:rsid w:val="00FB6BBE"/>
    <w:rsid w:val="00FC0F3E"/>
    <w:rsid w:val="00FC30D2"/>
    <w:rsid w:val="00FC5148"/>
    <w:rsid w:val="00FC5757"/>
    <w:rsid w:val="00FC5A66"/>
    <w:rsid w:val="00FC6008"/>
    <w:rsid w:val="00FC712B"/>
    <w:rsid w:val="00FD1F6D"/>
    <w:rsid w:val="00FD2AC5"/>
    <w:rsid w:val="00FD7DEA"/>
    <w:rsid w:val="00FE115E"/>
    <w:rsid w:val="00FE2D3E"/>
    <w:rsid w:val="00FE321E"/>
    <w:rsid w:val="00FE3ED7"/>
    <w:rsid w:val="00FE4621"/>
    <w:rsid w:val="00FE4E20"/>
    <w:rsid w:val="00FF00B1"/>
    <w:rsid w:val="00FF25F9"/>
    <w:rsid w:val="00FF4BDB"/>
    <w:rsid w:val="00FF5EE2"/>
    <w:rsid w:val="00FF6285"/>
    <w:rsid w:val="00FF66CB"/>
    <w:rsid w:val="00FF6F5B"/>
    <w:rsid w:val="057F689B"/>
    <w:rsid w:val="081FB72F"/>
    <w:rsid w:val="13952101"/>
    <w:rsid w:val="1396698D"/>
    <w:rsid w:val="13A28D40"/>
    <w:rsid w:val="14FB75F8"/>
    <w:rsid w:val="1643E916"/>
    <w:rsid w:val="19C5F969"/>
    <w:rsid w:val="1A8416F4"/>
    <w:rsid w:val="1BA20849"/>
    <w:rsid w:val="1C7369A4"/>
    <w:rsid w:val="205A8B6C"/>
    <w:rsid w:val="26CEFB1D"/>
    <w:rsid w:val="295042CA"/>
    <w:rsid w:val="297F8D69"/>
    <w:rsid w:val="2E228F21"/>
    <w:rsid w:val="2EF9AF49"/>
    <w:rsid w:val="37B5C0B9"/>
    <w:rsid w:val="3936923A"/>
    <w:rsid w:val="44617D7A"/>
    <w:rsid w:val="44D174FF"/>
    <w:rsid w:val="450EF3E5"/>
    <w:rsid w:val="4890A93E"/>
    <w:rsid w:val="5368D14F"/>
    <w:rsid w:val="537C53BF"/>
    <w:rsid w:val="5498281D"/>
    <w:rsid w:val="54EE6527"/>
    <w:rsid w:val="56448195"/>
    <w:rsid w:val="573F1BA6"/>
    <w:rsid w:val="57DFBE4B"/>
    <w:rsid w:val="686B4EA3"/>
    <w:rsid w:val="6C19BA19"/>
    <w:rsid w:val="6E478B9D"/>
    <w:rsid w:val="6E983643"/>
    <w:rsid w:val="77D30F00"/>
    <w:rsid w:val="7D2ED5FC"/>
    <w:rsid w:val="7F5D1A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8BF4E8C3-685C-4579-99D8-7E9A38B45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7A7E"/>
    <w:pPr>
      <w:keepNext/>
      <w:jc w:val="both"/>
      <w:outlineLvl w:val="0"/>
    </w:pPr>
    <w:rPr>
      <w:iCs/>
      <w:u w:val="single"/>
      <w:lang w:val="en-GB"/>
    </w:rPr>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customStyle="1" w:styleId="Heading1Char">
    <w:name w:val="Heading 1 Char"/>
    <w:basedOn w:val="DefaultParagraphFont"/>
    <w:link w:val="Heading1"/>
    <w:uiPriority w:val="9"/>
    <w:rsid w:val="002D7A7E"/>
    <w:rPr>
      <w:iCs/>
      <w:u w:val="single"/>
      <w:lang w:val="en-GB"/>
    </w:rPr>
  </w:style>
  <w:style w:type="paragraph" w:customStyle="1" w:styleId="Firstnumbering">
    <w:name w:val="First numbering"/>
    <w:basedOn w:val="ListParagraph"/>
    <w:link w:val="FirstnumberingChar"/>
    <w:qFormat/>
    <w:rsid w:val="008F6291"/>
    <w:pPr>
      <w:numPr>
        <w:numId w:val="14"/>
      </w:numPr>
      <w:spacing w:after="0" w:line="240" w:lineRule="auto"/>
      <w:ind w:left="567" w:hanging="567"/>
      <w:contextualSpacing w:val="0"/>
      <w:jc w:val="both"/>
    </w:pPr>
    <w:rPr>
      <w:lang w:val="en-GB"/>
    </w:rPr>
  </w:style>
  <w:style w:type="character" w:customStyle="1" w:styleId="FirstnumberingChar">
    <w:name w:val="First numbering Char"/>
    <w:basedOn w:val="DefaultParagraphFont"/>
    <w:link w:val="Firstnumbering"/>
    <w:rsid w:val="008F6291"/>
    <w:rPr>
      <w:lang w:val="en-GB"/>
    </w:rPr>
  </w:style>
  <w:style w:type="character" w:styleId="Hyperlink">
    <w:name w:val="Hyperlink"/>
    <w:basedOn w:val="DefaultParagraphFont"/>
    <w:uiPriority w:val="99"/>
    <w:unhideWhenUsed/>
    <w:rsid w:val="00121B2B"/>
    <w:rPr>
      <w:color w:val="0563C1" w:themeColor="hyperlink"/>
      <w:u w:val="single"/>
    </w:rPr>
  </w:style>
  <w:style w:type="character" w:customStyle="1" w:styleId="UnresolvedMention1">
    <w:name w:val="Unresolved Mention1"/>
    <w:basedOn w:val="DefaultParagraphFont"/>
    <w:uiPriority w:val="99"/>
    <w:semiHidden/>
    <w:unhideWhenUsed/>
    <w:rsid w:val="00121B2B"/>
    <w:rPr>
      <w:color w:val="605E5C"/>
      <w:shd w:val="clear" w:color="auto" w:fill="E1DFDD"/>
    </w:rPr>
  </w:style>
  <w:style w:type="character" w:customStyle="1" w:styleId="ListParagraphChar">
    <w:name w:val="List Paragraph Char"/>
    <w:link w:val="ListParagraph"/>
    <w:uiPriority w:val="34"/>
    <w:locked/>
    <w:rsid w:val="00895715"/>
  </w:style>
  <w:style w:type="paragraph" w:styleId="Revision">
    <w:name w:val="Revision"/>
    <w:hidden/>
    <w:uiPriority w:val="99"/>
    <w:semiHidden/>
    <w:rsid w:val="006710EE"/>
    <w:pPr>
      <w:spacing w:after="0" w:line="240" w:lineRule="auto"/>
    </w:pPr>
  </w:style>
  <w:style w:type="character" w:styleId="FollowedHyperlink">
    <w:name w:val="FollowedHyperlink"/>
    <w:basedOn w:val="DefaultParagraphFont"/>
    <w:uiPriority w:val="99"/>
    <w:semiHidden/>
    <w:unhideWhenUsed/>
    <w:rsid w:val="00C41501"/>
    <w:rPr>
      <w:color w:val="954F72" w:themeColor="followedHyperlink"/>
      <w:u w:val="single"/>
    </w:rPr>
  </w:style>
  <w:style w:type="character" w:customStyle="1" w:styleId="Mention1">
    <w:name w:val="Mention1"/>
    <w:basedOn w:val="DefaultParagraphFont"/>
    <w:uiPriority w:val="99"/>
    <w:unhideWhenUsed/>
    <w:rsid w:val="00AE4CAE"/>
    <w:rPr>
      <w:color w:val="2B579A"/>
      <w:shd w:val="clear" w:color="auto" w:fill="E1DFDD"/>
    </w:rPr>
  </w:style>
  <w:style w:type="paragraph" w:customStyle="1" w:styleId="paragraph">
    <w:name w:val="paragraph"/>
    <w:basedOn w:val="Normal"/>
    <w:rsid w:val="00870B2E"/>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normaltextrun">
    <w:name w:val="normaltextrun"/>
    <w:basedOn w:val="DefaultParagraphFont"/>
    <w:rsid w:val="00870B2E"/>
  </w:style>
  <w:style w:type="character" w:customStyle="1" w:styleId="eop">
    <w:name w:val="eop"/>
    <w:basedOn w:val="DefaultParagraphFont"/>
    <w:rsid w:val="00870B2E"/>
  </w:style>
  <w:style w:type="character" w:customStyle="1" w:styleId="tabchar">
    <w:name w:val="tabchar"/>
    <w:basedOn w:val="DefaultParagraphFont"/>
    <w:rsid w:val="00870B2E"/>
  </w:style>
  <w:style w:type="character" w:styleId="UnresolvedMention">
    <w:name w:val="Unresolved Mention"/>
    <w:basedOn w:val="DefaultParagraphFont"/>
    <w:uiPriority w:val="99"/>
    <w:semiHidden/>
    <w:unhideWhenUsed/>
    <w:rsid w:val="007042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409236151">
      <w:bodyDiv w:val="1"/>
      <w:marLeft w:val="0"/>
      <w:marRight w:val="0"/>
      <w:marTop w:val="0"/>
      <w:marBottom w:val="0"/>
      <w:divBdr>
        <w:top w:val="none" w:sz="0" w:space="0" w:color="auto"/>
        <w:left w:val="none" w:sz="0" w:space="0" w:color="auto"/>
        <w:bottom w:val="none" w:sz="0" w:space="0" w:color="auto"/>
        <w:right w:val="none" w:sz="0" w:space="0" w:color="auto"/>
      </w:divBdr>
    </w:div>
    <w:div w:id="496773816">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 w:id="1116102966">
      <w:bodyDiv w:val="1"/>
      <w:marLeft w:val="0"/>
      <w:marRight w:val="0"/>
      <w:marTop w:val="0"/>
      <w:marBottom w:val="0"/>
      <w:divBdr>
        <w:top w:val="none" w:sz="0" w:space="0" w:color="auto"/>
        <w:left w:val="none" w:sz="0" w:space="0" w:color="auto"/>
        <w:bottom w:val="none" w:sz="0" w:space="0" w:color="auto"/>
        <w:right w:val="none" w:sz="0" w:space="0" w:color="auto"/>
      </w:divBdr>
    </w:div>
    <w:div w:id="124113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www.cms.int/fr/meeting/quinzi%C3%A8me-r%C3%A9union-de-la-conf%C3%A9rence-des-parties" TargetMode="External"/><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cms.int/document/national-reports-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2ABA26-8305-4A1D-B214-773AA2013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A18170-DCC8-42E3-9C6E-57D5FB48889E}">
  <ds:schemaRefs>
    <ds:schemaRef ds:uri="http://schemas.openxmlformats.org/officeDocument/2006/bibliography"/>
  </ds:schemaRefs>
</ds:datastoreItem>
</file>

<file path=customXml/itemProps3.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4.xml><?xml version="1.0" encoding="utf-8"?>
<ds:datastoreItem xmlns:ds="http://schemas.openxmlformats.org/officeDocument/2006/customXml" ds:itemID="{19DDF315-5974-484C-A3DB-7718D6991891}">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101</TotalTime>
  <Pages>12</Pages>
  <Words>3974</Words>
  <Characters>22658</Characters>
  <Application>Microsoft Office Word</Application>
  <DocSecurity>0</DocSecurity>
  <Lines>188</Lines>
  <Paragraphs>53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26579</CharactersWithSpaces>
  <SharedDoc>false</SharedDoc>
  <HLinks>
    <vt:vector size="12" baseType="variant">
      <vt:variant>
        <vt:i4>4390938</vt:i4>
      </vt:variant>
      <vt:variant>
        <vt:i4>0</vt:i4>
      </vt:variant>
      <vt:variant>
        <vt:i4>0</vt:i4>
      </vt:variant>
      <vt:variant>
        <vt:i4>5</vt:i4>
      </vt:variant>
      <vt:variant>
        <vt:lpwstr>https://www.cms.int/fr/meeting/quinzi%C3%A8me-r%C3%A9union-de-la-conf%C3%A9rence-des-parties</vt:lpwstr>
      </vt:variant>
      <vt:variant>
        <vt:lpwstr>national-reports</vt:lpwstr>
      </vt:variant>
      <vt:variant>
        <vt:i4>4718628</vt:i4>
      </vt:variant>
      <vt:variant>
        <vt:i4>0</vt:i4>
      </vt:variant>
      <vt:variant>
        <vt:i4>0</vt:i4>
      </vt:variant>
      <vt:variant>
        <vt:i4>5</vt:i4>
      </vt:variant>
      <vt:variant>
        <vt:lpwstr>mailto:klara.gruenewald@un.org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160</cp:revision>
  <dcterms:created xsi:type="dcterms:W3CDTF">2026-01-09T14:16:00Z</dcterms:created>
  <dcterms:modified xsi:type="dcterms:W3CDTF">2026-01-20T11:10:00Z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{"FileActivityType":"6","FileActivityTimeStamp":"2025-07-16T17:04:09.197Z","FileActivityUsersOnPage":[{"DisplayName":"Lena Katharina Dorn","Id":"lena.dorn@un.org"}],"FileActivityNavigationId":null}</vt:lpwstr>
  </property>
  <property fmtid="{D5CDD505-2E9C-101B-9397-08002B2CF9AE}" pid="9" name="TriggerFlowInfo">
    <vt:lpwstr/>
  </property>
</Properties>
</file>