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F68D542" w:rsidR="00002A97" w:rsidRPr="00F128CB"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F128CB">
              <w:rPr>
                <w:rFonts w:eastAsia="Times New Roman" w:cs="Arial"/>
                <w:szCs w:val="24"/>
                <w:lang w:val="es-ES" w:eastAsia="es-ES"/>
              </w:rPr>
              <w:t>UNEP/CMS/COP1</w:t>
            </w:r>
            <w:r w:rsidR="00C22155" w:rsidRPr="00F128CB">
              <w:rPr>
                <w:rFonts w:eastAsia="Times New Roman" w:cs="Arial"/>
                <w:szCs w:val="24"/>
                <w:lang w:val="es-ES" w:eastAsia="es-ES"/>
              </w:rPr>
              <w:t>5</w:t>
            </w:r>
            <w:r w:rsidRPr="00F128CB">
              <w:rPr>
                <w:rFonts w:eastAsia="Times New Roman" w:cs="Arial"/>
                <w:szCs w:val="24"/>
                <w:lang w:val="es-ES" w:eastAsia="es-ES"/>
              </w:rPr>
              <w:t>/</w:t>
            </w:r>
            <w:r w:rsidR="00800CB3" w:rsidRPr="00F128CB">
              <w:rPr>
                <w:rFonts w:eastAsia="Times New Roman" w:cs="Arial"/>
                <w:szCs w:val="24"/>
                <w:lang w:val="es-ES" w:eastAsia="es-ES"/>
              </w:rPr>
              <w:t>Doc</w:t>
            </w:r>
            <w:r w:rsidR="00227A74" w:rsidRPr="00F128CB">
              <w:rPr>
                <w:rFonts w:eastAsia="Times New Roman" w:cs="Arial"/>
                <w:szCs w:val="24"/>
                <w:lang w:val="es-ES" w:eastAsia="es-ES"/>
              </w:rPr>
              <w:t>.19</w:t>
            </w:r>
          </w:p>
          <w:p w14:paraId="5F9B9DE6" w14:textId="380D6821" w:rsidR="00002A97" w:rsidRPr="00F128CB" w:rsidRDefault="00227A74"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F128CB">
              <w:rPr>
                <w:rFonts w:eastAsia="Times New Roman" w:cs="Arial"/>
                <w:szCs w:val="24"/>
                <w:lang w:val="es-ES" w:eastAsia="es-ES"/>
              </w:rPr>
              <w:t>16 de enero</w:t>
            </w:r>
            <w:r w:rsidR="00002A97" w:rsidRPr="00F128CB">
              <w:rPr>
                <w:rFonts w:eastAsia="Times New Roman" w:cs="Arial"/>
                <w:szCs w:val="24"/>
                <w:lang w:val="es-ES" w:eastAsia="es-ES"/>
              </w:rPr>
              <w:t>20</w:t>
            </w:r>
            <w:r w:rsidR="000F4BDA" w:rsidRPr="00F128CB">
              <w:rPr>
                <w:rFonts w:eastAsia="Times New Roman" w:cs="Arial"/>
                <w:szCs w:val="24"/>
                <w:lang w:val="es-ES" w:eastAsia="es-ES"/>
              </w:rPr>
              <w:t>2</w:t>
            </w:r>
            <w:r w:rsidR="00BE6C85" w:rsidRPr="00F128CB">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481701E"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27A74">
        <w:rPr>
          <w:rFonts w:eastAsia="Times New Roman" w:cs="Arial"/>
          <w:szCs w:val="24"/>
          <w:lang w:val="es-ES" w:eastAsia="es-ES"/>
        </w:rPr>
        <w:t>19</w:t>
      </w:r>
      <w:r w:rsidR="0077323D">
        <w:rPr>
          <w:rFonts w:eastAsia="Times New Roman" w:cs="Arial"/>
          <w:szCs w:val="24"/>
          <w:lang w:val="es-ES" w:eastAsia="es-ES"/>
        </w:rPr>
        <w:t xml:space="preserve">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340ACB41" w:rsidR="00002A97" w:rsidRPr="00790422" w:rsidRDefault="00F128CB"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F128CB">
        <w:rPr>
          <w:rFonts w:eastAsia="Times New Roman" w:cs="Arial"/>
          <w:b/>
          <w:bCs/>
          <w:caps/>
          <w:lang w:val="es-ES" w:eastAsia="es-ES"/>
        </w:rPr>
        <w:t>COMUNICACIÓN Y GESTIÓN DE LA INFORMACIÓN</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0B0972B0">
                <wp:simplePos x="0" y="0"/>
                <wp:positionH relativeFrom="column">
                  <wp:posOffset>971550</wp:posOffset>
                </wp:positionH>
                <wp:positionV relativeFrom="paragraph">
                  <wp:posOffset>147321</wp:posOffset>
                </wp:positionV>
                <wp:extent cx="4304666" cy="16954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695450"/>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42111490" w14:textId="77777777" w:rsidR="0077323D" w:rsidRPr="0077323D" w:rsidRDefault="0077323D" w:rsidP="0077323D">
                            <w:pPr>
                              <w:spacing w:after="0" w:line="240" w:lineRule="auto"/>
                              <w:jc w:val="both"/>
                              <w:rPr>
                                <w:rFonts w:cs="Arial"/>
                                <w:lang w:val="es-ES"/>
                              </w:rPr>
                            </w:pPr>
                            <w:r w:rsidRPr="0077323D">
                              <w:rPr>
                                <w:rFonts w:cs="Arial"/>
                                <w:lang w:val="es-ES"/>
                              </w:rPr>
                              <w:t>Este documento presenta un resumen de las actividades de comunicación, divulgación y gestión de la información desde la 14.</w:t>
                            </w:r>
                            <w:r w:rsidRPr="0077323D">
                              <w:rPr>
                                <w:rFonts w:cs="Arial"/>
                                <w:vertAlign w:val="superscript"/>
                                <w:lang w:val="es-ES"/>
                              </w:rPr>
                              <w:t>a</w:t>
                            </w:r>
                            <w:r w:rsidRPr="0077323D">
                              <w:rPr>
                                <w:rFonts w:cs="Arial"/>
                                <w:lang w:val="es-ES"/>
                              </w:rPr>
                              <w:t> reunión de la Conferencia de las Partes (2024).</w:t>
                            </w:r>
                          </w:p>
                          <w:p w14:paraId="244EA052" w14:textId="77777777" w:rsidR="0077323D" w:rsidRPr="0077323D" w:rsidRDefault="0077323D" w:rsidP="0077323D">
                            <w:pPr>
                              <w:spacing w:after="0" w:line="240" w:lineRule="auto"/>
                              <w:jc w:val="both"/>
                              <w:rPr>
                                <w:rFonts w:cs="Arial"/>
                                <w:lang w:val="es-ES"/>
                              </w:rPr>
                            </w:pPr>
                          </w:p>
                          <w:p w14:paraId="7769329E" w14:textId="77777777" w:rsidR="0077323D" w:rsidRPr="0077323D" w:rsidRDefault="0077323D" w:rsidP="0077323D">
                            <w:pPr>
                              <w:spacing w:after="0" w:line="240" w:lineRule="auto"/>
                              <w:jc w:val="both"/>
                              <w:rPr>
                                <w:rFonts w:cs="Arial"/>
                                <w:lang w:val="es-ES"/>
                              </w:rPr>
                            </w:pPr>
                            <w:r w:rsidRPr="0077323D">
                              <w:rPr>
                                <w:rFonts w:cs="Arial"/>
                                <w:lang w:val="es-ES"/>
                              </w:rPr>
                              <w:t>Propone nuevas decisiones para reforzar las actividades de comunicación y gestión de la información de la Convención y su impacto.</w:t>
                            </w:r>
                          </w:p>
                          <w:p w14:paraId="73E54F24" w14:textId="77777777" w:rsidR="0077323D" w:rsidRPr="0077323D" w:rsidRDefault="0077323D"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3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42111490" w14:textId="77777777" w:rsidR="0077323D" w:rsidRPr="0077323D" w:rsidRDefault="0077323D" w:rsidP="0077323D">
                      <w:pPr>
                        <w:spacing w:after="0" w:line="240" w:lineRule="auto"/>
                        <w:jc w:val="both"/>
                        <w:rPr>
                          <w:rFonts w:cs="Arial"/>
                          <w:lang w:val="es-ES"/>
                        </w:rPr>
                      </w:pPr>
                      <w:r w:rsidRPr="0077323D">
                        <w:rPr>
                          <w:rFonts w:cs="Arial"/>
                          <w:lang w:val="es-ES"/>
                        </w:rPr>
                        <w:t>Este documento presenta un resumen de las actividades de comunicación, divulgación y gestión de la información desde la 14.</w:t>
                      </w:r>
                      <w:r w:rsidRPr="0077323D">
                        <w:rPr>
                          <w:rFonts w:cs="Arial"/>
                          <w:vertAlign w:val="superscript"/>
                          <w:lang w:val="es-ES"/>
                        </w:rPr>
                        <w:t>a</w:t>
                      </w:r>
                      <w:r w:rsidRPr="0077323D">
                        <w:rPr>
                          <w:rFonts w:cs="Arial"/>
                          <w:lang w:val="es-ES"/>
                        </w:rPr>
                        <w:t> reunión de la Conferencia de las Partes (2024).</w:t>
                      </w:r>
                    </w:p>
                    <w:p w14:paraId="244EA052" w14:textId="77777777" w:rsidR="0077323D" w:rsidRPr="0077323D" w:rsidRDefault="0077323D" w:rsidP="0077323D">
                      <w:pPr>
                        <w:spacing w:after="0" w:line="240" w:lineRule="auto"/>
                        <w:jc w:val="both"/>
                        <w:rPr>
                          <w:rFonts w:cs="Arial"/>
                          <w:lang w:val="es-ES"/>
                        </w:rPr>
                      </w:pPr>
                    </w:p>
                    <w:p w14:paraId="7769329E" w14:textId="77777777" w:rsidR="0077323D" w:rsidRPr="0077323D" w:rsidRDefault="0077323D" w:rsidP="0077323D">
                      <w:pPr>
                        <w:spacing w:after="0" w:line="240" w:lineRule="auto"/>
                        <w:jc w:val="both"/>
                        <w:rPr>
                          <w:rFonts w:cs="Arial"/>
                          <w:lang w:val="es-ES"/>
                        </w:rPr>
                      </w:pPr>
                      <w:r w:rsidRPr="0077323D">
                        <w:rPr>
                          <w:rFonts w:cs="Arial"/>
                          <w:lang w:val="es-ES"/>
                        </w:rPr>
                        <w:t>Propone nuevas decisiones para reforzar las actividades de comunicación y gestión de la información de la Convención y su impacto.</w:t>
                      </w:r>
                    </w:p>
                    <w:p w14:paraId="73E54F24" w14:textId="77777777" w:rsidR="0077323D" w:rsidRPr="0077323D" w:rsidRDefault="0077323D"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7471EAB" w14:textId="77777777" w:rsidR="00FA7DCA" w:rsidRPr="00FA7DCA" w:rsidRDefault="00FA7DCA" w:rsidP="00FA7DCA">
      <w:pPr>
        <w:spacing w:after="0" w:line="240" w:lineRule="auto"/>
        <w:jc w:val="center"/>
        <w:rPr>
          <w:rFonts w:cs="Arial"/>
          <w:b/>
          <w:bCs/>
          <w:lang w:val="es-ES"/>
        </w:rPr>
      </w:pPr>
      <w:r>
        <w:rPr>
          <w:b/>
          <w:bCs/>
          <w:lang w:val="es-ES"/>
        </w:rPr>
        <w:lastRenderedPageBreak/>
        <w:t>C</w:t>
      </w:r>
      <w:r w:rsidRPr="00FA7DCA">
        <w:rPr>
          <w:rFonts w:cs="Arial"/>
          <w:b/>
          <w:bCs/>
          <w:lang w:val="es-ES"/>
        </w:rPr>
        <w:t>OMUNICACIÓN Y GESTIÓN DE LA INFORMACIÓN</w:t>
      </w:r>
    </w:p>
    <w:p w14:paraId="5E706C9F" w14:textId="77777777" w:rsidR="00FA7DCA" w:rsidRPr="00FA7DCA" w:rsidRDefault="00FA7DCA" w:rsidP="00FA7DCA">
      <w:pPr>
        <w:spacing w:after="0" w:line="240" w:lineRule="auto"/>
        <w:jc w:val="both"/>
        <w:rPr>
          <w:rFonts w:cs="Arial"/>
          <w:i/>
          <w:lang w:val="es-ES"/>
        </w:rPr>
      </w:pPr>
    </w:p>
    <w:p w14:paraId="1A03FC30" w14:textId="77777777" w:rsidR="00FA7DCA" w:rsidRPr="00FA7DCA" w:rsidRDefault="00FA7DCA" w:rsidP="00FA7DCA">
      <w:pPr>
        <w:spacing w:after="0" w:line="240" w:lineRule="auto"/>
        <w:jc w:val="both"/>
        <w:rPr>
          <w:rFonts w:cs="Arial"/>
          <w:i/>
          <w:lang w:val="es-ES"/>
        </w:rPr>
      </w:pPr>
    </w:p>
    <w:p w14:paraId="25EE6A8C" w14:textId="77777777" w:rsidR="00FA7DCA" w:rsidRPr="00FA7DCA" w:rsidRDefault="00FA7DCA" w:rsidP="00FA7DCA">
      <w:pPr>
        <w:suppressAutoHyphens/>
        <w:autoSpaceDN w:val="0"/>
        <w:spacing w:after="0" w:line="240" w:lineRule="auto"/>
        <w:textAlignment w:val="baseline"/>
        <w:rPr>
          <w:rFonts w:eastAsia="Calibri" w:cs="Arial"/>
          <w:u w:val="single"/>
          <w:lang w:val="es-ES"/>
        </w:rPr>
      </w:pPr>
      <w:r w:rsidRPr="00FA7DCA">
        <w:rPr>
          <w:rFonts w:eastAsia="Calibri" w:cs="Arial"/>
          <w:u w:val="single"/>
          <w:lang w:val="es-ES"/>
        </w:rPr>
        <w:t>Antecedentes</w:t>
      </w:r>
    </w:p>
    <w:p w14:paraId="467A3DAC" w14:textId="77777777" w:rsidR="00FA7DCA" w:rsidRPr="00FA7DCA" w:rsidRDefault="00FA7DCA" w:rsidP="00FA7DCA">
      <w:pPr>
        <w:spacing w:after="0" w:line="240" w:lineRule="auto"/>
        <w:jc w:val="both"/>
        <w:rPr>
          <w:rFonts w:cs="Arial"/>
          <w:color w:val="000000" w:themeColor="text1"/>
          <w:lang w:val="es-ES"/>
        </w:rPr>
      </w:pPr>
    </w:p>
    <w:p w14:paraId="5A9CCDE5" w14:textId="77777777" w:rsidR="00FA7DCA" w:rsidRPr="00FA7DCA" w:rsidRDefault="00FA7DCA" w:rsidP="00FA7DCA">
      <w:pPr>
        <w:pStyle w:val="ListParagraph"/>
        <w:numPr>
          <w:ilvl w:val="0"/>
          <w:numId w:val="13"/>
        </w:numPr>
        <w:spacing w:after="0" w:line="240" w:lineRule="auto"/>
        <w:jc w:val="both"/>
        <w:rPr>
          <w:rFonts w:cs="Arial"/>
          <w:lang w:val="es-ES"/>
        </w:rPr>
      </w:pPr>
      <w:r w:rsidRPr="00FA7DCA">
        <w:rPr>
          <w:rFonts w:cs="Arial"/>
          <w:lang w:val="es-ES"/>
        </w:rPr>
        <w:t>La comunicación y la gestión de la información son elementos fundamentales de la labor de la Secretaría de la CMS y resultan esenciales para concienciar sobre la importancia de la Convención y sus prioridades. El artículo IX de la CMS incluye responsabilidades como el mantenimiento de una lista de Estados del área de distribución de las especies migratorias incluidas en los Apéndices de la CMS y la provisión de información al público en general sobre la CMS y sus objetivos. Asimismo, la comunicación y la gestión de la información constituyen actividades estratégicas para la Convención, tal como se destaca en las Metas 6.1 y 6.2 del Plan Estratégico de Samarcanda para las Especies Migratorias (2024-2032), relativos a la importancia de concienciar a escala mundial sobre las especies migratorias y la CMS.</w:t>
      </w:r>
    </w:p>
    <w:p w14:paraId="4C939EEF" w14:textId="77777777" w:rsidR="00FA7DCA" w:rsidRPr="00FA7DCA" w:rsidRDefault="00FA7DCA" w:rsidP="00FA7DCA">
      <w:pPr>
        <w:spacing w:after="0" w:line="240" w:lineRule="auto"/>
        <w:ind w:left="567"/>
        <w:jc w:val="both"/>
        <w:rPr>
          <w:rFonts w:cs="Arial"/>
          <w:color w:val="000000" w:themeColor="text1"/>
          <w:lang w:val="es-ES"/>
        </w:rPr>
      </w:pPr>
    </w:p>
    <w:p w14:paraId="5645215F" w14:textId="77777777" w:rsidR="00FA7DCA" w:rsidRPr="00FA7DCA" w:rsidRDefault="00FA7DCA" w:rsidP="00FA7DCA">
      <w:pPr>
        <w:numPr>
          <w:ilvl w:val="0"/>
          <w:numId w:val="13"/>
        </w:numPr>
        <w:spacing w:after="0" w:line="240" w:lineRule="auto"/>
        <w:jc w:val="both"/>
        <w:rPr>
          <w:rFonts w:cs="Arial"/>
          <w:color w:val="000000" w:themeColor="text1"/>
          <w:lang w:val="es-ES"/>
        </w:rPr>
      </w:pPr>
      <w:r w:rsidRPr="00FA7DCA">
        <w:rPr>
          <w:rFonts w:cs="Arial"/>
          <w:lang w:val="es-ES"/>
        </w:rPr>
        <w:t>La 12.ª reunión de la Conferencia de las Partes (COP12) aprobó la Resolución 11.8 (Rev.COP12), en la que se reiteró la importancia de la comunicación para concienciar al público sobre las especies migratorias y fomentar la adopción de medidas.</w:t>
      </w:r>
    </w:p>
    <w:p w14:paraId="351E1E97" w14:textId="77777777" w:rsidR="00FA7DCA" w:rsidRPr="00FA7DCA" w:rsidRDefault="00FA7DCA" w:rsidP="00FA7DCA">
      <w:pPr>
        <w:pStyle w:val="ListParagraph"/>
        <w:spacing w:after="0" w:line="240" w:lineRule="auto"/>
        <w:jc w:val="both"/>
        <w:rPr>
          <w:rFonts w:cs="Arial"/>
          <w:color w:val="000000" w:themeColor="text1"/>
          <w:lang w:val="es-ES"/>
        </w:rPr>
      </w:pPr>
    </w:p>
    <w:p w14:paraId="5F8861F7" w14:textId="77777777" w:rsidR="00FA7DCA" w:rsidRPr="00FA7DCA" w:rsidRDefault="00FA7DCA" w:rsidP="00FA7DCA">
      <w:pPr>
        <w:numPr>
          <w:ilvl w:val="0"/>
          <w:numId w:val="13"/>
        </w:numPr>
        <w:spacing w:after="0" w:line="240" w:lineRule="auto"/>
        <w:jc w:val="both"/>
        <w:rPr>
          <w:rFonts w:cs="Arial"/>
          <w:color w:val="000000" w:themeColor="text1"/>
          <w:lang w:val="es-ES"/>
        </w:rPr>
      </w:pPr>
      <w:r w:rsidRPr="00FA7DCA">
        <w:rPr>
          <w:rFonts w:cs="Arial"/>
          <w:lang w:val="es-ES"/>
        </w:rPr>
        <w:t>El Programa de Trabajo para el período entre sesiones de la COP14 y la COP15 incluye tareas y necesidades presupuestarias en materia de gestión de la información, comunicación y divulgación.</w:t>
      </w:r>
    </w:p>
    <w:p w14:paraId="0E233C24" w14:textId="77777777" w:rsidR="00FA7DCA" w:rsidRPr="00FA7DCA" w:rsidRDefault="00FA7DCA" w:rsidP="00FA7DCA">
      <w:pPr>
        <w:pStyle w:val="ListParagraph"/>
        <w:spacing w:after="0" w:line="240" w:lineRule="auto"/>
        <w:jc w:val="both"/>
        <w:rPr>
          <w:rFonts w:cs="Arial"/>
          <w:lang w:val="es-ES"/>
        </w:rPr>
      </w:pPr>
    </w:p>
    <w:p w14:paraId="78C6EAC5" w14:textId="77777777" w:rsidR="00FA7DCA" w:rsidRPr="00FA7DCA" w:rsidRDefault="00FA7DCA" w:rsidP="00FA7DCA">
      <w:pPr>
        <w:numPr>
          <w:ilvl w:val="0"/>
          <w:numId w:val="13"/>
        </w:numPr>
        <w:spacing w:after="0" w:line="240" w:lineRule="auto"/>
        <w:jc w:val="both"/>
        <w:rPr>
          <w:rFonts w:cs="Arial"/>
          <w:color w:val="000000" w:themeColor="text1"/>
          <w:lang w:val="es-ES"/>
        </w:rPr>
      </w:pPr>
      <w:r w:rsidRPr="00FA7DCA">
        <w:rPr>
          <w:rFonts w:cs="Arial"/>
          <w:lang w:val="es-ES"/>
        </w:rPr>
        <w:t>La COP14 respaldó la</w:t>
      </w:r>
      <w:hyperlink r:id="rId12" w:history="1">
        <w:r w:rsidRPr="00FA7DCA">
          <w:rPr>
            <w:rStyle w:val="Hyperlink"/>
            <w:rFonts w:cs="Arial"/>
            <w:u w:val="none"/>
            <w:lang w:val="es-ES"/>
          </w:rPr>
          <w:t xml:space="preserve"> </w:t>
        </w:r>
        <w:r w:rsidRPr="00FA7DCA">
          <w:rPr>
            <w:rStyle w:val="Hyperlink"/>
            <w:rFonts w:cs="Arial"/>
            <w:lang w:val="es-ES"/>
          </w:rPr>
          <w:t>Evaluación de la Comunicación Estratégica</w:t>
        </w:r>
      </w:hyperlink>
      <w:r w:rsidRPr="00FA7DCA">
        <w:rPr>
          <w:rFonts w:cs="Arial"/>
          <w:lang w:val="es-ES"/>
        </w:rPr>
        <w:t>, en la que se identificaron los principales retos y recomendaciones para reforzar las actividades de comunicación, y aprobó las Decisiones 14.15 y 14.16 sobre comunicación y gestión de la información, cuyo texto es el siguiente:</w:t>
      </w:r>
    </w:p>
    <w:p w14:paraId="54347408" w14:textId="77777777" w:rsidR="00EE2EF4" w:rsidRPr="00EE2EF4" w:rsidRDefault="00EE2EF4" w:rsidP="00EE2EF4">
      <w:pPr>
        <w:spacing w:after="0" w:line="240" w:lineRule="auto"/>
        <w:ind w:left="567"/>
        <w:jc w:val="both"/>
        <w:rPr>
          <w:rFonts w:cs="Arial"/>
          <w:b/>
          <w:bCs/>
          <w:i/>
          <w:iCs/>
          <w:lang w:val="en-GB"/>
        </w:rPr>
      </w:pPr>
    </w:p>
    <w:p w14:paraId="7B54499E" w14:textId="103F5C9E" w:rsidR="00EE2EF4" w:rsidRPr="00FA7DCA" w:rsidRDefault="00EE2EF4" w:rsidP="00EE2EF4">
      <w:pPr>
        <w:spacing w:after="0" w:line="240" w:lineRule="auto"/>
        <w:ind w:left="851"/>
        <w:jc w:val="both"/>
        <w:rPr>
          <w:rFonts w:cs="Arial"/>
          <w:b/>
          <w:bCs/>
          <w:i/>
          <w:iCs/>
          <w:sz w:val="20"/>
          <w:szCs w:val="20"/>
          <w:lang w:val="es-ES"/>
        </w:rPr>
      </w:pPr>
      <w:r w:rsidRPr="00FA7DCA">
        <w:rPr>
          <w:rFonts w:cs="Arial"/>
          <w:b/>
          <w:bCs/>
          <w:i/>
          <w:iCs/>
          <w:sz w:val="20"/>
          <w:szCs w:val="20"/>
          <w:lang w:val="es-ES"/>
        </w:rPr>
        <w:t xml:space="preserve">14.15 </w:t>
      </w:r>
      <w:r w:rsidR="00951640" w:rsidRPr="00FA7DCA">
        <w:rPr>
          <w:rFonts w:cs="Arial"/>
          <w:b/>
          <w:bCs/>
          <w:i/>
          <w:iCs/>
          <w:sz w:val="20"/>
          <w:szCs w:val="20"/>
          <w:lang w:val="es-ES"/>
        </w:rPr>
        <w:t>dirigida a las Partes</w:t>
      </w:r>
    </w:p>
    <w:p w14:paraId="6B99361F" w14:textId="77777777" w:rsidR="00EE2EF4" w:rsidRPr="00FA7DCA" w:rsidRDefault="00EE2EF4" w:rsidP="00EE2EF4">
      <w:pPr>
        <w:spacing w:after="0" w:line="240" w:lineRule="auto"/>
        <w:ind w:left="851"/>
        <w:jc w:val="both"/>
        <w:rPr>
          <w:rFonts w:cs="Arial"/>
          <w:color w:val="000000" w:themeColor="text1"/>
          <w:sz w:val="20"/>
          <w:szCs w:val="20"/>
          <w:lang w:val="es-ES"/>
        </w:rPr>
      </w:pPr>
    </w:p>
    <w:p w14:paraId="6FBE29B0" w14:textId="1A341659" w:rsidR="00EE2EF4" w:rsidRPr="00FA7DCA" w:rsidRDefault="007B2B78" w:rsidP="00EE2EF4">
      <w:pPr>
        <w:spacing w:after="0" w:line="240" w:lineRule="auto"/>
        <w:ind w:left="851"/>
        <w:jc w:val="both"/>
        <w:rPr>
          <w:rFonts w:cs="Arial"/>
          <w:i/>
          <w:iCs/>
          <w:sz w:val="20"/>
          <w:szCs w:val="20"/>
          <w:lang w:val="es-ES"/>
        </w:rPr>
      </w:pPr>
      <w:r w:rsidRPr="00FA7DCA">
        <w:rPr>
          <w:rFonts w:cs="Arial"/>
          <w:i/>
          <w:iCs/>
          <w:sz w:val="20"/>
          <w:szCs w:val="20"/>
          <w:lang w:val="es-ES"/>
        </w:rPr>
        <w:t>Se anima a las Partes a ayudar en la implementación de las recomendaciones formuladas en la «Evaluación de la Comunicación Estratégica»</w:t>
      </w:r>
      <w:r w:rsidR="00EE2EF4" w:rsidRPr="00FA7DCA">
        <w:rPr>
          <w:rFonts w:cs="Arial"/>
          <w:i/>
          <w:iCs/>
          <w:sz w:val="20"/>
          <w:szCs w:val="20"/>
          <w:lang w:val="es-ES"/>
        </w:rPr>
        <w:t>.</w:t>
      </w:r>
    </w:p>
    <w:p w14:paraId="6D522A77" w14:textId="77777777" w:rsidR="00EE2EF4" w:rsidRPr="00FA7DCA" w:rsidRDefault="00EE2EF4" w:rsidP="00EE2EF4">
      <w:pPr>
        <w:spacing w:after="0" w:line="240" w:lineRule="auto"/>
        <w:ind w:left="851"/>
        <w:jc w:val="both"/>
        <w:rPr>
          <w:rFonts w:cs="Arial"/>
          <w:i/>
          <w:iCs/>
          <w:sz w:val="20"/>
          <w:szCs w:val="20"/>
          <w:lang w:val="es-ES"/>
        </w:rPr>
      </w:pPr>
    </w:p>
    <w:p w14:paraId="0433F5DE" w14:textId="3681E836" w:rsidR="00EE2EF4" w:rsidRPr="00FA7DCA" w:rsidRDefault="00EE2EF4" w:rsidP="00EE2EF4">
      <w:pPr>
        <w:spacing w:after="0" w:line="240" w:lineRule="auto"/>
        <w:ind w:left="851"/>
        <w:jc w:val="both"/>
        <w:rPr>
          <w:rFonts w:cs="Arial"/>
          <w:b/>
          <w:bCs/>
          <w:i/>
          <w:iCs/>
          <w:sz w:val="20"/>
          <w:szCs w:val="20"/>
          <w:lang w:val="es-ES"/>
        </w:rPr>
      </w:pPr>
      <w:r w:rsidRPr="00FA7DCA">
        <w:rPr>
          <w:rFonts w:cs="Arial"/>
          <w:b/>
          <w:bCs/>
          <w:i/>
          <w:iCs/>
          <w:sz w:val="20"/>
          <w:szCs w:val="20"/>
          <w:lang w:val="es-ES"/>
        </w:rPr>
        <w:t xml:space="preserve">14.16 </w:t>
      </w:r>
      <w:r w:rsidR="00951640" w:rsidRPr="00FA7DCA">
        <w:rPr>
          <w:rFonts w:cs="Arial"/>
          <w:b/>
          <w:bCs/>
          <w:i/>
          <w:iCs/>
          <w:sz w:val="20"/>
          <w:szCs w:val="20"/>
          <w:lang w:val="es-ES"/>
        </w:rPr>
        <w:t>dirigida a la Secretaría</w:t>
      </w:r>
    </w:p>
    <w:p w14:paraId="586C0902" w14:textId="77777777" w:rsidR="00EE2EF4" w:rsidRPr="00FA7DCA" w:rsidRDefault="00EE2EF4" w:rsidP="00EE2EF4">
      <w:pPr>
        <w:spacing w:after="0" w:line="240" w:lineRule="auto"/>
        <w:ind w:left="851"/>
        <w:jc w:val="both"/>
        <w:rPr>
          <w:rFonts w:cs="Arial"/>
          <w:b/>
          <w:bCs/>
          <w:i/>
          <w:iCs/>
          <w:sz w:val="20"/>
          <w:szCs w:val="20"/>
          <w:lang w:val="es-ES"/>
        </w:rPr>
      </w:pPr>
    </w:p>
    <w:p w14:paraId="43A276E1" w14:textId="54625DE8" w:rsidR="00EE2EF4" w:rsidRPr="00FA7DCA" w:rsidRDefault="00A14DD4" w:rsidP="00EE2EF4">
      <w:pPr>
        <w:spacing w:after="0" w:line="240" w:lineRule="auto"/>
        <w:ind w:left="851"/>
        <w:jc w:val="both"/>
        <w:rPr>
          <w:rFonts w:cs="Arial"/>
          <w:i/>
          <w:iCs/>
          <w:sz w:val="20"/>
          <w:szCs w:val="20"/>
          <w:lang w:val="es-ES"/>
        </w:rPr>
      </w:pPr>
      <w:r w:rsidRPr="00FA7DCA">
        <w:rPr>
          <w:rFonts w:cs="Arial"/>
          <w:i/>
          <w:iCs/>
          <w:sz w:val="20"/>
          <w:szCs w:val="20"/>
          <w:lang w:val="es-ES"/>
        </w:rPr>
        <w:t>La Secretaría elaborará, en función de la disponibilidad de recursos externos, un plan para las recomendaciones que proporciona la «Evaluación Estratégica de las Comunicaciones» y, en la medida de lo posible, trabajará para su implementación.</w:t>
      </w:r>
    </w:p>
    <w:p w14:paraId="694182DF" w14:textId="77777777" w:rsidR="006F7881" w:rsidRDefault="006F7881" w:rsidP="006F7881">
      <w:pPr>
        <w:spacing w:after="0" w:line="240" w:lineRule="auto"/>
        <w:jc w:val="both"/>
        <w:rPr>
          <w:rFonts w:eastAsia="Calibri" w:cs="Arial"/>
          <w:u w:val="single"/>
          <w:lang w:val="es-ES"/>
        </w:rPr>
      </w:pPr>
    </w:p>
    <w:p w14:paraId="2503A7C8" w14:textId="7757400F" w:rsidR="006F7881" w:rsidRPr="006F7881" w:rsidRDefault="006F7881" w:rsidP="006F7881">
      <w:pPr>
        <w:spacing w:after="0" w:line="240" w:lineRule="auto"/>
        <w:jc w:val="both"/>
        <w:rPr>
          <w:rFonts w:eastAsia="Calibri" w:cs="Arial"/>
          <w:u w:val="single"/>
          <w:lang w:val="es-ES"/>
        </w:rPr>
      </w:pPr>
      <w:r w:rsidRPr="006F7881">
        <w:rPr>
          <w:rFonts w:eastAsia="Calibri" w:cs="Arial"/>
          <w:u w:val="single"/>
          <w:lang w:val="es-ES"/>
        </w:rPr>
        <w:t>Actividades desde la COP14</w:t>
      </w:r>
    </w:p>
    <w:p w14:paraId="18485DA7" w14:textId="77777777" w:rsidR="006F7881" w:rsidRPr="006F7881" w:rsidRDefault="006F7881" w:rsidP="006F7881">
      <w:pPr>
        <w:spacing w:after="0" w:line="240" w:lineRule="auto"/>
        <w:jc w:val="both"/>
        <w:rPr>
          <w:rFonts w:eastAsia="Calibri" w:cs="Arial"/>
          <w:u w:val="single"/>
          <w:lang w:val="es-ES"/>
        </w:rPr>
      </w:pPr>
    </w:p>
    <w:p w14:paraId="2B3D99C6" w14:textId="77777777" w:rsidR="006F7881" w:rsidRPr="006F7881" w:rsidRDefault="006F7881" w:rsidP="006F7881">
      <w:pPr>
        <w:spacing w:after="0" w:line="240" w:lineRule="auto"/>
        <w:ind w:left="567"/>
        <w:jc w:val="both"/>
        <w:rPr>
          <w:rFonts w:eastAsia="Calibri" w:cs="Arial"/>
          <w:b/>
          <w:bCs/>
          <w:lang w:val="es-ES"/>
        </w:rPr>
      </w:pPr>
      <w:r w:rsidRPr="006F7881">
        <w:rPr>
          <w:rFonts w:eastAsia="Calibri" w:cs="Arial"/>
          <w:b/>
          <w:bCs/>
          <w:lang w:val="es-ES"/>
        </w:rPr>
        <w:t>Gestión de la información</w:t>
      </w:r>
    </w:p>
    <w:p w14:paraId="75410D0E" w14:textId="77777777" w:rsidR="006F7881" w:rsidRPr="006F7881" w:rsidRDefault="006F7881" w:rsidP="006F7881">
      <w:pPr>
        <w:spacing w:after="0" w:line="240" w:lineRule="auto"/>
        <w:jc w:val="both"/>
        <w:rPr>
          <w:rFonts w:eastAsia="Calibri" w:cs="Arial"/>
          <w:color w:val="000000" w:themeColor="text1"/>
          <w:lang w:val="es-ES"/>
        </w:rPr>
      </w:pPr>
    </w:p>
    <w:p w14:paraId="5B9EC0E7" w14:textId="77777777" w:rsidR="006F7881" w:rsidRPr="006F7881" w:rsidRDefault="006F7881" w:rsidP="003768DF">
      <w:pPr>
        <w:numPr>
          <w:ilvl w:val="0"/>
          <w:numId w:val="13"/>
        </w:numPr>
        <w:spacing w:after="0" w:line="240" w:lineRule="auto"/>
        <w:contextualSpacing/>
        <w:jc w:val="both"/>
        <w:rPr>
          <w:color w:val="000000" w:themeColor="text1"/>
          <w:lang w:val="es-ES"/>
        </w:rPr>
      </w:pPr>
      <w:r w:rsidRPr="006F7881">
        <w:rPr>
          <w:color w:val="000000" w:themeColor="text1"/>
          <w:lang w:val="es-ES"/>
        </w:rPr>
        <w:t>Un logro destacado en el ámbito de la gestión de la información durante este período entre sesiones fue el lanzamiento de los nuevos sitios web de la Familia CMS en septiembre de 2025, lo que supuso el primer rediseño integral desde su lanzamiento anterior en 2014. Este ambicioso proyecto implicó la actualización del sitio web corporativo principal de la CMS, así como de los sitios web de los Memorandos de Entendimiento (</w:t>
      </w:r>
      <w:proofErr w:type="spellStart"/>
      <w:r w:rsidRPr="006F7881">
        <w:rPr>
          <w:color w:val="000000" w:themeColor="text1"/>
          <w:lang w:val="es-ES"/>
        </w:rPr>
        <w:t>MdE</w:t>
      </w:r>
      <w:proofErr w:type="spellEnd"/>
      <w:r w:rsidRPr="006F7881">
        <w:rPr>
          <w:color w:val="000000" w:themeColor="text1"/>
          <w:lang w:val="es-ES"/>
        </w:rPr>
        <w:t>) y los Acuerdos gestionados por la Secretaría, con un total de 25 sitios web lanzados simultáneamente.</w:t>
      </w:r>
    </w:p>
    <w:p w14:paraId="745B50A1" w14:textId="114695EF" w:rsidR="006F7881" w:rsidRPr="006F7881" w:rsidRDefault="006F7881" w:rsidP="006F7881">
      <w:pPr>
        <w:spacing w:after="0" w:line="240" w:lineRule="auto"/>
        <w:ind w:left="567"/>
        <w:contextualSpacing/>
        <w:jc w:val="both"/>
        <w:rPr>
          <w:color w:val="000000" w:themeColor="text1"/>
          <w:lang w:val="es-ES"/>
        </w:rPr>
      </w:pPr>
    </w:p>
    <w:p w14:paraId="6E313436" w14:textId="77777777" w:rsidR="006F7881" w:rsidRPr="006F7881" w:rsidRDefault="006F7881" w:rsidP="003768DF">
      <w:pPr>
        <w:numPr>
          <w:ilvl w:val="0"/>
          <w:numId w:val="13"/>
        </w:numPr>
        <w:spacing w:after="0" w:line="240" w:lineRule="auto"/>
        <w:contextualSpacing/>
        <w:jc w:val="both"/>
        <w:rPr>
          <w:color w:val="000000" w:themeColor="text1"/>
          <w:lang w:val="es-ES"/>
        </w:rPr>
      </w:pPr>
      <w:r w:rsidRPr="006F7881">
        <w:rPr>
          <w:color w:val="000000" w:themeColor="text1"/>
          <w:lang w:val="es-ES"/>
        </w:rPr>
        <w:t>Los sitios web actualizados se centraron en la creación de una plataforma segura, práctica, moderna y visualmente atractiva que satisface las necesidades de una amplia diversidad de partes interesadas. Entre las mejoras claves se incluyen:</w:t>
      </w:r>
    </w:p>
    <w:p w14:paraId="70ACE20B" w14:textId="77777777" w:rsidR="006F7881" w:rsidRPr="006F7881" w:rsidRDefault="006F7881" w:rsidP="006F7881">
      <w:pPr>
        <w:spacing w:after="0" w:line="240" w:lineRule="auto"/>
        <w:ind w:left="720"/>
        <w:contextualSpacing/>
        <w:jc w:val="both"/>
        <w:rPr>
          <w:color w:val="000000" w:themeColor="text1"/>
          <w:lang w:val="es-ES"/>
        </w:rPr>
      </w:pPr>
    </w:p>
    <w:p w14:paraId="3368A586" w14:textId="77777777" w:rsidR="006F7881" w:rsidRPr="006F7881" w:rsidRDefault="006F7881" w:rsidP="006F7881">
      <w:pPr>
        <w:numPr>
          <w:ilvl w:val="1"/>
          <w:numId w:val="15"/>
        </w:numPr>
        <w:spacing w:after="0" w:line="240" w:lineRule="auto"/>
        <w:ind w:left="1077" w:hanging="357"/>
        <w:contextualSpacing/>
        <w:jc w:val="both"/>
        <w:rPr>
          <w:lang w:val="es-ES"/>
        </w:rPr>
      </w:pPr>
      <w:r w:rsidRPr="006F7881">
        <w:rPr>
          <w:lang w:val="es-ES"/>
        </w:rPr>
        <w:lastRenderedPageBreak/>
        <w:t>Un mayor énfasis en la comunicación visual, con páginas de inicio, páginas de reuniones y secciones de noticias rediseñadas para mejorar la participación de los usuarios.</w:t>
      </w:r>
    </w:p>
    <w:p w14:paraId="50A2E450" w14:textId="77777777" w:rsidR="006F7881" w:rsidRPr="006F7881" w:rsidRDefault="006F7881" w:rsidP="006F7881">
      <w:pPr>
        <w:numPr>
          <w:ilvl w:val="1"/>
          <w:numId w:val="15"/>
        </w:numPr>
        <w:spacing w:after="0" w:line="240" w:lineRule="auto"/>
        <w:ind w:left="1077" w:hanging="357"/>
        <w:contextualSpacing/>
        <w:jc w:val="both"/>
        <w:rPr>
          <w:lang w:val="es-ES"/>
        </w:rPr>
      </w:pPr>
      <w:r w:rsidRPr="006F7881">
        <w:rPr>
          <w:lang w:val="es-ES"/>
        </w:rPr>
        <w:t>Uso de nombres comunes de las especies para hacer los contenidos más accesibles.</w:t>
      </w:r>
    </w:p>
    <w:p w14:paraId="141DBAB7" w14:textId="77777777" w:rsidR="006F7881" w:rsidRPr="006F7881" w:rsidRDefault="006F7881" w:rsidP="006F7881">
      <w:pPr>
        <w:numPr>
          <w:ilvl w:val="1"/>
          <w:numId w:val="15"/>
        </w:numPr>
        <w:spacing w:after="0" w:line="240" w:lineRule="auto"/>
        <w:ind w:left="1077" w:hanging="357"/>
        <w:contextualSpacing/>
        <w:jc w:val="both"/>
        <w:rPr>
          <w:lang w:val="es-ES"/>
        </w:rPr>
      </w:pPr>
      <w:r w:rsidRPr="006F7881">
        <w:rPr>
          <w:lang w:val="es-ES"/>
        </w:rPr>
        <w:t>Mejora de la interfaz para los Puntos Focales Nacionales (PFN) mediante páginas de reuniones mejoradas.</w:t>
      </w:r>
    </w:p>
    <w:p w14:paraId="5390B64D" w14:textId="77777777" w:rsidR="006F7881" w:rsidRPr="006F7881" w:rsidRDefault="006F7881" w:rsidP="006F7881">
      <w:pPr>
        <w:numPr>
          <w:ilvl w:val="1"/>
          <w:numId w:val="15"/>
        </w:numPr>
        <w:spacing w:after="0" w:line="240" w:lineRule="auto"/>
        <w:ind w:left="1077" w:hanging="357"/>
        <w:contextualSpacing/>
        <w:jc w:val="both"/>
        <w:rPr>
          <w:lang w:val="es-ES"/>
        </w:rPr>
      </w:pPr>
      <w:r w:rsidRPr="006F7881">
        <w:rPr>
          <w:lang w:val="es-ES"/>
        </w:rPr>
        <w:t>Adaptación completa a dispositivos móviles, garantizando una compatibilidad del 100 % en todos los dispositivos.</w:t>
      </w:r>
    </w:p>
    <w:p w14:paraId="71AE8E2C" w14:textId="77777777" w:rsidR="006F7881" w:rsidRPr="006F7881" w:rsidRDefault="006F7881" w:rsidP="006F7881">
      <w:pPr>
        <w:numPr>
          <w:ilvl w:val="1"/>
          <w:numId w:val="15"/>
        </w:numPr>
        <w:spacing w:after="0" w:line="240" w:lineRule="auto"/>
        <w:ind w:left="1077" w:hanging="357"/>
        <w:contextualSpacing/>
        <w:jc w:val="both"/>
        <w:rPr>
          <w:lang w:val="es-ES"/>
        </w:rPr>
      </w:pPr>
      <w:r w:rsidRPr="006F7881">
        <w:rPr>
          <w:lang w:val="es-ES"/>
        </w:rPr>
        <w:t>Capacidad para programar la publicación de contenidos, lo que facilita actualizaciones oportunas.</w:t>
      </w:r>
    </w:p>
    <w:p w14:paraId="509124E5" w14:textId="77777777" w:rsidR="006F7881" w:rsidRPr="006F7881" w:rsidRDefault="006F7881" w:rsidP="006F7881">
      <w:pPr>
        <w:numPr>
          <w:ilvl w:val="1"/>
          <w:numId w:val="15"/>
        </w:numPr>
        <w:spacing w:after="0" w:line="240" w:lineRule="auto"/>
        <w:ind w:left="1077" w:hanging="357"/>
        <w:contextualSpacing/>
        <w:jc w:val="both"/>
        <w:rPr>
          <w:lang w:val="es-ES"/>
        </w:rPr>
      </w:pPr>
      <w:r w:rsidRPr="006F7881">
        <w:rPr>
          <w:lang w:val="es-ES"/>
        </w:rPr>
        <w:t>Mejora de las capacidades de búsqueda y filtrado para facilitar el acceso a la información.</w:t>
      </w:r>
    </w:p>
    <w:p w14:paraId="6B414938" w14:textId="77777777" w:rsidR="006F7881" w:rsidRPr="006F7881" w:rsidRDefault="006F7881" w:rsidP="006F7881">
      <w:pPr>
        <w:numPr>
          <w:ilvl w:val="1"/>
          <w:numId w:val="15"/>
        </w:numPr>
        <w:spacing w:after="0" w:line="240" w:lineRule="auto"/>
        <w:ind w:left="1077" w:hanging="357"/>
        <w:contextualSpacing/>
        <w:jc w:val="both"/>
        <w:rPr>
          <w:lang w:val="es-ES"/>
        </w:rPr>
      </w:pPr>
      <w:r w:rsidRPr="006F7881">
        <w:rPr>
          <w:lang w:val="es-ES"/>
        </w:rPr>
        <w:t>Una estructura de navegación simplificada, que mejora la experiencia general de los usuarios.</w:t>
      </w:r>
    </w:p>
    <w:p w14:paraId="42A2D5FD" w14:textId="77777777" w:rsidR="006F7881" w:rsidRPr="006F7881" w:rsidRDefault="006F7881" w:rsidP="006F7881">
      <w:pPr>
        <w:spacing w:after="0" w:line="240" w:lineRule="auto"/>
        <w:ind w:left="1080"/>
        <w:contextualSpacing/>
        <w:jc w:val="both"/>
        <w:rPr>
          <w:lang w:val="es-ES"/>
        </w:rPr>
      </w:pPr>
    </w:p>
    <w:p w14:paraId="7BF8336F"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 xml:space="preserve">Esta actualización representa un avance significativo en la modernización de la presencia digital de la CMS, al garantizar que los sitios web no solo sean visualmente atractivos, sino también funcionales, seguros y acordes con los estándares más recientes del sector. </w:t>
      </w:r>
    </w:p>
    <w:p w14:paraId="7BDA1212" w14:textId="77777777" w:rsidR="006F7881" w:rsidRPr="006F7881" w:rsidRDefault="006F7881" w:rsidP="006F7881">
      <w:pPr>
        <w:spacing w:after="0" w:line="240" w:lineRule="auto"/>
        <w:ind w:left="567"/>
        <w:contextualSpacing/>
        <w:jc w:val="both"/>
        <w:rPr>
          <w:lang w:val="es-ES"/>
        </w:rPr>
      </w:pPr>
    </w:p>
    <w:p w14:paraId="77F43A57"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Además, la Unidad inició la migración de varios micrositios y sitios web de proyectos desde Drupal 7, antes de su fecha de fin de vida útil en enero de 2025, garantizando el cumplimiento de los estándares de seguridad y rendimiento.</w:t>
      </w:r>
    </w:p>
    <w:p w14:paraId="6F6F1AE8" w14:textId="77777777" w:rsidR="006F7881" w:rsidRPr="006F7881" w:rsidRDefault="006F7881" w:rsidP="006F7881">
      <w:pPr>
        <w:spacing w:after="0" w:line="240" w:lineRule="auto"/>
        <w:ind w:left="567"/>
        <w:contextualSpacing/>
        <w:jc w:val="both"/>
        <w:rPr>
          <w:lang w:val="es-ES"/>
        </w:rPr>
      </w:pPr>
    </w:p>
    <w:p w14:paraId="14682780"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La actualización de los sitios web se llevó a cabo a lo largo de varios años debido a la limitación de los recursos financieros básicos disponibles y de la capacidad interna dedicada al desarrollo web.</w:t>
      </w:r>
    </w:p>
    <w:p w14:paraId="7AC01EA8" w14:textId="77777777" w:rsidR="006F7881" w:rsidRPr="006F7881" w:rsidRDefault="006F7881" w:rsidP="006F7881">
      <w:pPr>
        <w:spacing w:after="0" w:line="240" w:lineRule="auto"/>
        <w:ind w:left="567"/>
        <w:jc w:val="both"/>
        <w:rPr>
          <w:rFonts w:eastAsia="Calibri" w:cs="Arial"/>
          <w:b/>
          <w:bCs/>
          <w:lang w:val="es-ES"/>
        </w:rPr>
      </w:pPr>
    </w:p>
    <w:p w14:paraId="376505F9" w14:textId="77777777" w:rsidR="006F7881" w:rsidRPr="006F7881" w:rsidRDefault="006F7881" w:rsidP="006F7881">
      <w:pPr>
        <w:spacing w:after="0" w:line="240" w:lineRule="auto"/>
        <w:ind w:left="567"/>
        <w:jc w:val="both"/>
        <w:rPr>
          <w:rFonts w:eastAsia="Calibri" w:cs="Arial"/>
          <w:b/>
          <w:bCs/>
          <w:lang w:val="es-ES"/>
        </w:rPr>
      </w:pPr>
      <w:r w:rsidRPr="006F7881">
        <w:rPr>
          <w:rFonts w:eastAsia="Calibri" w:cs="Arial"/>
          <w:b/>
          <w:bCs/>
          <w:lang w:val="es-ES"/>
        </w:rPr>
        <w:t>Actividades de sensibilización en medios de comunicación</w:t>
      </w:r>
    </w:p>
    <w:p w14:paraId="39A2ED83" w14:textId="77777777" w:rsidR="006F7881" w:rsidRPr="006F7881" w:rsidRDefault="006F7881" w:rsidP="006F7881">
      <w:pPr>
        <w:spacing w:after="0" w:line="240" w:lineRule="auto"/>
        <w:ind w:left="567"/>
        <w:jc w:val="both"/>
        <w:rPr>
          <w:rFonts w:eastAsia="Calibri" w:cs="Arial"/>
          <w:b/>
          <w:bCs/>
          <w:lang w:val="es-ES"/>
        </w:rPr>
      </w:pPr>
    </w:p>
    <w:p w14:paraId="3A7E7C14" w14:textId="77777777" w:rsidR="006F7881" w:rsidRPr="006F7881" w:rsidRDefault="006F7881" w:rsidP="006F7881">
      <w:pPr>
        <w:spacing w:after="0" w:line="240" w:lineRule="auto"/>
        <w:ind w:left="567"/>
        <w:jc w:val="both"/>
        <w:rPr>
          <w:rFonts w:eastAsia="Calibri" w:cs="Arial"/>
          <w:i/>
          <w:iCs/>
          <w:lang w:val="es-ES"/>
        </w:rPr>
      </w:pPr>
      <w:r w:rsidRPr="006F7881">
        <w:rPr>
          <w:rFonts w:eastAsia="Calibri" w:cs="Arial"/>
          <w:i/>
          <w:iCs/>
          <w:lang w:val="es-ES"/>
        </w:rPr>
        <w:t>Lanzamiento del informe sobre el Estado de las Especies Migratorias del Mundo</w:t>
      </w:r>
    </w:p>
    <w:p w14:paraId="216ADBAA" w14:textId="77777777" w:rsidR="006F7881" w:rsidRPr="006F7881" w:rsidRDefault="006F7881" w:rsidP="006F7881">
      <w:pPr>
        <w:spacing w:after="0" w:line="240" w:lineRule="auto"/>
        <w:ind w:left="567"/>
        <w:jc w:val="both"/>
        <w:rPr>
          <w:rFonts w:eastAsia="Calibri" w:cs="Arial"/>
          <w:b/>
          <w:bCs/>
          <w:i/>
          <w:iCs/>
          <w:lang w:val="es-ES"/>
        </w:rPr>
      </w:pPr>
    </w:p>
    <w:p w14:paraId="1B79DEC7" w14:textId="77777777" w:rsidR="006F7881" w:rsidRPr="006F7881" w:rsidRDefault="006F7881" w:rsidP="003768DF">
      <w:pPr>
        <w:numPr>
          <w:ilvl w:val="0"/>
          <w:numId w:val="13"/>
        </w:numPr>
        <w:spacing w:after="0" w:line="240" w:lineRule="auto"/>
        <w:contextualSpacing/>
        <w:jc w:val="both"/>
        <w:rPr>
          <w:i/>
          <w:iCs/>
          <w:lang w:val="es-ES"/>
        </w:rPr>
      </w:pPr>
      <w:r w:rsidRPr="006F7881">
        <w:rPr>
          <w:lang w:val="es-ES"/>
        </w:rPr>
        <w:t>En el día de apertura de la COP14 en Samarcanda, la Secretaría organizó el lanzamiento mundial del primer informe sobre el Estado de las Especies Migratorias del Mundo. Esta publicación histórica representa un logro de gran importancia para la Convención, al ofrecer la evaluación más completa hasta la fecha del estado, las tendencias y las amenazas a las que se enfrentan las especies migratorias en todo el mundo. El informe consolida datos científicos procedentes de múltiples fuentes y ofrece recomendaciones claras para orientar las políticas y las acciones de conservación a escala mundial, regional y nacional.</w:t>
      </w:r>
    </w:p>
    <w:p w14:paraId="2D643FDA" w14:textId="77777777" w:rsidR="006F7881" w:rsidRPr="006F7881" w:rsidRDefault="006F7881" w:rsidP="006F7881">
      <w:pPr>
        <w:spacing w:after="0" w:line="240" w:lineRule="auto"/>
        <w:ind w:left="567"/>
        <w:contextualSpacing/>
        <w:jc w:val="both"/>
        <w:rPr>
          <w:lang w:val="es-ES"/>
        </w:rPr>
      </w:pPr>
    </w:p>
    <w:p w14:paraId="79F25393"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El lanzamiento estuvo acompañado de una campaña mediática cuidadosamente coordinada que garantizó que las conclusiones del informe llegaran a una audiencia verdaderamente mundial. La cobertura apareció en más de 3000 medios de comunicación, incluidas destacadas agencias internacionales y periódicos como Reuters, AP, AFP, Bloomberg, CNN, BBC, The Washington Post, Le Monde y The Guardian. La campaña registró un alcance potencial o número de impresiones superior a los 8000 millones de visualizaciones en 108 países y 46 idiomas, lo que refleja el fuerte interés por la conservación de las especies migratorias entre públicos diversos.</w:t>
      </w:r>
    </w:p>
    <w:p w14:paraId="607D363F" w14:textId="77777777" w:rsidR="006F7881" w:rsidRDefault="006F7881" w:rsidP="006F7881">
      <w:pPr>
        <w:spacing w:after="0" w:line="240" w:lineRule="auto"/>
        <w:ind w:left="567"/>
        <w:contextualSpacing/>
        <w:jc w:val="both"/>
        <w:rPr>
          <w:lang w:val="es-ES"/>
        </w:rPr>
      </w:pPr>
    </w:p>
    <w:p w14:paraId="05327E5E" w14:textId="77777777" w:rsidR="006F7881" w:rsidRDefault="006F7881" w:rsidP="006F7881">
      <w:pPr>
        <w:spacing w:after="0" w:line="240" w:lineRule="auto"/>
        <w:ind w:left="567"/>
        <w:contextualSpacing/>
        <w:jc w:val="both"/>
        <w:rPr>
          <w:lang w:val="es-ES"/>
        </w:rPr>
      </w:pPr>
    </w:p>
    <w:p w14:paraId="49AEB253" w14:textId="77777777" w:rsidR="006F7881" w:rsidRPr="006F7881" w:rsidRDefault="006F7881" w:rsidP="006F7881">
      <w:pPr>
        <w:spacing w:after="0" w:line="240" w:lineRule="auto"/>
        <w:ind w:left="567"/>
        <w:contextualSpacing/>
        <w:jc w:val="both"/>
        <w:rPr>
          <w:lang w:val="es-ES"/>
        </w:rPr>
      </w:pPr>
    </w:p>
    <w:p w14:paraId="3E96F4DD"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lastRenderedPageBreak/>
        <w:t>En los medios de comunicación se transmitió un mensaje claro: la situación de muchas de las especies migratorias del mundo, en particular peces, aves y mamíferos marinos, ha empeorado en los últimos años, lo que refuerza la urgencia y la pertinencia de los esfuerzos de la CMS.</w:t>
      </w:r>
    </w:p>
    <w:p w14:paraId="403CA44B" w14:textId="77777777" w:rsidR="006F7881" w:rsidRPr="006F7881" w:rsidRDefault="006F7881" w:rsidP="006F7881">
      <w:pPr>
        <w:spacing w:after="0" w:line="240" w:lineRule="auto"/>
        <w:ind w:left="567"/>
        <w:contextualSpacing/>
        <w:jc w:val="both"/>
        <w:rPr>
          <w:lang w:val="es-ES"/>
        </w:rPr>
      </w:pPr>
    </w:p>
    <w:p w14:paraId="71779B33"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La interacción en las redes sociales amplificó este impacto, con un alcance potencial de 455 millones de usuarios. Cabe destacar que personas influyentes y organizaciones de alto perfil compartieron los mensajes clave del informe, entre ellas dos publicaciones en Instagram de Leonardo DiCaprio dirigidas a sus 60 millones de seguidores. Este nivel de visibilidad contribuyó a elevar el perfil de la CMS y de su labor a un nivel sin precedentes, garantizando que los desafíos a los que se enfrentan las especies migratorias, así como las soluciones propuestas, fueran ampliamente comprendidos y debatidos.</w:t>
      </w:r>
    </w:p>
    <w:p w14:paraId="1489D816" w14:textId="77777777" w:rsidR="006F7881" w:rsidRPr="006F7881" w:rsidRDefault="006F7881" w:rsidP="006F7881">
      <w:pPr>
        <w:spacing w:after="0" w:line="240" w:lineRule="auto"/>
        <w:ind w:left="567"/>
        <w:contextualSpacing/>
        <w:jc w:val="both"/>
        <w:rPr>
          <w:lang w:val="es-ES"/>
        </w:rPr>
      </w:pPr>
    </w:p>
    <w:p w14:paraId="07336E7B"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La presencia en línea de la CMS también experimentó un crecimiento significativo tras el lanzamiento. El sitio web de la CMS atrajo a 400 000 visitantes en el año posterior a la COP14, lo que representó un aumento del 25 % en comparación con el año anterior. Este aumento del tráfico demuestra la importancia de la comunicación y la divulgación, el creciente interés mundial por las especies migratorias y la eficacia de la estrategia de divulgación de la Secretaría.</w:t>
      </w:r>
    </w:p>
    <w:p w14:paraId="5B2217C9" w14:textId="77777777" w:rsidR="006F7881" w:rsidRPr="006F7881" w:rsidRDefault="006F7881" w:rsidP="006F7881">
      <w:pPr>
        <w:spacing w:after="0" w:line="240" w:lineRule="auto"/>
        <w:ind w:left="567"/>
        <w:contextualSpacing/>
        <w:jc w:val="both"/>
        <w:rPr>
          <w:lang w:val="es-ES"/>
        </w:rPr>
      </w:pPr>
    </w:p>
    <w:p w14:paraId="45F74F37"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Este informe emblemático demostró de manera eficaz la relevancia de las especies migratorias para afrontar retos ambientales más amplios. Puso de relieve la importancia de las especies migratorias y de la Convención en el contexto de los esfuerzos mundiales en materia de conservación de la biodiversidad y de las principales amenazas que la afectan, y reforzó el papel de la CMS como una voz de referencia en la conservación de la biodiversidad. La COP14 acordó, mediante la Resolución 14.4, que en el futuro se publiquen informes de este tipo.</w:t>
      </w:r>
    </w:p>
    <w:p w14:paraId="3BA6B89D" w14:textId="77777777" w:rsidR="006F7881" w:rsidRPr="006F7881" w:rsidRDefault="006F7881" w:rsidP="006F7881">
      <w:pPr>
        <w:spacing w:after="0" w:line="240" w:lineRule="auto"/>
        <w:ind w:left="567"/>
        <w:contextualSpacing/>
        <w:jc w:val="both"/>
        <w:rPr>
          <w:lang w:val="es-ES"/>
        </w:rPr>
      </w:pPr>
    </w:p>
    <w:p w14:paraId="06052B64"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 xml:space="preserve">A lo largo del período entre sesiones, la Secretaría mantuvo una presencia sólida y coherente en los medios de comunicación para promover la labor de la Convención y de sus instrumentos. Las actividades incluyeron la preparación y difusión de comunicados de prensa, la coordinación de entrevistas con altos cargos y expertos científicos, así como la interacción con medios de comunicación internacionales y regionales. La Secretaría aprovechó plataformas tradicionales y digitales para amplificar los mensajes principales, garantizando la cobertura de hitos importantes como el lanzamiento de informes, las campañas mundiales y las iniciativas de colaboración. Los canales de redes sociales se gestionaron de forma activa para complementar la divulgación en medios de comunicación, lo que dio lugar a una mayor visibilidad e interacción entre múltiples públicos. </w:t>
      </w:r>
    </w:p>
    <w:p w14:paraId="0F5E5254" w14:textId="77777777" w:rsidR="006F7881" w:rsidRPr="006F7881" w:rsidRDefault="006F7881" w:rsidP="006F7881">
      <w:pPr>
        <w:spacing w:after="0" w:line="240" w:lineRule="auto"/>
        <w:ind w:left="567"/>
        <w:contextualSpacing/>
        <w:jc w:val="both"/>
        <w:rPr>
          <w:lang w:val="es-ES"/>
        </w:rPr>
      </w:pPr>
    </w:p>
    <w:p w14:paraId="3089206E"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 xml:space="preserve">Entre el 11 de febrero de 2024 y el 15 de noviembre de 2025, la CMS recibió 4880 menciones en medios de comunicación, según su sistema de seguimiento de medios. Estas menciones registraron un alcance potencial acumulado estimado, o número de impresiones, de 15 400 millones. </w:t>
      </w:r>
    </w:p>
    <w:p w14:paraId="17ADF37B" w14:textId="77777777" w:rsidR="006F7881" w:rsidRPr="006F7881" w:rsidRDefault="006F7881" w:rsidP="006F7881">
      <w:pPr>
        <w:spacing w:after="0" w:line="240" w:lineRule="auto"/>
        <w:ind w:left="567"/>
        <w:contextualSpacing/>
        <w:jc w:val="both"/>
        <w:rPr>
          <w:lang w:val="es-ES"/>
        </w:rPr>
      </w:pPr>
    </w:p>
    <w:p w14:paraId="07626F28"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La mayor cobertura procedió de los siguientes países (sin un orden específico): India, Estados Unidos, Brasil, Australia, Reino Unido, Emiratos Árabes Unidos, Pakistán, Alemania, España, Nigeria, Francia, México, Canadá y Argentina.</w:t>
      </w:r>
    </w:p>
    <w:p w14:paraId="664F1138" w14:textId="77777777" w:rsidR="006F7881" w:rsidRPr="006F7881" w:rsidRDefault="006F7881" w:rsidP="006F7881">
      <w:pPr>
        <w:spacing w:after="0" w:line="240" w:lineRule="auto"/>
        <w:ind w:left="567"/>
        <w:contextualSpacing/>
        <w:jc w:val="both"/>
        <w:rPr>
          <w:lang w:val="es-ES"/>
        </w:rPr>
      </w:pPr>
    </w:p>
    <w:p w14:paraId="02547A53"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 xml:space="preserve">La cobertura mediática sobre la CMS se centró en los retos y las oportunidades de conservación a los que se enfrentan las especies migratorias, destacando tanto iniciativas alentadoras como tendencias alarmantes durante el período mencionado. Se prestó especial atención a medidas y herramientas prácticas de conservación. Muchas informaciones subrayaron la gran preocupación por el declive de las poblaciones de </w:t>
      </w:r>
      <w:r w:rsidRPr="006F7881">
        <w:rPr>
          <w:lang w:val="es-ES"/>
        </w:rPr>
        <w:lastRenderedPageBreak/>
        <w:t xml:space="preserve">insectos como una cuestión clave para la conservación de las aves migratorias, basándose en el </w:t>
      </w:r>
      <w:hyperlink r:id="rId13" w:history="1">
        <w:r w:rsidRPr="006F7881">
          <w:rPr>
            <w:color w:val="0563C1" w:themeColor="hyperlink"/>
            <w:u w:val="single"/>
            <w:lang w:val="es-ES"/>
          </w:rPr>
          <w:t>informe de la CMS sobre la disminución de los insectos</w:t>
        </w:r>
      </w:hyperlink>
      <w:r w:rsidRPr="006F7881">
        <w:rPr>
          <w:lang w:val="es-ES"/>
        </w:rPr>
        <w:t xml:space="preserve">, y poniendo de relieve lo vitales que son las especies presa para la supervivencia de las aves a lo largo de sus rutas migratorias. El </w:t>
      </w:r>
      <w:hyperlink r:id="rId14" w:history="1">
        <w:r w:rsidRPr="006F7881">
          <w:rPr>
            <w:color w:val="0563C1" w:themeColor="hyperlink"/>
            <w:u w:val="single"/>
            <w:lang w:val="es-ES"/>
          </w:rPr>
          <w:t>Atlas de Migración de Ungulados</w:t>
        </w:r>
      </w:hyperlink>
      <w:r w:rsidRPr="006F7881">
        <w:rPr>
          <w:lang w:val="es-ES"/>
        </w:rPr>
        <w:t xml:space="preserve"> fue ampliamente presentado como una herramienta importante para orientar la planificación de la conservación y la protección de los hábitats. La cobertura también incluyó estrategias de conservación lideradas por las comunidades como elementos esenciales para la protección de las especies migratorias, basándose en un informe de la CMS.</w:t>
      </w:r>
    </w:p>
    <w:p w14:paraId="7DE5619E" w14:textId="77777777" w:rsidR="006F7881" w:rsidRPr="006F7881" w:rsidRDefault="006F7881" w:rsidP="006F7881">
      <w:pPr>
        <w:spacing w:after="0" w:line="240" w:lineRule="auto"/>
        <w:ind w:left="567"/>
        <w:contextualSpacing/>
        <w:jc w:val="both"/>
        <w:rPr>
          <w:lang w:val="es-ES"/>
        </w:rPr>
      </w:pPr>
    </w:p>
    <w:p w14:paraId="63DEF5B1"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 xml:space="preserve">Al mismo tiempo, la cobertura mediática ofreció una imagen preocupante de las presiones a las que se enfrenta la fauna migratoria, a partir de la información aportada por la CMS. Numerosos reportajes subrayaron que las </w:t>
      </w:r>
      <w:proofErr w:type="gramStart"/>
      <w:r w:rsidRPr="006F7881">
        <w:rPr>
          <w:lang w:val="es-ES"/>
        </w:rPr>
        <w:t>aves migratorias y otros animales migratorios</w:t>
      </w:r>
      <w:proofErr w:type="gramEnd"/>
      <w:r w:rsidRPr="006F7881">
        <w:rPr>
          <w:lang w:val="es-ES"/>
        </w:rPr>
        <w:t xml:space="preserve"> se enfrentan a un riesgo cada vez mayor debido al aumento de las temperaturas globales, la pérdida de hábitats, la contaminación y los impactos más amplios del cambio climático. El comunicado de prensa de la CMS sobre la declaración de la Unión Internacional para la Conservación de la Naturaleza de que el zarapito fino se considera actualmente extinto fue citado como un poderoso símbolo de lo que está en juego, y los medios de comunicación describieron reiteradamente la migración de la fauna silvestre como un fenómeno que afronta desafíos sin precedentes debido a la alteración del clima y de los hábitats.</w:t>
      </w:r>
    </w:p>
    <w:p w14:paraId="7B846B7A" w14:textId="77777777" w:rsidR="006F7881" w:rsidRPr="006F7881" w:rsidRDefault="006F7881" w:rsidP="006F7881">
      <w:pPr>
        <w:spacing w:after="0" w:line="240" w:lineRule="auto"/>
        <w:ind w:left="567"/>
        <w:contextualSpacing/>
        <w:jc w:val="both"/>
        <w:rPr>
          <w:lang w:val="es-ES"/>
        </w:rPr>
      </w:pPr>
    </w:p>
    <w:p w14:paraId="221C21E8"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 xml:space="preserve">La Secretaría lanzó el Atlas de Migración de Ungulados en septiembre de 2024, y la campaña mediática logró cobertura en medios de referencia como </w:t>
      </w:r>
      <w:proofErr w:type="spellStart"/>
      <w:r w:rsidRPr="006F7881">
        <w:rPr>
          <w:lang w:val="es-ES"/>
        </w:rPr>
        <w:t>Science</w:t>
      </w:r>
      <w:proofErr w:type="spellEnd"/>
      <w:r w:rsidRPr="006F7881">
        <w:rPr>
          <w:lang w:val="es-ES"/>
        </w:rPr>
        <w:t xml:space="preserve"> Magazine, la BBC y </w:t>
      </w:r>
      <w:proofErr w:type="spellStart"/>
      <w:r w:rsidRPr="006F7881">
        <w:rPr>
          <w:lang w:val="es-ES"/>
        </w:rPr>
        <w:t>Mongabay</w:t>
      </w:r>
      <w:proofErr w:type="spellEnd"/>
      <w:r w:rsidRPr="006F7881">
        <w:rPr>
          <w:lang w:val="es-ES"/>
        </w:rPr>
        <w:t>, complementada por un seminario web con una amplia participación de 150 asistentes. El desarrollo de un espacio específico en el sitio web de la CMS, así como la difusión de conocimientos y módulos, formaron parte de los esfuerzos adicionales para promover la conectividad ecológica y la aplicación de la Decisión 14.019 relativa al Atlas de la Migración Animal.</w:t>
      </w:r>
    </w:p>
    <w:p w14:paraId="2C4D7B0D" w14:textId="77777777" w:rsidR="006F7881" w:rsidRPr="006F7881" w:rsidRDefault="006F7881" w:rsidP="006F7881">
      <w:pPr>
        <w:spacing w:after="0" w:line="240" w:lineRule="auto"/>
        <w:ind w:left="720"/>
        <w:contextualSpacing/>
        <w:jc w:val="both"/>
        <w:rPr>
          <w:lang w:val="es-ES"/>
        </w:rPr>
      </w:pPr>
    </w:p>
    <w:p w14:paraId="33767D49"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En enero de 2025, la Secretaría aplicó la Decisión 14.200 sobre comunidades y medios de subsistencia mediante la creación de un centro de información específico en el sitio web de la CMS. Este centro funciona como un recurso central para las Partes y las partes interesadas, al ofrecer orientaciones, estudios de caso y materiales multimedia para promover la participación de las comunidades y los medios de vida sostenibles en la conservación de las especies migratorias.</w:t>
      </w:r>
    </w:p>
    <w:p w14:paraId="63B13202" w14:textId="77777777" w:rsidR="006F7881" w:rsidRPr="006F7881" w:rsidRDefault="006F7881" w:rsidP="006F7881">
      <w:pPr>
        <w:spacing w:after="0" w:line="240" w:lineRule="auto"/>
        <w:ind w:left="567"/>
        <w:contextualSpacing/>
        <w:jc w:val="both"/>
        <w:rPr>
          <w:lang w:val="es-ES"/>
        </w:rPr>
      </w:pPr>
    </w:p>
    <w:p w14:paraId="1FD8646D"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La Secretaría reforzó la divulgación sobre este tema mediante la organización del lanzamiento mediático del informe «</w:t>
      </w:r>
      <w:hyperlink r:id="rId15" w:history="1">
        <w:r w:rsidRPr="006F7881">
          <w:rPr>
            <w:color w:val="0563C1" w:themeColor="hyperlink"/>
            <w:u w:val="single"/>
            <w:lang w:val="es-ES"/>
          </w:rPr>
          <w:t>Participación comunitaria y medios de subsistencia en la conservación de las especies migratorias</w:t>
        </w:r>
      </w:hyperlink>
      <w:r w:rsidRPr="006F7881">
        <w:rPr>
          <w:lang w:val="es-ES"/>
        </w:rPr>
        <w:t>» y la celebración de un seminario web de 90 minutos con autores y expertos clave. Estas iniciativas reforzaron la importancia de las estrategias de conservación inclusivas y pusieron de relieve el papel de las comunidades locales en la consecución de los objetivos de la CMS.</w:t>
      </w:r>
    </w:p>
    <w:p w14:paraId="4B915A13" w14:textId="77777777" w:rsidR="006F7881" w:rsidRPr="006F7881" w:rsidRDefault="006F7881" w:rsidP="006F7881">
      <w:pPr>
        <w:spacing w:after="0" w:line="240" w:lineRule="auto"/>
        <w:jc w:val="both"/>
        <w:rPr>
          <w:rFonts w:eastAsia="Calibri" w:cs="Arial"/>
          <w:lang w:val="es-ES"/>
        </w:rPr>
      </w:pPr>
    </w:p>
    <w:p w14:paraId="223978C0" w14:textId="77777777" w:rsidR="006F7881" w:rsidRPr="006F7881" w:rsidRDefault="006F7881" w:rsidP="006F7881">
      <w:pPr>
        <w:spacing w:after="0" w:line="240" w:lineRule="auto"/>
        <w:ind w:left="567"/>
        <w:jc w:val="both"/>
        <w:rPr>
          <w:rFonts w:eastAsia="Calibri" w:cs="Arial"/>
          <w:b/>
          <w:bCs/>
          <w:lang w:val="es-ES"/>
        </w:rPr>
      </w:pPr>
      <w:r w:rsidRPr="006F7881">
        <w:rPr>
          <w:rFonts w:eastAsia="Calibri" w:cs="Arial"/>
          <w:b/>
          <w:bCs/>
          <w:lang w:val="es-ES"/>
        </w:rPr>
        <w:t>Campaña de sensibilización</w:t>
      </w:r>
    </w:p>
    <w:p w14:paraId="11DA1C2B" w14:textId="77777777" w:rsidR="006F7881" w:rsidRPr="006F7881" w:rsidRDefault="006F7881" w:rsidP="006F7881">
      <w:pPr>
        <w:spacing w:after="0" w:line="240" w:lineRule="auto"/>
        <w:ind w:left="567"/>
        <w:jc w:val="both"/>
        <w:rPr>
          <w:rFonts w:eastAsia="Calibri" w:cs="Arial"/>
          <w:b/>
          <w:bCs/>
          <w:lang w:val="es-ES"/>
        </w:rPr>
      </w:pPr>
    </w:p>
    <w:p w14:paraId="77775CDC"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La campaña emblemática del Día Mundial de las Aves Migratorias (DMAM) continuó siendo un pilar fundamental de la divulgación de la CMS. En 2024, la campaña se centró en el tema «</w:t>
      </w:r>
      <w:proofErr w:type="spellStart"/>
      <w:r w:rsidRPr="006F7881">
        <w:rPr>
          <w:lang w:val="es-ES"/>
        </w:rPr>
        <w:t>Protect</w:t>
      </w:r>
      <w:proofErr w:type="spellEnd"/>
      <w:r w:rsidRPr="006F7881">
        <w:rPr>
          <w:lang w:val="es-ES"/>
        </w:rPr>
        <w:t xml:space="preserve"> </w:t>
      </w:r>
      <w:proofErr w:type="spellStart"/>
      <w:r w:rsidRPr="006F7881">
        <w:rPr>
          <w:lang w:val="es-ES"/>
        </w:rPr>
        <w:t>Insects</w:t>
      </w:r>
      <w:proofErr w:type="spellEnd"/>
      <w:r w:rsidRPr="006F7881">
        <w:rPr>
          <w:lang w:val="es-ES"/>
        </w:rPr>
        <w:t xml:space="preserve">, </w:t>
      </w:r>
      <w:proofErr w:type="spellStart"/>
      <w:r w:rsidRPr="006F7881">
        <w:rPr>
          <w:lang w:val="es-ES"/>
        </w:rPr>
        <w:t>Protect</w:t>
      </w:r>
      <w:proofErr w:type="spellEnd"/>
      <w:r w:rsidRPr="006F7881">
        <w:rPr>
          <w:lang w:val="es-ES"/>
        </w:rPr>
        <w:t xml:space="preserve"> </w:t>
      </w:r>
      <w:proofErr w:type="spellStart"/>
      <w:r w:rsidRPr="006F7881">
        <w:rPr>
          <w:lang w:val="es-ES"/>
        </w:rPr>
        <w:t>Birds</w:t>
      </w:r>
      <w:proofErr w:type="spellEnd"/>
      <w:r w:rsidRPr="006F7881">
        <w:rPr>
          <w:lang w:val="es-ES"/>
        </w:rPr>
        <w:t xml:space="preserve">» (Protejamos los insectos, protejamos las aves), lo que dio lugar a 372 eventos registrados en 62 países y a una visibilidad mundial a través de los canales de las Naciones Unidas y de las principales plataformas de redes sociales, alcanzando a más de 70 millones de usuarios. Como parte de este esfuerzo, la Secretaría lanzó el informe «La disminución de los insectos y su amenaza para las poblaciones de animales insectívoros migratorios», en aplicación de la Decisión 14.217. El lanzamiento atrajo una amplia cobertura mediática, que incluyó </w:t>
      </w:r>
      <w:r w:rsidRPr="006F7881">
        <w:rPr>
          <w:lang w:val="es-ES"/>
        </w:rPr>
        <w:lastRenderedPageBreak/>
        <w:t xml:space="preserve">438 artículos de prensa y entrevistas en directo con los </w:t>
      </w:r>
      <w:proofErr w:type="gramStart"/>
      <w:r w:rsidRPr="006F7881">
        <w:rPr>
          <w:lang w:val="es-ES"/>
        </w:rPr>
        <w:t>Secretarios Ejecutivos</w:t>
      </w:r>
      <w:proofErr w:type="gramEnd"/>
      <w:r w:rsidRPr="006F7881">
        <w:rPr>
          <w:lang w:val="es-ES"/>
        </w:rPr>
        <w:t xml:space="preserve"> de la CMS y del AEWA en France24.</w:t>
      </w:r>
    </w:p>
    <w:p w14:paraId="39324973" w14:textId="77777777" w:rsidR="006F7881" w:rsidRPr="006F7881" w:rsidRDefault="006F7881" w:rsidP="006F7881">
      <w:pPr>
        <w:spacing w:after="0" w:line="240" w:lineRule="auto"/>
        <w:ind w:left="567"/>
        <w:contextualSpacing/>
        <w:jc w:val="both"/>
        <w:rPr>
          <w:lang w:val="es-ES"/>
        </w:rPr>
      </w:pPr>
    </w:p>
    <w:p w14:paraId="59389F69"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En 2025, el DMAM adoptó el tema «</w:t>
      </w:r>
      <w:proofErr w:type="spellStart"/>
      <w:r w:rsidRPr="006F7881">
        <w:rPr>
          <w:lang w:val="es-ES"/>
        </w:rPr>
        <w:t>Shared</w:t>
      </w:r>
      <w:proofErr w:type="spellEnd"/>
      <w:r w:rsidRPr="006F7881">
        <w:rPr>
          <w:lang w:val="es-ES"/>
        </w:rPr>
        <w:t xml:space="preserve"> Spaces: </w:t>
      </w:r>
      <w:proofErr w:type="spellStart"/>
      <w:r w:rsidRPr="006F7881">
        <w:rPr>
          <w:lang w:val="es-ES"/>
        </w:rPr>
        <w:t>Creating</w:t>
      </w:r>
      <w:proofErr w:type="spellEnd"/>
      <w:r w:rsidRPr="006F7881">
        <w:rPr>
          <w:lang w:val="es-ES"/>
        </w:rPr>
        <w:t xml:space="preserve"> Bird-Friendly </w:t>
      </w:r>
      <w:proofErr w:type="spellStart"/>
      <w:r w:rsidRPr="006F7881">
        <w:rPr>
          <w:lang w:val="es-ES"/>
        </w:rPr>
        <w:t>Cities</w:t>
      </w:r>
      <w:proofErr w:type="spellEnd"/>
      <w:r w:rsidRPr="006F7881">
        <w:rPr>
          <w:lang w:val="es-ES"/>
        </w:rPr>
        <w:t xml:space="preserve"> &amp; </w:t>
      </w:r>
      <w:proofErr w:type="spellStart"/>
      <w:r w:rsidRPr="006F7881">
        <w:rPr>
          <w:lang w:val="es-ES"/>
        </w:rPr>
        <w:t>Communities</w:t>
      </w:r>
      <w:proofErr w:type="spellEnd"/>
      <w:r w:rsidRPr="006F7881">
        <w:rPr>
          <w:lang w:val="es-ES"/>
        </w:rPr>
        <w:t xml:space="preserve">» (Espacios compartidos: Creando ciudades y comunidades amigables con las aves), destacando la importancia de los entornos urbanos para las aves migratorias. La Secretaría aprovechó esta oportunidad para reforzar su colaboración con ICLEI y la ciudad de Bonn, e invitó a </w:t>
      </w:r>
      <w:proofErr w:type="gramStart"/>
      <w:r w:rsidRPr="006F7881">
        <w:rPr>
          <w:lang w:val="es-ES"/>
        </w:rPr>
        <w:t>ONU</w:t>
      </w:r>
      <w:proofErr w:type="gramEnd"/>
      <w:r w:rsidRPr="006F7881">
        <w:rPr>
          <w:lang w:val="es-ES"/>
        </w:rPr>
        <w:t>-Hábitat a colaborar en la promoción del mensaje de la campaña. Se organizó un evento conjunto en Bonn para conmemorar la celebración de mayo, que reunió a autoridades locales, socios internacionales y partes interesadas con el fin de presentar soluciones prácticas para la creación de ciudades y comunidades amigables con las aves. El DMAM continúa impulsando una participación récord y un gran entusiasmo en las labores de concienciación: en mayo de 2025, se registró una cifra récord de 798 eventos a escala mundial, generando entusiasmo en torno a los retos a los que se enfrentan las aves migratorias y a las soluciones disponibles para su conservación.</w:t>
      </w:r>
    </w:p>
    <w:p w14:paraId="6C4868CB" w14:textId="77777777" w:rsidR="006F7881" w:rsidRPr="006F7881" w:rsidRDefault="006F7881" w:rsidP="006F7881">
      <w:pPr>
        <w:spacing w:after="0" w:line="240" w:lineRule="auto"/>
        <w:ind w:left="567"/>
        <w:contextualSpacing/>
        <w:jc w:val="both"/>
        <w:rPr>
          <w:lang w:val="es-ES"/>
        </w:rPr>
      </w:pPr>
    </w:p>
    <w:p w14:paraId="30E911EF"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El Día Mundial de las Aves Migratorias 2026 se centra en la «ciencia ciudadana», poniendo de relieve a los miles de voluntarios, observadores de aves y personas comprometidas de todo el mundo que desempeñan un papel fundamental en el seguimiento de las aves migratorias y en la recopilación de datos esenciales que sirven de base para las políticas mundiales de conservación.</w:t>
      </w:r>
    </w:p>
    <w:p w14:paraId="7861BDBC" w14:textId="77777777" w:rsidR="006F7881" w:rsidRPr="006F7881" w:rsidRDefault="006F7881" w:rsidP="006F7881">
      <w:pPr>
        <w:spacing w:after="0" w:line="240" w:lineRule="auto"/>
        <w:ind w:left="567"/>
        <w:contextualSpacing/>
        <w:jc w:val="both"/>
        <w:rPr>
          <w:lang w:val="es-ES"/>
        </w:rPr>
      </w:pPr>
    </w:p>
    <w:p w14:paraId="58B8D32D"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Gracias al generoso apoyo financiero del Gobierno de Australia, el sitio web mundial de la campaña está siendo objeto de una importante actualización y se prevé su lanzamiento en el segundo trimestre de 2026.</w:t>
      </w:r>
    </w:p>
    <w:p w14:paraId="458A452E" w14:textId="4DFBFC15" w:rsidR="006F7881" w:rsidRPr="006F7881" w:rsidRDefault="006F7881" w:rsidP="006F7881">
      <w:pPr>
        <w:spacing w:after="0" w:line="240" w:lineRule="auto"/>
        <w:ind w:left="567"/>
        <w:contextualSpacing/>
        <w:jc w:val="both"/>
        <w:rPr>
          <w:lang w:val="es-ES"/>
        </w:rPr>
      </w:pPr>
    </w:p>
    <w:p w14:paraId="648CDBC3" w14:textId="77777777" w:rsidR="006F7881" w:rsidRPr="006F7881" w:rsidRDefault="006F7881" w:rsidP="006F7881">
      <w:pPr>
        <w:spacing w:after="0" w:line="240" w:lineRule="auto"/>
        <w:ind w:left="567"/>
        <w:jc w:val="both"/>
        <w:rPr>
          <w:rFonts w:eastAsia="Calibri" w:cs="Arial"/>
          <w:b/>
          <w:bCs/>
          <w:lang w:val="es-ES"/>
        </w:rPr>
      </w:pPr>
      <w:r w:rsidRPr="006F7881">
        <w:rPr>
          <w:rFonts w:eastAsia="Calibri" w:cs="Arial"/>
          <w:b/>
          <w:bCs/>
          <w:lang w:val="es-ES"/>
        </w:rPr>
        <w:t>Producción audiovisual</w:t>
      </w:r>
    </w:p>
    <w:p w14:paraId="0AD7B0D1" w14:textId="77777777" w:rsidR="006F7881" w:rsidRPr="006F7881" w:rsidRDefault="006F7881" w:rsidP="006F7881">
      <w:pPr>
        <w:spacing w:after="0" w:line="240" w:lineRule="auto"/>
        <w:ind w:left="567"/>
        <w:jc w:val="both"/>
        <w:rPr>
          <w:rFonts w:eastAsia="Calibri" w:cs="Arial"/>
          <w:b/>
          <w:bCs/>
          <w:lang w:val="es-ES"/>
        </w:rPr>
      </w:pPr>
    </w:p>
    <w:p w14:paraId="0FA707C3" w14:textId="77777777" w:rsidR="006F7881" w:rsidRPr="006F7881" w:rsidRDefault="006F7881" w:rsidP="003768DF">
      <w:pPr>
        <w:numPr>
          <w:ilvl w:val="0"/>
          <w:numId w:val="13"/>
        </w:numPr>
        <w:spacing w:after="0" w:line="240" w:lineRule="auto"/>
        <w:contextualSpacing/>
        <w:jc w:val="both"/>
        <w:rPr>
          <w:rFonts w:eastAsia="Times New Roman"/>
          <w:lang w:val="es-ES"/>
        </w:rPr>
      </w:pPr>
      <w:r w:rsidRPr="006F7881">
        <w:rPr>
          <w:lang w:val="es-ES"/>
        </w:rPr>
        <w:t>Se</w:t>
      </w:r>
      <w:hyperlink r:id="rId16" w:history="1">
        <w:r w:rsidRPr="006F7881">
          <w:rPr>
            <w:color w:val="0563C1" w:themeColor="hyperlink"/>
            <w:u w:val="single"/>
            <w:lang w:val="es-ES"/>
          </w:rPr>
          <w:t xml:space="preserve"> elaboró y lanzó en septiembre de 2025 una animación informativa para promover la Iniciativa conjunta CMS-CITES sobre carnívoros africanos</w:t>
        </w:r>
      </w:hyperlink>
      <w:r w:rsidRPr="006F7881">
        <w:rPr>
          <w:lang w:val="es-ES"/>
        </w:rPr>
        <w:t xml:space="preserve"> y sus objetivos, gracias al generoso apoyo financiero del</w:t>
      </w:r>
      <w:r w:rsidRPr="006F7881">
        <w:rPr>
          <w:rFonts w:eastAsia="Times New Roman"/>
          <w:lang w:val="es-ES"/>
        </w:rPr>
        <w:t xml:space="preserve"> Ministerio Federal de Medio Ambiente, Conservación de la Naturaleza y Seguridad Nuclear de Alemania (BMU).</w:t>
      </w:r>
    </w:p>
    <w:p w14:paraId="15E18268" w14:textId="77777777" w:rsidR="006F7881" w:rsidRPr="006F7881" w:rsidRDefault="006F7881" w:rsidP="006F7881">
      <w:pPr>
        <w:spacing w:after="0" w:line="240" w:lineRule="auto"/>
        <w:ind w:left="567"/>
        <w:jc w:val="both"/>
        <w:rPr>
          <w:rFonts w:eastAsia="Calibri" w:cs="Arial"/>
          <w:color w:val="000000" w:themeColor="text1"/>
          <w:lang w:val="es-ES"/>
        </w:rPr>
      </w:pPr>
    </w:p>
    <w:p w14:paraId="07549CF6" w14:textId="71527565" w:rsidR="006F7881" w:rsidRPr="006F7881" w:rsidRDefault="006F7881" w:rsidP="006F7881">
      <w:pPr>
        <w:spacing w:after="0" w:line="240" w:lineRule="auto"/>
        <w:ind w:left="567"/>
        <w:jc w:val="both"/>
        <w:rPr>
          <w:rFonts w:eastAsia="Calibri" w:cs="Arial"/>
          <w:b/>
          <w:bCs/>
          <w:lang w:val="es-ES"/>
        </w:rPr>
      </w:pPr>
      <w:r w:rsidRPr="006F7881">
        <w:rPr>
          <w:rFonts w:eastAsia="Calibri" w:cs="Arial"/>
          <w:b/>
          <w:bCs/>
          <w:lang w:val="es-ES"/>
        </w:rPr>
        <w:t>Desarrollo de capacidades en materia de medios</w:t>
      </w:r>
      <w:r w:rsidR="00B6492A">
        <w:rPr>
          <w:rFonts w:eastAsia="Calibri" w:cs="Arial"/>
          <w:b/>
          <w:bCs/>
          <w:lang w:val="es-ES"/>
        </w:rPr>
        <w:t xml:space="preserve"> de comunicación</w:t>
      </w:r>
    </w:p>
    <w:p w14:paraId="5416404A" w14:textId="77777777" w:rsidR="006F7881" w:rsidRPr="006F7881" w:rsidRDefault="006F7881" w:rsidP="006F7881">
      <w:pPr>
        <w:spacing w:after="0" w:line="240" w:lineRule="auto"/>
        <w:ind w:left="567"/>
        <w:jc w:val="both"/>
        <w:rPr>
          <w:rFonts w:eastAsia="Calibri" w:cs="Arial"/>
          <w:b/>
          <w:bCs/>
          <w:lang w:val="es-ES"/>
        </w:rPr>
      </w:pPr>
    </w:p>
    <w:p w14:paraId="74AD3630"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 xml:space="preserve">Con el fin de reforzar la capacidad interna y dotar al personal directivo de las competencias necesarias para comunicar de forma eficaz cuestiones complejas de conservación a los medios de comunicación, la Secretaría organizó por primera vez una sesión de formación impartida por tres periodistas ambientales de alto nivel con décadas de experiencia en grandes medios, entre ellos </w:t>
      </w:r>
      <w:proofErr w:type="spellStart"/>
      <w:r w:rsidRPr="006F7881">
        <w:rPr>
          <w:lang w:val="es-ES"/>
        </w:rPr>
        <w:t>Agence</w:t>
      </w:r>
      <w:proofErr w:type="spellEnd"/>
      <w:r w:rsidRPr="006F7881">
        <w:rPr>
          <w:lang w:val="es-ES"/>
        </w:rPr>
        <w:t xml:space="preserve"> France-</w:t>
      </w:r>
      <w:proofErr w:type="spellStart"/>
      <w:r w:rsidRPr="006F7881">
        <w:rPr>
          <w:lang w:val="es-ES"/>
        </w:rPr>
        <w:t>Presse</w:t>
      </w:r>
      <w:proofErr w:type="spellEnd"/>
      <w:r w:rsidRPr="006F7881">
        <w:rPr>
          <w:lang w:val="es-ES"/>
        </w:rPr>
        <w:t xml:space="preserve"> (AFP). La sesión participativa incluyó presentaciones y entrevistas simuladas en vídeo con el personal sobre temas de conservación.   </w:t>
      </w:r>
    </w:p>
    <w:p w14:paraId="3404D170" w14:textId="77777777" w:rsidR="006F7881" w:rsidRPr="006F7881" w:rsidRDefault="006F7881" w:rsidP="006F7881">
      <w:pPr>
        <w:spacing w:after="0" w:line="240" w:lineRule="auto"/>
        <w:ind w:left="567"/>
        <w:contextualSpacing/>
        <w:jc w:val="both"/>
        <w:rPr>
          <w:lang w:val="es-ES"/>
        </w:rPr>
      </w:pPr>
    </w:p>
    <w:p w14:paraId="37E39539" w14:textId="77777777" w:rsidR="006F7881" w:rsidRPr="006F7881" w:rsidRDefault="006F7881" w:rsidP="006F7881">
      <w:pPr>
        <w:spacing w:after="0" w:line="240" w:lineRule="auto"/>
        <w:ind w:left="567"/>
        <w:jc w:val="both"/>
        <w:rPr>
          <w:rFonts w:eastAsia="Calibri" w:cs="Arial"/>
          <w:b/>
          <w:bCs/>
          <w:lang w:val="es-ES"/>
        </w:rPr>
      </w:pPr>
      <w:r w:rsidRPr="006F7881">
        <w:rPr>
          <w:rFonts w:eastAsia="Calibri" w:cs="Arial"/>
          <w:b/>
          <w:bCs/>
          <w:lang w:val="es-ES"/>
        </w:rPr>
        <w:t>Crecimiento de la comunidad en redes sociales</w:t>
      </w:r>
    </w:p>
    <w:p w14:paraId="30E075E3" w14:textId="77777777" w:rsidR="006F7881" w:rsidRPr="006F7881" w:rsidRDefault="006F7881" w:rsidP="006F7881">
      <w:pPr>
        <w:spacing w:after="0" w:line="240" w:lineRule="auto"/>
        <w:ind w:left="567"/>
        <w:jc w:val="both"/>
        <w:rPr>
          <w:rFonts w:eastAsia="Calibri" w:cs="Arial"/>
          <w:i/>
          <w:iCs/>
          <w:lang w:val="es-ES"/>
        </w:rPr>
      </w:pPr>
    </w:p>
    <w:p w14:paraId="34F5C82B" w14:textId="6674B869" w:rsidR="006F7881" w:rsidRPr="00C07709" w:rsidRDefault="006F7881" w:rsidP="00C07709">
      <w:pPr>
        <w:numPr>
          <w:ilvl w:val="0"/>
          <w:numId w:val="13"/>
        </w:numPr>
        <w:spacing w:after="0" w:line="240" w:lineRule="auto"/>
        <w:contextualSpacing/>
        <w:jc w:val="both"/>
        <w:rPr>
          <w:lang w:val="es-ES"/>
        </w:rPr>
      </w:pPr>
      <w:r w:rsidRPr="006F7881">
        <w:rPr>
          <w:lang w:val="es-ES"/>
        </w:rPr>
        <w:t>Los canales de redes sociales de la CMS continuaron creciendo, en particular la página de LinkedIn de la Convención, que ha congregado a una comunidad dinámica de profesionales en torno a cuestiones de conservación. La página, lanzada en enero de 2023, ha crecido de forma constante desde los 1500 seguidores tras la COP14 hasta superar los 14 000 en enero de 2026, lo que supone un aumento del 800 % de seguidores en menos de dos años y refleja un enfoque estratégico exitoso en contenidos de alta calidad y de carácter visual.</w:t>
      </w:r>
      <w:r w:rsidR="00C07709">
        <w:rPr>
          <w:lang w:val="es-ES"/>
        </w:rPr>
        <w:t xml:space="preserve"> </w:t>
      </w:r>
      <w:r w:rsidRPr="00C07709">
        <w:rPr>
          <w:lang w:val="es-ES"/>
        </w:rPr>
        <w:t xml:space="preserve">La Secretaría ha reforzado sus esfuerzos en materia de comunicación mediante el fortalecimiento de la colaboración en comunicados de prensa, campañas en redes sociales y celebraciones de días </w:t>
      </w:r>
      <w:r w:rsidRPr="00C07709">
        <w:rPr>
          <w:lang w:val="es-ES"/>
        </w:rPr>
        <w:lastRenderedPageBreak/>
        <w:t>internacionales con el PNUMA, los Acuerdos Multilaterales sobre el Medio Ambiente (AMUMA) pertinentes y organizaciones no gubernamentales internacionales. Este enfoque coordinado ha permitido transmitir mensajes coherentes y ampliar el alcance de la labor de incidencia de la CMS. Como parte de esta estrategia más amplia, se difundieron entrevistas seleccionadas en episodios de pódcast a través de la Sociedad para la Conservación de la Vida Silvestre (WCS), la ONU en Ginebra y el FIDA, lo que reforzó aún más la divulgación de la CMS en diversas plataformas internacionales.</w:t>
      </w:r>
    </w:p>
    <w:p w14:paraId="540CF2A3" w14:textId="77777777" w:rsidR="006F7881" w:rsidRPr="006F7881" w:rsidRDefault="006F7881" w:rsidP="006F7881">
      <w:pPr>
        <w:spacing w:after="0" w:line="240" w:lineRule="auto"/>
        <w:ind w:left="567"/>
        <w:contextualSpacing/>
        <w:jc w:val="both"/>
        <w:rPr>
          <w:lang w:val="es-ES"/>
        </w:rPr>
      </w:pPr>
    </w:p>
    <w:p w14:paraId="0FC528F7" w14:textId="77777777" w:rsidR="006F7881" w:rsidRPr="006F7881" w:rsidRDefault="006F7881" w:rsidP="006F7881">
      <w:pPr>
        <w:spacing w:after="0" w:line="240" w:lineRule="auto"/>
        <w:ind w:left="567"/>
        <w:jc w:val="both"/>
        <w:rPr>
          <w:rFonts w:eastAsia="Calibri" w:cs="Arial"/>
          <w:b/>
          <w:bCs/>
          <w:lang w:val="es-ES"/>
        </w:rPr>
      </w:pPr>
      <w:r w:rsidRPr="006F7881">
        <w:rPr>
          <w:rFonts w:eastAsia="Calibri" w:cs="Arial"/>
          <w:b/>
          <w:bCs/>
          <w:lang w:val="es-ES"/>
        </w:rPr>
        <w:t>Dotación de personal</w:t>
      </w:r>
    </w:p>
    <w:p w14:paraId="19C145BA" w14:textId="77777777" w:rsidR="006F7881" w:rsidRPr="006F7881" w:rsidRDefault="006F7881" w:rsidP="006F7881">
      <w:pPr>
        <w:spacing w:after="0" w:line="240" w:lineRule="auto"/>
        <w:ind w:left="567"/>
        <w:jc w:val="both"/>
        <w:rPr>
          <w:rFonts w:eastAsia="Calibri" w:cs="Arial"/>
          <w:b/>
          <w:bCs/>
          <w:lang w:val="es-ES"/>
        </w:rPr>
      </w:pPr>
    </w:p>
    <w:p w14:paraId="269CBAAD" w14:textId="77777777" w:rsidR="006F7881" w:rsidRPr="006F7881" w:rsidRDefault="006F7881" w:rsidP="003768DF">
      <w:pPr>
        <w:numPr>
          <w:ilvl w:val="0"/>
          <w:numId w:val="13"/>
        </w:numPr>
        <w:spacing w:after="0" w:line="240" w:lineRule="auto"/>
        <w:contextualSpacing/>
        <w:jc w:val="both"/>
        <w:rPr>
          <w:sz w:val="24"/>
          <w:szCs w:val="24"/>
          <w:lang w:val="es-ES"/>
        </w:rPr>
      </w:pPr>
      <w:r w:rsidRPr="006F7881">
        <w:rPr>
          <w:lang w:val="es-ES"/>
        </w:rPr>
        <w:t>Durante el período entre sesiones, la Secretaría reforzó la capacidad de la Unidad de Información, Comunicación y Sensibilización (IMCA), una unidad conjunta que presta servicios tanto a la CMS como al Acuerdo sobre la Conservación de las Aves Acuáticas Migratorias de África y Eurasia (AEWA). El equipo está compuesto por dos miembros del personal de la Secretaría de la CMS (100 % P3 y 100 % G7) y dos de la Secretaría del AEWA (100 % P2 y 80 % G5). En septiembre de 2024 se cubrió con éxito el puesto vacante de Asistente Superior de Información Pública, de nivel G7, centrado en las relaciones con los medios y la gestión de las redes sociales. Actualmente está en curso el proceso de contratación de un miembro del personal de la CMS (50 % Asistente de Equipo, nivel G4).</w:t>
      </w:r>
    </w:p>
    <w:p w14:paraId="65B24AF9" w14:textId="57838703" w:rsidR="006F7881" w:rsidRPr="006F7881" w:rsidRDefault="006F7881" w:rsidP="006F7881">
      <w:pPr>
        <w:spacing w:after="0" w:line="240" w:lineRule="auto"/>
        <w:ind w:left="567"/>
        <w:contextualSpacing/>
        <w:jc w:val="both"/>
        <w:rPr>
          <w:sz w:val="24"/>
          <w:szCs w:val="24"/>
          <w:lang w:val="es-ES"/>
        </w:rPr>
      </w:pPr>
    </w:p>
    <w:p w14:paraId="03F32148" w14:textId="77777777" w:rsidR="006F7881" w:rsidRPr="006F7881" w:rsidRDefault="006F7881" w:rsidP="006F7881">
      <w:pPr>
        <w:spacing w:after="0" w:line="240" w:lineRule="auto"/>
        <w:jc w:val="both"/>
        <w:rPr>
          <w:rFonts w:eastAsia="Calibri" w:cs="Arial"/>
          <w:u w:val="single"/>
          <w:lang w:val="es-ES"/>
        </w:rPr>
      </w:pPr>
      <w:r w:rsidRPr="006F7881">
        <w:rPr>
          <w:rFonts w:eastAsia="Calibri" w:cs="Arial"/>
          <w:u w:val="single"/>
          <w:lang w:val="es-ES"/>
        </w:rPr>
        <w:t>Debate y análisis</w:t>
      </w:r>
    </w:p>
    <w:p w14:paraId="21506D12" w14:textId="77777777" w:rsidR="006F7881" w:rsidRPr="006F7881" w:rsidRDefault="006F7881" w:rsidP="006F7881">
      <w:pPr>
        <w:spacing w:after="0" w:line="240" w:lineRule="auto"/>
        <w:jc w:val="both"/>
        <w:rPr>
          <w:rFonts w:eastAsia="Calibri" w:cs="Arial"/>
          <w:u w:val="single"/>
          <w:lang w:val="es-ES"/>
        </w:rPr>
      </w:pPr>
    </w:p>
    <w:p w14:paraId="257521EF" w14:textId="77777777" w:rsidR="006F7881" w:rsidRPr="006F7881" w:rsidRDefault="006F7881" w:rsidP="003768DF">
      <w:pPr>
        <w:numPr>
          <w:ilvl w:val="0"/>
          <w:numId w:val="13"/>
        </w:numPr>
        <w:spacing w:after="0" w:line="240" w:lineRule="auto"/>
        <w:contextualSpacing/>
        <w:jc w:val="both"/>
        <w:rPr>
          <w:sz w:val="24"/>
          <w:szCs w:val="24"/>
          <w:lang w:val="es-ES"/>
        </w:rPr>
      </w:pPr>
      <w:r w:rsidRPr="006F7881">
        <w:rPr>
          <w:lang w:val="es-ES"/>
        </w:rPr>
        <w:t>Durante el último período entre sesiones, la Secretaría contribuyó a la aplicación de la Decisión 14.016 y de las prioridades definidas en la Evaluación de la Comunicación Estratégica (SCA, por sus siglas en inglés), entre ellas el diseño y la actualización de los nuevos sitios web corporativos, el aumento de la actividad en redes sociales con especial atención a la comunicación visual y a los contenidos sobre especies, la elaboración de una animación, el desarrollo de capacidades en materia de comunicación para la Secretaría y la continuación del desarrollo de la campaña del Día Mundial de las Aves Migratorias.</w:t>
      </w:r>
    </w:p>
    <w:p w14:paraId="19A391DD" w14:textId="77777777" w:rsidR="006F7881" w:rsidRPr="006F7881" w:rsidRDefault="006F7881" w:rsidP="006F7881">
      <w:pPr>
        <w:spacing w:after="0" w:line="240" w:lineRule="auto"/>
        <w:jc w:val="both"/>
        <w:rPr>
          <w:rFonts w:eastAsia="Calibri" w:cs="Arial"/>
          <w:color w:val="000000" w:themeColor="text1"/>
          <w:lang w:val="es-ES"/>
        </w:rPr>
      </w:pPr>
    </w:p>
    <w:p w14:paraId="331F7C11"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Entre las prioridades identificadas en la SCA que requieren una mayor aplicación se incluyen las siguientes: el desarrollo de una serie de piezas informativas en diversos formatos, como vídeos, infografías y contenidos web interactivos, para ampliar el alcance y la participación; la garantía de una comunicación y una difusión de contenidos equitativas en los tres idiomas oficiales de la Convención, con el fin de llegar a todo el espectro de Partes y partes interesadas y prestarles servicio; el lanzamiento de una campaña de divulgación específica con motivo de un Día de las Naciones Unidas sobre las especies migratorias para concienciar a escala mundial y movilizar la acción; la creación de marca; y el refuerzo de la infraestructura digital de la Convención y de sus capacidades de acceso a los datos para apoyar una gestión de la información más sólida y mejorar la accesibilidad para las Partes y el público.</w:t>
      </w:r>
    </w:p>
    <w:p w14:paraId="59E7552B" w14:textId="77777777" w:rsidR="006F7881" w:rsidRPr="006F7881" w:rsidRDefault="006F7881" w:rsidP="006F7881">
      <w:pPr>
        <w:spacing w:after="0" w:line="240" w:lineRule="auto"/>
        <w:ind w:left="720"/>
        <w:contextualSpacing/>
        <w:jc w:val="both"/>
        <w:rPr>
          <w:color w:val="000000" w:themeColor="text1"/>
          <w:lang w:val="es-ES"/>
        </w:rPr>
      </w:pPr>
    </w:p>
    <w:p w14:paraId="1ABB26EB" w14:textId="77777777" w:rsidR="006F7881" w:rsidRPr="006F7881" w:rsidRDefault="006F7881" w:rsidP="003768DF">
      <w:pPr>
        <w:numPr>
          <w:ilvl w:val="0"/>
          <w:numId w:val="13"/>
        </w:numPr>
        <w:spacing w:after="0" w:line="240" w:lineRule="auto"/>
        <w:contextualSpacing/>
        <w:jc w:val="both"/>
        <w:rPr>
          <w:lang w:val="es-ES"/>
        </w:rPr>
      </w:pPr>
      <w:r w:rsidRPr="006F7881">
        <w:rPr>
          <w:lang w:val="es-ES"/>
        </w:rPr>
        <w:t>Estas iniciativas son esenciales para mejorar el impacto y la inclusividad de las actividades de comunicación de la CMS, pero su materialización depende de la disponibilidad de una financiación segura y adecuada. Los notables logros en materia de comunicación alcanzados durante la COP14 demuestran lo que es posible cuando se dispone de recursos suficientes.</w:t>
      </w:r>
    </w:p>
    <w:p w14:paraId="18D0C61D" w14:textId="77777777" w:rsidR="006F7881" w:rsidRPr="006F7881" w:rsidRDefault="006F7881" w:rsidP="006F7881">
      <w:pPr>
        <w:spacing w:after="0" w:line="240" w:lineRule="auto"/>
        <w:ind w:left="720"/>
        <w:contextualSpacing/>
        <w:jc w:val="both"/>
        <w:rPr>
          <w:color w:val="000000" w:themeColor="text1"/>
          <w:lang w:val="es-ES"/>
        </w:rPr>
      </w:pPr>
    </w:p>
    <w:p w14:paraId="1C4CF79E" w14:textId="52CC8A59" w:rsidR="006F7881" w:rsidRPr="006F7881" w:rsidRDefault="006F7881" w:rsidP="003768DF">
      <w:pPr>
        <w:numPr>
          <w:ilvl w:val="0"/>
          <w:numId w:val="13"/>
        </w:numPr>
        <w:spacing w:after="0" w:line="240" w:lineRule="auto"/>
        <w:contextualSpacing/>
        <w:jc w:val="both"/>
        <w:rPr>
          <w:lang w:val="es-ES"/>
        </w:rPr>
      </w:pPr>
      <w:r w:rsidRPr="006F7881">
        <w:rPr>
          <w:lang w:val="es-ES"/>
        </w:rPr>
        <w:t xml:space="preserve">Además, la Unidad conjunta IMCA es un equipo compartido que presta servicios tanto a la CMS como al AEWA, con recursos humanos y financieros limitados. Cabe destacar que la Unidad sigue careciendo de capacidad interna a tiempo completo para gestionar el amplio número de sitios web corporativos y de proyectos, así como las plataformas digitales supervisadas por la Secretaría. Esto ejerce una presión considerable sobre el </w:t>
      </w:r>
      <w:r w:rsidRPr="006F7881">
        <w:rPr>
          <w:lang w:val="es-ES"/>
        </w:rPr>
        <w:lastRenderedPageBreak/>
        <w:t xml:space="preserve">equipo existente y limita la capacidad de la Secretaría para maximizar </w:t>
      </w:r>
      <w:r w:rsidR="005848BA">
        <w:rPr>
          <w:lang w:val="es-ES"/>
        </w:rPr>
        <w:t>la</w:t>
      </w:r>
      <w:r w:rsidRPr="006F7881">
        <w:rPr>
          <w:lang w:val="es-ES"/>
        </w:rPr>
        <w:t xml:space="preserve"> presencia digital</w:t>
      </w:r>
      <w:r w:rsidR="005848BA">
        <w:rPr>
          <w:lang w:val="es-ES"/>
        </w:rPr>
        <w:t xml:space="preserve"> de</w:t>
      </w:r>
      <w:r w:rsidR="00BF4F94">
        <w:rPr>
          <w:lang w:val="es-ES"/>
        </w:rPr>
        <w:t xml:space="preserve"> la Convención</w:t>
      </w:r>
      <w:r w:rsidRPr="006F7881">
        <w:rPr>
          <w:lang w:val="es-ES"/>
        </w:rPr>
        <w:t>.</w:t>
      </w:r>
    </w:p>
    <w:p w14:paraId="4FC41AE6" w14:textId="77777777" w:rsidR="006F7881" w:rsidRPr="006F7881" w:rsidRDefault="006F7881" w:rsidP="006F7881">
      <w:pPr>
        <w:spacing w:after="0" w:line="240" w:lineRule="auto"/>
        <w:jc w:val="both"/>
        <w:rPr>
          <w:rFonts w:eastAsia="Calibri" w:cs="Arial"/>
          <w:lang w:val="es-ES"/>
        </w:rPr>
      </w:pPr>
    </w:p>
    <w:p w14:paraId="3148D3BB" w14:textId="77777777" w:rsidR="006F7881" w:rsidRPr="006F7881" w:rsidRDefault="006F7881" w:rsidP="006F7881">
      <w:pPr>
        <w:spacing w:after="0" w:line="240" w:lineRule="auto"/>
        <w:jc w:val="both"/>
        <w:rPr>
          <w:rFonts w:eastAsia="Calibri" w:cs="Arial"/>
          <w:lang w:val="es-ES"/>
        </w:rPr>
      </w:pPr>
      <w:r w:rsidRPr="006F7881">
        <w:rPr>
          <w:rFonts w:eastAsia="Calibri" w:cs="Arial"/>
          <w:u w:val="single"/>
          <w:lang w:val="es-ES"/>
        </w:rPr>
        <w:t>Acciones recomendadas</w:t>
      </w:r>
    </w:p>
    <w:p w14:paraId="51EF6F2B" w14:textId="77777777" w:rsidR="006F7881" w:rsidRPr="006F7881" w:rsidRDefault="006F7881" w:rsidP="006F7881">
      <w:pPr>
        <w:spacing w:after="0" w:line="240" w:lineRule="auto"/>
        <w:jc w:val="both"/>
        <w:rPr>
          <w:rFonts w:eastAsia="Calibri" w:cs="Arial"/>
          <w:lang w:val="es-ES"/>
        </w:rPr>
      </w:pPr>
    </w:p>
    <w:p w14:paraId="6988B456" w14:textId="77777777" w:rsidR="006F7881" w:rsidRPr="006F7881" w:rsidRDefault="006F7881" w:rsidP="003768DF">
      <w:pPr>
        <w:widowControl w:val="0"/>
        <w:numPr>
          <w:ilvl w:val="0"/>
          <w:numId w:val="13"/>
        </w:numPr>
        <w:autoSpaceDE w:val="0"/>
        <w:autoSpaceDN w:val="0"/>
        <w:adjustRightInd w:val="0"/>
        <w:spacing w:after="0" w:line="240" w:lineRule="auto"/>
        <w:contextualSpacing/>
        <w:jc w:val="both"/>
        <w:rPr>
          <w:lang w:val="es-ES"/>
        </w:rPr>
      </w:pPr>
      <w:r w:rsidRPr="006F7881">
        <w:rPr>
          <w:lang w:val="es-ES" w:eastAsia="es-ES"/>
        </w:rPr>
        <w:t>Se recomienda a la Conferencia de las Partes que:</w:t>
      </w:r>
    </w:p>
    <w:p w14:paraId="3C7B40C7" w14:textId="77777777" w:rsidR="006F7881" w:rsidRPr="006F7881" w:rsidRDefault="006F7881" w:rsidP="006F7881">
      <w:pPr>
        <w:widowControl w:val="0"/>
        <w:autoSpaceDE w:val="0"/>
        <w:autoSpaceDN w:val="0"/>
        <w:adjustRightInd w:val="0"/>
        <w:spacing w:after="0" w:line="240" w:lineRule="auto"/>
        <w:jc w:val="both"/>
        <w:rPr>
          <w:rFonts w:eastAsia="Calibri" w:cs="Arial"/>
          <w:lang w:val="es-ES"/>
        </w:rPr>
      </w:pPr>
    </w:p>
    <w:p w14:paraId="5F70DD98" w14:textId="77777777" w:rsidR="006F7881" w:rsidRPr="006F7881" w:rsidRDefault="006F7881" w:rsidP="006F7881">
      <w:pPr>
        <w:numPr>
          <w:ilvl w:val="0"/>
          <w:numId w:val="16"/>
        </w:numPr>
        <w:spacing w:after="0" w:line="240" w:lineRule="auto"/>
        <w:ind w:left="1134" w:hanging="567"/>
        <w:contextualSpacing/>
        <w:jc w:val="both"/>
        <w:rPr>
          <w:lang w:val="es-ES"/>
        </w:rPr>
      </w:pPr>
      <w:r w:rsidRPr="006F7881">
        <w:rPr>
          <w:lang w:val="es-ES"/>
        </w:rPr>
        <w:t>tome nota del presente documento y formule observaciones, según proceda;</w:t>
      </w:r>
    </w:p>
    <w:p w14:paraId="07F1FF1E" w14:textId="77777777" w:rsidR="006F7881" w:rsidRPr="006F7881" w:rsidRDefault="006F7881" w:rsidP="006F7881">
      <w:pPr>
        <w:spacing w:after="0" w:line="240" w:lineRule="auto"/>
        <w:ind w:left="1134" w:hanging="567"/>
        <w:contextualSpacing/>
        <w:jc w:val="both"/>
        <w:rPr>
          <w:lang w:val="es-ES"/>
        </w:rPr>
      </w:pPr>
    </w:p>
    <w:p w14:paraId="69D4CEC7" w14:textId="7D7D6B95" w:rsidR="006F7881" w:rsidRDefault="006F7881" w:rsidP="006F7881">
      <w:pPr>
        <w:numPr>
          <w:ilvl w:val="0"/>
          <w:numId w:val="16"/>
        </w:numPr>
        <w:spacing w:after="0" w:line="240" w:lineRule="auto"/>
        <w:ind w:left="1134" w:hanging="567"/>
        <w:jc w:val="both"/>
        <w:rPr>
          <w:lang w:val="es-ES"/>
        </w:rPr>
      </w:pPr>
      <w:r w:rsidRPr="006F7881">
        <w:rPr>
          <w:lang w:val="es-ES"/>
        </w:rPr>
        <w:t>apruebe el proyecto de Decisiones que se incluye en el Anexo del presente documento;</w:t>
      </w:r>
    </w:p>
    <w:p w14:paraId="7F5A54F4" w14:textId="77777777" w:rsidR="006F7881" w:rsidRDefault="006F7881" w:rsidP="006F7881">
      <w:pPr>
        <w:pStyle w:val="ListParagraph"/>
        <w:spacing w:after="0" w:line="240" w:lineRule="auto"/>
        <w:contextualSpacing w:val="0"/>
        <w:jc w:val="both"/>
        <w:rPr>
          <w:lang w:val="es-ES"/>
        </w:rPr>
      </w:pPr>
    </w:p>
    <w:p w14:paraId="559E8564" w14:textId="51A2B8B9" w:rsidR="002D5F2A" w:rsidRPr="006F7881" w:rsidRDefault="006F7881" w:rsidP="006F7881">
      <w:pPr>
        <w:numPr>
          <w:ilvl w:val="0"/>
          <w:numId w:val="16"/>
        </w:numPr>
        <w:spacing w:after="0" w:line="240" w:lineRule="auto"/>
        <w:ind w:left="1134" w:hanging="567"/>
        <w:contextualSpacing/>
        <w:jc w:val="both"/>
        <w:rPr>
          <w:lang w:val="es-ES"/>
        </w:rPr>
      </w:pPr>
      <w:r w:rsidRPr="006F7881">
        <w:rPr>
          <w:rFonts w:eastAsia="Calibri" w:cs="Arial"/>
          <w:color w:val="000000"/>
          <w:lang w:val="es-ES"/>
        </w:rPr>
        <w:t>derogue la Resolución UNEP/CMS/Resolución 11.8 (Rev.COP12), por referirse a un programa de trabajo obsoleto</w:t>
      </w:r>
      <w:r>
        <w:rPr>
          <w:rFonts w:eastAsia="Calibri" w:cs="Arial"/>
          <w:color w:val="000000"/>
          <w:lang w:val="es-ES"/>
        </w:rPr>
        <w:t>.</w:t>
      </w:r>
    </w:p>
    <w:p w14:paraId="5DA61966" w14:textId="77777777" w:rsidR="006F7881" w:rsidRDefault="006F7881" w:rsidP="006F7881">
      <w:pPr>
        <w:pStyle w:val="ListParagraph"/>
        <w:rPr>
          <w:lang w:val="es-ES"/>
        </w:rPr>
      </w:pPr>
    </w:p>
    <w:p w14:paraId="482948AD" w14:textId="77777777" w:rsidR="006F7881" w:rsidRDefault="006F7881" w:rsidP="006F7881">
      <w:pPr>
        <w:spacing w:after="0" w:line="240" w:lineRule="auto"/>
        <w:contextualSpacing/>
        <w:jc w:val="both"/>
        <w:rPr>
          <w:lang w:val="es-ES"/>
        </w:rPr>
        <w:sectPr w:rsidR="006F7881"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1F4197C5" w14:textId="6D8AE5BE" w:rsidR="005F6A27" w:rsidRPr="005F6A27" w:rsidRDefault="005F6A27" w:rsidP="005F6A27">
      <w:pPr>
        <w:spacing w:after="0" w:line="240" w:lineRule="auto"/>
        <w:jc w:val="right"/>
        <w:rPr>
          <w:lang w:val="es-ES"/>
        </w:rPr>
      </w:pPr>
      <w:r w:rsidRPr="005F6A27">
        <w:rPr>
          <w:b/>
          <w:lang w:val="es-ES"/>
        </w:rPr>
        <w:lastRenderedPageBreak/>
        <w:t>ANEXO</w:t>
      </w:r>
    </w:p>
    <w:p w14:paraId="32682D98" w14:textId="77777777" w:rsidR="005F6A27" w:rsidRPr="005F6A27" w:rsidRDefault="005F6A27" w:rsidP="005F6A27">
      <w:pPr>
        <w:spacing w:after="0" w:line="240" w:lineRule="auto"/>
        <w:jc w:val="both"/>
        <w:rPr>
          <w:rFonts w:eastAsia="Times New Roman" w:cs="Arial"/>
          <w:b/>
          <w:bCs/>
          <w:iCs/>
          <w:lang w:val="es-ES"/>
        </w:rPr>
      </w:pPr>
    </w:p>
    <w:p w14:paraId="61A9EF91" w14:textId="77777777" w:rsidR="005F6A27" w:rsidRPr="005F6A27" w:rsidRDefault="005F6A27" w:rsidP="005F6A27">
      <w:pPr>
        <w:spacing w:after="0" w:line="240" w:lineRule="auto"/>
        <w:jc w:val="both"/>
        <w:rPr>
          <w:rFonts w:eastAsia="Calibri" w:cs="Arial"/>
          <w:lang w:val="es-ES"/>
        </w:rPr>
      </w:pPr>
    </w:p>
    <w:p w14:paraId="4F58753A" w14:textId="77777777" w:rsidR="005F6A27" w:rsidRPr="005F6A27" w:rsidRDefault="005F6A27" w:rsidP="005F6A27">
      <w:pPr>
        <w:widowControl w:val="0"/>
        <w:autoSpaceDE w:val="0"/>
        <w:autoSpaceDN w:val="0"/>
        <w:adjustRightInd w:val="0"/>
        <w:spacing w:after="0" w:line="240" w:lineRule="auto"/>
        <w:jc w:val="center"/>
        <w:rPr>
          <w:rFonts w:eastAsia="Times New Roman" w:cs="Arial"/>
          <w:lang w:val="es-ES"/>
        </w:rPr>
      </w:pPr>
      <w:r w:rsidRPr="005F6A27">
        <w:rPr>
          <w:rFonts w:eastAsia="Times New Roman" w:cs="Arial"/>
          <w:lang w:val="es-ES"/>
        </w:rPr>
        <w:t>PROYECTOS DE DECISIÓN</w:t>
      </w:r>
    </w:p>
    <w:p w14:paraId="0F960CF6" w14:textId="77777777" w:rsidR="005F6A27" w:rsidRPr="005F6A27" w:rsidRDefault="005F6A27" w:rsidP="005F6A27">
      <w:pPr>
        <w:widowControl w:val="0"/>
        <w:autoSpaceDE w:val="0"/>
        <w:autoSpaceDN w:val="0"/>
        <w:adjustRightInd w:val="0"/>
        <w:spacing w:after="0" w:line="240" w:lineRule="auto"/>
        <w:jc w:val="center"/>
        <w:rPr>
          <w:rFonts w:eastAsia="Times New Roman" w:cs="Arial"/>
          <w:lang w:val="es-ES"/>
        </w:rPr>
      </w:pPr>
    </w:p>
    <w:p w14:paraId="0A7BF982" w14:textId="77777777" w:rsidR="005F6A27" w:rsidRPr="005F6A27" w:rsidRDefault="005F6A27" w:rsidP="005F6A27">
      <w:pPr>
        <w:spacing w:after="0" w:line="240" w:lineRule="auto"/>
        <w:jc w:val="center"/>
        <w:rPr>
          <w:rFonts w:eastAsia="Calibri" w:cs="Arial"/>
          <w:b/>
          <w:bCs/>
          <w:lang w:val="es-ES"/>
        </w:rPr>
      </w:pPr>
      <w:r w:rsidRPr="005F6A27">
        <w:rPr>
          <w:rFonts w:eastAsia="Calibri" w:cs="Arial"/>
          <w:b/>
          <w:bCs/>
          <w:lang w:val="es-ES"/>
        </w:rPr>
        <w:t>COMUNICACIÓN Y GESTIÓN DE LA INFORMACIÓN</w:t>
      </w:r>
    </w:p>
    <w:p w14:paraId="511FB649" w14:textId="77777777" w:rsidR="005F6A27" w:rsidRPr="005F6A27" w:rsidRDefault="005F6A27" w:rsidP="005F6A27">
      <w:pPr>
        <w:spacing w:after="0" w:line="240" w:lineRule="auto"/>
        <w:jc w:val="both"/>
        <w:rPr>
          <w:rFonts w:eastAsia="Times New Roman" w:cs="Arial"/>
          <w:b/>
          <w:bCs/>
          <w:lang w:val="es-ES"/>
        </w:rPr>
      </w:pPr>
    </w:p>
    <w:p w14:paraId="48A0E1FD" w14:textId="77777777" w:rsidR="005F6A27" w:rsidRPr="005F6A27" w:rsidRDefault="005F6A27" w:rsidP="005F6A27">
      <w:pPr>
        <w:widowControl w:val="0"/>
        <w:autoSpaceDE w:val="0"/>
        <w:autoSpaceDN w:val="0"/>
        <w:adjustRightInd w:val="0"/>
        <w:spacing w:after="0" w:line="240" w:lineRule="auto"/>
        <w:jc w:val="both"/>
        <w:rPr>
          <w:rFonts w:eastAsia="Times New Roman" w:cs="Arial"/>
          <w:b/>
          <w:bCs/>
          <w:lang w:val="es-ES"/>
        </w:rPr>
      </w:pPr>
      <w:r w:rsidRPr="005F6A27">
        <w:rPr>
          <w:rFonts w:eastAsia="Times New Roman" w:cs="Arial"/>
          <w:b/>
          <w:bCs/>
          <w:lang w:val="es-ES"/>
        </w:rPr>
        <w:t xml:space="preserve"> </w:t>
      </w:r>
    </w:p>
    <w:p w14:paraId="5F0A8E16" w14:textId="77777777" w:rsidR="005F6A27" w:rsidRPr="005F6A27" w:rsidRDefault="005F6A27" w:rsidP="005F6A27">
      <w:pPr>
        <w:widowControl w:val="0"/>
        <w:autoSpaceDE w:val="0"/>
        <w:autoSpaceDN w:val="0"/>
        <w:adjustRightInd w:val="0"/>
        <w:spacing w:after="0" w:line="240" w:lineRule="auto"/>
        <w:jc w:val="both"/>
        <w:rPr>
          <w:rFonts w:eastAsia="Times New Roman" w:cs="Arial"/>
          <w:b/>
          <w:bCs/>
          <w:i/>
          <w:lang w:val="es-ES"/>
        </w:rPr>
      </w:pPr>
      <w:r w:rsidRPr="005F6A27">
        <w:rPr>
          <w:rFonts w:eastAsia="Times New Roman" w:cs="Arial"/>
          <w:b/>
          <w:bCs/>
          <w:i/>
          <w:lang w:val="es-ES"/>
        </w:rPr>
        <w:t>Dirigido a las Partes</w:t>
      </w:r>
    </w:p>
    <w:p w14:paraId="32F9C067" w14:textId="77777777" w:rsidR="005F6A27" w:rsidRPr="005F6A27" w:rsidRDefault="005F6A27" w:rsidP="005F6A27">
      <w:pPr>
        <w:widowControl w:val="0"/>
        <w:autoSpaceDE w:val="0"/>
        <w:autoSpaceDN w:val="0"/>
        <w:adjustRightInd w:val="0"/>
        <w:spacing w:after="0" w:line="240" w:lineRule="auto"/>
        <w:jc w:val="both"/>
        <w:rPr>
          <w:rFonts w:eastAsia="Times New Roman" w:cs="Arial"/>
          <w:b/>
          <w:bCs/>
          <w:iCs/>
          <w:lang w:val="es-ES"/>
        </w:rPr>
      </w:pPr>
    </w:p>
    <w:p w14:paraId="3257042A" w14:textId="77777777" w:rsidR="005F6A27" w:rsidRPr="005F6A27" w:rsidRDefault="005F6A27" w:rsidP="005F6A27">
      <w:pPr>
        <w:widowControl w:val="0"/>
        <w:autoSpaceDE w:val="0"/>
        <w:autoSpaceDN w:val="0"/>
        <w:adjustRightInd w:val="0"/>
        <w:spacing w:after="0" w:line="240" w:lineRule="auto"/>
        <w:ind w:left="851" w:hanging="851"/>
        <w:jc w:val="both"/>
        <w:rPr>
          <w:rFonts w:eastAsia="Times New Roman" w:cs="Arial"/>
          <w:iCs/>
          <w:lang w:val="es-ES"/>
        </w:rPr>
      </w:pPr>
      <w:r w:rsidRPr="005F6A27">
        <w:rPr>
          <w:rFonts w:eastAsia="Times New Roman" w:cs="Arial"/>
          <w:iCs/>
          <w:lang w:val="es-ES"/>
        </w:rPr>
        <w:t xml:space="preserve">15.AA </w:t>
      </w:r>
      <w:r w:rsidRPr="005F6A27">
        <w:rPr>
          <w:rFonts w:eastAsia="Times New Roman" w:cs="Arial"/>
          <w:iCs/>
          <w:lang w:val="es-ES"/>
        </w:rPr>
        <w:tab/>
        <w:t xml:space="preserve">Se alienta a las Partes a: </w:t>
      </w:r>
    </w:p>
    <w:p w14:paraId="4F478371" w14:textId="77777777" w:rsidR="005F6A27" w:rsidRPr="005F6A27" w:rsidRDefault="005F6A27" w:rsidP="005F6A27">
      <w:pPr>
        <w:widowControl w:val="0"/>
        <w:autoSpaceDE w:val="0"/>
        <w:autoSpaceDN w:val="0"/>
        <w:adjustRightInd w:val="0"/>
        <w:spacing w:after="0" w:line="240" w:lineRule="auto"/>
        <w:jc w:val="both"/>
        <w:rPr>
          <w:rFonts w:eastAsia="Times New Roman" w:cs="Arial"/>
          <w:iCs/>
          <w:lang w:val="es-ES"/>
        </w:rPr>
      </w:pPr>
    </w:p>
    <w:p w14:paraId="058A6B22" w14:textId="77777777" w:rsidR="005F6A27" w:rsidRPr="005F6A27" w:rsidRDefault="005F6A27" w:rsidP="005F6A27">
      <w:pPr>
        <w:widowControl w:val="0"/>
        <w:numPr>
          <w:ilvl w:val="0"/>
          <w:numId w:val="17"/>
        </w:numPr>
        <w:autoSpaceDE w:val="0"/>
        <w:autoSpaceDN w:val="0"/>
        <w:adjustRightInd w:val="0"/>
        <w:spacing w:after="0" w:line="240" w:lineRule="auto"/>
        <w:ind w:left="1418" w:hanging="567"/>
        <w:jc w:val="both"/>
        <w:rPr>
          <w:rFonts w:eastAsia="Calibri" w:cs="Arial"/>
          <w:iCs/>
          <w:lang w:val="es-ES"/>
        </w:rPr>
      </w:pPr>
      <w:r w:rsidRPr="005F6A27">
        <w:rPr>
          <w:rFonts w:eastAsia="Calibri" w:cs="Arial"/>
          <w:iCs/>
          <w:lang w:val="es-ES"/>
        </w:rPr>
        <w:t>proporcionar apoyo financiero para</w:t>
      </w:r>
      <w:r w:rsidRPr="005F6A27">
        <w:rPr>
          <w:rFonts w:eastAsia="Calibri" w:cs="Arial"/>
          <w:lang w:val="es-ES"/>
        </w:rPr>
        <w:t xml:space="preserve"> la aplicación continuada de las recomendaciones de la Evaluación Estratégica de la Comunicación respaldadas por la COP14;</w:t>
      </w:r>
    </w:p>
    <w:p w14:paraId="2A3CAC1A" w14:textId="77777777" w:rsidR="005F6A27" w:rsidRPr="005F6A27" w:rsidRDefault="005F6A27" w:rsidP="005F6A27">
      <w:pPr>
        <w:widowControl w:val="0"/>
        <w:autoSpaceDE w:val="0"/>
        <w:autoSpaceDN w:val="0"/>
        <w:adjustRightInd w:val="0"/>
        <w:spacing w:after="0" w:line="240" w:lineRule="auto"/>
        <w:ind w:left="1418" w:hanging="567"/>
        <w:jc w:val="both"/>
        <w:rPr>
          <w:rFonts w:eastAsia="Times New Roman" w:cs="Arial"/>
          <w:iCs/>
          <w:lang w:val="es-ES"/>
        </w:rPr>
      </w:pPr>
    </w:p>
    <w:p w14:paraId="74A3367C" w14:textId="53A6E466" w:rsidR="005F6A27" w:rsidRPr="005F6A27" w:rsidRDefault="00BF4F94" w:rsidP="005F6A27">
      <w:pPr>
        <w:numPr>
          <w:ilvl w:val="0"/>
          <w:numId w:val="17"/>
        </w:numPr>
        <w:spacing w:after="0" w:line="240" w:lineRule="auto"/>
        <w:ind w:left="1418" w:hanging="567"/>
        <w:contextualSpacing/>
        <w:jc w:val="both"/>
        <w:rPr>
          <w:rFonts w:eastAsia="Calibri"/>
          <w:iCs/>
          <w:lang w:val="es-ES"/>
        </w:rPr>
      </w:pPr>
      <w:r>
        <w:rPr>
          <w:iCs/>
          <w:lang w:val="es-ES"/>
        </w:rPr>
        <w:t>integrar</w:t>
      </w:r>
      <w:r w:rsidR="005F6A27" w:rsidRPr="005F6A27">
        <w:rPr>
          <w:iCs/>
          <w:lang w:val="es-ES"/>
        </w:rPr>
        <w:t xml:space="preserve"> </w:t>
      </w:r>
      <w:r>
        <w:rPr>
          <w:iCs/>
          <w:lang w:val="es-ES"/>
        </w:rPr>
        <w:t>los</w:t>
      </w:r>
      <w:r w:rsidR="005F6A27" w:rsidRPr="005F6A27">
        <w:rPr>
          <w:iCs/>
          <w:lang w:val="es-ES"/>
        </w:rPr>
        <w:t xml:space="preserve"> componentes de comunicación en la fase de planificación de sus </w:t>
      </w:r>
      <w:r>
        <w:rPr>
          <w:iCs/>
          <w:lang w:val="es-ES"/>
        </w:rPr>
        <w:t>actividades relevantes</w:t>
      </w:r>
      <w:r w:rsidR="005F6A27" w:rsidRPr="005F6A27">
        <w:rPr>
          <w:iCs/>
          <w:lang w:val="es-ES"/>
        </w:rPr>
        <w:t xml:space="preserve"> para contribuir al logro de las metas 6.1 y 6.2 del Plan Estratégico de Samarcanda.</w:t>
      </w:r>
    </w:p>
    <w:p w14:paraId="346E3978" w14:textId="77777777" w:rsidR="005F6A27" w:rsidRPr="005F6A27" w:rsidRDefault="005F6A27" w:rsidP="005F6A27">
      <w:pPr>
        <w:widowControl w:val="0"/>
        <w:autoSpaceDE w:val="0"/>
        <w:autoSpaceDN w:val="0"/>
        <w:adjustRightInd w:val="0"/>
        <w:spacing w:after="0" w:line="240" w:lineRule="auto"/>
        <w:ind w:left="720" w:hanging="720"/>
        <w:jc w:val="both"/>
        <w:rPr>
          <w:rFonts w:eastAsia="Times New Roman" w:cs="Arial"/>
          <w:iCs/>
          <w:lang w:val="es-ES"/>
        </w:rPr>
      </w:pPr>
    </w:p>
    <w:p w14:paraId="039F8557" w14:textId="77777777" w:rsidR="005F6A27" w:rsidRPr="005F6A27" w:rsidRDefault="005F6A27" w:rsidP="005F6A27">
      <w:pPr>
        <w:widowControl w:val="0"/>
        <w:autoSpaceDE w:val="0"/>
        <w:autoSpaceDN w:val="0"/>
        <w:adjustRightInd w:val="0"/>
        <w:spacing w:after="0" w:line="240" w:lineRule="auto"/>
        <w:jc w:val="both"/>
        <w:rPr>
          <w:rFonts w:eastAsia="Times New Roman" w:cs="Arial"/>
          <w:iCs/>
          <w:lang w:val="es-ES"/>
        </w:rPr>
      </w:pPr>
    </w:p>
    <w:p w14:paraId="19CB1ECB" w14:textId="77777777" w:rsidR="005F6A27" w:rsidRPr="005F6A27" w:rsidRDefault="005F6A27" w:rsidP="005F6A27">
      <w:pPr>
        <w:widowControl w:val="0"/>
        <w:autoSpaceDE w:val="0"/>
        <w:autoSpaceDN w:val="0"/>
        <w:adjustRightInd w:val="0"/>
        <w:spacing w:after="0" w:line="240" w:lineRule="auto"/>
        <w:jc w:val="both"/>
        <w:rPr>
          <w:rFonts w:eastAsia="Times New Roman" w:cs="Arial"/>
          <w:b/>
          <w:bCs/>
          <w:i/>
          <w:lang w:val="es-ES"/>
        </w:rPr>
      </w:pPr>
      <w:r w:rsidRPr="005F6A27">
        <w:rPr>
          <w:rFonts w:eastAsia="Times New Roman" w:cs="Arial"/>
          <w:b/>
          <w:bCs/>
          <w:i/>
          <w:lang w:val="es-ES"/>
        </w:rPr>
        <w:t>Dirigido a la Secretaría</w:t>
      </w:r>
    </w:p>
    <w:p w14:paraId="20691077" w14:textId="77777777" w:rsidR="005F6A27" w:rsidRPr="005F6A27" w:rsidRDefault="005F6A27" w:rsidP="005F6A27">
      <w:pPr>
        <w:widowControl w:val="0"/>
        <w:autoSpaceDE w:val="0"/>
        <w:autoSpaceDN w:val="0"/>
        <w:adjustRightInd w:val="0"/>
        <w:spacing w:after="0" w:line="240" w:lineRule="auto"/>
        <w:jc w:val="both"/>
        <w:rPr>
          <w:rFonts w:eastAsia="Times New Roman" w:cs="Arial"/>
          <w:b/>
          <w:bCs/>
          <w:iCs/>
          <w:lang w:val="es-ES"/>
        </w:rPr>
      </w:pPr>
    </w:p>
    <w:p w14:paraId="79A959FA" w14:textId="77777777" w:rsidR="005F6A27" w:rsidRPr="005F6A27" w:rsidRDefault="005F6A27" w:rsidP="005F6A27">
      <w:pPr>
        <w:spacing w:after="0" w:line="240" w:lineRule="auto"/>
        <w:ind w:left="851" w:hanging="851"/>
        <w:jc w:val="both"/>
        <w:rPr>
          <w:rFonts w:eastAsia="Calibri" w:cs="Arial"/>
          <w:iCs/>
          <w:lang w:val="es-ES"/>
        </w:rPr>
      </w:pPr>
      <w:r w:rsidRPr="005F6A27">
        <w:rPr>
          <w:rFonts w:eastAsia="Times New Roman" w:cs="Arial"/>
          <w:iCs/>
          <w:lang w:val="es-ES"/>
        </w:rPr>
        <w:t xml:space="preserve">15.BB </w:t>
      </w:r>
      <w:r w:rsidRPr="005F6A27">
        <w:rPr>
          <w:rFonts w:eastAsia="Times New Roman" w:cs="Arial"/>
          <w:iCs/>
          <w:lang w:val="es-ES"/>
        </w:rPr>
        <w:tab/>
      </w:r>
      <w:r w:rsidRPr="005F6A27">
        <w:rPr>
          <w:rFonts w:eastAsia="Calibri" w:cs="Arial"/>
          <w:lang w:val="es-ES"/>
        </w:rPr>
        <w:t>La Secretaría, en función de la disponibilidad de recursos externos deberá:</w:t>
      </w:r>
    </w:p>
    <w:p w14:paraId="70EDC739" w14:textId="77777777" w:rsidR="005F6A27" w:rsidRPr="005F6A27" w:rsidRDefault="005F6A27" w:rsidP="005F6A27">
      <w:pPr>
        <w:widowControl w:val="0"/>
        <w:autoSpaceDE w:val="0"/>
        <w:autoSpaceDN w:val="0"/>
        <w:adjustRightInd w:val="0"/>
        <w:spacing w:after="0" w:line="240" w:lineRule="auto"/>
        <w:jc w:val="both"/>
        <w:rPr>
          <w:rFonts w:eastAsia="Times New Roman" w:cs="Arial"/>
          <w:iCs/>
          <w:lang w:val="es-ES"/>
        </w:rPr>
      </w:pPr>
    </w:p>
    <w:p w14:paraId="6D00DC33" w14:textId="7E9C0156" w:rsidR="005F6A27" w:rsidRPr="00AE59DF" w:rsidRDefault="005F6A27" w:rsidP="005F6A27">
      <w:pPr>
        <w:numPr>
          <w:ilvl w:val="0"/>
          <w:numId w:val="18"/>
        </w:numPr>
        <w:spacing w:after="0" w:line="240" w:lineRule="auto"/>
        <w:ind w:left="1418" w:hanging="567"/>
        <w:contextualSpacing/>
        <w:jc w:val="both"/>
        <w:rPr>
          <w:rFonts w:eastAsia="Calibri"/>
          <w:lang w:val="es-ES"/>
        </w:rPr>
      </w:pPr>
      <w:r w:rsidRPr="005F6A27">
        <w:rPr>
          <w:lang w:val="es-ES"/>
        </w:rPr>
        <w:t>seguir aplicando las recomendaciones de la Evaluación de la Comunicación Estratégica</w:t>
      </w:r>
      <w:r w:rsidR="00555256">
        <w:rPr>
          <w:lang w:val="es-ES"/>
        </w:rPr>
        <w:t>;</w:t>
      </w:r>
    </w:p>
    <w:p w14:paraId="342F1F4B" w14:textId="77777777" w:rsidR="00AE59DF" w:rsidRPr="00AE59DF" w:rsidRDefault="00AE59DF" w:rsidP="00AE59DF">
      <w:pPr>
        <w:spacing w:after="0" w:line="240" w:lineRule="auto"/>
        <w:ind w:left="1418"/>
        <w:contextualSpacing/>
        <w:jc w:val="both"/>
        <w:rPr>
          <w:rFonts w:eastAsia="Calibri"/>
          <w:lang w:val="es-ES"/>
        </w:rPr>
      </w:pPr>
    </w:p>
    <w:p w14:paraId="550C9287" w14:textId="0ED046C2" w:rsidR="005F6A27" w:rsidRPr="00AE59DF" w:rsidRDefault="00AE59DF" w:rsidP="00AE59DF">
      <w:pPr>
        <w:numPr>
          <w:ilvl w:val="0"/>
          <w:numId w:val="18"/>
        </w:numPr>
        <w:spacing w:after="0" w:line="240" w:lineRule="auto"/>
        <w:ind w:left="1418" w:hanging="567"/>
        <w:contextualSpacing/>
        <w:jc w:val="both"/>
        <w:rPr>
          <w:rFonts w:eastAsia="Calibri"/>
          <w:lang w:val="es-ES"/>
        </w:rPr>
      </w:pPr>
      <w:r w:rsidRPr="00AE59DF">
        <w:rPr>
          <w:lang w:val="es-ES"/>
        </w:rPr>
        <w:t>seguir explorando alianzas estratégicas en materia de comunicación e intercambio de información con otras entidades</w:t>
      </w:r>
      <w:r>
        <w:rPr>
          <w:lang w:val="es-ES"/>
        </w:rPr>
        <w:t>.</w:t>
      </w:r>
    </w:p>
    <w:p w14:paraId="5E5E2493" w14:textId="77777777" w:rsidR="005F6A27" w:rsidRPr="005F6A27" w:rsidRDefault="005F6A27" w:rsidP="005F6A27">
      <w:pPr>
        <w:widowControl w:val="0"/>
        <w:autoSpaceDE w:val="0"/>
        <w:autoSpaceDN w:val="0"/>
        <w:adjustRightInd w:val="0"/>
        <w:spacing w:after="0" w:line="240" w:lineRule="auto"/>
        <w:jc w:val="both"/>
        <w:rPr>
          <w:rFonts w:eastAsia="Calibri" w:cs="Arial"/>
          <w:i/>
          <w:lang w:val="es-ES"/>
        </w:rPr>
      </w:pPr>
    </w:p>
    <w:p w14:paraId="7FC5ADB6" w14:textId="77777777" w:rsidR="006F7881" w:rsidRPr="006F7881" w:rsidRDefault="006F7881" w:rsidP="006F7881">
      <w:pPr>
        <w:spacing w:after="0" w:line="240" w:lineRule="auto"/>
        <w:contextualSpacing/>
        <w:jc w:val="both"/>
        <w:rPr>
          <w:lang w:val="es-ES"/>
        </w:rPr>
      </w:pPr>
    </w:p>
    <w:sectPr w:rsidR="006F7881" w:rsidRPr="006F7881" w:rsidSect="00323406">
      <w:headerReference w:type="first" r:id="rId23"/>
      <w:foot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B59B" w14:textId="77777777" w:rsidR="005277CB" w:rsidRDefault="005277CB" w:rsidP="00002A97">
      <w:pPr>
        <w:spacing w:after="0" w:line="240" w:lineRule="auto"/>
      </w:pPr>
      <w:r>
        <w:separator/>
      </w:r>
    </w:p>
  </w:endnote>
  <w:endnote w:type="continuationSeparator" w:id="0">
    <w:p w14:paraId="7EB3027A" w14:textId="77777777" w:rsidR="005277CB" w:rsidRDefault="005277CB"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395820"/>
      <w:docPartObj>
        <w:docPartGallery w:val="Page Numbers (Bottom of Page)"/>
        <w:docPartUnique/>
      </w:docPartObj>
    </w:sdtPr>
    <w:sdtEndPr>
      <w:rPr>
        <w:noProof/>
        <w:sz w:val="18"/>
        <w:szCs w:val="18"/>
      </w:rPr>
    </w:sdtEndPr>
    <w:sdtContent>
      <w:p w14:paraId="26F0575E" w14:textId="530CE779" w:rsidR="005F6A27" w:rsidRPr="005F6A27" w:rsidRDefault="005F6A27">
        <w:pPr>
          <w:pStyle w:val="Footer"/>
          <w:jc w:val="center"/>
          <w:rPr>
            <w:sz w:val="18"/>
            <w:szCs w:val="18"/>
          </w:rPr>
        </w:pPr>
        <w:r w:rsidRPr="005F6A27">
          <w:rPr>
            <w:sz w:val="18"/>
            <w:szCs w:val="18"/>
          </w:rPr>
          <w:fldChar w:fldCharType="begin"/>
        </w:r>
        <w:r w:rsidRPr="005F6A27">
          <w:rPr>
            <w:sz w:val="18"/>
            <w:szCs w:val="18"/>
          </w:rPr>
          <w:instrText xml:space="preserve"> PAGE   \* MERGEFORMAT </w:instrText>
        </w:r>
        <w:r w:rsidRPr="005F6A27">
          <w:rPr>
            <w:sz w:val="18"/>
            <w:szCs w:val="18"/>
          </w:rPr>
          <w:fldChar w:fldCharType="separate"/>
        </w:r>
        <w:r w:rsidRPr="005F6A27">
          <w:rPr>
            <w:noProof/>
            <w:sz w:val="18"/>
            <w:szCs w:val="18"/>
          </w:rPr>
          <w:t>2</w:t>
        </w:r>
        <w:r w:rsidRPr="005F6A2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9817" w14:textId="77777777" w:rsidR="005277CB" w:rsidRDefault="005277CB" w:rsidP="00002A97">
      <w:pPr>
        <w:spacing w:after="0" w:line="240" w:lineRule="auto"/>
      </w:pPr>
      <w:r>
        <w:separator/>
      </w:r>
    </w:p>
  </w:footnote>
  <w:footnote w:type="continuationSeparator" w:id="0">
    <w:p w14:paraId="7569A87E" w14:textId="77777777" w:rsidR="005277CB" w:rsidRDefault="005277CB"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A11E2D2"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227A74">
      <w:rPr>
        <w:rFonts w:eastAsia="Times New Roman" w:cs="Arial"/>
        <w:i/>
        <w:sz w:val="18"/>
        <w:szCs w:val="18"/>
        <w:lang w:val="fr-FR" w:eastAsia="es-ES"/>
      </w:rPr>
      <w:t>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17634CBC"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6F7881">
      <w:rPr>
        <w:rFonts w:eastAsia="Times New Roman" w:cs="Arial"/>
        <w:i/>
        <w:sz w:val="18"/>
        <w:szCs w:val="18"/>
        <w:lang w:val="fr-FR" w:eastAsia="es-ES"/>
      </w:rPr>
      <w:t>19</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1313" w14:textId="5E5BC851" w:rsidR="004822C4" w:rsidRPr="004822C4" w:rsidRDefault="004822C4" w:rsidP="005F6A27">
    <w:pPr>
      <w:pBdr>
        <w:bottom w:val="single" w:sz="4" w:space="1" w:color="auto"/>
      </w:pBdr>
      <w:tabs>
        <w:tab w:val="center" w:pos="4680"/>
        <w:tab w:val="right" w:pos="9360"/>
      </w:tabs>
      <w:spacing w:after="0" w:line="240" w:lineRule="auto"/>
      <w:jc w:val="right"/>
      <w:rPr>
        <w:rFonts w:ascii="Calibri" w:eastAsia="Calibri" w:hAnsi="Calibri" w:cs="Times New Roman"/>
        <w:lang w:val="en-GB"/>
      </w:rPr>
    </w:pPr>
    <w:r w:rsidRPr="004822C4">
      <w:rPr>
        <w:rFonts w:eastAsia="Calibri" w:cs="Arial"/>
        <w:i/>
        <w:sz w:val="18"/>
        <w:szCs w:val="18"/>
        <w:lang w:val="de-DE"/>
      </w:rPr>
      <w:t>UNEP/CMS/COP15/Doc.19/Anexo</w:t>
    </w:r>
  </w:p>
  <w:p w14:paraId="61D9F384" w14:textId="77777777" w:rsidR="006F7881" w:rsidRPr="006F22B0" w:rsidRDefault="006F7881"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29B5"/>
    <w:multiLevelType w:val="hybridMultilevel"/>
    <w:tmpl w:val="6D96871E"/>
    <w:lvl w:ilvl="0" w:tplc="04090017">
      <w:start w:val="1"/>
      <w:numFmt w:val="lowerLetter"/>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5" w15:restartNumberingAfterBreak="0">
    <w:nsid w:val="2FF918EC"/>
    <w:multiLevelType w:val="multilevel"/>
    <w:tmpl w:val="AC945D14"/>
    <w:lvl w:ilvl="0">
      <w:start w:val="1"/>
      <w:numFmt w:val="decimal"/>
      <w:lvlText w:val="%1."/>
      <w:lvlJc w:val="left"/>
      <w:pPr>
        <w:ind w:left="567" w:hanging="567"/>
      </w:pPr>
      <w:rPr>
        <w:rFonts w:hint="default"/>
        <w:sz w:val="22"/>
        <w:szCs w:val="22"/>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C7619"/>
    <w:multiLevelType w:val="hybridMultilevel"/>
    <w:tmpl w:val="FB7ED5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681B11A1"/>
    <w:multiLevelType w:val="multilevel"/>
    <w:tmpl w:val="194011FA"/>
    <w:lvl w:ilvl="0">
      <w:start w:val="1"/>
      <w:numFmt w:val="decimal"/>
      <w:lvlText w:val="%1."/>
      <w:lvlJc w:val="left"/>
      <w:pPr>
        <w:ind w:left="567" w:hanging="567"/>
      </w:pPr>
    </w:lvl>
    <w:lvl w:ilvl="1">
      <w:numFmt w:val="bullet"/>
      <w:lvlText w:val="-"/>
      <w:lvlJc w:val="left"/>
      <w:pPr>
        <w:ind w:left="1080" w:hanging="360"/>
      </w:pPr>
      <w:rPr>
        <w:rFonts w:ascii="Arial" w:eastAsia="Calibri" w:hAnsi="Arial" w:cs="Aria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0"/>
  </w:num>
  <w:num w:numId="5" w16cid:durableId="37974177">
    <w:abstractNumId w:val="6"/>
  </w:num>
  <w:num w:numId="6" w16cid:durableId="1958830237">
    <w:abstractNumId w:val="11"/>
  </w:num>
  <w:num w:numId="7" w16cid:durableId="396439182">
    <w:abstractNumId w:val="13"/>
  </w:num>
  <w:num w:numId="8" w16cid:durableId="260603560">
    <w:abstractNumId w:val="8"/>
  </w:num>
  <w:num w:numId="9" w16cid:durableId="1356272424">
    <w:abstractNumId w:val="7"/>
  </w:num>
  <w:num w:numId="10" w16cid:durableId="630594039">
    <w:abstractNumId w:val="16"/>
  </w:num>
  <w:num w:numId="11" w16cid:durableId="2069759870">
    <w:abstractNumId w:val="12"/>
  </w:num>
  <w:num w:numId="12" w16cid:durableId="904724938">
    <w:abstractNumId w:val="14"/>
  </w:num>
  <w:num w:numId="13" w16cid:durableId="1519390031">
    <w:abstractNumId w:val="5"/>
  </w:num>
  <w:num w:numId="14" w16cid:durableId="1223635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341325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43507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4849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91141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F4BDA"/>
    <w:rsid w:val="00127CCF"/>
    <w:rsid w:val="00154A11"/>
    <w:rsid w:val="00166CB7"/>
    <w:rsid w:val="001722A0"/>
    <w:rsid w:val="00192411"/>
    <w:rsid w:val="001E6CDF"/>
    <w:rsid w:val="00227A74"/>
    <w:rsid w:val="0024152C"/>
    <w:rsid w:val="00256158"/>
    <w:rsid w:val="002721A1"/>
    <w:rsid w:val="002A40B8"/>
    <w:rsid w:val="002A5ABE"/>
    <w:rsid w:val="002D5F2A"/>
    <w:rsid w:val="002F43C9"/>
    <w:rsid w:val="002F7EC2"/>
    <w:rsid w:val="003133A7"/>
    <w:rsid w:val="00323406"/>
    <w:rsid w:val="003768DF"/>
    <w:rsid w:val="00430A25"/>
    <w:rsid w:val="00457C8A"/>
    <w:rsid w:val="004822C4"/>
    <w:rsid w:val="004C7808"/>
    <w:rsid w:val="005277CB"/>
    <w:rsid w:val="005330F7"/>
    <w:rsid w:val="00555256"/>
    <w:rsid w:val="00563598"/>
    <w:rsid w:val="005848BA"/>
    <w:rsid w:val="00591364"/>
    <w:rsid w:val="0059243E"/>
    <w:rsid w:val="005C39FC"/>
    <w:rsid w:val="005F6A27"/>
    <w:rsid w:val="006114FC"/>
    <w:rsid w:val="00613A66"/>
    <w:rsid w:val="006C2EF5"/>
    <w:rsid w:val="006F22B0"/>
    <w:rsid w:val="006F7881"/>
    <w:rsid w:val="00703562"/>
    <w:rsid w:val="0077323D"/>
    <w:rsid w:val="00790422"/>
    <w:rsid w:val="007B2B78"/>
    <w:rsid w:val="007B53CC"/>
    <w:rsid w:val="007C212E"/>
    <w:rsid w:val="007E5A82"/>
    <w:rsid w:val="00800CB3"/>
    <w:rsid w:val="00810C64"/>
    <w:rsid w:val="00826AEA"/>
    <w:rsid w:val="008D2079"/>
    <w:rsid w:val="008D686F"/>
    <w:rsid w:val="009059D0"/>
    <w:rsid w:val="00942E74"/>
    <w:rsid w:val="00943D15"/>
    <w:rsid w:val="00951640"/>
    <w:rsid w:val="00A14DD4"/>
    <w:rsid w:val="00A96EB9"/>
    <w:rsid w:val="00AB27A9"/>
    <w:rsid w:val="00AC09AE"/>
    <w:rsid w:val="00AE59DF"/>
    <w:rsid w:val="00B104EC"/>
    <w:rsid w:val="00B40E07"/>
    <w:rsid w:val="00B6492A"/>
    <w:rsid w:val="00BC5707"/>
    <w:rsid w:val="00BC5F39"/>
    <w:rsid w:val="00BE6C85"/>
    <w:rsid w:val="00BF4F94"/>
    <w:rsid w:val="00BF7838"/>
    <w:rsid w:val="00C07709"/>
    <w:rsid w:val="00C22155"/>
    <w:rsid w:val="00C22A39"/>
    <w:rsid w:val="00C41DAD"/>
    <w:rsid w:val="00C664E8"/>
    <w:rsid w:val="00CF660D"/>
    <w:rsid w:val="00D70275"/>
    <w:rsid w:val="00D84650"/>
    <w:rsid w:val="00E607BD"/>
    <w:rsid w:val="00E77A9F"/>
    <w:rsid w:val="00E81B4A"/>
    <w:rsid w:val="00EE2EF4"/>
    <w:rsid w:val="00EF1D13"/>
    <w:rsid w:val="00F128CB"/>
    <w:rsid w:val="00F147ED"/>
    <w:rsid w:val="00F973DB"/>
    <w:rsid w:val="00FA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s/news/informe-de-la-onu-disminuci%C3%B3n-de-poblaciones-de-insectos-amenaza-las-aves-migratoria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s/node/41921"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cjsioTIiQz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ms.int/es/news/el-tratado-de-la-onu-sobre-vida-silvestre-publica-nuevos-informes-sobre-la-importancia-de-la"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ews/nuevos-mapas-documentan-la-mayor-migraci%C3%B3n-terrestre-de-animales-en-el-mundo-entre-etiop%C3%ADa-y"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F7DCDCFD-0864-4C70-AC8A-7D3C156F4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16</TotalTime>
  <Pages>9</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cp:lastPrinted>2026-01-20T15:04:00Z</cp:lastPrinted>
  <dcterms:created xsi:type="dcterms:W3CDTF">2026-01-20T11:14:00Z</dcterms:created>
  <dcterms:modified xsi:type="dcterms:W3CDTF">2026-01-20T15:07:00Z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