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9618A6" w:rsidRPr="00BE6C85" w14:paraId="1CC8E2EF" w14:textId="77777777" w:rsidTr="0014786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62044AF" w14:textId="77777777" w:rsidR="009618A6" w:rsidRPr="00002A97" w:rsidRDefault="009618A6" w:rsidP="00147868">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36A26A25" wp14:editId="0FCEEE24">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EF7BE80" w14:textId="77777777" w:rsidR="009618A6" w:rsidRPr="00002A97" w:rsidRDefault="009618A6" w:rsidP="00147868">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153EE92" w14:textId="77777777" w:rsidR="009618A6" w:rsidRPr="00002A97" w:rsidRDefault="009618A6" w:rsidP="0014786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BF4281D" w14:textId="77777777" w:rsidR="009618A6" w:rsidRPr="00002A97" w:rsidRDefault="009618A6" w:rsidP="0014786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0B3A88C" w14:textId="77777777" w:rsidR="009618A6" w:rsidRPr="00002A97" w:rsidRDefault="009618A6" w:rsidP="0014786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755A555" w14:textId="0911DC40" w:rsidR="009618A6" w:rsidRPr="00457C8A" w:rsidRDefault="009618A6" w:rsidP="0014786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Pr>
                <w:rFonts w:eastAsia="Times New Roman" w:cs="Arial"/>
                <w:szCs w:val="24"/>
                <w:lang w:val="fr-FR" w:eastAsia="es-ES"/>
              </w:rPr>
              <w:t>18.3</w:t>
            </w:r>
          </w:p>
          <w:p w14:paraId="7BB45045" w14:textId="4E9C51AC" w:rsidR="009618A6" w:rsidRPr="009618A6" w:rsidRDefault="00CB3696" w:rsidP="00147868">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16 de </w:t>
            </w:r>
            <w:proofErr w:type="spellStart"/>
            <w:r>
              <w:rPr>
                <w:rFonts w:eastAsia="Times New Roman" w:cs="Arial"/>
                <w:szCs w:val="24"/>
                <w:lang w:val="fr-FR" w:eastAsia="es-ES"/>
              </w:rPr>
              <w:t>diciembre</w:t>
            </w:r>
            <w:proofErr w:type="spellEnd"/>
            <w:r>
              <w:rPr>
                <w:rFonts w:eastAsia="Times New Roman" w:cs="Arial"/>
                <w:szCs w:val="24"/>
                <w:lang w:val="fr-FR" w:eastAsia="es-ES"/>
              </w:rPr>
              <w:t xml:space="preserve"> </w:t>
            </w:r>
            <w:r w:rsidR="009618A6" w:rsidRPr="009618A6">
              <w:rPr>
                <w:rFonts w:eastAsia="Times New Roman" w:cs="Arial"/>
                <w:szCs w:val="24"/>
                <w:lang w:val="fr-FR" w:eastAsia="es-ES"/>
              </w:rPr>
              <w:t>2025</w:t>
            </w:r>
          </w:p>
          <w:p w14:paraId="4F785AB8" w14:textId="77777777" w:rsidR="009618A6" w:rsidRPr="00002A97" w:rsidRDefault="009618A6" w:rsidP="00147868">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73D1970" w14:textId="77777777" w:rsidR="009618A6" w:rsidRPr="000F4BDA" w:rsidRDefault="009618A6" w:rsidP="00147868">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5E05BA4C" w14:textId="77777777" w:rsidR="009618A6" w:rsidRPr="00002A97" w:rsidRDefault="009618A6" w:rsidP="00147868">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1B69ED3" w14:textId="77777777" w:rsidR="009618A6" w:rsidRPr="00002A97" w:rsidRDefault="009618A6" w:rsidP="009618A6">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35F7E0BD" w14:textId="77777777" w:rsidR="009618A6" w:rsidRPr="00002A97" w:rsidRDefault="009618A6" w:rsidP="009618A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01759592" w14:textId="77777777" w:rsidR="009618A6" w:rsidRPr="00002A97" w:rsidRDefault="009618A6" w:rsidP="009618A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16F7AC87" w14:textId="18D0528D" w:rsidR="009618A6" w:rsidRPr="00002A97" w:rsidRDefault="009618A6" w:rsidP="009618A6">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B3696">
        <w:rPr>
          <w:rFonts w:eastAsia="Times New Roman" w:cs="Arial"/>
          <w:szCs w:val="24"/>
          <w:lang w:val="es-ES" w:eastAsia="es-ES"/>
        </w:rPr>
        <w:t xml:space="preserve">18.3 </w:t>
      </w:r>
      <w:r w:rsidRPr="00002A97">
        <w:rPr>
          <w:rFonts w:eastAsia="Times New Roman" w:cs="Arial"/>
          <w:szCs w:val="24"/>
          <w:lang w:val="es-ES" w:eastAsia="es-ES"/>
        </w:rPr>
        <w:t>del orden del día</w:t>
      </w:r>
    </w:p>
    <w:p w14:paraId="258B44F2"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1B42DF7" w14:textId="1E095E99" w:rsidR="00081045" w:rsidRPr="003141D0" w:rsidRDefault="00496FE6" w:rsidP="00496FE6">
      <w:pPr>
        <w:widowControl w:val="0"/>
        <w:suppressAutoHyphens/>
        <w:autoSpaceDE w:val="0"/>
        <w:autoSpaceDN w:val="0"/>
        <w:spacing w:after="120" w:line="240" w:lineRule="auto"/>
        <w:jc w:val="center"/>
        <w:textAlignment w:val="baseline"/>
        <w:rPr>
          <w:rFonts w:eastAsia="Times New Roman" w:cs="Arial"/>
          <w:b/>
          <w:bCs/>
          <w:lang w:val="es-ES"/>
        </w:rPr>
      </w:pPr>
      <w:r w:rsidRPr="003141D0">
        <w:rPr>
          <w:rFonts w:eastAsia="Arial" w:cs="Arial"/>
          <w:b/>
          <w:bCs/>
          <w:lang w:val="es-ES"/>
        </w:rPr>
        <w:t>CONTRIBUCIÓN DE LA CMS AL MARCO MUNDIAL PARA LA BIODIVERSIDAD DE KUNMING-MONTREAL</w:t>
      </w:r>
    </w:p>
    <w:p w14:paraId="22A41750" w14:textId="4D5A96A9" w:rsidR="00AD4F4C" w:rsidRPr="003141D0"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141D0">
        <w:rPr>
          <w:rFonts w:eastAsia="Times New Roman" w:cs="Arial"/>
          <w:i/>
          <w:lang w:val="es-ES"/>
        </w:rPr>
        <w:t>(Preparado por la Secretaría)</w:t>
      </w:r>
    </w:p>
    <w:p w14:paraId="2843937F" w14:textId="5C4E1664" w:rsidR="002E0DE9" w:rsidRPr="003141D0"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325C2129" w:rsidR="002E0DE9" w:rsidRPr="003141D0" w:rsidRDefault="00D31A58"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3141D0">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424BAC2A">
                <wp:simplePos x="0" y="0"/>
                <wp:positionH relativeFrom="margin">
                  <wp:posOffset>895350</wp:posOffset>
                </wp:positionH>
                <wp:positionV relativeFrom="margin">
                  <wp:posOffset>2657475</wp:posOffset>
                </wp:positionV>
                <wp:extent cx="4304665" cy="20764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76450"/>
                        </a:xfrm>
                        <a:prstGeom prst="rect">
                          <a:avLst/>
                        </a:prstGeom>
                        <a:solidFill>
                          <a:srgbClr val="FFFFFF"/>
                        </a:solidFill>
                        <a:ln w="3172">
                          <a:solidFill>
                            <a:srgbClr val="000000"/>
                          </a:solidFill>
                          <a:prstDash val="solid"/>
                        </a:ln>
                      </wps:spPr>
                      <wps:txbx>
                        <w:txbxContent>
                          <w:p w14:paraId="361301A9" w14:textId="77777777" w:rsidR="002E0DE9" w:rsidRPr="00521141" w:rsidRDefault="002E0DE9" w:rsidP="00F75474">
                            <w:pPr>
                              <w:spacing w:after="0"/>
                              <w:jc w:val="both"/>
                              <w:rPr>
                                <w:rFonts w:cs="Arial"/>
                                <w:lang w:val="es-ES"/>
                              </w:rPr>
                            </w:pPr>
                            <w:r w:rsidRPr="00521141">
                              <w:rPr>
                                <w:rFonts w:cs="Arial"/>
                                <w:lang w:val="es-ES"/>
                              </w:rPr>
                              <w:t>Resumen:</w:t>
                            </w:r>
                          </w:p>
                          <w:p w14:paraId="12338272" w14:textId="77777777" w:rsidR="002E0DE9" w:rsidRPr="00521141" w:rsidRDefault="002E0DE9" w:rsidP="00B13C59">
                            <w:pPr>
                              <w:spacing w:after="0" w:line="240" w:lineRule="auto"/>
                              <w:jc w:val="both"/>
                              <w:rPr>
                                <w:rFonts w:cs="Arial"/>
                                <w:lang w:val="es-ES"/>
                              </w:rPr>
                            </w:pPr>
                          </w:p>
                          <w:p w14:paraId="668EEB06" w14:textId="6F6C8C4F" w:rsidR="00D31A58" w:rsidRPr="00521141" w:rsidRDefault="00D31A58" w:rsidP="00B13C59">
                            <w:pPr>
                              <w:spacing w:after="0" w:line="240" w:lineRule="auto"/>
                              <w:jc w:val="both"/>
                              <w:rPr>
                                <w:rFonts w:cs="Arial"/>
                                <w:color w:val="000000" w:themeColor="text1"/>
                                <w:lang w:val="es-ES"/>
                              </w:rPr>
                            </w:pPr>
                            <w:r w:rsidRPr="00521141">
                              <w:rPr>
                                <w:rFonts w:cs="Arial"/>
                                <w:lang w:val="es-ES"/>
                              </w:rPr>
                              <w:t xml:space="preserve">Este documento informa sobre los avances en la aplicación de la Decisión 14.7 </w:t>
                            </w:r>
                            <w:r w:rsidR="00C11B85" w:rsidRPr="00521141">
                              <w:rPr>
                                <w:rFonts w:cs="Arial"/>
                                <w:i/>
                                <w:iCs/>
                                <w:lang w:val="es-ES"/>
                              </w:rPr>
                              <w:t>Participación de la CMS en los procesos del CDB, incluido el Marco Mundial para la Biodiversidad</w:t>
                            </w:r>
                            <w:r w:rsidRPr="00521141">
                              <w:rPr>
                                <w:rFonts w:cs="Arial"/>
                                <w:color w:val="000000" w:themeColor="text1"/>
                                <w:lang w:val="es-ES"/>
                              </w:rPr>
                              <w:t>. El documento propone nuevos proyectos de Decisión y la supresión de las Decisiones 14.6-7.</w:t>
                            </w:r>
                          </w:p>
                          <w:p w14:paraId="13DB2F95" w14:textId="77777777" w:rsidR="00D31A58" w:rsidRPr="00521141" w:rsidRDefault="00D31A58" w:rsidP="00B13C59">
                            <w:pPr>
                              <w:spacing w:after="0" w:line="240" w:lineRule="auto"/>
                              <w:jc w:val="both"/>
                              <w:rPr>
                                <w:rFonts w:cs="Arial"/>
                                <w:vanish/>
                                <w:color w:val="000000" w:themeColor="text1"/>
                                <w:highlight w:val="yellow"/>
                                <w:lang w:val="es-ES"/>
                              </w:rPr>
                            </w:pPr>
                          </w:p>
                          <w:p w14:paraId="37AF990A" w14:textId="11485388" w:rsidR="00D31A58" w:rsidRPr="00521141" w:rsidRDefault="00D31A58" w:rsidP="00B13C59">
                            <w:pPr>
                              <w:spacing w:after="0" w:line="240" w:lineRule="auto"/>
                              <w:jc w:val="both"/>
                              <w:rPr>
                                <w:rFonts w:cs="Arial"/>
                                <w:lang w:val="es-ES"/>
                              </w:rPr>
                            </w:pPr>
                            <w:r w:rsidRPr="00521141">
                              <w:rPr>
                                <w:rFonts w:cs="Arial"/>
                                <w:color w:val="000000" w:themeColor="text1"/>
                                <w:lang w:val="es-ES"/>
                              </w:rPr>
                              <w:t xml:space="preserve">Los proyectos de Decisión adjuntos, que promueven la aplicación del Marco Mundial para la Biodiversidad de Kunming-Montreal, respaldarían el logro de todas las metas del Plan Estratégico de Samarcanda para las </w:t>
                            </w:r>
                            <w:r w:rsidRPr="00521141">
                              <w:rPr>
                                <w:rFonts w:cs="Arial"/>
                                <w:lang w:val="es-ES"/>
                              </w:rPr>
                              <w:t>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63.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p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" strokeweight=".08811mm">
                <v:textbox>
                  <w:txbxContent>
                    <w:p w14:paraId="361301A9" w14:textId="77777777" w:rsidR="002E0DE9" w:rsidRPr="00521141" w:rsidRDefault="002E0DE9" w:rsidP="00F75474">
                      <w:pPr>
                        <w:spacing w:after="0"/>
                        <w:jc w:val="both"/>
                        <w:rPr>
                          <w:rFonts w:cs="Arial"/>
                          <w:lang w:val="es-ES"/>
                        </w:rPr>
                      </w:pPr>
                      <w:r w:rsidRPr="00521141">
                        <w:rPr>
                          <w:rFonts w:cs="Arial"/>
                          <w:lang w:val="es-ES"/>
                        </w:rPr>
                        <w:t>Resumen:</w:t>
                      </w:r>
                    </w:p>
                    <w:p w14:paraId="12338272" w14:textId="77777777" w:rsidR="002E0DE9" w:rsidRPr="00521141" w:rsidRDefault="002E0DE9" w:rsidP="00B13C59">
                      <w:pPr>
                        <w:spacing w:after="0" w:line="240" w:lineRule="auto"/>
                        <w:jc w:val="both"/>
                        <w:rPr>
                          <w:rFonts w:cs="Arial"/>
                          <w:lang w:val="es-ES"/>
                        </w:rPr>
                      </w:pPr>
                    </w:p>
                    <w:p w14:paraId="668EEB06" w14:textId="6F6C8C4F" w:rsidR="00D31A58" w:rsidRPr="00521141" w:rsidRDefault="00D31A58" w:rsidP="00B13C59">
                      <w:pPr>
                        <w:spacing w:after="0" w:line="240" w:lineRule="auto"/>
                        <w:jc w:val="both"/>
                        <w:rPr>
                          <w:rFonts w:cs="Arial"/>
                          <w:color w:val="000000" w:themeColor="text1"/>
                          <w:lang w:val="es-ES"/>
                        </w:rPr>
                      </w:pPr>
                      <w:r w:rsidRPr="00521141">
                        <w:rPr>
                          <w:rFonts w:cs="Arial"/>
                          <w:lang w:val="es-ES"/>
                        </w:rPr>
                        <w:t xml:space="preserve">Este documento informa sobre los avances en la aplicación de la Decisión 14.7 </w:t>
                      </w:r>
                      <w:r w:rsidR="00C11B85" w:rsidRPr="00521141">
                        <w:rPr>
                          <w:rFonts w:cs="Arial"/>
                          <w:i/>
                          <w:iCs/>
                          <w:lang w:val="es-ES"/>
                        </w:rPr>
                        <w:t>Participación de la CMS en los procesos del CDB, incluido el Marco Mundial para la Biodiversidad</w:t>
                      </w:r>
                      <w:r w:rsidRPr="00521141">
                        <w:rPr>
                          <w:rFonts w:cs="Arial"/>
                          <w:color w:val="000000" w:themeColor="text1"/>
                          <w:lang w:val="es-ES"/>
                        </w:rPr>
                        <w:t>. El documento propone nuevos proyectos de Decisión y la supresión de las Decisiones 14.6-7.</w:t>
                      </w:r>
                    </w:p>
                    <w:p w14:paraId="13DB2F95" w14:textId="77777777" w:rsidR="00D31A58" w:rsidRPr="00521141" w:rsidRDefault="00D31A58" w:rsidP="00B13C59">
                      <w:pPr>
                        <w:spacing w:after="0" w:line="240" w:lineRule="auto"/>
                        <w:jc w:val="both"/>
                        <w:rPr>
                          <w:rFonts w:cs="Arial"/>
                          <w:vanish/>
                          <w:color w:val="000000" w:themeColor="text1"/>
                          <w:highlight w:val="yellow"/>
                          <w:lang w:val="es-ES"/>
                        </w:rPr>
                      </w:pPr>
                    </w:p>
                    <w:p w14:paraId="37AF990A" w14:textId="11485388" w:rsidR="00D31A58" w:rsidRPr="00521141" w:rsidRDefault="00D31A58" w:rsidP="00B13C59">
                      <w:pPr>
                        <w:spacing w:after="0" w:line="240" w:lineRule="auto"/>
                        <w:jc w:val="both"/>
                        <w:rPr>
                          <w:rFonts w:cs="Arial"/>
                          <w:lang w:val="es-ES"/>
                        </w:rPr>
                      </w:pPr>
                      <w:r w:rsidRPr="00521141">
                        <w:rPr>
                          <w:rFonts w:cs="Arial"/>
                          <w:color w:val="000000" w:themeColor="text1"/>
                          <w:lang w:val="es-ES"/>
                        </w:rPr>
                        <w:t xml:space="preserve">Los proyectos de Decisión adjuntos, que promueven la aplicación del Marco Mundial para la Biodiversidad de Kunming-Montreal, respaldarían el logro de todas las metas del Plan Estratégico de Samarcanda para las </w:t>
                      </w:r>
                      <w:r w:rsidRPr="00521141">
                        <w:rPr>
                          <w:rFonts w:cs="Arial"/>
                          <w:lang w:val="es-ES"/>
                        </w:rPr>
                        <w:t>Especies Migratorias 2024-2032.</w:t>
                      </w:r>
                    </w:p>
                  </w:txbxContent>
                </v:textbox>
                <w10:wrap type="square" anchorx="margin" anchory="margin"/>
              </v:shape>
            </w:pict>
          </mc:Fallback>
        </mc:AlternateContent>
      </w:r>
    </w:p>
    <w:p w14:paraId="48B85236" w14:textId="04830B7B"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3141D0"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3141D0"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3141D0" w:rsidRDefault="005330F7" w:rsidP="009A2337">
      <w:pPr>
        <w:spacing w:after="0" w:line="240" w:lineRule="auto"/>
        <w:jc w:val="both"/>
        <w:rPr>
          <w:lang w:val="es-ES"/>
        </w:rPr>
      </w:pPr>
    </w:p>
    <w:p w14:paraId="490DC140" w14:textId="77777777" w:rsidR="002E0DE9" w:rsidRPr="003141D0" w:rsidRDefault="002E0DE9" w:rsidP="009A2337">
      <w:pPr>
        <w:spacing w:after="0" w:line="240" w:lineRule="auto"/>
        <w:jc w:val="both"/>
        <w:rPr>
          <w:lang w:val="es-ES"/>
        </w:rPr>
      </w:pPr>
    </w:p>
    <w:p w14:paraId="2FBBA2D8" w14:textId="77777777" w:rsidR="002E0DE9" w:rsidRPr="003141D0" w:rsidRDefault="002E0DE9" w:rsidP="009A2337">
      <w:pPr>
        <w:spacing w:after="0" w:line="240" w:lineRule="auto"/>
        <w:jc w:val="both"/>
        <w:rPr>
          <w:lang w:val="es-ES"/>
        </w:rPr>
      </w:pPr>
    </w:p>
    <w:p w14:paraId="4C631634" w14:textId="77777777" w:rsidR="002E0DE9" w:rsidRPr="003141D0" w:rsidRDefault="002E0DE9" w:rsidP="009A2337">
      <w:pPr>
        <w:spacing w:after="0" w:line="240" w:lineRule="auto"/>
        <w:jc w:val="both"/>
        <w:rPr>
          <w:lang w:val="es-ES"/>
        </w:rPr>
      </w:pPr>
    </w:p>
    <w:p w14:paraId="1057ABA6" w14:textId="77777777" w:rsidR="002E0DE9" w:rsidRPr="003141D0" w:rsidRDefault="002E0DE9" w:rsidP="009A2337">
      <w:pPr>
        <w:spacing w:after="0" w:line="240" w:lineRule="auto"/>
        <w:jc w:val="both"/>
        <w:rPr>
          <w:lang w:val="es-ES"/>
        </w:rPr>
      </w:pPr>
    </w:p>
    <w:p w14:paraId="0E60C238" w14:textId="77777777" w:rsidR="002E0DE9" w:rsidRPr="003141D0" w:rsidRDefault="002E0DE9" w:rsidP="009A2337">
      <w:pPr>
        <w:spacing w:after="0" w:line="240" w:lineRule="auto"/>
        <w:jc w:val="both"/>
        <w:rPr>
          <w:lang w:val="es-ES"/>
        </w:rPr>
      </w:pPr>
    </w:p>
    <w:p w14:paraId="310799B0" w14:textId="77777777" w:rsidR="002E0DE9" w:rsidRPr="003141D0" w:rsidRDefault="002E0DE9" w:rsidP="009A2337">
      <w:pPr>
        <w:spacing w:after="0" w:line="240" w:lineRule="auto"/>
        <w:jc w:val="both"/>
        <w:rPr>
          <w:lang w:val="es-ES"/>
        </w:rPr>
      </w:pPr>
    </w:p>
    <w:p w14:paraId="0B9FC963" w14:textId="77777777" w:rsidR="002E0DE9" w:rsidRPr="003141D0" w:rsidRDefault="002E0DE9" w:rsidP="009A2337">
      <w:pPr>
        <w:spacing w:after="0" w:line="240" w:lineRule="auto"/>
        <w:jc w:val="both"/>
        <w:rPr>
          <w:lang w:val="es-ES"/>
        </w:rPr>
      </w:pPr>
    </w:p>
    <w:p w14:paraId="0BFD8348" w14:textId="77777777" w:rsidR="002E0DE9" w:rsidRPr="003141D0" w:rsidRDefault="002E0DE9" w:rsidP="009A2337">
      <w:pPr>
        <w:spacing w:after="0" w:line="240" w:lineRule="auto"/>
        <w:jc w:val="both"/>
        <w:rPr>
          <w:lang w:val="es-ES"/>
        </w:rPr>
      </w:pPr>
    </w:p>
    <w:p w14:paraId="17A209FF" w14:textId="77777777" w:rsidR="002E0DE9" w:rsidRPr="003141D0" w:rsidRDefault="002E0DE9" w:rsidP="009A2337">
      <w:pPr>
        <w:spacing w:after="0" w:line="240" w:lineRule="auto"/>
        <w:jc w:val="both"/>
        <w:rPr>
          <w:lang w:val="es-ES"/>
        </w:rPr>
      </w:pPr>
    </w:p>
    <w:p w14:paraId="3E662EE3" w14:textId="264A523E" w:rsidR="006A7DC4" w:rsidRPr="003141D0" w:rsidRDefault="006A7DC4" w:rsidP="009A2337">
      <w:pPr>
        <w:jc w:val="both"/>
        <w:rPr>
          <w:lang w:val="es-ES"/>
        </w:rPr>
      </w:pPr>
      <w:r w:rsidRPr="003141D0">
        <w:rPr>
          <w:lang w:val="es-ES"/>
        </w:rPr>
        <w:br w:type="page"/>
      </w:r>
    </w:p>
    <w:p w14:paraId="312F51D5" w14:textId="77777777" w:rsidR="00496FE6" w:rsidRPr="003141D0" w:rsidRDefault="00496FE6" w:rsidP="00496FE6">
      <w:pPr>
        <w:widowControl w:val="0"/>
        <w:suppressAutoHyphens/>
        <w:autoSpaceDE w:val="0"/>
        <w:autoSpaceDN w:val="0"/>
        <w:spacing w:after="120" w:line="240" w:lineRule="auto"/>
        <w:jc w:val="center"/>
        <w:textAlignment w:val="baseline"/>
        <w:rPr>
          <w:rFonts w:eastAsia="Times New Roman" w:cs="Arial"/>
          <w:b/>
          <w:bCs/>
          <w:lang w:val="es-ES"/>
        </w:rPr>
      </w:pPr>
      <w:r w:rsidRPr="003141D0">
        <w:rPr>
          <w:rFonts w:eastAsia="Arial" w:cs="Arial"/>
          <w:b/>
          <w:bCs/>
          <w:lang w:val="es-ES"/>
        </w:rPr>
        <w:lastRenderedPageBreak/>
        <w:t>CONTRIBUCIÓN DE LA CMS AL MARCO MUNDIAL PARA LA BIODIVERSIDAD DE KUNMING-MONTREAL</w:t>
      </w:r>
    </w:p>
    <w:p w14:paraId="6C3D505E" w14:textId="77777777" w:rsidR="00727B7F" w:rsidRPr="003141D0" w:rsidRDefault="00727B7F" w:rsidP="00727B7F">
      <w:pPr>
        <w:suppressAutoHyphens/>
        <w:autoSpaceDN w:val="0"/>
        <w:spacing w:after="0" w:line="240" w:lineRule="auto"/>
        <w:textAlignment w:val="baseline"/>
        <w:rPr>
          <w:rFonts w:eastAsia="Calibri" w:cs="Arial"/>
          <w:lang w:val="es-ES"/>
        </w:rPr>
      </w:pPr>
    </w:p>
    <w:p w14:paraId="1E5BC0C6" w14:textId="77777777" w:rsidR="00B13C59" w:rsidRPr="003141D0" w:rsidRDefault="00B13C59" w:rsidP="00727B7F">
      <w:pPr>
        <w:suppressAutoHyphens/>
        <w:autoSpaceDN w:val="0"/>
        <w:spacing w:after="0" w:line="240" w:lineRule="auto"/>
        <w:textAlignment w:val="baseline"/>
        <w:rPr>
          <w:rFonts w:eastAsia="Calibri" w:cs="Arial"/>
          <w:lang w:val="es-ES"/>
        </w:rPr>
      </w:pPr>
    </w:p>
    <w:p w14:paraId="2DE71060" w14:textId="77777777" w:rsidR="00727B7F" w:rsidRPr="003141D0" w:rsidRDefault="00727B7F" w:rsidP="00727B7F">
      <w:pPr>
        <w:suppressAutoHyphens/>
        <w:autoSpaceDN w:val="0"/>
        <w:spacing w:after="0" w:line="240" w:lineRule="auto"/>
        <w:jc w:val="both"/>
        <w:textAlignment w:val="baseline"/>
        <w:rPr>
          <w:rFonts w:eastAsia="Calibri" w:cs="Arial"/>
          <w:u w:val="single"/>
          <w:lang w:val="es-ES"/>
        </w:rPr>
      </w:pPr>
      <w:r w:rsidRPr="003141D0">
        <w:rPr>
          <w:rFonts w:eastAsia="Calibri" w:cs="Arial"/>
          <w:u w:val="single"/>
          <w:lang w:val="es-ES"/>
        </w:rPr>
        <w:t>Antecedentes</w:t>
      </w:r>
    </w:p>
    <w:p w14:paraId="146C04A0" w14:textId="77777777" w:rsidR="00727B7F" w:rsidRPr="003141D0" w:rsidRDefault="00727B7F" w:rsidP="00727B7F">
      <w:pPr>
        <w:spacing w:after="0" w:line="240" w:lineRule="auto"/>
        <w:jc w:val="both"/>
        <w:rPr>
          <w:rFonts w:cs="Arial"/>
          <w:lang w:val="es-ES"/>
        </w:rPr>
      </w:pPr>
    </w:p>
    <w:p w14:paraId="5D665F7A" w14:textId="79CB8A75" w:rsidR="00E97A3C" w:rsidRPr="003141D0" w:rsidRDefault="00894F70"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Style w:val="markedcontent"/>
          <w:rFonts w:cs="Arial"/>
          <w:lang w:val="es-ES"/>
        </w:rPr>
        <w:t xml:space="preserve">La Conferencia de las Partes, en su 14.a reunión (COP14, 2024), </w:t>
      </w:r>
      <w:r w:rsidR="00E97A3C" w:rsidRPr="003141D0">
        <w:rPr>
          <w:rFonts w:eastAsia="Calibri" w:cs="Arial"/>
          <w:lang w:val="es-ES"/>
        </w:rPr>
        <w:t xml:space="preserve">aprobó las Decisiones 14.6 y 14.7 </w:t>
      </w:r>
      <w:bookmarkStart w:id="0" w:name="_Hlk213709973"/>
      <w:r w:rsidR="00E97A3C" w:rsidRPr="003141D0">
        <w:rPr>
          <w:rFonts w:eastAsia="Calibri" w:cs="Arial"/>
          <w:i/>
          <w:iCs/>
          <w:lang w:val="es-ES"/>
        </w:rPr>
        <w:t>Participación de la CMS en los procesos del CDB, incluido el Marco Mundial para la Biodiversidad</w:t>
      </w:r>
      <w:bookmarkEnd w:id="0"/>
      <w:r w:rsidR="00E97A3C" w:rsidRPr="003141D0">
        <w:rPr>
          <w:rFonts w:eastAsia="Calibri" w:cs="Arial"/>
          <w:lang w:val="es-ES"/>
        </w:rPr>
        <w:t>. Esta última encomendó a la Secretaría de la CMS reforzar la cooperación con el Convenio sobre la Diversidad Biológica (CDB) y contribuir a la aplicación del Marco Mundial para la Biodiversidad de Kunming-Montreal (KMGBF, por sus siglas en inglés).</w:t>
      </w:r>
    </w:p>
    <w:p w14:paraId="2DE1F75E" w14:textId="77777777" w:rsidR="00727B7F" w:rsidRPr="003141D0" w:rsidRDefault="00727B7F" w:rsidP="00727B7F">
      <w:pPr>
        <w:widowControl w:val="0"/>
        <w:autoSpaceDE w:val="0"/>
        <w:autoSpaceDN w:val="0"/>
        <w:adjustRightInd w:val="0"/>
        <w:spacing w:after="0" w:line="240" w:lineRule="auto"/>
        <w:contextualSpacing/>
        <w:jc w:val="both"/>
        <w:rPr>
          <w:rFonts w:cs="Arial"/>
          <w:lang w:val="es-ES"/>
        </w:rPr>
      </w:pPr>
    </w:p>
    <w:p w14:paraId="1B34298D" w14:textId="0ACB7901" w:rsidR="00785530" w:rsidRPr="0037374C" w:rsidRDefault="00785530" w:rsidP="00785530">
      <w:pPr>
        <w:pStyle w:val="ListParagraph"/>
        <w:spacing w:after="0" w:line="240" w:lineRule="auto"/>
        <w:jc w:val="both"/>
        <w:rPr>
          <w:rFonts w:eastAsia="Arial" w:cs="Arial"/>
          <w:b/>
          <w:bCs/>
          <w:i/>
          <w:iCs/>
          <w:sz w:val="20"/>
          <w:szCs w:val="20"/>
          <w:lang w:val="es-ES"/>
        </w:rPr>
      </w:pPr>
      <w:r w:rsidRPr="0037374C">
        <w:rPr>
          <w:rFonts w:eastAsia="Arial" w:cs="Arial"/>
          <w:b/>
          <w:bCs/>
          <w:i/>
          <w:iCs/>
          <w:sz w:val="20"/>
          <w:szCs w:val="20"/>
          <w:lang w:val="es-ES"/>
        </w:rPr>
        <w:t>14.6</w:t>
      </w:r>
      <w:r w:rsidR="00414EF4" w:rsidRPr="0037374C">
        <w:rPr>
          <w:rFonts w:eastAsia="Arial" w:cs="Arial"/>
          <w:b/>
          <w:bCs/>
          <w:i/>
          <w:iCs/>
          <w:sz w:val="20"/>
          <w:szCs w:val="20"/>
          <w:lang w:val="es-ES"/>
        </w:rPr>
        <w:t xml:space="preserve"> d</w:t>
      </w:r>
      <w:r w:rsidR="00414EF4" w:rsidRPr="0037374C">
        <w:rPr>
          <w:rFonts w:eastAsia="Arial" w:cs="Arial"/>
          <w:b/>
          <w:bCs/>
          <w:i/>
          <w:iCs/>
          <w:sz w:val="20"/>
          <w:szCs w:val="20"/>
          <w:lang w:val="es-ES"/>
        </w:rPr>
        <w:t>irigid</w:t>
      </w:r>
      <w:r w:rsidR="00414EF4" w:rsidRPr="0037374C">
        <w:rPr>
          <w:rFonts w:eastAsia="Arial" w:cs="Arial"/>
          <w:b/>
          <w:bCs/>
          <w:i/>
          <w:iCs/>
          <w:sz w:val="20"/>
          <w:szCs w:val="20"/>
          <w:lang w:val="es-ES"/>
        </w:rPr>
        <w:t>a</w:t>
      </w:r>
      <w:r w:rsidR="00414EF4" w:rsidRPr="0037374C">
        <w:rPr>
          <w:rFonts w:eastAsia="Arial" w:cs="Arial"/>
          <w:b/>
          <w:bCs/>
          <w:i/>
          <w:iCs/>
          <w:sz w:val="20"/>
          <w:szCs w:val="20"/>
          <w:lang w:val="es-ES"/>
        </w:rPr>
        <w:t xml:space="preserve"> a las Partes</w:t>
      </w:r>
      <w:r w:rsidRPr="0037374C">
        <w:rPr>
          <w:rFonts w:eastAsia="Arial" w:cs="Arial"/>
          <w:b/>
          <w:bCs/>
          <w:i/>
          <w:iCs/>
          <w:sz w:val="20"/>
          <w:szCs w:val="20"/>
          <w:lang w:val="es-ES"/>
        </w:rPr>
        <w:t>:</w:t>
      </w:r>
    </w:p>
    <w:p w14:paraId="13E85166" w14:textId="77777777" w:rsidR="00C73EC9" w:rsidRPr="0037374C" w:rsidRDefault="00C73EC9" w:rsidP="00C73EC9">
      <w:pPr>
        <w:pStyle w:val="ListParagraph"/>
        <w:spacing w:after="0" w:line="240" w:lineRule="auto"/>
        <w:jc w:val="both"/>
        <w:rPr>
          <w:rFonts w:eastAsia="Arial" w:cs="Arial"/>
          <w:i/>
          <w:iCs/>
          <w:sz w:val="20"/>
          <w:szCs w:val="20"/>
          <w:lang w:val="es-ES"/>
        </w:rPr>
      </w:pPr>
    </w:p>
    <w:p w14:paraId="5EFFC73B" w14:textId="681278B9" w:rsidR="0021262F" w:rsidRPr="0037374C" w:rsidRDefault="0037374C" w:rsidP="00C73EC9">
      <w:pPr>
        <w:pStyle w:val="ListParagraph"/>
        <w:spacing w:after="0" w:line="240" w:lineRule="auto"/>
        <w:jc w:val="both"/>
        <w:rPr>
          <w:rFonts w:eastAsia="Arial" w:cs="Arial"/>
          <w:i/>
          <w:iCs/>
          <w:sz w:val="20"/>
          <w:szCs w:val="20"/>
          <w:lang w:val="es-ES"/>
        </w:rPr>
      </w:pPr>
      <w:r w:rsidRPr="0037374C">
        <w:rPr>
          <w:rFonts w:eastAsia="Arial" w:cs="Arial"/>
          <w:i/>
          <w:iCs/>
          <w:sz w:val="20"/>
          <w:szCs w:val="20"/>
          <w:lang w:val="es-ES"/>
        </w:rPr>
        <w:t>Se solicita a las Partes que:</w:t>
      </w:r>
    </w:p>
    <w:p w14:paraId="4E3C0017" w14:textId="77777777" w:rsidR="00C73EC9" w:rsidRPr="0037374C" w:rsidRDefault="00C73EC9" w:rsidP="00C73EC9">
      <w:pPr>
        <w:pStyle w:val="ListParagraph"/>
        <w:spacing w:after="0" w:line="240" w:lineRule="auto"/>
        <w:jc w:val="both"/>
        <w:rPr>
          <w:rFonts w:eastAsia="Arial" w:cs="Arial"/>
          <w:i/>
          <w:iCs/>
          <w:sz w:val="20"/>
          <w:szCs w:val="20"/>
          <w:lang w:val="es-ES"/>
        </w:rPr>
      </w:pPr>
    </w:p>
    <w:p w14:paraId="0E4E6512" w14:textId="331C6054" w:rsidR="00C73EC9" w:rsidRPr="00E9732D" w:rsidRDefault="00E9732D" w:rsidP="00C73EC9">
      <w:pPr>
        <w:pStyle w:val="ListParagraph"/>
        <w:numPr>
          <w:ilvl w:val="0"/>
          <w:numId w:val="11"/>
        </w:numPr>
        <w:spacing w:after="80" w:line="240" w:lineRule="auto"/>
        <w:contextualSpacing w:val="0"/>
        <w:jc w:val="both"/>
        <w:rPr>
          <w:rFonts w:eastAsia="Arial" w:cs="Arial"/>
          <w:i/>
          <w:iCs/>
          <w:sz w:val="20"/>
          <w:szCs w:val="20"/>
          <w:lang w:val="es-ES"/>
        </w:rPr>
      </w:pPr>
      <w:r w:rsidRPr="00E9732D">
        <w:rPr>
          <w:rFonts w:eastAsia="Arial" w:cs="Arial"/>
          <w:i/>
          <w:iCs/>
          <w:sz w:val="20"/>
          <w:szCs w:val="20"/>
          <w:lang w:val="es-ES"/>
        </w:rPr>
        <w:t>garanticen que las necesidades y consideraciones de las especies migratorias se integren en la revisión y actualización de las Estrategias y Planes de Acción Nacionales en materia de Diversidad Biológica (EPANDB) y metas nacionales en consonancia con el Marco Mundial de Biodiversidad de Kunming-Montreal, incluidos los planes de acción nacionales pertinentes y en la cooperación bilateral y regional como parte de su aplicación del Marco Mundial de Biodiversidad de Kunming-Montreal; y</w:t>
      </w:r>
    </w:p>
    <w:p w14:paraId="473625BA" w14:textId="0979F779" w:rsidR="00C73EC9" w:rsidRPr="0054668F" w:rsidRDefault="0054668F" w:rsidP="00C73EC9">
      <w:pPr>
        <w:pStyle w:val="ListParagraph"/>
        <w:numPr>
          <w:ilvl w:val="0"/>
          <w:numId w:val="11"/>
        </w:numPr>
        <w:spacing w:after="80" w:line="240" w:lineRule="auto"/>
        <w:contextualSpacing w:val="0"/>
        <w:jc w:val="both"/>
        <w:rPr>
          <w:rFonts w:eastAsia="Arial" w:cs="Arial"/>
          <w:i/>
          <w:iCs/>
          <w:sz w:val="20"/>
          <w:szCs w:val="20"/>
          <w:lang w:val="es-ES"/>
        </w:rPr>
      </w:pPr>
      <w:r w:rsidRPr="0054668F">
        <w:rPr>
          <w:rFonts w:eastAsia="Arial" w:cs="Arial"/>
          <w:i/>
          <w:iCs/>
          <w:sz w:val="20"/>
          <w:szCs w:val="20"/>
          <w:lang w:val="es-ES"/>
        </w:rPr>
        <w:t>consideren la posibilidad de participar en el Proceso de Berna, facilitado por el PNUMA, para contribuir a la aplicación efectiva y eficaz del Marco Mundial de Biodiversidad de Kunming-Montreal, y considerar sus resultados pertinentes</w:t>
      </w:r>
      <w:r w:rsidR="00C73EC9" w:rsidRPr="0054668F">
        <w:rPr>
          <w:rFonts w:eastAsia="Arial" w:cs="Arial"/>
          <w:i/>
          <w:iCs/>
          <w:sz w:val="20"/>
          <w:szCs w:val="20"/>
          <w:lang w:val="es-ES"/>
        </w:rPr>
        <w:t>.</w:t>
      </w:r>
    </w:p>
    <w:p w14:paraId="0120F338" w14:textId="77777777" w:rsidR="00C73EC9" w:rsidRPr="0054668F" w:rsidRDefault="00C73EC9" w:rsidP="00C73EC9">
      <w:pPr>
        <w:pStyle w:val="ListParagraph"/>
        <w:widowControl w:val="0"/>
        <w:autoSpaceDE w:val="0"/>
        <w:autoSpaceDN w:val="0"/>
        <w:adjustRightInd w:val="0"/>
        <w:spacing w:after="0" w:line="240" w:lineRule="auto"/>
        <w:jc w:val="both"/>
        <w:rPr>
          <w:rFonts w:cs="Arial"/>
          <w:lang w:val="es-ES"/>
        </w:rPr>
      </w:pPr>
    </w:p>
    <w:p w14:paraId="69006BC7" w14:textId="0A15DC2C" w:rsidR="00727B7F" w:rsidRPr="00592D42" w:rsidRDefault="00727B7F" w:rsidP="00CC3F4F">
      <w:pPr>
        <w:pStyle w:val="ListParagraph"/>
        <w:spacing w:after="0" w:line="240" w:lineRule="auto"/>
        <w:jc w:val="both"/>
        <w:rPr>
          <w:rFonts w:eastAsia="Arial" w:cs="Arial"/>
          <w:b/>
          <w:bCs/>
          <w:i/>
          <w:iCs/>
          <w:sz w:val="20"/>
          <w:szCs w:val="20"/>
          <w:lang w:val="es-ES"/>
        </w:rPr>
      </w:pPr>
      <w:bookmarkStart w:id="1" w:name="_Hlk210915064"/>
      <w:r w:rsidRPr="00592D42">
        <w:rPr>
          <w:rFonts w:eastAsia="Arial" w:cs="Arial"/>
          <w:b/>
          <w:bCs/>
          <w:i/>
          <w:iCs/>
          <w:sz w:val="20"/>
          <w:szCs w:val="20"/>
          <w:lang w:val="es-ES"/>
        </w:rPr>
        <w:t>14.</w:t>
      </w:r>
      <w:r w:rsidR="00230D21" w:rsidRPr="00592D42">
        <w:rPr>
          <w:rFonts w:eastAsia="Arial" w:cs="Arial"/>
          <w:b/>
          <w:bCs/>
          <w:i/>
          <w:iCs/>
          <w:sz w:val="20"/>
          <w:szCs w:val="20"/>
          <w:lang w:val="es-ES"/>
        </w:rPr>
        <w:t>7</w:t>
      </w:r>
      <w:r w:rsidRPr="00592D42">
        <w:rPr>
          <w:rFonts w:eastAsia="Arial" w:cs="Arial"/>
          <w:b/>
          <w:bCs/>
          <w:i/>
          <w:iCs/>
          <w:sz w:val="20"/>
          <w:szCs w:val="20"/>
          <w:lang w:val="es-ES"/>
        </w:rPr>
        <w:t xml:space="preserve"> </w:t>
      </w:r>
      <w:r w:rsidR="00044609" w:rsidRPr="00592D42">
        <w:rPr>
          <w:rFonts w:eastAsia="Arial" w:cs="Arial"/>
          <w:b/>
          <w:bCs/>
          <w:i/>
          <w:iCs/>
          <w:sz w:val="20"/>
          <w:szCs w:val="20"/>
          <w:lang w:val="es-ES"/>
        </w:rPr>
        <w:t>d</w:t>
      </w:r>
      <w:r w:rsidR="00044609" w:rsidRPr="00592D42">
        <w:rPr>
          <w:rFonts w:eastAsia="Arial" w:cs="Arial"/>
          <w:b/>
          <w:bCs/>
          <w:i/>
          <w:iCs/>
          <w:sz w:val="20"/>
          <w:szCs w:val="20"/>
          <w:lang w:val="es-ES"/>
        </w:rPr>
        <w:t>irigid</w:t>
      </w:r>
      <w:r w:rsidR="00044609" w:rsidRPr="00592D42">
        <w:rPr>
          <w:rFonts w:eastAsia="Arial" w:cs="Arial"/>
          <w:b/>
          <w:bCs/>
          <w:i/>
          <w:iCs/>
          <w:sz w:val="20"/>
          <w:szCs w:val="20"/>
          <w:lang w:val="es-ES"/>
        </w:rPr>
        <w:t>a</w:t>
      </w:r>
      <w:r w:rsidR="00044609" w:rsidRPr="00592D42">
        <w:rPr>
          <w:rFonts w:eastAsia="Arial" w:cs="Arial"/>
          <w:b/>
          <w:bCs/>
          <w:i/>
          <w:iCs/>
          <w:sz w:val="20"/>
          <w:szCs w:val="20"/>
          <w:lang w:val="es-ES"/>
        </w:rPr>
        <w:t xml:space="preserve"> a la Secretaría</w:t>
      </w:r>
      <w:r w:rsidRPr="00592D42">
        <w:rPr>
          <w:rFonts w:eastAsia="Arial" w:cs="Arial"/>
          <w:b/>
          <w:bCs/>
          <w:i/>
          <w:iCs/>
          <w:sz w:val="20"/>
          <w:szCs w:val="20"/>
          <w:lang w:val="es-ES"/>
        </w:rPr>
        <w:t>:</w:t>
      </w:r>
    </w:p>
    <w:p w14:paraId="50339C4A" w14:textId="77777777" w:rsidR="00727B7F" w:rsidRPr="00592D42" w:rsidRDefault="00727B7F" w:rsidP="00CC3F4F">
      <w:pPr>
        <w:pStyle w:val="ListParagraph"/>
        <w:spacing w:after="0" w:line="240" w:lineRule="auto"/>
        <w:jc w:val="both"/>
        <w:rPr>
          <w:rFonts w:eastAsia="Arial" w:cs="Arial"/>
          <w:i/>
          <w:iCs/>
          <w:sz w:val="20"/>
          <w:szCs w:val="20"/>
          <w:lang w:val="es-ES"/>
        </w:rPr>
      </w:pPr>
    </w:p>
    <w:p w14:paraId="66FFAB68" w14:textId="0FBFB5F6" w:rsidR="00727B7F" w:rsidRPr="00592D42" w:rsidRDefault="00592D42" w:rsidP="00E97A3C">
      <w:pPr>
        <w:pStyle w:val="ListParagraph"/>
        <w:spacing w:after="0" w:line="240" w:lineRule="auto"/>
        <w:jc w:val="both"/>
        <w:rPr>
          <w:rFonts w:eastAsia="Arial" w:cs="Arial"/>
          <w:i/>
          <w:iCs/>
          <w:sz w:val="20"/>
          <w:szCs w:val="20"/>
          <w:lang w:val="es-ES"/>
        </w:rPr>
      </w:pPr>
      <w:bookmarkStart w:id="2" w:name="_Hlk213710252"/>
      <w:r w:rsidRPr="00592D42">
        <w:rPr>
          <w:rFonts w:eastAsia="Arial" w:cs="Arial"/>
          <w:i/>
          <w:iCs/>
          <w:sz w:val="20"/>
          <w:szCs w:val="20"/>
          <w:lang w:val="es-ES"/>
        </w:rPr>
        <w:t>Se solicita a la Secretaría que, sujeta a la disponibilidad de recursos externos</w:t>
      </w:r>
      <w:r w:rsidR="00822255" w:rsidRPr="00592D42">
        <w:rPr>
          <w:rFonts w:eastAsia="Arial" w:cs="Arial"/>
          <w:i/>
          <w:iCs/>
          <w:sz w:val="20"/>
          <w:szCs w:val="20"/>
          <w:lang w:val="es-ES"/>
        </w:rPr>
        <w:t>:</w:t>
      </w:r>
    </w:p>
    <w:p w14:paraId="795F9D87" w14:textId="77777777" w:rsidR="00727B7F" w:rsidRPr="00592D42" w:rsidRDefault="00727B7F" w:rsidP="00CC3F4F">
      <w:pPr>
        <w:pStyle w:val="ListParagraph"/>
        <w:spacing w:after="0" w:line="240" w:lineRule="auto"/>
        <w:jc w:val="both"/>
        <w:rPr>
          <w:rFonts w:eastAsia="Arial" w:cs="Arial"/>
          <w:i/>
          <w:iCs/>
          <w:sz w:val="20"/>
          <w:szCs w:val="20"/>
          <w:lang w:val="es-ES"/>
        </w:rPr>
      </w:pPr>
    </w:p>
    <w:p w14:paraId="4B6035E4" w14:textId="7E78DB35" w:rsidR="00E97A3C" w:rsidRPr="00CD1A90" w:rsidRDefault="00CD1A90" w:rsidP="00822255">
      <w:pPr>
        <w:pStyle w:val="ListParagraph"/>
        <w:numPr>
          <w:ilvl w:val="0"/>
          <w:numId w:val="23"/>
        </w:numPr>
        <w:spacing w:after="80" w:line="240" w:lineRule="auto"/>
        <w:contextualSpacing w:val="0"/>
        <w:jc w:val="both"/>
        <w:rPr>
          <w:rFonts w:eastAsia="Arial" w:cs="Arial"/>
          <w:i/>
          <w:iCs/>
          <w:sz w:val="20"/>
          <w:szCs w:val="20"/>
          <w:lang w:val="es-ES"/>
        </w:rPr>
      </w:pPr>
      <w:r w:rsidRPr="00CD1A90">
        <w:rPr>
          <w:rFonts w:eastAsia="Arial" w:cs="Arial"/>
          <w:i/>
          <w:iCs/>
          <w:sz w:val="20"/>
          <w:szCs w:val="20"/>
          <w:lang w:val="es-ES"/>
        </w:rPr>
        <w:t>contribuya a apoyar la implementación del Marco Mundial de Biodiversidad de Kunming-</w:t>
      </w:r>
      <w:proofErr w:type="gramStart"/>
      <w:r w:rsidRPr="00CD1A90">
        <w:rPr>
          <w:rFonts w:eastAsia="Arial" w:cs="Arial"/>
          <w:i/>
          <w:iCs/>
          <w:sz w:val="20"/>
          <w:szCs w:val="20"/>
          <w:lang w:val="es-ES"/>
        </w:rPr>
        <w:t>Montreal;</w:t>
      </w:r>
      <w:r w:rsidR="00E97A3C" w:rsidRPr="00CD1A90">
        <w:rPr>
          <w:rFonts w:eastAsia="Arial" w:cs="Arial"/>
          <w:i/>
          <w:iCs/>
          <w:sz w:val="20"/>
          <w:szCs w:val="20"/>
          <w:lang w:val="es-ES"/>
        </w:rPr>
        <w:t>;</w:t>
      </w:r>
      <w:proofErr w:type="gramEnd"/>
    </w:p>
    <w:p w14:paraId="37A6B261" w14:textId="38420333" w:rsidR="00E97A3C" w:rsidRPr="00E25B75" w:rsidRDefault="00E25B75" w:rsidP="00822255">
      <w:pPr>
        <w:pStyle w:val="ListParagraph"/>
        <w:numPr>
          <w:ilvl w:val="0"/>
          <w:numId w:val="23"/>
        </w:numPr>
        <w:spacing w:after="80" w:line="240" w:lineRule="auto"/>
        <w:contextualSpacing w:val="0"/>
        <w:jc w:val="both"/>
        <w:rPr>
          <w:rFonts w:eastAsia="Arial" w:cs="Arial"/>
          <w:i/>
          <w:iCs/>
          <w:sz w:val="20"/>
          <w:szCs w:val="20"/>
          <w:lang w:val="es-ES"/>
        </w:rPr>
      </w:pPr>
      <w:r w:rsidRPr="00E25B75">
        <w:rPr>
          <w:rFonts w:eastAsia="Arial" w:cs="Arial"/>
          <w:i/>
          <w:iCs/>
          <w:sz w:val="20"/>
          <w:szCs w:val="20"/>
          <w:lang w:val="es-ES"/>
        </w:rPr>
        <w:t>siga participando activamente en el proceso de Berna, facilitado por el PNUMA, para contribuir a la aplicación efectiva y eficaz del Marco Mundial de Biodiversidad de Kunming-Montreal</w:t>
      </w:r>
      <w:r w:rsidR="00E97A3C" w:rsidRPr="00E25B75">
        <w:rPr>
          <w:rFonts w:eastAsia="Arial" w:cs="Arial"/>
          <w:i/>
          <w:iCs/>
          <w:sz w:val="20"/>
          <w:szCs w:val="20"/>
          <w:lang w:val="es-ES"/>
        </w:rPr>
        <w:t>;</w:t>
      </w:r>
    </w:p>
    <w:p w14:paraId="15E0EB5D" w14:textId="7997152A" w:rsidR="00E97A3C" w:rsidRPr="00724A3F" w:rsidRDefault="00724A3F" w:rsidP="00822255">
      <w:pPr>
        <w:pStyle w:val="ListParagraph"/>
        <w:numPr>
          <w:ilvl w:val="0"/>
          <w:numId w:val="23"/>
        </w:numPr>
        <w:spacing w:after="80" w:line="240" w:lineRule="auto"/>
        <w:contextualSpacing w:val="0"/>
        <w:jc w:val="both"/>
        <w:rPr>
          <w:rFonts w:eastAsia="Arial" w:cs="Arial"/>
          <w:i/>
          <w:iCs/>
          <w:sz w:val="20"/>
          <w:szCs w:val="20"/>
          <w:lang w:val="es-ES"/>
        </w:rPr>
      </w:pPr>
      <w:r w:rsidRPr="00724A3F">
        <w:rPr>
          <w:rFonts w:eastAsia="Arial" w:cs="Arial"/>
          <w:i/>
          <w:iCs/>
          <w:sz w:val="20"/>
          <w:szCs w:val="20"/>
          <w:lang w:val="es-ES"/>
        </w:rPr>
        <w:t>apoye al Grupo de Trabajo de la familia CMS sobre el Marco Mundial de Biodiversidad de Kunming-Montreal</w:t>
      </w:r>
      <w:r w:rsidR="00E97A3C" w:rsidRPr="00724A3F">
        <w:rPr>
          <w:rFonts w:eastAsia="Arial" w:cs="Arial"/>
          <w:i/>
          <w:iCs/>
          <w:sz w:val="20"/>
          <w:szCs w:val="20"/>
          <w:lang w:val="es-ES"/>
        </w:rPr>
        <w:t>;</w:t>
      </w:r>
    </w:p>
    <w:p w14:paraId="713ED408" w14:textId="5B0DD0DB" w:rsidR="00E97A3C" w:rsidRPr="00E07AC4" w:rsidRDefault="00E07AC4" w:rsidP="00822255">
      <w:pPr>
        <w:pStyle w:val="ListParagraph"/>
        <w:numPr>
          <w:ilvl w:val="0"/>
          <w:numId w:val="23"/>
        </w:numPr>
        <w:spacing w:after="80" w:line="240" w:lineRule="auto"/>
        <w:contextualSpacing w:val="0"/>
        <w:jc w:val="both"/>
        <w:rPr>
          <w:rFonts w:eastAsia="Arial" w:cs="Arial"/>
          <w:i/>
          <w:iCs/>
          <w:sz w:val="20"/>
          <w:szCs w:val="20"/>
          <w:lang w:val="es-ES"/>
        </w:rPr>
      </w:pPr>
      <w:r w:rsidRPr="00E07AC4">
        <w:rPr>
          <w:rFonts w:eastAsia="Arial" w:cs="Arial"/>
          <w:i/>
          <w:iCs/>
          <w:sz w:val="20"/>
          <w:szCs w:val="20"/>
          <w:lang w:val="es-ES"/>
        </w:rPr>
        <w:t>estudie la manera de apoyar y aplicar el marco de seguimiento acordado en el marco del CDB para el Marco Mundial de Biodiversidad de Kunming-Montreal, en la medición de los progresos hacia los objetivos y metas del Plan Estratégico de Samarcanda para las Especies Migratorias 2024-2032, incluida la promoción del estado de las especies migratorias como uno de los indicadores principales, así como el desglose de los indicadores principales actuales y el fortalecimiento de los indicadores complementarios para una mejor medición de los progresos hacia el logro de la conectividad ecológica y los elementos de integridad del marco</w:t>
      </w:r>
      <w:r w:rsidR="00E97A3C" w:rsidRPr="00E07AC4">
        <w:rPr>
          <w:rFonts w:eastAsia="Arial" w:cs="Arial"/>
          <w:i/>
          <w:iCs/>
          <w:sz w:val="20"/>
          <w:szCs w:val="20"/>
          <w:lang w:val="es-ES"/>
        </w:rPr>
        <w:t>;</w:t>
      </w:r>
    </w:p>
    <w:p w14:paraId="6F59E4C7" w14:textId="219DEE94" w:rsidR="00E97A3C" w:rsidRPr="00ED4C45" w:rsidRDefault="00ED4C45" w:rsidP="00822255">
      <w:pPr>
        <w:pStyle w:val="ListParagraph"/>
        <w:numPr>
          <w:ilvl w:val="0"/>
          <w:numId w:val="23"/>
        </w:numPr>
        <w:spacing w:after="80" w:line="240" w:lineRule="auto"/>
        <w:contextualSpacing w:val="0"/>
        <w:jc w:val="both"/>
        <w:rPr>
          <w:rFonts w:eastAsia="Arial" w:cs="Arial"/>
          <w:i/>
          <w:iCs/>
          <w:sz w:val="20"/>
          <w:szCs w:val="20"/>
          <w:lang w:val="es-ES"/>
        </w:rPr>
      </w:pPr>
      <w:r w:rsidRPr="00ED4C45">
        <w:rPr>
          <w:rFonts w:eastAsia="Arial" w:cs="Arial"/>
          <w:i/>
          <w:iCs/>
          <w:sz w:val="20"/>
          <w:szCs w:val="20"/>
          <w:lang w:val="es-ES"/>
        </w:rPr>
        <w:t>actualice las Directrices para las Partes de la CMS para la integración de las especies migratorias en las Estrategias y Planes de Acción Nacionales en materia de Diversidad Biológica (EPANDB)</w:t>
      </w:r>
      <w:r w:rsidR="00E97A3C" w:rsidRPr="00ED4C45">
        <w:rPr>
          <w:rFonts w:eastAsia="Arial" w:cs="Arial"/>
          <w:i/>
          <w:iCs/>
          <w:sz w:val="20"/>
          <w:szCs w:val="20"/>
          <w:lang w:val="es-ES"/>
        </w:rPr>
        <w:t>;</w:t>
      </w:r>
    </w:p>
    <w:p w14:paraId="1AC93752" w14:textId="7AE037B9" w:rsidR="00E97A3C" w:rsidRPr="00C83A53" w:rsidRDefault="00C83A53" w:rsidP="00822255">
      <w:pPr>
        <w:pStyle w:val="ListParagraph"/>
        <w:numPr>
          <w:ilvl w:val="0"/>
          <w:numId w:val="23"/>
        </w:numPr>
        <w:spacing w:after="80" w:line="240" w:lineRule="auto"/>
        <w:contextualSpacing w:val="0"/>
        <w:jc w:val="both"/>
        <w:rPr>
          <w:rFonts w:eastAsia="Arial" w:cs="Arial"/>
          <w:i/>
          <w:iCs/>
          <w:sz w:val="20"/>
          <w:szCs w:val="20"/>
          <w:lang w:val="es-ES"/>
        </w:rPr>
      </w:pPr>
      <w:r w:rsidRPr="00C83A53">
        <w:rPr>
          <w:rFonts w:eastAsia="Arial" w:cs="Arial"/>
          <w:i/>
          <w:iCs/>
          <w:sz w:val="20"/>
          <w:szCs w:val="20"/>
          <w:lang w:val="es-ES"/>
        </w:rPr>
        <w:t>elabore un nuevo programa de trabajo conjunto con la Secretaría del CDB; e</w:t>
      </w:r>
    </w:p>
    <w:p w14:paraId="0576E7E4" w14:textId="53407FF4" w:rsidR="00E97A3C" w:rsidRPr="00096968" w:rsidRDefault="00096968" w:rsidP="00822255">
      <w:pPr>
        <w:pStyle w:val="ListParagraph"/>
        <w:numPr>
          <w:ilvl w:val="0"/>
          <w:numId w:val="23"/>
        </w:numPr>
        <w:spacing w:after="80" w:line="240" w:lineRule="auto"/>
        <w:contextualSpacing w:val="0"/>
        <w:jc w:val="both"/>
        <w:rPr>
          <w:rFonts w:eastAsia="Arial" w:cs="Arial"/>
          <w:i/>
          <w:iCs/>
          <w:sz w:val="20"/>
          <w:szCs w:val="20"/>
          <w:lang w:val="es-ES"/>
        </w:rPr>
      </w:pPr>
      <w:r w:rsidRPr="00096968">
        <w:rPr>
          <w:rFonts w:eastAsia="Arial" w:cs="Arial"/>
          <w:i/>
          <w:iCs/>
          <w:sz w:val="20"/>
          <w:szCs w:val="20"/>
          <w:lang w:val="es-ES"/>
        </w:rPr>
        <w:t>g)</w:t>
      </w:r>
      <w:r w:rsidRPr="00096968">
        <w:rPr>
          <w:rFonts w:eastAsia="Arial" w:cs="Arial"/>
          <w:i/>
          <w:iCs/>
          <w:sz w:val="20"/>
          <w:szCs w:val="20"/>
          <w:lang w:val="es-ES"/>
        </w:rPr>
        <w:tab/>
        <w:t>informe al Comité Permanente en sus reuniones 56.ª y 57.ª y a la COP15 sobre los avances en la aplicación de la presente Decisión</w:t>
      </w:r>
      <w:r>
        <w:rPr>
          <w:rFonts w:eastAsia="Arial" w:cs="Arial"/>
          <w:i/>
          <w:iCs/>
          <w:sz w:val="20"/>
          <w:szCs w:val="20"/>
          <w:lang w:val="es-ES"/>
        </w:rPr>
        <w:t>.</w:t>
      </w:r>
    </w:p>
    <w:bookmarkEnd w:id="1"/>
    <w:bookmarkEnd w:id="2"/>
    <w:p w14:paraId="1FBDA76F" w14:textId="77777777" w:rsidR="00E97A3C" w:rsidRPr="00096968" w:rsidRDefault="00E97A3C" w:rsidP="00727B7F">
      <w:pPr>
        <w:widowControl w:val="0"/>
        <w:autoSpaceDE w:val="0"/>
        <w:autoSpaceDN w:val="0"/>
        <w:adjustRightInd w:val="0"/>
        <w:spacing w:after="0" w:line="240" w:lineRule="auto"/>
        <w:jc w:val="both"/>
        <w:rPr>
          <w:rFonts w:cs="Arial"/>
          <w:highlight w:val="yellow"/>
          <w:u w:val="single"/>
          <w:lang w:val="es-ES"/>
        </w:rPr>
      </w:pPr>
    </w:p>
    <w:p w14:paraId="4BA51EA4" w14:textId="74106CF4" w:rsidR="009C2BBE" w:rsidRPr="003141D0" w:rsidRDefault="009C2BBE" w:rsidP="00FD1626">
      <w:pPr>
        <w:widowControl w:val="0"/>
        <w:numPr>
          <w:ilvl w:val="0"/>
          <w:numId w:val="4"/>
        </w:numPr>
        <w:autoSpaceDE w:val="0"/>
        <w:autoSpaceDN w:val="0"/>
        <w:adjustRightInd w:val="0"/>
        <w:spacing w:after="0" w:line="240" w:lineRule="auto"/>
        <w:ind w:left="709" w:hanging="851"/>
        <w:contextualSpacing/>
        <w:jc w:val="both"/>
        <w:rPr>
          <w:rFonts w:cs="Arial"/>
          <w:lang w:val="es-ES"/>
        </w:rPr>
      </w:pPr>
      <w:r w:rsidRPr="003141D0">
        <w:rPr>
          <w:rFonts w:cs="Arial"/>
          <w:lang w:val="es-ES"/>
        </w:rPr>
        <w:t xml:space="preserve">La COP14 también aprobó la </w:t>
      </w:r>
      <w:hyperlink r:id="rId12" w:history="1">
        <w:r w:rsidR="007E6500" w:rsidRPr="007E6500">
          <w:rPr>
            <w:rStyle w:val="Hyperlink"/>
            <w:rFonts w:cs="Arial"/>
            <w:lang w:val="es-ES"/>
          </w:rPr>
          <w:t>Resolución 11.10 (Rev.COP14)</w:t>
        </w:r>
      </w:hyperlink>
      <w:r w:rsidR="007E6500" w:rsidRPr="007E6500">
        <w:rPr>
          <w:lang w:val="es-ES"/>
        </w:rPr>
        <w:t xml:space="preserve"> </w:t>
      </w:r>
      <w:r w:rsidR="007E6500" w:rsidRPr="007E6500">
        <w:rPr>
          <w:i/>
          <w:iCs/>
          <w:lang w:val="es-ES"/>
        </w:rPr>
        <w:t>Sinergias y asociaciones</w:t>
      </w:r>
      <w:r w:rsidRPr="007E6500">
        <w:rPr>
          <w:rFonts w:cs="Arial"/>
          <w:lang w:val="es-ES"/>
        </w:rPr>
        <w:t>,</w:t>
      </w:r>
      <w:r w:rsidRPr="003141D0">
        <w:rPr>
          <w:rFonts w:cs="Arial"/>
          <w:lang w:val="es-ES"/>
        </w:rPr>
        <w:t xml:space="preserve"> que contiene disposiciones relativas a la promoción de la colaboración </w:t>
      </w:r>
      <w:r w:rsidRPr="003141D0">
        <w:rPr>
          <w:rFonts w:cs="Arial"/>
          <w:lang w:val="es-ES"/>
        </w:rPr>
        <w:lastRenderedPageBreak/>
        <w:t xml:space="preserve">en la aplicación y el seguimiento del KMGBF. Un informe completo sobre la aplicación de esta resolución figura en </w:t>
      </w:r>
      <w:r w:rsidR="0073552B" w:rsidRPr="0073552B">
        <w:rPr>
          <w:rFonts w:cs="Arial"/>
          <w:lang w:val="es-ES"/>
        </w:rPr>
        <w:t xml:space="preserve"> </w:t>
      </w:r>
      <w:hyperlink r:id="rId13" w:history="1">
        <w:r w:rsidR="0073552B" w:rsidRPr="0073552B">
          <w:rPr>
            <w:rStyle w:val="Hyperlink"/>
            <w:rFonts w:cs="Arial"/>
            <w:lang w:val="es-ES"/>
          </w:rPr>
          <w:t>UNEP/CMS/COP15/Doc.18.1.</w:t>
        </w:r>
      </w:hyperlink>
      <w:r w:rsidRPr="003141D0">
        <w:rPr>
          <w:rFonts w:cs="Arial"/>
          <w:lang w:val="es-ES"/>
        </w:rPr>
        <w:t xml:space="preserve">. </w:t>
      </w:r>
      <w:r w:rsidRPr="003141D0">
        <w:rPr>
          <w:rFonts w:cs="Arial"/>
          <w:i/>
          <w:iCs/>
          <w:lang w:val="es-ES"/>
        </w:rPr>
        <w:t>Sinergias y asociaciones</w:t>
      </w:r>
      <w:r w:rsidRPr="003141D0">
        <w:rPr>
          <w:rFonts w:cs="Arial"/>
          <w:lang w:val="es-ES"/>
        </w:rPr>
        <w:t xml:space="preserve">, que debe leerse </w:t>
      </w:r>
      <w:proofErr w:type="gramStart"/>
      <w:r w:rsidRPr="003141D0">
        <w:rPr>
          <w:rFonts w:cs="Arial"/>
          <w:lang w:val="es-ES"/>
        </w:rPr>
        <w:t>conjuntamente con</w:t>
      </w:r>
      <w:proofErr w:type="gramEnd"/>
      <w:r w:rsidRPr="003141D0">
        <w:rPr>
          <w:rFonts w:cs="Arial"/>
          <w:lang w:val="es-ES"/>
        </w:rPr>
        <w:t xml:space="preserve"> el presente documento.</w:t>
      </w:r>
    </w:p>
    <w:p w14:paraId="469DE265" w14:textId="77777777" w:rsidR="00E97A3C" w:rsidRPr="003141D0" w:rsidRDefault="00E97A3C" w:rsidP="00727B7F">
      <w:pPr>
        <w:widowControl w:val="0"/>
        <w:autoSpaceDE w:val="0"/>
        <w:autoSpaceDN w:val="0"/>
        <w:adjustRightInd w:val="0"/>
        <w:spacing w:after="0" w:line="240" w:lineRule="auto"/>
        <w:jc w:val="both"/>
        <w:rPr>
          <w:rFonts w:cs="Arial"/>
          <w:highlight w:val="yellow"/>
          <w:u w:val="single"/>
          <w:lang w:val="es-ES"/>
        </w:rPr>
      </w:pPr>
    </w:p>
    <w:p w14:paraId="25638C11" w14:textId="4F547598" w:rsidR="00354055" w:rsidRPr="003141D0" w:rsidRDefault="00354055" w:rsidP="00354055">
      <w:pPr>
        <w:widowControl w:val="0"/>
        <w:spacing w:after="0" w:line="240" w:lineRule="auto"/>
        <w:jc w:val="both"/>
        <w:rPr>
          <w:rFonts w:cs="Arial"/>
          <w:u w:val="single"/>
          <w:lang w:val="es-ES"/>
        </w:rPr>
      </w:pPr>
      <w:r w:rsidRPr="003141D0">
        <w:rPr>
          <w:rFonts w:cs="Arial"/>
          <w:u w:val="single"/>
          <w:lang w:val="es-ES"/>
        </w:rPr>
        <w:t xml:space="preserve">Aplicación de la Decisión 14.7 a) - Apoyo a la aplicación del KMGBF </w:t>
      </w:r>
    </w:p>
    <w:p w14:paraId="05CA99B8" w14:textId="77777777" w:rsidR="00354055" w:rsidRPr="003141D0" w:rsidRDefault="00354055" w:rsidP="00CE67A7">
      <w:pPr>
        <w:pStyle w:val="ListParagraph"/>
        <w:widowControl w:val="0"/>
        <w:suppressAutoHyphens/>
        <w:spacing w:after="0" w:line="240" w:lineRule="auto"/>
        <w:ind w:left="630"/>
        <w:jc w:val="both"/>
        <w:rPr>
          <w:rFonts w:eastAsia="Calibri" w:cs="Arial"/>
          <w:lang w:val="es-ES"/>
        </w:rPr>
      </w:pPr>
    </w:p>
    <w:p w14:paraId="224A90B6" w14:textId="7782423B" w:rsidR="00C55DEE" w:rsidRPr="003141D0" w:rsidRDefault="00C55DEE" w:rsidP="005E2765">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 xml:space="preserve">A finales de 2024, el Fondo para la Biodiversidad de Kunming (KBF, por sus siglas en inglés), un fondo impulsado por China y respaldado por la Organización de las Naciones Unidas para apoyar a los países en desarrollo en la aplicación del KMGBF, lanzó una convocatoria de propuestas con varios ámbitos temáticos de gran pertinencia para la CMS y sus instrumentos. La Secretaría se coordinó con los puntos focales de las Partes de países en desarrollo, así como con organizaciones no gubernamentales (ONG) asociadas, y presentó numerosas propuestas de proyectos para apoyar la aplicación tanto a nivel nacional como regional, de las cuales 2 fueron aceptadas. En </w:t>
      </w:r>
      <w:hyperlink r:id="rId14" w:history="1">
        <w:r w:rsidR="00A205CB" w:rsidRPr="00A205CB">
          <w:rPr>
            <w:rStyle w:val="Hyperlink"/>
            <w:rFonts w:eastAsia="Calibri" w:cs="Arial"/>
            <w:lang w:val="es-ES"/>
          </w:rPr>
          <w:t>UNEP/CMS/COP15/Doc.14.3</w:t>
        </w:r>
      </w:hyperlink>
      <w:r w:rsidRPr="003141D0">
        <w:rPr>
          <w:rFonts w:eastAsia="Calibri" w:cs="Arial"/>
          <w:lang w:val="es-ES"/>
        </w:rPr>
        <w:t xml:space="preserve"> </w:t>
      </w:r>
      <w:r w:rsidR="00D07BB5" w:rsidRPr="003141D0">
        <w:rPr>
          <w:rFonts w:eastAsia="Calibri" w:cs="Arial"/>
          <w:i/>
          <w:iCs/>
          <w:lang w:val="es-ES"/>
        </w:rPr>
        <w:t>Movilización de recursos</w:t>
      </w:r>
      <w:r w:rsidRPr="003141D0">
        <w:rPr>
          <w:rFonts w:eastAsia="Calibri" w:cs="Arial"/>
          <w:lang w:val="es-ES"/>
        </w:rPr>
        <w:t xml:space="preserve"> se incluyen más detalles</w:t>
      </w:r>
      <w:r w:rsidR="00D07BB5" w:rsidRPr="003141D0">
        <w:rPr>
          <w:rFonts w:eastAsia="Calibri" w:cs="Arial"/>
          <w:lang w:val="es-ES"/>
        </w:rPr>
        <w:t>.</w:t>
      </w:r>
    </w:p>
    <w:p w14:paraId="0B10FD78" w14:textId="77777777" w:rsidR="00B61BD0" w:rsidRPr="003141D0" w:rsidRDefault="00B61BD0" w:rsidP="00CE67A7">
      <w:pPr>
        <w:pStyle w:val="ListParagraph"/>
        <w:widowControl w:val="0"/>
        <w:suppressAutoHyphens/>
        <w:spacing w:after="0" w:line="240" w:lineRule="auto"/>
        <w:ind w:left="630"/>
        <w:jc w:val="both"/>
        <w:rPr>
          <w:rFonts w:eastAsia="Calibri" w:cs="Arial"/>
          <w:lang w:val="es-ES"/>
        </w:rPr>
      </w:pPr>
    </w:p>
    <w:p w14:paraId="79552E3C" w14:textId="7E6F689D" w:rsidR="00303662" w:rsidRPr="003141D0" w:rsidRDefault="00D3146F" w:rsidP="00CE67A7">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Los proyectos de la CMS tienen por objeto traducir los objetivos y metas del KMGBF en acciones concretas sobre el terreno para las especies migratorias, además de en medidas de conservación coordinadas a lo largo de las rutas migratorias y los ecosistemas compartidos. Promueven la cooperación internacional, que es un principio fundamental del KMGBF. De este modo, la participación de la CMS en el KBF sirve como un mecanismo práctico para convertir el KMGBF de un marco mundial en una acción coordinada y orientada a resultados para la conservación de las especies migratorias.</w:t>
      </w:r>
    </w:p>
    <w:p w14:paraId="4154E762" w14:textId="219E5E6D" w:rsidR="00C55DEE" w:rsidRPr="003141D0" w:rsidRDefault="00C55DEE" w:rsidP="00CE67A7">
      <w:pPr>
        <w:pStyle w:val="ListParagraph"/>
        <w:widowControl w:val="0"/>
        <w:suppressAutoHyphens/>
        <w:spacing w:after="0" w:line="240" w:lineRule="auto"/>
        <w:ind w:left="630"/>
        <w:jc w:val="both"/>
        <w:rPr>
          <w:rFonts w:eastAsia="Calibri" w:cs="Arial"/>
          <w:lang w:val="es-ES"/>
        </w:rPr>
      </w:pPr>
    </w:p>
    <w:p w14:paraId="7744815F" w14:textId="77777777" w:rsidR="002E21E5" w:rsidRPr="003141D0" w:rsidRDefault="002E21E5" w:rsidP="00354055">
      <w:pPr>
        <w:widowControl w:val="0"/>
        <w:spacing w:after="0" w:line="240" w:lineRule="auto"/>
        <w:jc w:val="both"/>
        <w:rPr>
          <w:rFonts w:cs="Arial"/>
          <w:u w:val="single"/>
          <w:lang w:val="es-ES"/>
        </w:rPr>
      </w:pPr>
    </w:p>
    <w:p w14:paraId="51FED4DE" w14:textId="0129E743" w:rsidR="009C2BBE" w:rsidRPr="003141D0" w:rsidRDefault="00B63D29" w:rsidP="00B63D29">
      <w:pPr>
        <w:widowControl w:val="0"/>
        <w:spacing w:after="0" w:line="240" w:lineRule="auto"/>
        <w:jc w:val="both"/>
        <w:rPr>
          <w:rFonts w:cs="Arial"/>
          <w:u w:val="single"/>
          <w:lang w:val="es-ES"/>
        </w:rPr>
      </w:pPr>
      <w:r w:rsidRPr="003141D0">
        <w:rPr>
          <w:rFonts w:cs="Arial"/>
          <w:u w:val="single"/>
          <w:lang w:val="es-ES"/>
        </w:rPr>
        <w:t xml:space="preserve">Aplicación de la Decisión 14.7 b) y c) - Participación en el Proceso de Berna </w:t>
      </w:r>
    </w:p>
    <w:p w14:paraId="5BED3189" w14:textId="77777777" w:rsidR="009C2BBE" w:rsidRPr="003141D0" w:rsidRDefault="009C2BBE" w:rsidP="009C2BBE">
      <w:pPr>
        <w:suppressAutoHyphens/>
        <w:autoSpaceDN w:val="0"/>
        <w:spacing w:after="0" w:line="240" w:lineRule="auto"/>
        <w:textAlignment w:val="baseline"/>
        <w:rPr>
          <w:rFonts w:eastAsia="Calibri" w:cs="Arial"/>
          <w:b/>
          <w:lang w:val="es-ES"/>
        </w:rPr>
      </w:pPr>
    </w:p>
    <w:p w14:paraId="3839360B" w14:textId="3AA6BA6D" w:rsidR="009C2BBE" w:rsidRPr="003141D0" w:rsidRDefault="009C2BBE"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La Secretaría de la CMS participó activamente en la Conferencia de Berna</w:t>
      </w:r>
      <w:r w:rsidR="00776881" w:rsidRPr="003141D0">
        <w:rPr>
          <w:rFonts w:eastAsia="Calibri" w:cs="Arial"/>
          <w:lang w:val="es-ES"/>
        </w:rPr>
        <w:t> </w:t>
      </w:r>
      <w:r w:rsidRPr="003141D0">
        <w:rPr>
          <w:rFonts w:eastAsia="Calibri" w:cs="Arial"/>
          <w:lang w:val="es-ES"/>
        </w:rPr>
        <w:t>III (23-</w:t>
      </w:r>
      <w:r w:rsidR="00776881" w:rsidRPr="003141D0">
        <w:rPr>
          <w:rFonts w:eastAsia="Calibri" w:cs="Arial"/>
          <w:lang w:val="es-ES"/>
        </w:rPr>
        <w:t> </w:t>
      </w:r>
      <w:r w:rsidRPr="003141D0">
        <w:rPr>
          <w:rFonts w:eastAsia="Calibri" w:cs="Arial"/>
          <w:lang w:val="es-ES"/>
        </w:rPr>
        <w:t>25</w:t>
      </w:r>
      <w:r w:rsidR="00776881" w:rsidRPr="003141D0">
        <w:rPr>
          <w:rFonts w:eastAsia="Calibri" w:cs="Arial"/>
          <w:lang w:val="es-ES"/>
        </w:rPr>
        <w:t> </w:t>
      </w:r>
      <w:r w:rsidRPr="003141D0">
        <w:rPr>
          <w:rFonts w:eastAsia="Calibri" w:cs="Arial"/>
          <w:lang w:val="es-ES"/>
        </w:rPr>
        <w:t>de</w:t>
      </w:r>
      <w:r w:rsidR="00776881" w:rsidRPr="003141D0">
        <w:rPr>
          <w:rFonts w:eastAsia="Calibri" w:cs="Arial"/>
          <w:lang w:val="es-ES"/>
        </w:rPr>
        <w:t> </w:t>
      </w:r>
      <w:r w:rsidRPr="003141D0">
        <w:rPr>
          <w:rFonts w:eastAsia="Calibri" w:cs="Arial"/>
          <w:lang w:val="es-ES"/>
        </w:rPr>
        <w:t>enero</w:t>
      </w:r>
      <w:r w:rsidR="00776881" w:rsidRPr="003141D0">
        <w:rPr>
          <w:rFonts w:eastAsia="Calibri" w:cs="Arial"/>
          <w:lang w:val="es-ES"/>
        </w:rPr>
        <w:t> </w:t>
      </w:r>
      <w:r w:rsidRPr="003141D0">
        <w:rPr>
          <w:rFonts w:eastAsia="Calibri" w:cs="Arial"/>
          <w:lang w:val="es-ES"/>
        </w:rPr>
        <w:t>de</w:t>
      </w:r>
      <w:r w:rsidR="00776881" w:rsidRPr="003141D0">
        <w:rPr>
          <w:rFonts w:eastAsia="Calibri" w:cs="Arial"/>
          <w:lang w:val="es-ES"/>
        </w:rPr>
        <w:t> </w:t>
      </w:r>
      <w:r w:rsidRPr="003141D0">
        <w:rPr>
          <w:rFonts w:eastAsia="Calibri" w:cs="Arial"/>
          <w:lang w:val="es-ES"/>
        </w:rPr>
        <w:t>2024), centrada en la identificación de oportunidades de colaboración entre los AMUMA para aplicar el KMGBF.</w:t>
      </w:r>
    </w:p>
    <w:p w14:paraId="30B8094A" w14:textId="77777777" w:rsidR="009C2BBE" w:rsidRPr="003141D0" w:rsidRDefault="009C2BBE" w:rsidP="00FD1626">
      <w:pPr>
        <w:widowControl w:val="0"/>
        <w:autoSpaceDE w:val="0"/>
        <w:autoSpaceDN w:val="0"/>
        <w:adjustRightInd w:val="0"/>
        <w:spacing w:after="0" w:line="240" w:lineRule="auto"/>
        <w:ind w:left="567" w:hanging="567"/>
        <w:contextualSpacing/>
        <w:jc w:val="both"/>
        <w:rPr>
          <w:rFonts w:cs="Arial"/>
          <w:lang w:val="es-ES"/>
        </w:rPr>
      </w:pPr>
    </w:p>
    <w:p w14:paraId="05DB2555" w14:textId="3C597130" w:rsidR="009C2BBE" w:rsidRPr="003141D0" w:rsidRDefault="009C2BBE"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Con el apoyo financiero del Gobierno de Suiza, la CMS convocó una reunión preparatoria en línea el 9 de enero de 2024, en la que participaron representantes de:</w:t>
      </w:r>
    </w:p>
    <w:p w14:paraId="4E5824CA" w14:textId="77777777" w:rsidR="00776881" w:rsidRPr="003141D0" w:rsidRDefault="00776881" w:rsidP="00776881">
      <w:pPr>
        <w:widowControl w:val="0"/>
        <w:suppressAutoHyphens/>
        <w:spacing w:after="0" w:line="240" w:lineRule="auto"/>
        <w:jc w:val="both"/>
        <w:rPr>
          <w:rFonts w:eastAsia="Calibri" w:cs="Arial"/>
          <w:lang w:val="es-ES"/>
        </w:rPr>
      </w:pPr>
    </w:p>
    <w:p w14:paraId="33843C04" w14:textId="10D8CA88" w:rsidR="00776881" w:rsidRPr="003141D0" w:rsidRDefault="009C2BBE" w:rsidP="00776881">
      <w:pPr>
        <w:numPr>
          <w:ilvl w:val="1"/>
          <w:numId w:val="16"/>
        </w:numPr>
        <w:suppressAutoHyphens/>
        <w:autoSpaceDN w:val="0"/>
        <w:spacing w:after="80" w:line="240" w:lineRule="auto"/>
        <w:textAlignment w:val="baseline"/>
        <w:rPr>
          <w:rFonts w:eastAsia="Calibri" w:cs="Arial"/>
          <w:lang w:val="es-ES"/>
        </w:rPr>
      </w:pPr>
      <w:r w:rsidRPr="003141D0">
        <w:rPr>
          <w:rFonts w:eastAsia="Calibri" w:cs="Arial"/>
          <w:lang w:val="es-ES"/>
        </w:rPr>
        <w:t>Partes de la CMS asistentes a la Conferencia de Berna III,</w:t>
      </w:r>
    </w:p>
    <w:p w14:paraId="381154F7" w14:textId="77777777" w:rsidR="009C2BBE" w:rsidRPr="003141D0" w:rsidRDefault="009C2BBE" w:rsidP="00CB4D47">
      <w:pPr>
        <w:numPr>
          <w:ilvl w:val="1"/>
          <w:numId w:val="16"/>
        </w:numPr>
        <w:suppressAutoHyphens/>
        <w:autoSpaceDN w:val="0"/>
        <w:spacing w:after="80" w:line="240" w:lineRule="auto"/>
        <w:textAlignment w:val="baseline"/>
        <w:rPr>
          <w:rFonts w:eastAsia="Calibri" w:cs="Arial"/>
          <w:lang w:val="es-ES"/>
        </w:rPr>
      </w:pPr>
      <w:r w:rsidRPr="003141D0">
        <w:rPr>
          <w:rFonts w:eastAsia="Calibri" w:cs="Arial"/>
          <w:lang w:val="es-ES"/>
        </w:rPr>
        <w:t>miembros del Comité Permanente,</w:t>
      </w:r>
    </w:p>
    <w:p w14:paraId="0BF5550F" w14:textId="77777777" w:rsidR="009C2BBE" w:rsidRPr="003141D0" w:rsidRDefault="009C2BBE" w:rsidP="00CB4D47">
      <w:pPr>
        <w:numPr>
          <w:ilvl w:val="1"/>
          <w:numId w:val="16"/>
        </w:numPr>
        <w:suppressAutoHyphens/>
        <w:autoSpaceDN w:val="0"/>
        <w:spacing w:after="80" w:line="240" w:lineRule="auto"/>
        <w:textAlignment w:val="baseline"/>
        <w:rPr>
          <w:rFonts w:eastAsia="Calibri" w:cs="Arial"/>
          <w:lang w:val="es-ES"/>
        </w:rPr>
      </w:pPr>
      <w:r w:rsidRPr="003141D0">
        <w:rPr>
          <w:rFonts w:eastAsia="Calibri" w:cs="Arial"/>
          <w:lang w:val="es-ES"/>
        </w:rPr>
        <w:t>el presidente del Consejo Científico de la CMS, y</w:t>
      </w:r>
    </w:p>
    <w:p w14:paraId="5DCCE54F" w14:textId="1A96EB87" w:rsidR="009C2BBE" w:rsidRPr="003141D0" w:rsidRDefault="009C2BBE" w:rsidP="00FD1626">
      <w:pPr>
        <w:numPr>
          <w:ilvl w:val="1"/>
          <w:numId w:val="16"/>
        </w:numPr>
        <w:suppressAutoHyphens/>
        <w:autoSpaceDN w:val="0"/>
        <w:spacing w:after="0" w:line="240" w:lineRule="auto"/>
        <w:textAlignment w:val="baseline"/>
        <w:rPr>
          <w:rFonts w:eastAsia="Calibri" w:cs="Arial"/>
          <w:lang w:val="es-ES"/>
        </w:rPr>
      </w:pPr>
      <w:r w:rsidRPr="003141D0">
        <w:rPr>
          <w:rFonts w:eastAsia="Calibri" w:cs="Arial"/>
          <w:lang w:val="es-ES"/>
        </w:rPr>
        <w:t>miembros del Grupo de Trabajo de la Familia de la CMS sobre el KMGBF.</w:t>
      </w:r>
    </w:p>
    <w:p w14:paraId="728CA4CA" w14:textId="77777777" w:rsidR="00737EA6" w:rsidRPr="003141D0" w:rsidRDefault="00737EA6" w:rsidP="00737EA6">
      <w:pPr>
        <w:suppressAutoHyphens/>
        <w:autoSpaceDN w:val="0"/>
        <w:spacing w:after="0" w:line="240" w:lineRule="auto"/>
        <w:ind w:left="1440"/>
        <w:textAlignment w:val="baseline"/>
        <w:rPr>
          <w:rFonts w:eastAsia="Calibri" w:cs="Arial"/>
          <w:lang w:val="es-ES"/>
        </w:rPr>
      </w:pPr>
    </w:p>
    <w:p w14:paraId="1885DEC5" w14:textId="77777777" w:rsidR="009C2BBE" w:rsidRPr="003141D0" w:rsidRDefault="009C2BBE"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Esta participación dio lugar a la integración de las prioridades de la CMS en los resultados de Berna III, destacando la conservación de la conectividad, los corredores de migración de especies y la función de las especies migratorias en la resiliencia de los ecosistemas.</w:t>
      </w:r>
    </w:p>
    <w:p w14:paraId="526DB00F" w14:textId="77777777" w:rsidR="009C2BBE" w:rsidRPr="003141D0" w:rsidRDefault="009C2BBE" w:rsidP="009E35AE">
      <w:pPr>
        <w:pStyle w:val="ListParagraph"/>
        <w:widowControl w:val="0"/>
        <w:suppressAutoHyphens/>
        <w:spacing w:after="0" w:line="240" w:lineRule="auto"/>
        <w:ind w:left="630"/>
        <w:jc w:val="both"/>
        <w:rPr>
          <w:rFonts w:eastAsia="Calibri" w:cs="Arial"/>
          <w:lang w:val="es-ES"/>
        </w:rPr>
      </w:pPr>
    </w:p>
    <w:p w14:paraId="62BFE197" w14:textId="2B7877D3" w:rsidR="009C2BBE" w:rsidRPr="003141D0" w:rsidRDefault="009C2BBE"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El informe de la conferencia recogió varias propuestas concretas para la aplicación conjunta entre los AMUMA, destacando el liderazgo de la CMS en la promoción de la conectividad ecológica en el marco del KMGBF.</w:t>
      </w:r>
    </w:p>
    <w:p w14:paraId="54AB2589" w14:textId="77777777" w:rsidR="009E35AE" w:rsidRPr="003141D0" w:rsidRDefault="009E35AE" w:rsidP="009E35AE">
      <w:pPr>
        <w:pStyle w:val="ListParagraph"/>
        <w:rPr>
          <w:rFonts w:eastAsia="Calibri" w:cs="Arial"/>
          <w:lang w:val="es-ES"/>
        </w:rPr>
      </w:pPr>
    </w:p>
    <w:p w14:paraId="4E30D718" w14:textId="0802AA0E" w:rsidR="009E35AE" w:rsidRPr="00A205CB" w:rsidRDefault="00737EA6" w:rsidP="009E35AE">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 xml:space="preserve">La Secretaría participó en un </w:t>
      </w:r>
      <w:hyperlink r:id="rId15" w:history="1">
        <w:r w:rsidR="00776881" w:rsidRPr="003141D0">
          <w:rPr>
            <w:rStyle w:val="Hyperlink"/>
            <w:rFonts w:eastAsia="Calibri" w:cs="Arial"/>
            <w:lang w:val="es-ES"/>
          </w:rPr>
          <w:t>Taller de Expertos</w:t>
        </w:r>
      </w:hyperlink>
      <w:r w:rsidRPr="003141D0">
        <w:rPr>
          <w:rFonts w:eastAsia="Calibri" w:cs="Arial"/>
          <w:lang w:val="es-ES"/>
        </w:rPr>
        <w:t xml:space="preserve"> sobre el Proceso de Berna y la contribución de los AMUMA a la aplicación del KMGBF, celebrado los días 27</w:t>
      </w:r>
      <w:r w:rsidR="0073074B" w:rsidRPr="003141D0">
        <w:rPr>
          <w:rFonts w:eastAsia="Calibri" w:cs="Arial"/>
          <w:lang w:val="es-ES"/>
        </w:rPr>
        <w:t> </w:t>
      </w:r>
      <w:r w:rsidRPr="003141D0">
        <w:rPr>
          <w:rFonts w:eastAsia="Calibri" w:cs="Arial"/>
          <w:lang w:val="es-ES"/>
        </w:rPr>
        <w:t>y</w:t>
      </w:r>
      <w:r w:rsidR="0073074B" w:rsidRPr="003141D0">
        <w:rPr>
          <w:rFonts w:eastAsia="Calibri" w:cs="Arial"/>
          <w:lang w:val="es-ES"/>
        </w:rPr>
        <w:t> </w:t>
      </w:r>
      <w:r w:rsidRPr="003141D0">
        <w:rPr>
          <w:rFonts w:eastAsia="Calibri" w:cs="Arial"/>
          <w:lang w:val="es-ES"/>
        </w:rPr>
        <w:t>28</w:t>
      </w:r>
      <w:r w:rsidR="0073074B" w:rsidRPr="003141D0">
        <w:rPr>
          <w:rFonts w:eastAsia="Calibri" w:cs="Arial"/>
          <w:lang w:val="es-ES"/>
        </w:rPr>
        <w:t> </w:t>
      </w:r>
      <w:r w:rsidRPr="003141D0">
        <w:rPr>
          <w:rFonts w:eastAsia="Calibri" w:cs="Arial"/>
          <w:lang w:val="es-ES"/>
        </w:rPr>
        <w:t>de</w:t>
      </w:r>
      <w:r w:rsidR="0073074B" w:rsidRPr="003141D0">
        <w:rPr>
          <w:rFonts w:eastAsia="Calibri" w:cs="Arial"/>
          <w:lang w:val="es-ES"/>
        </w:rPr>
        <w:t> </w:t>
      </w:r>
      <w:r w:rsidRPr="003141D0">
        <w:rPr>
          <w:rFonts w:eastAsia="Calibri" w:cs="Arial"/>
          <w:lang w:val="es-ES"/>
        </w:rPr>
        <w:t>agosto</w:t>
      </w:r>
      <w:r w:rsidR="0073074B" w:rsidRPr="003141D0">
        <w:rPr>
          <w:rFonts w:eastAsia="Calibri" w:cs="Arial"/>
          <w:lang w:val="es-ES"/>
        </w:rPr>
        <w:t> </w:t>
      </w:r>
      <w:r w:rsidRPr="003141D0">
        <w:rPr>
          <w:rFonts w:eastAsia="Calibri" w:cs="Arial"/>
          <w:lang w:val="es-ES"/>
        </w:rPr>
        <w:t>de</w:t>
      </w:r>
      <w:r w:rsidR="0073074B" w:rsidRPr="003141D0">
        <w:rPr>
          <w:rFonts w:eastAsia="Calibri" w:cs="Arial"/>
          <w:lang w:val="es-ES"/>
        </w:rPr>
        <w:t> </w:t>
      </w:r>
      <w:r w:rsidRPr="003141D0">
        <w:rPr>
          <w:rFonts w:eastAsia="Calibri" w:cs="Arial"/>
          <w:lang w:val="es-ES"/>
        </w:rPr>
        <w:t xml:space="preserve">2025 en </w:t>
      </w:r>
      <w:proofErr w:type="spellStart"/>
      <w:r w:rsidRPr="003141D0">
        <w:rPr>
          <w:rFonts w:eastAsia="Calibri" w:cs="Arial"/>
          <w:lang w:val="es-ES"/>
        </w:rPr>
        <w:t>Bogis</w:t>
      </w:r>
      <w:proofErr w:type="spellEnd"/>
      <w:r w:rsidRPr="003141D0">
        <w:rPr>
          <w:rFonts w:eastAsia="Calibri" w:cs="Arial"/>
          <w:lang w:val="es-ES"/>
        </w:rPr>
        <w:t xml:space="preserve">-Bossey (Suiza), convocado por el PNUMA en colaboración con el Gobierno de Suiza y con apoyo técnico de la Secretaría del CDB. El taller tuvo como objetivo apoyar el examen mundial de los avances colectivos en la </w:t>
      </w:r>
      <w:r w:rsidRPr="003141D0">
        <w:rPr>
          <w:rFonts w:eastAsia="Calibri" w:cs="Arial"/>
          <w:lang w:val="es-ES"/>
        </w:rPr>
        <w:lastRenderedPageBreak/>
        <w:t xml:space="preserve">aplicación del KMGBF facilitando el intercambio de información y promoviendo la complementariedad de las aportaciones de los AMUMA al examen mundial, de conformidad con sus respectivos mandatos y en respuesta a la decisión 16/323 de la COP del CDB sobre </w:t>
      </w:r>
      <w:r w:rsidRPr="003141D0">
        <w:rPr>
          <w:rFonts w:eastAsia="Calibri" w:cs="Arial"/>
          <w:i/>
          <w:iCs/>
          <w:lang w:val="es-ES"/>
        </w:rPr>
        <w:t>los mecanismos de planificación, seguimiento, presentación de informes y examen</w:t>
      </w:r>
      <w:r w:rsidRPr="003141D0">
        <w:rPr>
          <w:rFonts w:eastAsia="Calibri" w:cs="Arial"/>
          <w:lang w:val="es-ES"/>
        </w:rPr>
        <w:t xml:space="preserve">. Asimismo, trató de aportar elementos de asesoramiento sobre la futura función y los objetivos del Proceso de Berna, basándose en las enseñanzas aprendidas, los resultados y los impactos de actividades anteriores. El informe del taller </w:t>
      </w:r>
      <w:proofErr w:type="spellStart"/>
      <w:r w:rsidRPr="003141D0">
        <w:rPr>
          <w:rFonts w:eastAsia="Calibri" w:cs="Arial"/>
          <w:i/>
          <w:lang w:val="es-ES"/>
        </w:rPr>
        <w:t>Bogis</w:t>
      </w:r>
      <w:proofErr w:type="spellEnd"/>
      <w:r w:rsidRPr="003141D0">
        <w:rPr>
          <w:rFonts w:eastAsia="Calibri" w:cs="Arial"/>
          <w:i/>
          <w:lang w:val="es-ES"/>
        </w:rPr>
        <w:t xml:space="preserve"> Bossey</w:t>
      </w:r>
      <w:r w:rsidRPr="003141D0">
        <w:rPr>
          <w:rFonts w:eastAsia="Calibri" w:cs="Arial"/>
          <w:lang w:val="es-ES"/>
        </w:rPr>
        <w:t xml:space="preserve"> se presentó como documento de información en el marco de la 27.ª</w:t>
      </w:r>
      <w:r w:rsidR="00111FA1" w:rsidRPr="003141D0">
        <w:rPr>
          <w:rFonts w:eastAsia="Calibri" w:cs="Arial"/>
          <w:lang w:val="es-ES"/>
        </w:rPr>
        <w:t> </w:t>
      </w:r>
      <w:r w:rsidRPr="003141D0">
        <w:rPr>
          <w:rFonts w:eastAsia="Calibri" w:cs="Arial"/>
          <w:lang w:val="es-ES"/>
        </w:rPr>
        <w:t>reunión del Órgano Subsidiario de Asesoramiento Científico, Técnico y Tecnológico del CDB (</w:t>
      </w:r>
      <w:hyperlink r:id="rId16" w:history="1">
        <w:r w:rsidR="009E35AE" w:rsidRPr="003141D0">
          <w:rPr>
            <w:rStyle w:val="Hyperlink"/>
            <w:lang w:val="es-ES"/>
          </w:rPr>
          <w:t>CBD/SBSTTA/27/INF/15</w:t>
        </w:r>
      </w:hyperlink>
      <w:r w:rsidR="000C50B6" w:rsidRPr="003141D0">
        <w:rPr>
          <w:lang w:val="es-ES"/>
        </w:rPr>
        <w:t>)</w:t>
      </w:r>
      <w:r w:rsidRPr="003141D0">
        <w:rPr>
          <w:lang w:val="es-ES"/>
        </w:rPr>
        <w:t>.</w:t>
      </w:r>
    </w:p>
    <w:p w14:paraId="64EC2AE8" w14:textId="77777777" w:rsidR="00A205CB" w:rsidRPr="003141D0" w:rsidRDefault="00A205CB" w:rsidP="00A205CB">
      <w:pPr>
        <w:pStyle w:val="ListParagraph"/>
        <w:widowControl w:val="0"/>
        <w:suppressAutoHyphens/>
        <w:spacing w:after="0" w:line="240" w:lineRule="auto"/>
        <w:ind w:left="630"/>
        <w:jc w:val="both"/>
        <w:rPr>
          <w:rFonts w:eastAsia="Calibri" w:cs="Arial"/>
          <w:lang w:val="es-ES"/>
        </w:rPr>
      </w:pPr>
    </w:p>
    <w:p w14:paraId="6A51CAF1" w14:textId="7CFECE04" w:rsidR="00964B81" w:rsidRPr="003141D0" w:rsidRDefault="00737EA6" w:rsidP="00A33DBA">
      <w:pPr>
        <w:pStyle w:val="ListParagraph"/>
        <w:widowControl w:val="0"/>
        <w:numPr>
          <w:ilvl w:val="0"/>
          <w:numId w:val="4"/>
        </w:numPr>
        <w:suppressAutoHyphens/>
        <w:spacing w:after="0" w:line="240" w:lineRule="auto"/>
        <w:ind w:left="567" w:hanging="567"/>
        <w:jc w:val="both"/>
        <w:rPr>
          <w:rFonts w:eastAsia="Calibri" w:cs="Arial"/>
          <w:lang w:val="es-ES"/>
        </w:rPr>
      </w:pPr>
      <w:r w:rsidRPr="003141D0">
        <w:rPr>
          <w:rFonts w:eastAsia="Calibri" w:cs="Arial"/>
          <w:lang w:val="es-ES"/>
        </w:rPr>
        <w:t xml:space="preserve">Tras el taller, el 1 de octubre de 2025, la Secretaría presentó aportaciones en respuesta a la </w:t>
      </w:r>
      <w:hyperlink r:id="rId17" w:history="1">
        <w:r w:rsidR="00B37246" w:rsidRPr="003141D0">
          <w:rPr>
            <w:rStyle w:val="Hyperlink"/>
            <w:rFonts w:eastAsia="Calibri" w:cs="Arial"/>
            <w:lang w:val="es-ES"/>
          </w:rPr>
          <w:t>Notificación del CDB 2025-099</w:t>
        </w:r>
      </w:hyperlink>
      <w:r w:rsidRPr="003141D0">
        <w:rPr>
          <w:rFonts w:eastAsia="Calibri" w:cs="Arial"/>
          <w:lang w:val="es-ES"/>
        </w:rPr>
        <w:t xml:space="preserve"> sobre el informe mundial relativo a los avances colectivos en la aplicación del KMGBF.</w:t>
      </w:r>
    </w:p>
    <w:p w14:paraId="3F0196FD" w14:textId="77777777" w:rsidR="009C2BBE" w:rsidRPr="003141D0" w:rsidRDefault="009C2BBE" w:rsidP="009C2BBE">
      <w:pPr>
        <w:suppressAutoHyphens/>
        <w:autoSpaceDN w:val="0"/>
        <w:spacing w:after="0" w:line="240" w:lineRule="auto"/>
        <w:textAlignment w:val="baseline"/>
        <w:rPr>
          <w:rFonts w:eastAsia="Calibri" w:cs="Arial"/>
          <w:lang w:val="es-ES"/>
        </w:rPr>
      </w:pPr>
    </w:p>
    <w:p w14:paraId="4BB4DBCB" w14:textId="7A33219D" w:rsidR="009C2BBE" w:rsidRPr="003141D0" w:rsidRDefault="00B63D29" w:rsidP="00B63D29">
      <w:pPr>
        <w:widowControl w:val="0"/>
        <w:spacing w:after="0" w:line="240" w:lineRule="auto"/>
        <w:jc w:val="both"/>
        <w:rPr>
          <w:rFonts w:cs="Arial"/>
          <w:u w:val="single"/>
          <w:lang w:val="es-ES"/>
        </w:rPr>
      </w:pPr>
      <w:r w:rsidRPr="003141D0">
        <w:rPr>
          <w:rFonts w:cs="Arial"/>
          <w:u w:val="single"/>
          <w:lang w:val="es-ES"/>
        </w:rPr>
        <w:t xml:space="preserve">Aplicación de la Decisión 14.7(d) - Alineación del marco de seguimiento de la CMS con el KMGBF </w:t>
      </w:r>
    </w:p>
    <w:p w14:paraId="30A0E248" w14:textId="77777777" w:rsidR="009C2BBE" w:rsidRPr="003141D0" w:rsidRDefault="009C2BBE" w:rsidP="009C2BBE">
      <w:pPr>
        <w:suppressAutoHyphens/>
        <w:autoSpaceDN w:val="0"/>
        <w:spacing w:after="0" w:line="240" w:lineRule="auto"/>
        <w:textAlignment w:val="baseline"/>
        <w:rPr>
          <w:rFonts w:eastAsia="Calibri" w:cs="Arial"/>
          <w:b/>
          <w:lang w:val="es-ES"/>
        </w:rPr>
      </w:pPr>
    </w:p>
    <w:p w14:paraId="5DC015D5" w14:textId="5D5E471D" w:rsidR="002A44E3" w:rsidRPr="003141D0" w:rsidRDefault="009C2BBE" w:rsidP="007651C3">
      <w:pPr>
        <w:widowControl w:val="0"/>
        <w:numPr>
          <w:ilvl w:val="0"/>
          <w:numId w:val="4"/>
        </w:numPr>
        <w:autoSpaceDE w:val="0"/>
        <w:autoSpaceDN w:val="0"/>
        <w:adjustRightInd w:val="0"/>
        <w:spacing w:after="0" w:line="240" w:lineRule="auto"/>
        <w:ind w:left="567" w:hanging="567"/>
        <w:contextualSpacing/>
        <w:jc w:val="both"/>
        <w:rPr>
          <w:rFonts w:cs="Arial"/>
          <w:i/>
          <w:iCs/>
          <w:lang w:val="es-ES"/>
        </w:rPr>
      </w:pPr>
      <w:r w:rsidRPr="003141D0">
        <w:rPr>
          <w:rFonts w:cs="Arial"/>
          <w:lang w:val="es-ES"/>
        </w:rPr>
        <w:t xml:space="preserve">De conformidad con la </w:t>
      </w:r>
      <w:bookmarkStart w:id="3" w:name="_Hlk213709763"/>
      <w:r w:rsidRPr="003141D0">
        <w:rPr>
          <w:rFonts w:cs="Arial"/>
          <w:lang w:val="es-ES"/>
        </w:rPr>
        <w:t>Decisión 14.7(d)</w:t>
      </w:r>
      <w:bookmarkEnd w:id="3"/>
      <w:r w:rsidRPr="003141D0">
        <w:rPr>
          <w:rFonts w:cs="Arial"/>
          <w:lang w:val="es-ES"/>
        </w:rPr>
        <w:t>, mediante los trabajos del Grupo de Trabajo entre sesiones sobre el Plan Estratégico de Samarcanda para las Especies Migratorias (SPMS, por su</w:t>
      </w:r>
      <w:r w:rsidR="003141D0">
        <w:rPr>
          <w:rFonts w:cs="Arial"/>
          <w:lang w:val="es-ES"/>
        </w:rPr>
        <w:t>s</w:t>
      </w:r>
      <w:r w:rsidRPr="003141D0">
        <w:rPr>
          <w:rFonts w:cs="Arial"/>
          <w:lang w:val="es-ES"/>
        </w:rPr>
        <w:t xml:space="preserve"> siglas en inglés) 2024-2032, </w:t>
      </w:r>
      <w:r w:rsidR="002A44E3" w:rsidRPr="003141D0">
        <w:rPr>
          <w:rStyle w:val="Hyperlink"/>
          <w:rFonts w:cs="Arial"/>
          <w:color w:val="auto"/>
          <w:u w:val="none"/>
          <w:lang w:val="es-ES"/>
        </w:rPr>
        <w:t xml:space="preserve">se identificaron indicadores para las metas del SPMS utilizando un conjunto de principios rectores. Estos se basan en parte en los </w:t>
      </w:r>
      <w:hyperlink r:id="rId18" w:history="1">
        <w:r w:rsidR="002A44E3" w:rsidRPr="003141D0">
          <w:rPr>
            <w:rStyle w:val="Hyperlink"/>
            <w:rFonts w:cs="Arial"/>
            <w:color w:val="auto"/>
            <w:u w:val="none"/>
            <w:lang w:val="es-ES"/>
          </w:rPr>
          <w:t>criterios</w:t>
        </w:r>
      </w:hyperlink>
      <w:r w:rsidR="002A44E3" w:rsidRPr="003141D0">
        <w:rPr>
          <w:rStyle w:val="Hyperlink"/>
          <w:rFonts w:cs="Arial"/>
          <w:color w:val="auto"/>
          <w:u w:val="none"/>
          <w:lang w:val="es-ES"/>
        </w:rPr>
        <w:t xml:space="preserve"> aprobados durante la COP15 del CDB para seleccionar indicadores dirigidos al marco de seguimiento (</w:t>
      </w:r>
      <w:hyperlink r:id="rId19">
        <w:r w:rsidR="002A44E3" w:rsidRPr="003141D0">
          <w:rPr>
            <w:rStyle w:val="Hyperlink"/>
            <w:rFonts w:cs="Arial"/>
            <w:color w:val="0563C1" w:themeColor="hyperlink"/>
            <w:kern w:val="2"/>
            <w:lang w:val="es-ES"/>
            <w14:ligatures w14:val="standardContextual"/>
          </w:rPr>
          <w:t>CBD/COP/DEC/16/31</w:t>
        </w:r>
      </w:hyperlink>
      <w:r w:rsidR="002A44E3" w:rsidRPr="003141D0">
        <w:rPr>
          <w:rStyle w:val="Hyperlink"/>
          <w:rFonts w:cs="Arial"/>
          <w:color w:val="auto"/>
          <w:u w:val="none"/>
          <w:lang w:val="es-ES"/>
        </w:rPr>
        <w:t xml:space="preserve">) del KMGBF y, en parte, en consideraciones adicionales específicas de la CMS. En </w:t>
      </w:r>
      <w:hyperlink r:id="rId20" w:history="1">
        <w:r w:rsidR="008B5D7C" w:rsidRPr="003141D0">
          <w:rPr>
            <w:rStyle w:val="Hyperlink"/>
            <w:rFonts w:cs="Arial"/>
            <w:lang w:val="es-ES"/>
          </w:rPr>
          <w:t>UNEP/CMS/COP15/Doc.15</w:t>
        </w:r>
      </w:hyperlink>
      <w:r w:rsidR="008B5D7C" w:rsidRPr="003141D0">
        <w:rPr>
          <w:rStyle w:val="Hyperlink"/>
          <w:rFonts w:cs="Arial"/>
          <w:color w:val="auto"/>
          <w:u w:val="none"/>
          <w:lang w:val="es-ES"/>
        </w:rPr>
        <w:t xml:space="preserve"> </w:t>
      </w:r>
      <w:r w:rsidR="00230D21" w:rsidRPr="003141D0">
        <w:rPr>
          <w:rStyle w:val="Hyperlink"/>
          <w:rFonts w:cs="Arial"/>
          <w:i/>
          <w:iCs/>
          <w:color w:val="auto"/>
          <w:u w:val="none"/>
          <w:lang w:val="es-ES"/>
        </w:rPr>
        <w:t>Plan Estratégico de Samarcanda para las Especies Migratorias 2024-2032</w:t>
      </w:r>
      <w:r w:rsidRPr="003141D0">
        <w:rPr>
          <w:rFonts w:cs="Arial"/>
          <w:lang w:val="es-ES"/>
        </w:rPr>
        <w:t xml:space="preserve"> se incluyen más detalles.</w:t>
      </w:r>
    </w:p>
    <w:p w14:paraId="5A00327C" w14:textId="77777777" w:rsidR="009C2BBE" w:rsidRPr="003141D0" w:rsidRDefault="009C2BBE" w:rsidP="009C2BBE">
      <w:pPr>
        <w:suppressAutoHyphens/>
        <w:autoSpaceDN w:val="0"/>
        <w:spacing w:after="0" w:line="240" w:lineRule="auto"/>
        <w:textAlignment w:val="baseline"/>
        <w:rPr>
          <w:rFonts w:eastAsia="Calibri" w:cs="Arial"/>
          <w:b/>
          <w:lang w:val="es-ES"/>
        </w:rPr>
      </w:pPr>
    </w:p>
    <w:p w14:paraId="4D4480D8" w14:textId="1CEF586A" w:rsidR="009C2BBE" w:rsidRPr="003141D0" w:rsidRDefault="00B63D29" w:rsidP="00B63D29">
      <w:pPr>
        <w:widowControl w:val="0"/>
        <w:spacing w:after="0" w:line="240" w:lineRule="auto"/>
        <w:jc w:val="both"/>
        <w:rPr>
          <w:rFonts w:cs="Arial"/>
          <w:u w:val="single"/>
          <w:lang w:val="es-ES"/>
        </w:rPr>
      </w:pPr>
      <w:r w:rsidRPr="003141D0">
        <w:rPr>
          <w:rFonts w:cs="Arial"/>
          <w:u w:val="single"/>
          <w:lang w:val="es-ES"/>
        </w:rPr>
        <w:t>Aplicación de la Decisión 14.7 e) - Apoyo a la aplicación nacional mediante las EPANDB</w:t>
      </w:r>
    </w:p>
    <w:p w14:paraId="536B90BC" w14:textId="77777777" w:rsidR="009C2BBE" w:rsidRPr="003141D0" w:rsidRDefault="009C2BBE" w:rsidP="009C2BBE">
      <w:pPr>
        <w:suppressAutoHyphens/>
        <w:autoSpaceDN w:val="0"/>
        <w:spacing w:after="0" w:line="240" w:lineRule="auto"/>
        <w:textAlignment w:val="baseline"/>
        <w:rPr>
          <w:rFonts w:eastAsia="Calibri" w:cs="Arial"/>
          <w:b/>
          <w:lang w:val="es-ES"/>
        </w:rPr>
      </w:pPr>
    </w:p>
    <w:p w14:paraId="152FF80D" w14:textId="7F26E52A" w:rsidR="00230D21" w:rsidRPr="003141D0" w:rsidRDefault="00230D21"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 xml:space="preserve">En respuesta a la Decisión 14.7 e), en julio de 2024 la Secretaría emitió la </w:t>
      </w:r>
      <w:hyperlink r:id="rId21" w:history="1">
        <w:r w:rsidR="00A767FD" w:rsidRPr="003141D0">
          <w:rPr>
            <w:rStyle w:val="Hyperlink"/>
            <w:rFonts w:eastAsia="Calibri" w:cs="Arial"/>
            <w:lang w:val="es-ES"/>
          </w:rPr>
          <w:t>Notificación</w:t>
        </w:r>
        <w:r w:rsidR="00111FA1" w:rsidRPr="003141D0">
          <w:rPr>
            <w:rStyle w:val="Hyperlink"/>
            <w:rFonts w:eastAsia="Calibri" w:cs="Arial"/>
            <w:lang w:val="es-ES"/>
          </w:rPr>
          <w:t> </w:t>
        </w:r>
        <w:r w:rsidR="00A767FD" w:rsidRPr="003141D0">
          <w:rPr>
            <w:rStyle w:val="Hyperlink"/>
            <w:rFonts w:eastAsia="Calibri" w:cs="Arial"/>
            <w:lang w:val="es-ES"/>
          </w:rPr>
          <w:t>2024/017</w:t>
        </w:r>
      </w:hyperlink>
      <w:r w:rsidRPr="003141D0">
        <w:rPr>
          <w:rFonts w:eastAsia="Calibri" w:cs="Arial"/>
          <w:lang w:val="es-ES"/>
        </w:rPr>
        <w:t xml:space="preserve"> para informar a las Partes sobre documentos de orientación y otras herramientas destinadas a apoyar la integración de las necesidades y consideraciones relativas a las especies migratorias en la revisión y actualización de las Estrategias y Planes de Acción Nacionales en materia de Diversidad Biológica (EPANDB). </w:t>
      </w:r>
    </w:p>
    <w:p w14:paraId="30EEFAA6" w14:textId="77777777" w:rsidR="00230D21" w:rsidRPr="003141D0" w:rsidRDefault="00230D21" w:rsidP="007651C3">
      <w:pPr>
        <w:pStyle w:val="ListParagraph"/>
        <w:widowControl w:val="0"/>
        <w:suppressAutoHyphens/>
        <w:spacing w:after="0" w:line="240" w:lineRule="auto"/>
        <w:ind w:left="630"/>
        <w:jc w:val="both"/>
        <w:rPr>
          <w:rFonts w:eastAsia="Calibri" w:cs="Arial"/>
          <w:lang w:val="es-ES"/>
        </w:rPr>
      </w:pPr>
    </w:p>
    <w:p w14:paraId="36F2E72F" w14:textId="6BED99BE" w:rsidR="00727B7F" w:rsidRPr="003141D0" w:rsidRDefault="00230D21"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Entre ellos, la Secretaría elaboró un documento de orientación en colaboración con la Secretaría de la Convención sobre el Comercio Internacional de Especies Amenazadas de Fauna y Flora Silvestres (CITES) como contribución al Plan de Trabajo 2023-2025 de la Asociación de Colaboración sobre Manejo Sostenible de la Fauna Silvestre (CPW), de la que ambas son miembros. Se centra en la necesidad de considerar el trabajo bajo la CMS y la CITES al desarrollar acciones EPANDB relacionadas con los tres objetivos correspondientes a especies del KMGBF.</w:t>
      </w:r>
    </w:p>
    <w:p w14:paraId="4A376414" w14:textId="77777777" w:rsidR="00D856FE" w:rsidRPr="003141D0" w:rsidRDefault="00D856FE" w:rsidP="00134E93">
      <w:pPr>
        <w:pStyle w:val="ListParagraph"/>
        <w:rPr>
          <w:rFonts w:eastAsia="Calibri" w:cs="Arial"/>
          <w:lang w:val="es-ES"/>
        </w:rPr>
      </w:pPr>
    </w:p>
    <w:p w14:paraId="70DC3057" w14:textId="3D1E2E36" w:rsidR="00D856FE" w:rsidRPr="003141D0" w:rsidRDefault="00D856FE" w:rsidP="00A33DBA">
      <w:pPr>
        <w:pStyle w:val="ListParagraph"/>
        <w:widowControl w:val="0"/>
        <w:numPr>
          <w:ilvl w:val="0"/>
          <w:numId w:val="4"/>
        </w:numPr>
        <w:suppressAutoHyphens/>
        <w:spacing w:after="0" w:line="240" w:lineRule="auto"/>
        <w:ind w:left="567" w:hanging="567"/>
        <w:jc w:val="both"/>
        <w:rPr>
          <w:rFonts w:eastAsia="Calibri" w:cs="Arial"/>
          <w:lang w:val="es-ES"/>
        </w:rPr>
      </w:pPr>
      <w:r w:rsidRPr="003141D0">
        <w:rPr>
          <w:rFonts w:eastAsia="Calibri" w:cs="Arial"/>
          <w:lang w:val="es-ES"/>
        </w:rPr>
        <w:t>Otro documento de orientación relevante apoya la integración de la conectividad ecológica en las EPANDB mediante el suministro de enfoques prácticos, acciones y herramientas dirigidos a ayudar a los países a abordar eficazmente la conectividad ecológica en relación con los objetivos y metas del KMGBF, incluidos los relativos a los medios de aplicación a nivel nacional. Fue elaborado por el Grupo de Especialistas en Conservación de la Conectividad (CCSG, por sus siglas en inglés) de la Comisión Mundial de Áreas Protegidas de la Unión Internacional para la Conservación de la Naturaleza (UICN-WCPA).</w:t>
      </w:r>
    </w:p>
    <w:p w14:paraId="062BD562" w14:textId="77777777" w:rsidR="0068206F" w:rsidRPr="003141D0" w:rsidRDefault="0068206F" w:rsidP="0068206F">
      <w:pPr>
        <w:widowControl w:val="0"/>
        <w:suppressAutoHyphens/>
        <w:spacing w:after="0" w:line="240" w:lineRule="auto"/>
        <w:jc w:val="both"/>
        <w:rPr>
          <w:rFonts w:eastAsia="Calibri" w:cs="Arial"/>
          <w:lang w:val="es-ES"/>
        </w:rPr>
      </w:pPr>
    </w:p>
    <w:p w14:paraId="475B2456" w14:textId="77777777" w:rsidR="00C167AA" w:rsidRDefault="00C167AA" w:rsidP="00B63D29">
      <w:pPr>
        <w:widowControl w:val="0"/>
        <w:spacing w:after="0" w:line="240" w:lineRule="auto"/>
        <w:jc w:val="both"/>
        <w:rPr>
          <w:rFonts w:cs="Arial"/>
          <w:u w:val="single"/>
          <w:lang w:val="es-ES"/>
        </w:rPr>
      </w:pPr>
    </w:p>
    <w:p w14:paraId="12A5B604" w14:textId="237E8258" w:rsidR="002A44E3" w:rsidRPr="003141D0" w:rsidRDefault="00B63D29" w:rsidP="00B63D29">
      <w:pPr>
        <w:widowControl w:val="0"/>
        <w:spacing w:after="0" w:line="240" w:lineRule="auto"/>
        <w:jc w:val="both"/>
        <w:rPr>
          <w:rFonts w:cs="Arial"/>
          <w:u w:val="single"/>
          <w:lang w:val="es-ES"/>
        </w:rPr>
      </w:pPr>
      <w:r w:rsidRPr="003141D0">
        <w:rPr>
          <w:rFonts w:cs="Arial"/>
          <w:u w:val="single"/>
          <w:lang w:val="es-ES"/>
        </w:rPr>
        <w:lastRenderedPageBreak/>
        <w:t>Aplicación de la Decisión 14.7 f) - Mayor colaboración con el CDB</w:t>
      </w:r>
    </w:p>
    <w:p w14:paraId="040E23BE" w14:textId="77777777" w:rsidR="002A44E3" w:rsidRPr="003141D0" w:rsidRDefault="002A44E3" w:rsidP="002A44E3">
      <w:pPr>
        <w:suppressAutoHyphens/>
        <w:autoSpaceDN w:val="0"/>
        <w:spacing w:after="0" w:line="240" w:lineRule="auto"/>
        <w:textAlignment w:val="baseline"/>
        <w:rPr>
          <w:rFonts w:eastAsia="Calibri" w:cs="Arial"/>
          <w:b/>
          <w:lang w:val="es-ES"/>
        </w:rPr>
      </w:pPr>
    </w:p>
    <w:p w14:paraId="407A82C9" w14:textId="1DB47A71" w:rsidR="00987F0C" w:rsidRPr="003141D0" w:rsidRDefault="00B60FF3" w:rsidP="00D858E1">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La Secretaría de la CMS coopera estrechamente con la Secretaría del CDB tanto de forma bilateral como en el marco del Grupo de Enlace de los Convenios relacionados con la Diversidad Biológica (BLG, por sus siglas en inglés), garantizando la coherencia y el refuerzo mutuo en la aplicación de los compromisos mundiales en materia de diversidad biológica. La Secretaría de la CMS asistió a las primeras y segundas sesiones reanudadas de la COP16 del CDB y participó activamente en los debates y negociaciones pertinentes. Si bien aún se está elaborando un Programa de Trabajo Conjunto, se avanzó una sólida colaboración con la Secretaría del CDB en numerosos ámbitos, entre ellos:</w:t>
      </w:r>
    </w:p>
    <w:p w14:paraId="6CCB5447" w14:textId="3F0F3668" w:rsidR="002B48C1"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Medidas de conservación basadas en áreas y conectividad ecológica</w:t>
      </w:r>
      <w:r w:rsidRPr="003141D0">
        <w:rPr>
          <w:rFonts w:eastAsia="Calibri" w:cs="Arial"/>
          <w:lang w:val="es-ES"/>
        </w:rPr>
        <w:t xml:space="preserve">: la Secretaría del CDB se incorporó a la Alianza Mundial sobre Conectividad Ecológica y, en este contexto, la colaboración se centró en apoyar la difusión y aplicación de herramientas y directrices para la aplicación y el seguimiento de la conectividad en relación con el KMGBF. En </w:t>
      </w:r>
      <w:hyperlink r:id="rId22" w:history="1">
        <w:r w:rsidR="0068206F" w:rsidRPr="003141D0">
          <w:rPr>
            <w:rStyle w:val="Hyperlink"/>
            <w:rFonts w:eastAsia="Calibri" w:cs="Arial"/>
            <w:lang w:val="es-ES"/>
          </w:rPr>
          <w:t>UNEP/CMS/COP15/Doc.28.2</w:t>
        </w:r>
      </w:hyperlink>
      <w:r w:rsidRPr="003141D0">
        <w:rPr>
          <w:rFonts w:eastAsia="Calibri" w:cs="Arial"/>
          <w:lang w:val="es-ES"/>
        </w:rPr>
        <w:t xml:space="preserve"> </w:t>
      </w:r>
      <w:r w:rsidR="0068206F" w:rsidRPr="003141D0">
        <w:rPr>
          <w:i/>
          <w:iCs/>
          <w:lang w:val="es-ES"/>
        </w:rPr>
        <w:t>Conectividad ecológica</w:t>
      </w:r>
      <w:r w:rsidRPr="003141D0">
        <w:rPr>
          <w:rFonts w:eastAsia="Calibri" w:cs="Arial"/>
          <w:lang w:val="es-ES"/>
        </w:rPr>
        <w:t xml:space="preserve"> se incluyen más detalles. La Secretaría de la CMS presentó aportaciones en respuesta a la </w:t>
      </w:r>
      <w:hyperlink r:id="rId23" w:history="1">
        <w:r w:rsidR="00CB05F6" w:rsidRPr="003141D0">
          <w:rPr>
            <w:rStyle w:val="Hyperlink"/>
            <w:rFonts w:eastAsia="Calibri" w:cs="Arial"/>
            <w:lang w:val="es-ES"/>
          </w:rPr>
          <w:t>Notificación del CDB 2025-135</w:t>
        </w:r>
      </w:hyperlink>
      <w:r w:rsidRPr="003141D0">
        <w:rPr>
          <w:rFonts w:eastAsia="Calibri" w:cs="Arial"/>
          <w:lang w:val="es-ES"/>
        </w:rPr>
        <w:t xml:space="preserve"> con observaciones e información relativas al examen estratégico y el análisis del actual Programa de trabajo sobre áreas protegidas (</w:t>
      </w:r>
      <w:proofErr w:type="spellStart"/>
      <w:r w:rsidRPr="003141D0">
        <w:rPr>
          <w:rFonts w:eastAsia="Calibri" w:cs="Arial"/>
          <w:lang w:val="es-ES"/>
        </w:rPr>
        <w:t>PowPA</w:t>
      </w:r>
      <w:proofErr w:type="spellEnd"/>
      <w:r w:rsidRPr="003141D0">
        <w:rPr>
          <w:rFonts w:eastAsia="Calibri" w:cs="Arial"/>
          <w:lang w:val="es-ES"/>
        </w:rPr>
        <w:t>, por sus siglas en inglés) en el contexto del KMGBF. La Secretaría de la CMS ha participado en la</w:t>
      </w:r>
      <w:hyperlink r:id="rId24" w:history="1">
        <w:r w:rsidR="00142426" w:rsidRPr="003141D0">
          <w:rPr>
            <w:rStyle w:val="Hyperlink"/>
            <w:rFonts w:eastAsia="Calibri" w:cs="Arial"/>
            <w:lang w:val="es-ES"/>
          </w:rPr>
          <w:t xml:space="preserve"> Iniciativa de Diálogo sobre Paz y Diversidad Biológica del CDB (PBDI, por sus siglas en inglés)</w:t>
        </w:r>
      </w:hyperlink>
      <w:r w:rsidRPr="003141D0">
        <w:rPr>
          <w:rFonts w:eastAsia="Calibri" w:cs="Arial"/>
          <w:lang w:val="es-ES"/>
        </w:rPr>
        <w:t>, que promueve la cooperación transfronteriza en áreas protegidas a nivel mundial.</w:t>
      </w:r>
    </w:p>
    <w:p w14:paraId="6F0C2589" w14:textId="189EADAD" w:rsidR="002B48C1" w:rsidRPr="003141D0" w:rsidRDefault="0075221B"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Océanos:</w:t>
      </w:r>
      <w:r w:rsidRPr="003141D0">
        <w:rPr>
          <w:rFonts w:eastAsia="Calibri" w:cs="Arial"/>
          <w:lang w:val="es-ES"/>
        </w:rPr>
        <w:t xml:space="preserve"> la Secretaría participó en la Cuarta reunión del Diálogo Mundial de la Iniciativa sobre Océanos Sostenibles (IOS) con organizaciones regionales de mares y organismos regionales de pesca en junio de 2024, así como en la reunión de la IOS celebrada al margen de la Conferencia de la Organización de las Naciones Unidas sobre los Océanos (UNOC3) en Niza (Francia) en junio de 2025.</w:t>
      </w:r>
    </w:p>
    <w:p w14:paraId="2F53AC4A" w14:textId="0109FACC" w:rsidR="002A44E3"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Cambio climático</w:t>
      </w:r>
      <w:r w:rsidRPr="003141D0">
        <w:rPr>
          <w:rFonts w:eastAsia="Calibri" w:cs="Arial"/>
          <w:lang w:val="es-ES"/>
        </w:rPr>
        <w:t xml:space="preserve">: la Secretaría de la CMS aportó observaciones e información sobre especies migratorias y cambio climático de conformidad con la </w:t>
      </w:r>
      <w:hyperlink r:id="rId25" w:history="1">
        <w:r w:rsidR="006E2FC6" w:rsidRPr="003141D0">
          <w:rPr>
            <w:rStyle w:val="Hyperlink"/>
            <w:rFonts w:eastAsia="Calibri" w:cs="Arial"/>
            <w:lang w:val="es-ES"/>
          </w:rPr>
          <w:t>Notificación</w:t>
        </w:r>
        <w:r w:rsidR="00111FA1" w:rsidRPr="003141D0">
          <w:rPr>
            <w:rStyle w:val="Hyperlink"/>
            <w:rFonts w:eastAsia="Calibri" w:cs="Arial"/>
            <w:lang w:val="es-ES"/>
          </w:rPr>
          <w:t> </w:t>
        </w:r>
        <w:r w:rsidR="006E2FC6" w:rsidRPr="003141D0">
          <w:rPr>
            <w:rStyle w:val="Hyperlink"/>
            <w:rFonts w:eastAsia="Calibri" w:cs="Arial"/>
            <w:lang w:val="es-ES"/>
          </w:rPr>
          <w:t>del</w:t>
        </w:r>
        <w:r w:rsidR="00111FA1" w:rsidRPr="003141D0">
          <w:rPr>
            <w:rStyle w:val="Hyperlink"/>
            <w:rFonts w:eastAsia="Calibri" w:cs="Arial"/>
            <w:lang w:val="es-ES"/>
          </w:rPr>
          <w:t> </w:t>
        </w:r>
        <w:r w:rsidR="006E2FC6" w:rsidRPr="003141D0">
          <w:rPr>
            <w:rStyle w:val="Hyperlink"/>
            <w:rFonts w:eastAsia="Calibri" w:cs="Arial"/>
            <w:lang w:val="es-ES"/>
          </w:rPr>
          <w:t>CDB</w:t>
        </w:r>
        <w:r w:rsidR="00111FA1" w:rsidRPr="003141D0">
          <w:rPr>
            <w:rStyle w:val="Hyperlink"/>
            <w:rFonts w:eastAsia="Calibri" w:cs="Arial"/>
            <w:lang w:val="es-ES"/>
          </w:rPr>
          <w:t> </w:t>
        </w:r>
        <w:r w:rsidR="006E2FC6" w:rsidRPr="003141D0">
          <w:rPr>
            <w:rStyle w:val="Hyperlink"/>
            <w:rFonts w:eastAsia="Calibri" w:cs="Arial"/>
            <w:lang w:val="es-ES"/>
          </w:rPr>
          <w:t>2025-005</w:t>
        </w:r>
      </w:hyperlink>
      <w:r w:rsidRPr="003141D0">
        <w:rPr>
          <w:rFonts w:eastAsia="Calibri" w:cs="Arial"/>
          <w:lang w:val="es-ES"/>
        </w:rPr>
        <w:t xml:space="preserve">. La Secretaría del CDB asistió al Taller de expertos de la CMS sobre especies migratorias y cambio climático, celebrado en febrero de 2025. En </w:t>
      </w:r>
      <w:hyperlink r:id="rId26" w:history="1">
        <w:r w:rsidR="003F6A08" w:rsidRPr="003141D0">
          <w:rPr>
            <w:rStyle w:val="Hyperlink"/>
            <w:rFonts w:eastAsia="Calibri" w:cs="Arial"/>
            <w:lang w:val="es-ES"/>
          </w:rPr>
          <w:t>UNEP/CMS/COP15/Doc.28.12</w:t>
        </w:r>
      </w:hyperlink>
      <w:r w:rsidRPr="003141D0">
        <w:rPr>
          <w:rFonts w:eastAsia="Calibri" w:cs="Arial"/>
          <w:lang w:val="es-ES"/>
        </w:rPr>
        <w:t xml:space="preserve"> </w:t>
      </w:r>
      <w:r w:rsidR="003F6A08" w:rsidRPr="003141D0">
        <w:rPr>
          <w:i/>
          <w:iCs/>
          <w:lang w:val="es-ES"/>
        </w:rPr>
        <w:t>Cambio climático</w:t>
      </w:r>
      <w:r w:rsidRPr="003141D0">
        <w:rPr>
          <w:rFonts w:eastAsia="Calibri" w:cs="Arial"/>
          <w:lang w:val="es-ES"/>
        </w:rPr>
        <w:t xml:space="preserve"> se incluyen más detalles</w:t>
      </w:r>
      <w:r w:rsidR="00142426" w:rsidRPr="003141D0">
        <w:rPr>
          <w:rFonts w:eastAsia="Calibri" w:cs="Arial"/>
          <w:lang w:val="es-ES"/>
        </w:rPr>
        <w:t xml:space="preserve">. </w:t>
      </w:r>
    </w:p>
    <w:p w14:paraId="136AE5AA" w14:textId="795B44E2" w:rsidR="00FD1626"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Gestión sostenible de la vida silvestre</w:t>
      </w:r>
      <w:r w:rsidRPr="003141D0">
        <w:rPr>
          <w:rFonts w:eastAsia="Calibri" w:cs="Arial"/>
          <w:lang w:val="es-ES"/>
        </w:rPr>
        <w:t xml:space="preserve">: la Secretaría participó activamente en la preparación de un proyecto de orientación mundial sobre la gestión sostenible de la vida silvestre, según lo solicitado en la decisión 16/15 del CDB, y presentó aportaciones de conformidad con la </w:t>
      </w:r>
      <w:hyperlink r:id="rId27" w:history="1">
        <w:r w:rsidR="006E2FC6" w:rsidRPr="003141D0">
          <w:rPr>
            <w:rStyle w:val="Hyperlink"/>
            <w:rFonts w:eastAsia="Calibri" w:cs="Arial"/>
            <w:lang w:val="es-ES"/>
          </w:rPr>
          <w:t>Notificación del CDB 2025-014</w:t>
        </w:r>
      </w:hyperlink>
      <w:r w:rsidRPr="003141D0">
        <w:rPr>
          <w:rFonts w:eastAsia="Calibri" w:cs="Arial"/>
          <w:lang w:val="es-ES"/>
        </w:rPr>
        <w:t>.</w:t>
      </w:r>
      <w:r w:rsidR="009A172C" w:rsidRPr="003141D0">
        <w:rPr>
          <w:rFonts w:ascii="Calibri" w:hAnsi="Calibri" w:cs="Calibri"/>
          <w:lang w:val="es-ES"/>
        </w:rPr>
        <w:t xml:space="preserve"> </w:t>
      </w:r>
      <w:r w:rsidRPr="003141D0">
        <w:rPr>
          <w:rFonts w:eastAsia="Calibri" w:cs="Arial"/>
          <w:lang w:val="es-ES"/>
        </w:rPr>
        <w:t xml:space="preserve">La Secretaría participará en la reunión específica de expertos que se celebrará del </w:t>
      </w:r>
      <w:r w:rsidRPr="003141D0">
        <w:rPr>
          <w:lang w:val="es-ES"/>
        </w:rPr>
        <w:t>9</w:t>
      </w:r>
      <w:r w:rsidR="00ED12FA" w:rsidRPr="003141D0">
        <w:rPr>
          <w:lang w:val="es-ES"/>
        </w:rPr>
        <w:t> </w:t>
      </w:r>
      <w:r w:rsidRPr="003141D0">
        <w:rPr>
          <w:lang w:val="es-ES"/>
        </w:rPr>
        <w:t>al</w:t>
      </w:r>
      <w:r w:rsidR="00ED12FA" w:rsidRPr="003141D0">
        <w:rPr>
          <w:rFonts w:eastAsia="Calibri" w:cs="Arial"/>
          <w:lang w:val="es-ES"/>
        </w:rPr>
        <w:t> </w:t>
      </w:r>
      <w:r w:rsidRPr="003141D0">
        <w:rPr>
          <w:rFonts w:eastAsia="Calibri" w:cs="Arial"/>
          <w:lang w:val="es-ES"/>
        </w:rPr>
        <w:t>11</w:t>
      </w:r>
      <w:r w:rsidR="00ED12FA" w:rsidRPr="003141D0">
        <w:rPr>
          <w:rFonts w:eastAsia="Calibri" w:cs="Arial"/>
          <w:lang w:val="es-ES"/>
        </w:rPr>
        <w:t> </w:t>
      </w:r>
      <w:r w:rsidRPr="003141D0">
        <w:rPr>
          <w:rFonts w:eastAsia="Calibri" w:cs="Arial"/>
          <w:lang w:val="es-ES"/>
        </w:rPr>
        <w:t>de</w:t>
      </w:r>
      <w:r w:rsidR="00ED12FA" w:rsidRPr="003141D0">
        <w:rPr>
          <w:rFonts w:eastAsia="Calibri" w:cs="Arial"/>
          <w:lang w:val="es-ES"/>
        </w:rPr>
        <w:t> </w:t>
      </w:r>
      <w:r w:rsidRPr="003141D0">
        <w:rPr>
          <w:rFonts w:eastAsia="Calibri" w:cs="Arial"/>
          <w:lang w:val="es-ES"/>
        </w:rPr>
        <w:t>febrero de 2026 en Bonn.</w:t>
      </w:r>
    </w:p>
    <w:p w14:paraId="2BE37323" w14:textId="76AF3345" w:rsidR="006E2FC6" w:rsidRPr="003141D0" w:rsidRDefault="006E2FC6"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 xml:space="preserve">Energía: </w:t>
      </w:r>
      <w:r w:rsidRPr="003141D0">
        <w:rPr>
          <w:rFonts w:eastAsia="Calibri" w:cs="Arial"/>
          <w:lang w:val="es-ES"/>
        </w:rPr>
        <w:t xml:space="preserve">la Secretaría del CDB participa en los trabajos y reuniones del Grupo Operativo sobre Energía de la CMS. En </w:t>
      </w:r>
      <w:hyperlink r:id="rId28">
        <w:r w:rsidR="003F6A08" w:rsidRPr="003141D0">
          <w:rPr>
            <w:rStyle w:val="Hyperlink"/>
            <w:rFonts w:eastAsia="Calibri" w:cs="Arial"/>
            <w:lang w:val="es-ES"/>
          </w:rPr>
          <w:t>UNEP/CMS/CO</w:t>
        </w:r>
        <w:r w:rsidR="003F6A08" w:rsidRPr="003141D0">
          <w:rPr>
            <w:rStyle w:val="Hyperlink"/>
            <w:rFonts w:eastAsia="Calibri" w:cs="Arial"/>
            <w:lang w:val="es-ES"/>
          </w:rPr>
          <w:t>P</w:t>
        </w:r>
        <w:r w:rsidR="003F6A08" w:rsidRPr="003141D0">
          <w:rPr>
            <w:rStyle w:val="Hyperlink"/>
            <w:rFonts w:eastAsia="Calibri" w:cs="Arial"/>
            <w:lang w:val="es-ES"/>
          </w:rPr>
          <w:t>15/Doc.28.11</w:t>
        </w:r>
        <w:r w:rsidR="003F6A08" w:rsidRPr="003141D0">
          <w:rPr>
            <w:rStyle w:val="Hyperlink"/>
            <w:rFonts w:eastAsia="Calibri" w:cs="Arial"/>
            <w:u w:val="none"/>
            <w:lang w:val="es-ES"/>
          </w:rPr>
          <w:t xml:space="preserve"> </w:t>
        </w:r>
      </w:hyperlink>
      <w:r w:rsidR="003F6A08" w:rsidRPr="003141D0">
        <w:rPr>
          <w:i/>
          <w:iCs/>
          <w:lang w:val="es-ES"/>
        </w:rPr>
        <w:t>Energías renovables</w:t>
      </w:r>
      <w:r w:rsidRPr="003141D0">
        <w:rPr>
          <w:rFonts w:eastAsia="Calibri" w:cs="Arial"/>
          <w:lang w:val="es-ES"/>
        </w:rPr>
        <w:t xml:space="preserve"> se incluyen más detalles</w:t>
      </w:r>
      <w:r w:rsidR="00142426" w:rsidRPr="003141D0">
        <w:rPr>
          <w:rFonts w:eastAsia="Calibri" w:cs="Arial"/>
          <w:lang w:val="es-ES"/>
        </w:rPr>
        <w:t>.</w:t>
      </w:r>
    </w:p>
    <w:p w14:paraId="5D27C019" w14:textId="2D18C2BE" w:rsidR="001D449D"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Participación del sector privado:</w:t>
      </w:r>
      <w:r w:rsidR="001D449D" w:rsidRPr="003141D0">
        <w:rPr>
          <w:rFonts w:ascii="Aptos" w:hAnsi="Aptos" w:cs="Aptos"/>
          <w:lang w:val="es-ES"/>
          <w14:ligatures w14:val="standardContextual"/>
        </w:rPr>
        <w:t xml:space="preserve"> </w:t>
      </w:r>
      <w:r w:rsidR="00E836DE" w:rsidRPr="003141D0">
        <w:rPr>
          <w:rFonts w:eastAsia="Calibri" w:cs="Arial"/>
          <w:lang w:val="es-ES"/>
        </w:rPr>
        <w:t>se han iniciado consultas sobre los trabajos del CDB en materia de participación empresarial y sobre cómo podrían colaborar las Secretarías en líneas de trabajo pertinentes relacionadas con infraestructuras, energía, contaminación, planes empresariales y conservación de tierras.</w:t>
      </w:r>
    </w:p>
    <w:p w14:paraId="547574FE" w14:textId="2AFCD9C7" w:rsidR="002B48C1"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t>Participación de los pueblos locales y las comunidades indígenas:</w:t>
      </w:r>
      <w:r w:rsidRPr="003141D0">
        <w:rPr>
          <w:rFonts w:eastAsia="Calibri" w:cs="Arial"/>
          <w:lang w:val="es-ES"/>
        </w:rPr>
        <w:t xml:space="preserve"> se han iniciado consultas sobre formas de aumentar la participación de los pueblos indígenas, los grupos de jóvenes y las comunidades locales en los procesos de la CMS, aprovechando los procesos y programas bien establecidos del CDB.</w:t>
      </w:r>
    </w:p>
    <w:p w14:paraId="2678DA63" w14:textId="2D06222B" w:rsidR="002A44E3" w:rsidRPr="003141D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lang w:val="es-ES"/>
        </w:rPr>
      </w:pPr>
      <w:r w:rsidRPr="003141D0">
        <w:rPr>
          <w:rFonts w:eastAsia="Calibri" w:cs="Arial"/>
          <w:u w:val="single"/>
          <w:lang w:val="es-ES"/>
        </w:rPr>
        <w:lastRenderedPageBreak/>
        <w:t>Diversidad biológica y salud</w:t>
      </w:r>
      <w:r w:rsidRPr="003141D0">
        <w:rPr>
          <w:rFonts w:eastAsia="Calibri" w:cs="Arial"/>
          <w:lang w:val="es-ES"/>
        </w:rPr>
        <w:t>: están en curso consultas sobre la elaboración de materiales de divulgación relativos a los vínculos entre la diversidad biológica y la salud y la importancia de la cooperación intersectorial.</w:t>
      </w:r>
    </w:p>
    <w:p w14:paraId="0C807E63" w14:textId="77777777" w:rsidR="002A44E3" w:rsidRDefault="002A44E3" w:rsidP="00081615">
      <w:pPr>
        <w:widowControl w:val="0"/>
        <w:tabs>
          <w:tab w:val="num" w:pos="1134"/>
        </w:tabs>
        <w:spacing w:before="120" w:after="0" w:line="240" w:lineRule="auto"/>
        <w:ind w:left="1134" w:hanging="425"/>
        <w:jc w:val="both"/>
        <w:rPr>
          <w:rFonts w:eastAsia="Calibri" w:cs="Arial"/>
          <w:color w:val="000000" w:themeColor="text1"/>
          <w:highlight w:val="yellow"/>
          <w:lang w:val="es-ES"/>
        </w:rPr>
      </w:pPr>
    </w:p>
    <w:p w14:paraId="61E64A25" w14:textId="77777777" w:rsidR="003141D0" w:rsidRPr="003141D0" w:rsidRDefault="003141D0" w:rsidP="00081615">
      <w:pPr>
        <w:widowControl w:val="0"/>
        <w:tabs>
          <w:tab w:val="num" w:pos="1134"/>
        </w:tabs>
        <w:spacing w:before="120" w:after="0" w:line="240" w:lineRule="auto"/>
        <w:ind w:left="1134" w:hanging="425"/>
        <w:jc w:val="both"/>
        <w:rPr>
          <w:rFonts w:eastAsia="Calibri" w:cs="Arial"/>
          <w:color w:val="000000" w:themeColor="text1"/>
          <w:highlight w:val="yellow"/>
          <w:lang w:val="es-ES"/>
        </w:rPr>
      </w:pPr>
    </w:p>
    <w:p w14:paraId="3692435D" w14:textId="77777777" w:rsidR="00727B7F" w:rsidRPr="003141D0" w:rsidRDefault="00727B7F" w:rsidP="00727B7F">
      <w:pPr>
        <w:spacing w:after="0" w:line="240" w:lineRule="auto"/>
        <w:jc w:val="both"/>
        <w:rPr>
          <w:rFonts w:cs="Arial"/>
          <w:u w:val="single"/>
          <w:lang w:val="es-ES"/>
        </w:rPr>
      </w:pPr>
      <w:r w:rsidRPr="003141D0">
        <w:rPr>
          <w:rFonts w:cs="Arial"/>
          <w:u w:val="single"/>
          <w:lang w:val="es-ES"/>
        </w:rPr>
        <w:t>Debate y análisis</w:t>
      </w:r>
    </w:p>
    <w:p w14:paraId="242F11DE" w14:textId="77777777" w:rsidR="00727B7F" w:rsidRPr="003141D0" w:rsidRDefault="00727B7F" w:rsidP="00727B7F">
      <w:pPr>
        <w:spacing w:after="0" w:line="240" w:lineRule="auto"/>
        <w:jc w:val="both"/>
        <w:rPr>
          <w:rFonts w:cs="Arial"/>
          <w:highlight w:val="yellow"/>
          <w:lang w:val="es-ES"/>
        </w:rPr>
      </w:pPr>
    </w:p>
    <w:p w14:paraId="09F3A43C" w14:textId="326961E5" w:rsidR="00727B7F" w:rsidRPr="003141D0" w:rsidRDefault="00C11B85" w:rsidP="00E55B6B">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cs="Arial"/>
          <w:lang w:val="es-ES"/>
        </w:rPr>
        <w:t>La Secretaría desarrolla una función fundamental en el avance del KMGBF al crear vínculos entre los objetivos mundiales y regionales en materia de diversidad biológica y las acciones de conservación específicas para las especies migratorias. A través de su Plan Estratégico (SPMS 2024-2032), la participación en el Proceso de Berna y la integración en las EPANDB, la Secretaría garantiza que la conservación de las especies migratorias siga siendo un pilar central de los esfuerzos mundiales en materia de diversidad biológica. La colaboración en curso entre la CMS y el CDB, sustentada por un futuro Programa de Trabajo Conjunto, reforzará aún más las sinergias, optimizará los recursos y fortalecerá los avances colectivos hacia los objetivos del KMGBF para 2030 y 2050.</w:t>
      </w:r>
    </w:p>
    <w:p w14:paraId="6FABFFD6" w14:textId="77777777" w:rsidR="00C11B85" w:rsidRPr="003141D0" w:rsidRDefault="00C11B85" w:rsidP="00C11B85">
      <w:pPr>
        <w:spacing w:after="0" w:line="240" w:lineRule="auto"/>
        <w:jc w:val="both"/>
        <w:rPr>
          <w:rFonts w:cs="Arial"/>
          <w:highlight w:val="yellow"/>
          <w:lang w:val="es-ES"/>
        </w:rPr>
      </w:pPr>
    </w:p>
    <w:p w14:paraId="62F03875" w14:textId="77777777" w:rsidR="00727B7F" w:rsidRPr="003141D0" w:rsidRDefault="00727B7F" w:rsidP="00727B7F">
      <w:pPr>
        <w:spacing w:after="0" w:line="240" w:lineRule="auto"/>
        <w:jc w:val="both"/>
        <w:rPr>
          <w:rFonts w:cs="Arial"/>
          <w:lang w:val="es-ES"/>
        </w:rPr>
      </w:pPr>
      <w:r w:rsidRPr="003141D0">
        <w:rPr>
          <w:rFonts w:cs="Arial"/>
          <w:u w:val="single"/>
          <w:lang w:val="es-ES"/>
        </w:rPr>
        <w:t>Acciones recomendadas</w:t>
      </w:r>
    </w:p>
    <w:p w14:paraId="34B2D638" w14:textId="77777777" w:rsidR="00727B7F" w:rsidRPr="003141D0" w:rsidRDefault="00727B7F" w:rsidP="00727B7F">
      <w:pPr>
        <w:spacing w:after="0" w:line="240" w:lineRule="auto"/>
        <w:jc w:val="both"/>
        <w:rPr>
          <w:rFonts w:cs="Arial"/>
          <w:lang w:val="es-ES"/>
        </w:rPr>
      </w:pPr>
    </w:p>
    <w:p w14:paraId="4BD0E388" w14:textId="77777777" w:rsidR="00727B7F" w:rsidRPr="003141D0" w:rsidRDefault="00727B7F" w:rsidP="00FD1626">
      <w:pPr>
        <w:pStyle w:val="ListParagraph"/>
        <w:widowControl w:val="0"/>
        <w:numPr>
          <w:ilvl w:val="0"/>
          <w:numId w:val="4"/>
        </w:numPr>
        <w:suppressAutoHyphens/>
        <w:spacing w:after="0" w:line="240" w:lineRule="auto"/>
        <w:ind w:left="630" w:hanging="630"/>
        <w:jc w:val="both"/>
        <w:rPr>
          <w:rFonts w:eastAsia="Calibri" w:cs="Arial"/>
          <w:lang w:val="es-ES"/>
        </w:rPr>
      </w:pPr>
      <w:r w:rsidRPr="003141D0">
        <w:rPr>
          <w:rFonts w:eastAsia="Calibri" w:cs="Arial"/>
          <w:lang w:val="es-ES"/>
        </w:rPr>
        <w:t>Se recomienda a la Conferencia de las Partes que:</w:t>
      </w:r>
    </w:p>
    <w:p w14:paraId="27B5B34C" w14:textId="77777777" w:rsidR="00727B7F" w:rsidRPr="003141D0" w:rsidRDefault="00727B7F" w:rsidP="00727B7F">
      <w:pPr>
        <w:pStyle w:val="Secondnumbering"/>
        <w:jc w:val="both"/>
        <w:rPr>
          <w:rFonts w:cs="Arial"/>
          <w:lang w:val="es-ES"/>
        </w:rPr>
      </w:pPr>
    </w:p>
    <w:p w14:paraId="00AC2AC1" w14:textId="79323D7B" w:rsidR="00727B7F" w:rsidRPr="003141D0" w:rsidRDefault="00727B7F" w:rsidP="000F6BBB">
      <w:pPr>
        <w:pStyle w:val="Secondnumbering"/>
        <w:numPr>
          <w:ilvl w:val="0"/>
          <w:numId w:val="13"/>
        </w:numPr>
        <w:ind w:left="1080" w:hanging="540"/>
        <w:jc w:val="both"/>
        <w:rPr>
          <w:rFonts w:cs="Arial"/>
          <w:lang w:val="es-ES"/>
        </w:rPr>
      </w:pPr>
      <w:r w:rsidRPr="003141D0">
        <w:rPr>
          <w:rFonts w:cs="Arial"/>
          <w:lang w:val="es-ES"/>
        </w:rPr>
        <w:t>adopte los proyectos de Decisión contenidos en el Anexo del presente documento; y</w:t>
      </w:r>
    </w:p>
    <w:p w14:paraId="343A0799" w14:textId="77777777" w:rsidR="000F6BBB" w:rsidRPr="003141D0" w:rsidRDefault="000F6BBB" w:rsidP="000F6BBB">
      <w:pPr>
        <w:pStyle w:val="Secondnumbering"/>
        <w:ind w:left="1080"/>
        <w:jc w:val="both"/>
        <w:rPr>
          <w:rFonts w:cs="Arial"/>
          <w:lang w:val="es-ES"/>
        </w:rPr>
      </w:pPr>
    </w:p>
    <w:p w14:paraId="1B473647" w14:textId="5B4E4C12" w:rsidR="000F6BBB" w:rsidRPr="003141D0" w:rsidRDefault="00727B7F" w:rsidP="00DF6CF5">
      <w:pPr>
        <w:pStyle w:val="Secondnumbering"/>
        <w:numPr>
          <w:ilvl w:val="0"/>
          <w:numId w:val="13"/>
        </w:numPr>
        <w:ind w:left="1080" w:hanging="540"/>
        <w:jc w:val="both"/>
        <w:rPr>
          <w:rFonts w:cs="Arial"/>
          <w:lang w:val="es-ES"/>
        </w:rPr>
      </w:pPr>
      <w:r w:rsidRPr="003141D0">
        <w:rPr>
          <w:rFonts w:cs="Arial"/>
          <w:lang w:val="es-ES"/>
        </w:rPr>
        <w:t>derogue las Decisiones 14.6–14.7.</w:t>
      </w:r>
    </w:p>
    <w:p w14:paraId="65BB6665" w14:textId="77777777" w:rsidR="000F6BBB" w:rsidRPr="003141D0" w:rsidRDefault="000F6BBB" w:rsidP="00DF6CF5">
      <w:pPr>
        <w:pStyle w:val="Secondnumbering"/>
        <w:numPr>
          <w:ilvl w:val="0"/>
          <w:numId w:val="13"/>
        </w:numPr>
        <w:ind w:left="1080" w:hanging="540"/>
        <w:jc w:val="both"/>
        <w:rPr>
          <w:rFonts w:cs="Arial"/>
          <w:lang w:val="es-ES"/>
        </w:rPr>
        <w:sectPr w:rsidR="000F6BBB" w:rsidRPr="003141D0" w:rsidSect="00D93628">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titlePg/>
          <w:docGrid w:linePitch="360"/>
        </w:sectPr>
      </w:pPr>
    </w:p>
    <w:p w14:paraId="31FA2022" w14:textId="4D7C1524" w:rsidR="000F6BBB" w:rsidRPr="003141D0" w:rsidRDefault="00CD49FD" w:rsidP="000F6BBB">
      <w:pPr>
        <w:spacing w:after="0" w:line="240" w:lineRule="auto"/>
        <w:jc w:val="right"/>
        <w:rPr>
          <w:rFonts w:cs="Arial"/>
          <w:b/>
          <w:bCs/>
          <w:lang w:val="es-ES"/>
        </w:rPr>
      </w:pPr>
      <w:r w:rsidRPr="003141D0">
        <w:rPr>
          <w:rFonts w:cs="Arial"/>
          <w:b/>
          <w:lang w:val="es-ES"/>
        </w:rPr>
        <w:lastRenderedPageBreak/>
        <w:t>ANEXO</w:t>
      </w:r>
    </w:p>
    <w:p w14:paraId="63AF988F" w14:textId="77777777" w:rsidR="000F6BBB" w:rsidRPr="003141D0" w:rsidRDefault="000F6BBB" w:rsidP="000F6BBB">
      <w:pPr>
        <w:spacing w:after="0" w:line="240" w:lineRule="auto"/>
        <w:rPr>
          <w:rFonts w:cs="Arial"/>
          <w:lang w:val="es-ES"/>
        </w:rPr>
      </w:pPr>
    </w:p>
    <w:p w14:paraId="7366D8B8" w14:textId="77777777" w:rsidR="000F6BBB" w:rsidRPr="003141D0" w:rsidRDefault="000F6BBB" w:rsidP="000F6BBB">
      <w:pPr>
        <w:spacing w:after="0" w:line="240" w:lineRule="auto"/>
        <w:rPr>
          <w:rFonts w:cs="Arial"/>
          <w:lang w:val="es-ES"/>
        </w:rPr>
      </w:pPr>
    </w:p>
    <w:p w14:paraId="627C887A" w14:textId="77777777" w:rsidR="000F6BBB" w:rsidRPr="003141D0"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3141D0">
        <w:rPr>
          <w:rFonts w:cs="Arial"/>
          <w:bCs/>
          <w:lang w:val="es-ES"/>
        </w:rPr>
        <w:t>PROYECTOS DE DECISIÓN</w:t>
      </w:r>
    </w:p>
    <w:p w14:paraId="5E8CAB0D" w14:textId="77777777" w:rsidR="000F6BBB" w:rsidRPr="003141D0"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558AFFCB" w14:textId="26EF257E" w:rsidR="000F6BBB" w:rsidRPr="003141D0" w:rsidRDefault="00230D21" w:rsidP="000F6BBB">
      <w:pPr>
        <w:widowControl w:val="0"/>
        <w:spacing w:after="0" w:line="240" w:lineRule="auto"/>
        <w:jc w:val="center"/>
        <w:rPr>
          <w:rFonts w:eastAsia="Arial" w:cs="Arial"/>
          <w:b/>
          <w:bCs/>
          <w:highlight w:val="yellow"/>
          <w:lang w:val="es-ES"/>
        </w:rPr>
      </w:pPr>
      <w:r w:rsidRPr="003141D0">
        <w:rPr>
          <w:rFonts w:eastAsia="Arial" w:cs="Arial"/>
          <w:b/>
          <w:bCs/>
          <w:lang w:val="es-ES"/>
        </w:rPr>
        <w:t>PARTICIPACIÓN DE LA CMS EN LOS PROCESOS DEL CDB, INCLUIDO EL MARCO MUNDIAL PARA LA BIODIVERSIDAD DE KUNMING-MONTREAL</w:t>
      </w:r>
    </w:p>
    <w:p w14:paraId="5083E211" w14:textId="77777777" w:rsidR="000F6BBB" w:rsidRPr="003141D0" w:rsidRDefault="000F6BBB" w:rsidP="000F6BBB">
      <w:pPr>
        <w:spacing w:after="0" w:line="240" w:lineRule="auto"/>
        <w:jc w:val="both"/>
        <w:rPr>
          <w:rFonts w:eastAsia="Arial" w:cs="Arial"/>
          <w:i/>
          <w:iCs/>
          <w:sz w:val="20"/>
          <w:szCs w:val="20"/>
          <w:lang w:val="es-ES"/>
        </w:rPr>
      </w:pPr>
    </w:p>
    <w:p w14:paraId="2BF02B91" w14:textId="77777777" w:rsidR="006638D3" w:rsidRPr="003141D0" w:rsidRDefault="006638D3" w:rsidP="000F6BBB">
      <w:pPr>
        <w:spacing w:after="0" w:line="240" w:lineRule="auto"/>
        <w:jc w:val="both"/>
        <w:rPr>
          <w:rFonts w:eastAsia="Arial" w:cs="Arial"/>
          <w:i/>
          <w:iCs/>
          <w:sz w:val="20"/>
          <w:szCs w:val="20"/>
          <w:lang w:val="es-ES"/>
        </w:rPr>
      </w:pPr>
    </w:p>
    <w:p w14:paraId="1B42913B" w14:textId="21E5ED44" w:rsidR="00230D21" w:rsidRPr="003141D0" w:rsidRDefault="00230D21" w:rsidP="00230D21">
      <w:pPr>
        <w:spacing w:after="0" w:line="240" w:lineRule="auto"/>
        <w:jc w:val="both"/>
        <w:rPr>
          <w:rFonts w:cs="Arial"/>
          <w:b/>
          <w:i/>
          <w:lang w:val="es-ES"/>
        </w:rPr>
      </w:pPr>
      <w:r w:rsidRPr="003141D0">
        <w:rPr>
          <w:rFonts w:cs="Arial"/>
          <w:b/>
          <w:i/>
          <w:lang w:val="es-ES"/>
        </w:rPr>
        <w:t>Dirigido a las Partes</w:t>
      </w:r>
    </w:p>
    <w:p w14:paraId="6E847F6A" w14:textId="77777777" w:rsidR="000F6BBB" w:rsidRPr="003141D0" w:rsidRDefault="000F6BBB" w:rsidP="000F6BBB">
      <w:pPr>
        <w:spacing w:after="0" w:line="240" w:lineRule="auto"/>
        <w:jc w:val="both"/>
        <w:rPr>
          <w:rFonts w:cs="Arial"/>
          <w:lang w:val="es-ES"/>
        </w:rPr>
      </w:pPr>
    </w:p>
    <w:p w14:paraId="2C176D6C" w14:textId="1617514F" w:rsidR="00230D21" w:rsidRPr="003141D0" w:rsidRDefault="00230D21" w:rsidP="00832A53">
      <w:pPr>
        <w:spacing w:after="0" w:line="240" w:lineRule="auto"/>
        <w:ind w:left="900" w:hanging="900"/>
        <w:jc w:val="both"/>
        <w:rPr>
          <w:rFonts w:cs="Arial"/>
          <w:lang w:val="es-ES"/>
        </w:rPr>
      </w:pPr>
      <w:r w:rsidRPr="003141D0">
        <w:rPr>
          <w:rFonts w:cs="Arial"/>
          <w:lang w:val="es-ES"/>
        </w:rPr>
        <w:t>15.AA</w:t>
      </w:r>
      <w:r w:rsidR="00933CB6" w:rsidRPr="003141D0">
        <w:rPr>
          <w:rFonts w:cs="Arial"/>
          <w:lang w:val="es-ES"/>
        </w:rPr>
        <w:tab/>
      </w:r>
      <w:r w:rsidRPr="003141D0">
        <w:rPr>
          <w:rFonts w:cs="Arial"/>
          <w:lang w:val="es-ES"/>
        </w:rPr>
        <w:t>Se solicita a las Partes que:</w:t>
      </w:r>
    </w:p>
    <w:p w14:paraId="6B872C99" w14:textId="77777777" w:rsidR="00230D21" w:rsidRPr="003141D0" w:rsidRDefault="00230D21" w:rsidP="00230D21">
      <w:pPr>
        <w:spacing w:after="0" w:line="240" w:lineRule="auto"/>
        <w:jc w:val="both"/>
        <w:rPr>
          <w:rFonts w:cs="Arial"/>
          <w:lang w:val="es-ES"/>
        </w:rPr>
      </w:pPr>
    </w:p>
    <w:p w14:paraId="00D4782D" w14:textId="3D74B8BC" w:rsidR="00230D21" w:rsidRPr="003141D0" w:rsidRDefault="00230D21">
      <w:pPr>
        <w:pStyle w:val="ListParagraph"/>
        <w:numPr>
          <w:ilvl w:val="0"/>
          <w:numId w:val="15"/>
        </w:numPr>
        <w:spacing w:after="0" w:line="240" w:lineRule="auto"/>
        <w:ind w:left="1440" w:hanging="540"/>
        <w:jc w:val="both"/>
        <w:rPr>
          <w:rFonts w:cs="Arial"/>
          <w:lang w:val="es-ES"/>
        </w:rPr>
      </w:pPr>
      <w:r w:rsidRPr="003141D0">
        <w:rPr>
          <w:rFonts w:cs="Arial"/>
          <w:lang w:val="es-ES"/>
        </w:rPr>
        <w:t xml:space="preserve">garanticen que las necesidades y consideraciones relativas a las especies migratorias se integren en la revisión y actualización de las Estrategias y Planes de Acción Nacionales en materia de Diversidad Biológica (EPANDB) y de las metas nacionales de conformidad con el Marco Mundial para la Biodiversidad de Kunming-Montreal (KMGBF), incluidos los planes de acción nacionales pertinentes, así como en la cooperación bilateral y regional como parte de su aplicación del KMGBF; y </w:t>
      </w:r>
    </w:p>
    <w:p w14:paraId="73930A0D" w14:textId="77777777" w:rsidR="00230D21" w:rsidRPr="003141D0" w:rsidRDefault="00230D21" w:rsidP="00230D21">
      <w:pPr>
        <w:pStyle w:val="ListParagraph"/>
        <w:spacing w:after="0" w:line="240" w:lineRule="auto"/>
        <w:ind w:left="1440"/>
        <w:jc w:val="both"/>
        <w:rPr>
          <w:rFonts w:cs="Arial"/>
          <w:lang w:val="es-ES"/>
        </w:rPr>
      </w:pPr>
    </w:p>
    <w:p w14:paraId="205E3D84" w14:textId="5492EAE4" w:rsidR="00230D21" w:rsidRPr="003141D0" w:rsidRDefault="00230D21" w:rsidP="00230D21">
      <w:pPr>
        <w:pStyle w:val="ListParagraph"/>
        <w:numPr>
          <w:ilvl w:val="0"/>
          <w:numId w:val="15"/>
        </w:numPr>
        <w:spacing w:after="0" w:line="240" w:lineRule="auto"/>
        <w:ind w:left="1440" w:hanging="540"/>
        <w:jc w:val="both"/>
        <w:rPr>
          <w:rFonts w:cs="Arial"/>
          <w:lang w:val="es-ES"/>
        </w:rPr>
      </w:pPr>
      <w:r w:rsidRPr="003141D0">
        <w:rPr>
          <w:rFonts w:cs="Arial"/>
          <w:lang w:val="es-ES"/>
        </w:rPr>
        <w:t>consideren la posibilidad de participar en el Proceso de Berna, facilitado por el PNUMA, para contribuir a una aplicación eficaz y eficiente del KMGBF, teniendo en cuenta, además, sus resultados pertinentes.</w:t>
      </w:r>
    </w:p>
    <w:p w14:paraId="23461B9D" w14:textId="77777777" w:rsidR="00230D21" w:rsidRPr="003141D0" w:rsidRDefault="00230D21" w:rsidP="00230D21">
      <w:pPr>
        <w:spacing w:after="0" w:line="240" w:lineRule="auto"/>
        <w:jc w:val="both"/>
        <w:rPr>
          <w:rFonts w:cs="Arial"/>
          <w:highlight w:val="yellow"/>
          <w:lang w:val="es-ES"/>
        </w:rPr>
      </w:pPr>
    </w:p>
    <w:p w14:paraId="6FFBE434" w14:textId="77777777" w:rsidR="00230D21" w:rsidRPr="003141D0" w:rsidRDefault="00230D21" w:rsidP="00230D21">
      <w:pPr>
        <w:spacing w:after="0" w:line="240" w:lineRule="auto"/>
        <w:jc w:val="both"/>
        <w:rPr>
          <w:rFonts w:cs="Arial"/>
          <w:highlight w:val="yellow"/>
          <w:lang w:val="es-ES"/>
        </w:rPr>
      </w:pPr>
    </w:p>
    <w:p w14:paraId="170E48F3" w14:textId="77777777" w:rsidR="000F6BBB" w:rsidRPr="003141D0" w:rsidRDefault="000F6BBB" w:rsidP="000F6BBB">
      <w:pPr>
        <w:spacing w:after="0" w:line="240" w:lineRule="auto"/>
        <w:jc w:val="both"/>
        <w:rPr>
          <w:rFonts w:cs="Arial"/>
          <w:b/>
          <w:i/>
          <w:lang w:val="es-ES"/>
        </w:rPr>
      </w:pPr>
      <w:r w:rsidRPr="003141D0">
        <w:rPr>
          <w:rFonts w:cs="Arial"/>
          <w:b/>
          <w:i/>
          <w:lang w:val="es-ES"/>
        </w:rPr>
        <w:t>Dirigido a la Secretaría</w:t>
      </w:r>
    </w:p>
    <w:p w14:paraId="1A115424" w14:textId="77777777" w:rsidR="000F6BBB" w:rsidRPr="003141D0" w:rsidRDefault="000F6BBB" w:rsidP="000F6BBB">
      <w:pPr>
        <w:spacing w:after="0" w:line="240" w:lineRule="auto"/>
        <w:jc w:val="both"/>
        <w:rPr>
          <w:rFonts w:cs="Arial"/>
          <w:lang w:val="es-ES"/>
        </w:rPr>
      </w:pPr>
    </w:p>
    <w:p w14:paraId="0A1FEB0B" w14:textId="27C406D8" w:rsidR="00212F43" w:rsidRPr="003141D0" w:rsidRDefault="000F6BBB" w:rsidP="00212F43">
      <w:pPr>
        <w:spacing w:after="0" w:line="240" w:lineRule="auto"/>
        <w:ind w:left="900" w:hanging="900"/>
        <w:jc w:val="both"/>
        <w:rPr>
          <w:rFonts w:cs="Arial"/>
          <w:lang w:val="es-ES"/>
        </w:rPr>
      </w:pPr>
      <w:r w:rsidRPr="003141D0">
        <w:rPr>
          <w:rFonts w:cs="Arial"/>
          <w:lang w:val="es-ES"/>
        </w:rPr>
        <w:t>15.BB</w:t>
      </w:r>
      <w:r w:rsidR="00933CB6" w:rsidRPr="003141D0">
        <w:rPr>
          <w:rFonts w:cs="Arial"/>
          <w:lang w:val="es-ES"/>
        </w:rPr>
        <w:tab/>
      </w:r>
      <w:r w:rsidRPr="003141D0">
        <w:rPr>
          <w:rFonts w:cs="Arial"/>
          <w:lang w:val="es-ES"/>
        </w:rPr>
        <w:t>Se solicita a la Secretaría, en función de la disponibilidad de recursos, que:</w:t>
      </w:r>
    </w:p>
    <w:p w14:paraId="0588AE49" w14:textId="77777777" w:rsidR="00212F43" w:rsidRPr="003141D0" w:rsidRDefault="00212F43" w:rsidP="00212F43">
      <w:pPr>
        <w:pStyle w:val="ListParagraph"/>
        <w:spacing w:after="0" w:line="240" w:lineRule="auto"/>
        <w:jc w:val="both"/>
        <w:rPr>
          <w:rFonts w:eastAsia="Arial" w:cs="Arial"/>
          <w:i/>
          <w:iCs/>
          <w:sz w:val="20"/>
          <w:szCs w:val="20"/>
          <w:lang w:val="es-ES"/>
        </w:rPr>
      </w:pPr>
    </w:p>
    <w:p w14:paraId="6792DD37" w14:textId="030E3EFC" w:rsidR="00212F43" w:rsidRPr="003141D0" w:rsidRDefault="00F7429D" w:rsidP="00212F43">
      <w:pPr>
        <w:pStyle w:val="ListParagraph"/>
        <w:numPr>
          <w:ilvl w:val="0"/>
          <w:numId w:val="19"/>
        </w:numPr>
        <w:spacing w:after="0" w:line="240" w:lineRule="auto"/>
        <w:ind w:left="1418" w:hanging="567"/>
        <w:jc w:val="both"/>
        <w:rPr>
          <w:rFonts w:cs="Arial"/>
          <w:lang w:val="es-ES"/>
        </w:rPr>
      </w:pPr>
      <w:r w:rsidRPr="003141D0">
        <w:rPr>
          <w:rFonts w:cs="Arial"/>
          <w:lang w:val="es-ES"/>
        </w:rPr>
        <w:t>continúe contribuyendo a la aplicación del KMGBF;</w:t>
      </w:r>
    </w:p>
    <w:p w14:paraId="4B3459E7" w14:textId="77777777" w:rsidR="00212F43" w:rsidRPr="003141D0" w:rsidRDefault="00212F43" w:rsidP="00212F43">
      <w:pPr>
        <w:pStyle w:val="ListParagraph"/>
        <w:spacing w:after="0" w:line="240" w:lineRule="auto"/>
        <w:ind w:left="1418"/>
        <w:jc w:val="both"/>
        <w:rPr>
          <w:rFonts w:cs="Arial"/>
          <w:lang w:val="es-ES"/>
        </w:rPr>
      </w:pPr>
    </w:p>
    <w:p w14:paraId="4C87C79E" w14:textId="097FB34D" w:rsidR="00212F43" w:rsidRPr="003141D0" w:rsidRDefault="00212F43">
      <w:pPr>
        <w:pStyle w:val="ListParagraph"/>
        <w:numPr>
          <w:ilvl w:val="0"/>
          <w:numId w:val="19"/>
        </w:numPr>
        <w:spacing w:after="0" w:line="240" w:lineRule="auto"/>
        <w:ind w:left="1440" w:hanging="540"/>
        <w:jc w:val="both"/>
        <w:rPr>
          <w:rFonts w:cs="Arial"/>
          <w:lang w:val="es-ES"/>
        </w:rPr>
      </w:pPr>
      <w:r w:rsidRPr="003141D0">
        <w:rPr>
          <w:rFonts w:cs="Arial"/>
          <w:lang w:val="es-ES"/>
        </w:rPr>
        <w:t>continúe participando activamente en el Proceso de Berna, facilitado por el PNUMA, para contribuir a una aplicación eficaz y eficiente del KMGBF;</w:t>
      </w:r>
    </w:p>
    <w:p w14:paraId="5A0D72AC" w14:textId="77777777" w:rsidR="00212F43" w:rsidRPr="003141D0" w:rsidRDefault="00212F43" w:rsidP="00212F43">
      <w:pPr>
        <w:spacing w:after="0" w:line="240" w:lineRule="auto"/>
        <w:jc w:val="both"/>
        <w:rPr>
          <w:rFonts w:cs="Arial"/>
          <w:lang w:val="es-ES"/>
        </w:rPr>
      </w:pPr>
    </w:p>
    <w:p w14:paraId="3C40C8CA" w14:textId="5356E645" w:rsidR="00212F43" w:rsidRPr="003141D0" w:rsidRDefault="00212F43" w:rsidP="0075221B">
      <w:pPr>
        <w:pStyle w:val="ListParagraph"/>
        <w:numPr>
          <w:ilvl w:val="0"/>
          <w:numId w:val="19"/>
        </w:numPr>
        <w:spacing w:after="0" w:line="240" w:lineRule="auto"/>
        <w:ind w:left="1440" w:hanging="540"/>
        <w:jc w:val="both"/>
        <w:rPr>
          <w:rFonts w:cs="Arial"/>
          <w:lang w:val="es-ES"/>
        </w:rPr>
      </w:pPr>
      <w:r w:rsidRPr="003141D0">
        <w:rPr>
          <w:rFonts w:cs="Arial"/>
          <w:lang w:val="es-ES"/>
        </w:rPr>
        <w:t>elabore un nuevo Programa de Trabajo Conjunto con la Secretaría del CDB.</w:t>
      </w:r>
    </w:p>
    <w:p w14:paraId="2451616B" w14:textId="77777777" w:rsidR="000F6BBB" w:rsidRPr="003141D0" w:rsidRDefault="000F6BBB" w:rsidP="000F6BBB">
      <w:pPr>
        <w:pStyle w:val="Secondnumbering"/>
        <w:ind w:left="540"/>
        <w:jc w:val="both"/>
        <w:rPr>
          <w:rFonts w:cs="Arial"/>
          <w:lang w:val="es-ES"/>
        </w:rPr>
      </w:pPr>
    </w:p>
    <w:sectPr w:rsidR="000F6BBB" w:rsidRPr="003141D0" w:rsidSect="00D93628">
      <w:headerReference w:type="first" r:id="rId34"/>
      <w:foot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67BC" w14:textId="77777777" w:rsidR="000D194A" w:rsidRDefault="000D194A" w:rsidP="002E0DE9">
      <w:pPr>
        <w:spacing w:after="0" w:line="240" w:lineRule="auto"/>
      </w:pPr>
      <w:r>
        <w:separator/>
      </w:r>
    </w:p>
  </w:endnote>
  <w:endnote w:type="continuationSeparator" w:id="0">
    <w:p w14:paraId="056F5974" w14:textId="77777777" w:rsidR="000D194A" w:rsidRDefault="000D194A" w:rsidP="002E0DE9">
      <w:pPr>
        <w:spacing w:after="0" w:line="240" w:lineRule="auto"/>
      </w:pPr>
      <w:r>
        <w:continuationSeparator/>
      </w:r>
    </w:p>
  </w:endnote>
  <w:endnote w:type="continuationNotice" w:id="1">
    <w:p w14:paraId="4E09CD48" w14:textId="77777777" w:rsidR="000D194A" w:rsidRDefault="000D1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88741B" w:rsidRDefault="002E0DE9">
        <w:pPr>
          <w:pStyle w:val="Footer"/>
          <w:jc w:val="center"/>
          <w:rPr>
            <w:sz w:val="18"/>
            <w:szCs w:val="18"/>
          </w:rPr>
        </w:pPr>
        <w:r w:rsidRPr="0088741B">
          <w:rPr>
            <w:sz w:val="18"/>
            <w:szCs w:val="18"/>
          </w:rPr>
          <w:fldChar w:fldCharType="begin"/>
        </w:r>
        <w:r w:rsidRPr="0088741B">
          <w:rPr>
            <w:sz w:val="18"/>
            <w:szCs w:val="18"/>
          </w:rPr>
          <w:instrText xml:space="preserve"> PAGE   \* MERGEFORMAT </w:instrText>
        </w:r>
        <w:r w:rsidRPr="0088741B">
          <w:rPr>
            <w:sz w:val="18"/>
            <w:szCs w:val="18"/>
          </w:rPr>
          <w:fldChar w:fldCharType="separate"/>
        </w:r>
        <w:r w:rsidRPr="0088741B">
          <w:rPr>
            <w:noProof/>
            <w:sz w:val="18"/>
            <w:szCs w:val="18"/>
          </w:rPr>
          <w:t>2</w:t>
        </w:r>
        <w:r w:rsidRPr="0088741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88741B" w:rsidRDefault="0035024E" w:rsidP="0035024E">
        <w:pPr>
          <w:pStyle w:val="Footer"/>
          <w:jc w:val="center"/>
          <w:rPr>
            <w:sz w:val="18"/>
            <w:szCs w:val="18"/>
          </w:rPr>
        </w:pPr>
        <w:r w:rsidRPr="0088741B">
          <w:rPr>
            <w:sz w:val="18"/>
            <w:szCs w:val="18"/>
          </w:rPr>
          <w:fldChar w:fldCharType="begin"/>
        </w:r>
        <w:r w:rsidRPr="0088741B">
          <w:rPr>
            <w:sz w:val="18"/>
            <w:szCs w:val="18"/>
          </w:rPr>
          <w:instrText xml:space="preserve"> PAGE   \* MERGEFORMAT </w:instrText>
        </w:r>
        <w:r w:rsidRPr="0088741B">
          <w:rPr>
            <w:sz w:val="18"/>
            <w:szCs w:val="18"/>
          </w:rPr>
          <w:fldChar w:fldCharType="separate"/>
        </w:r>
        <w:r w:rsidRPr="0088741B">
          <w:rPr>
            <w:noProof/>
            <w:sz w:val="18"/>
            <w:szCs w:val="18"/>
          </w:rPr>
          <w:t>2</w:t>
        </w:r>
        <w:r w:rsidRPr="0088741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2155"/>
      <w:docPartObj>
        <w:docPartGallery w:val="Page Numbers (Bottom of Page)"/>
        <w:docPartUnique/>
      </w:docPartObj>
    </w:sdtPr>
    <w:sdtEndPr>
      <w:rPr>
        <w:noProof/>
        <w:sz w:val="18"/>
        <w:szCs w:val="18"/>
      </w:rPr>
    </w:sdtEndPr>
    <w:sdtContent>
      <w:p w14:paraId="2823767B" w14:textId="6F997CA7" w:rsidR="000F6BBB" w:rsidRPr="000F6BBB" w:rsidRDefault="000F6BBB">
        <w:pPr>
          <w:pStyle w:val="Footer"/>
          <w:jc w:val="center"/>
          <w:rPr>
            <w:sz w:val="18"/>
            <w:szCs w:val="18"/>
          </w:rPr>
        </w:pPr>
        <w:r w:rsidRPr="000F6BBB">
          <w:rPr>
            <w:sz w:val="18"/>
            <w:szCs w:val="18"/>
          </w:rPr>
          <w:fldChar w:fldCharType="begin"/>
        </w:r>
        <w:r w:rsidRPr="000F6BBB">
          <w:rPr>
            <w:sz w:val="18"/>
            <w:szCs w:val="18"/>
          </w:rPr>
          <w:instrText xml:space="preserve"> PAGE   \* MERGEFORMAT </w:instrText>
        </w:r>
        <w:r w:rsidRPr="000F6BBB">
          <w:rPr>
            <w:sz w:val="18"/>
            <w:szCs w:val="18"/>
          </w:rPr>
          <w:fldChar w:fldCharType="separate"/>
        </w:r>
        <w:r w:rsidRPr="000F6BBB">
          <w:rPr>
            <w:noProof/>
            <w:sz w:val="18"/>
            <w:szCs w:val="18"/>
          </w:rPr>
          <w:t>2</w:t>
        </w:r>
        <w:r w:rsidRPr="000F6BB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192F" w14:textId="77777777" w:rsidR="000D194A" w:rsidRDefault="000D194A" w:rsidP="002E0DE9">
      <w:pPr>
        <w:spacing w:after="0" w:line="240" w:lineRule="auto"/>
      </w:pPr>
      <w:r>
        <w:separator/>
      </w:r>
    </w:p>
  </w:footnote>
  <w:footnote w:type="continuationSeparator" w:id="0">
    <w:p w14:paraId="0C7D6EA7" w14:textId="77777777" w:rsidR="000D194A" w:rsidRDefault="000D194A" w:rsidP="002E0DE9">
      <w:pPr>
        <w:spacing w:after="0" w:line="240" w:lineRule="auto"/>
      </w:pPr>
      <w:r>
        <w:continuationSeparator/>
      </w:r>
    </w:p>
  </w:footnote>
  <w:footnote w:type="continuationNotice" w:id="1">
    <w:p w14:paraId="0A7EFF5A" w14:textId="77777777" w:rsidR="000D194A" w:rsidRDefault="000D19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A588A75" w:rsidR="002E0DE9" w:rsidRPr="0088741B" w:rsidRDefault="002E0DE9" w:rsidP="002E0DE9">
    <w:pPr>
      <w:pStyle w:val="Header"/>
      <w:pBdr>
        <w:bottom w:val="single" w:sz="4" w:space="1" w:color="auto"/>
      </w:pBdr>
      <w:rPr>
        <w:i/>
        <w:sz w:val="18"/>
        <w:szCs w:val="18"/>
      </w:rPr>
    </w:pPr>
    <w:r w:rsidRPr="0088741B">
      <w:rPr>
        <w:rFonts w:eastAsia="Times New Roman" w:cs="Arial"/>
        <w:i/>
        <w:sz w:val="18"/>
        <w:szCs w:val="18"/>
        <w:lang w:val="es-US"/>
      </w:rPr>
      <w:t>UNEP/CMS/COP15/Doc.18.3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28C8B027" w:rsidR="002E0DE9" w:rsidRPr="0088741B" w:rsidRDefault="002E0DE9" w:rsidP="00842B75">
    <w:pPr>
      <w:pStyle w:val="Header"/>
      <w:pBdr>
        <w:bottom w:val="single" w:sz="4" w:space="1" w:color="auto"/>
      </w:pBdr>
      <w:jc w:val="right"/>
      <w:rPr>
        <w:i/>
        <w:sz w:val="18"/>
        <w:szCs w:val="18"/>
      </w:rPr>
    </w:pPr>
    <w:r w:rsidRPr="0088741B">
      <w:rPr>
        <w:rFonts w:eastAsia="Times New Roman" w:cs="Arial"/>
        <w:i/>
        <w:sz w:val="18"/>
        <w:szCs w:val="18"/>
        <w:lang w:val="es-US"/>
      </w:rPr>
      <w:t>UNEP/CMS/COP15/Doc.18.3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0453" w14:textId="77777777" w:rsidR="00521141" w:rsidRPr="00002A97" w:rsidRDefault="00521141" w:rsidP="00521141">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0D4990D" wp14:editId="57006AB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60A5335" wp14:editId="1526ED9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1175DC27" wp14:editId="718B884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7D4DBEE" w14:textId="77777777" w:rsidR="00521141" w:rsidRDefault="00521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B8C" w14:textId="36D457C1" w:rsidR="000F6BBB" w:rsidRPr="000F6BBB" w:rsidRDefault="000F6BBB" w:rsidP="000F6BBB">
    <w:pPr>
      <w:pStyle w:val="Header"/>
      <w:pBdr>
        <w:bottom w:val="single" w:sz="4" w:space="1" w:color="auto"/>
      </w:pBdr>
      <w:jc w:val="right"/>
      <w:rPr>
        <w:i/>
        <w:sz w:val="18"/>
        <w:szCs w:val="18"/>
        <w:lang w:val="fr-FR"/>
      </w:rPr>
    </w:pPr>
    <w:r w:rsidRPr="000F6BBB">
      <w:rPr>
        <w:rFonts w:eastAsia="Times New Roman" w:cs="Arial"/>
        <w:i/>
        <w:sz w:val="18"/>
        <w:szCs w:val="18"/>
        <w:lang w:val="fr-FR"/>
      </w:rPr>
      <w:t>UNEP/CMS/COP15/Doc.18.3/</w:t>
    </w:r>
    <w:proofErr w:type="spellStart"/>
    <w:r w:rsidRPr="000F6BBB">
      <w:rPr>
        <w:rFonts w:eastAsia="Times New Roman" w:cs="Arial"/>
        <w:i/>
        <w:sz w:val="18"/>
        <w:szCs w:val="18"/>
        <w:lang w:val="fr-FR"/>
      </w:rPr>
      <w:t>Anexo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2CE0"/>
    <w:multiLevelType w:val="hybridMultilevel"/>
    <w:tmpl w:val="417244A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5" w15:restartNumberingAfterBreak="0">
    <w:nsid w:val="16B3042D"/>
    <w:multiLevelType w:val="hybridMultilevel"/>
    <w:tmpl w:val="F2D6B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6775D"/>
    <w:multiLevelType w:val="multilevel"/>
    <w:tmpl w:val="F3E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64340"/>
    <w:multiLevelType w:val="hybridMultilevel"/>
    <w:tmpl w:val="29B8E18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DE81B66"/>
    <w:multiLevelType w:val="hybridMultilevel"/>
    <w:tmpl w:val="9BA0DA06"/>
    <w:lvl w:ilvl="0" w:tplc="2000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5AF1D87"/>
    <w:multiLevelType w:val="multilevel"/>
    <w:tmpl w:val="78CA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ECC3C3B"/>
    <w:multiLevelType w:val="multilevel"/>
    <w:tmpl w:val="63A07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23F83"/>
    <w:multiLevelType w:val="hybridMultilevel"/>
    <w:tmpl w:val="A89C0AF8"/>
    <w:lvl w:ilvl="0" w:tplc="0C60177A">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113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8F34FE2"/>
    <w:multiLevelType w:val="multilevel"/>
    <w:tmpl w:val="B03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29427">
    <w:abstractNumId w:val="13"/>
  </w:num>
  <w:num w:numId="2" w16cid:durableId="1028723234">
    <w:abstractNumId w:val="19"/>
  </w:num>
  <w:num w:numId="3" w16cid:durableId="1873957362">
    <w:abstractNumId w:val="0"/>
  </w:num>
  <w:num w:numId="4" w16cid:durableId="1785881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21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24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98062">
    <w:abstractNumId w:val="7"/>
  </w:num>
  <w:num w:numId="8" w16cid:durableId="1188787617">
    <w:abstractNumId w:val="23"/>
  </w:num>
  <w:num w:numId="9" w16cid:durableId="582960191">
    <w:abstractNumId w:val="16"/>
  </w:num>
  <w:num w:numId="10" w16cid:durableId="902528571">
    <w:abstractNumId w:val="2"/>
  </w:num>
  <w:num w:numId="11" w16cid:durableId="1790541092">
    <w:abstractNumId w:val="1"/>
  </w:num>
  <w:num w:numId="12" w16cid:durableId="1242762259">
    <w:abstractNumId w:val="18"/>
  </w:num>
  <w:num w:numId="13" w16cid:durableId="539243392">
    <w:abstractNumId w:val="6"/>
  </w:num>
  <w:num w:numId="14" w16cid:durableId="1501390595">
    <w:abstractNumId w:val="4"/>
  </w:num>
  <w:num w:numId="15" w16cid:durableId="1836647286">
    <w:abstractNumId w:val="20"/>
  </w:num>
  <w:num w:numId="16" w16cid:durableId="850029278">
    <w:abstractNumId w:val="12"/>
  </w:num>
  <w:num w:numId="17" w16cid:durableId="840848237">
    <w:abstractNumId w:val="8"/>
  </w:num>
  <w:num w:numId="18" w16cid:durableId="1863202682">
    <w:abstractNumId w:val="21"/>
  </w:num>
  <w:num w:numId="19" w16cid:durableId="745492243">
    <w:abstractNumId w:val="5"/>
  </w:num>
  <w:num w:numId="20" w16cid:durableId="1163860220">
    <w:abstractNumId w:val="17"/>
  </w:num>
  <w:num w:numId="21" w16cid:durableId="1976907002">
    <w:abstractNumId w:val="10"/>
  </w:num>
  <w:num w:numId="22" w16cid:durableId="1620913115">
    <w:abstractNumId w:val="9"/>
  </w:num>
  <w:num w:numId="23" w16cid:durableId="846942654">
    <w:abstractNumId w:val="3"/>
  </w:num>
  <w:num w:numId="24" w16cid:durableId="1284776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537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67AF"/>
    <w:rsid w:val="00027839"/>
    <w:rsid w:val="00027FB8"/>
    <w:rsid w:val="00044609"/>
    <w:rsid w:val="000539AB"/>
    <w:rsid w:val="0006101D"/>
    <w:rsid w:val="0006396F"/>
    <w:rsid w:val="00063C40"/>
    <w:rsid w:val="000661B2"/>
    <w:rsid w:val="00067808"/>
    <w:rsid w:val="00081045"/>
    <w:rsid w:val="00081615"/>
    <w:rsid w:val="0009245E"/>
    <w:rsid w:val="00096968"/>
    <w:rsid w:val="000A2CFF"/>
    <w:rsid w:val="000C50B6"/>
    <w:rsid w:val="000D194A"/>
    <w:rsid w:val="000E0F57"/>
    <w:rsid w:val="000E2279"/>
    <w:rsid w:val="000E7846"/>
    <w:rsid w:val="000F13BB"/>
    <w:rsid w:val="000F35F7"/>
    <w:rsid w:val="000F6BBB"/>
    <w:rsid w:val="00103C7C"/>
    <w:rsid w:val="00111FA1"/>
    <w:rsid w:val="00131950"/>
    <w:rsid w:val="00134E93"/>
    <w:rsid w:val="00134F8C"/>
    <w:rsid w:val="00137609"/>
    <w:rsid w:val="00142426"/>
    <w:rsid w:val="00171229"/>
    <w:rsid w:val="00177179"/>
    <w:rsid w:val="00184004"/>
    <w:rsid w:val="00184287"/>
    <w:rsid w:val="00190ADA"/>
    <w:rsid w:val="00191F7A"/>
    <w:rsid w:val="001C6C56"/>
    <w:rsid w:val="001D449D"/>
    <w:rsid w:val="001F33A1"/>
    <w:rsid w:val="0021262F"/>
    <w:rsid w:val="00212F43"/>
    <w:rsid w:val="002178CF"/>
    <w:rsid w:val="00230D21"/>
    <w:rsid w:val="002326AB"/>
    <w:rsid w:val="00235010"/>
    <w:rsid w:val="00237692"/>
    <w:rsid w:val="00243406"/>
    <w:rsid w:val="00254906"/>
    <w:rsid w:val="00284272"/>
    <w:rsid w:val="00284880"/>
    <w:rsid w:val="00290428"/>
    <w:rsid w:val="002A44E3"/>
    <w:rsid w:val="002A4A3D"/>
    <w:rsid w:val="002B2806"/>
    <w:rsid w:val="002B48C1"/>
    <w:rsid w:val="002E03F2"/>
    <w:rsid w:val="002E0DE9"/>
    <w:rsid w:val="002E21E5"/>
    <w:rsid w:val="002E6A7D"/>
    <w:rsid w:val="002F287C"/>
    <w:rsid w:val="00303662"/>
    <w:rsid w:val="0031269D"/>
    <w:rsid w:val="003141D0"/>
    <w:rsid w:val="00327666"/>
    <w:rsid w:val="00330F65"/>
    <w:rsid w:val="00331D38"/>
    <w:rsid w:val="00331DFA"/>
    <w:rsid w:val="00340E67"/>
    <w:rsid w:val="0035024E"/>
    <w:rsid w:val="00354055"/>
    <w:rsid w:val="00361EAD"/>
    <w:rsid w:val="003669FF"/>
    <w:rsid w:val="0037374C"/>
    <w:rsid w:val="003A1B21"/>
    <w:rsid w:val="003C569E"/>
    <w:rsid w:val="003C7C2C"/>
    <w:rsid w:val="003D1082"/>
    <w:rsid w:val="003D4575"/>
    <w:rsid w:val="003D6AF2"/>
    <w:rsid w:val="003E53D9"/>
    <w:rsid w:val="003E78F2"/>
    <w:rsid w:val="003F6A08"/>
    <w:rsid w:val="00405877"/>
    <w:rsid w:val="0040663F"/>
    <w:rsid w:val="0040723D"/>
    <w:rsid w:val="00414EF4"/>
    <w:rsid w:val="004250A7"/>
    <w:rsid w:val="00431FE3"/>
    <w:rsid w:val="004329BA"/>
    <w:rsid w:val="004332EC"/>
    <w:rsid w:val="00434BDA"/>
    <w:rsid w:val="00443325"/>
    <w:rsid w:val="00444017"/>
    <w:rsid w:val="004531F1"/>
    <w:rsid w:val="004532AF"/>
    <w:rsid w:val="00457A20"/>
    <w:rsid w:val="004608C4"/>
    <w:rsid w:val="004639CE"/>
    <w:rsid w:val="004714F5"/>
    <w:rsid w:val="00472BCE"/>
    <w:rsid w:val="00483A05"/>
    <w:rsid w:val="004907CB"/>
    <w:rsid w:val="00495B71"/>
    <w:rsid w:val="00496FE6"/>
    <w:rsid w:val="004C015B"/>
    <w:rsid w:val="004C1FDD"/>
    <w:rsid w:val="004E0FF2"/>
    <w:rsid w:val="00500665"/>
    <w:rsid w:val="00516A25"/>
    <w:rsid w:val="00521141"/>
    <w:rsid w:val="00531690"/>
    <w:rsid w:val="00531BD1"/>
    <w:rsid w:val="005330F7"/>
    <w:rsid w:val="0054668F"/>
    <w:rsid w:val="0055344C"/>
    <w:rsid w:val="00563598"/>
    <w:rsid w:val="0058406F"/>
    <w:rsid w:val="005861F0"/>
    <w:rsid w:val="0059075E"/>
    <w:rsid w:val="00592D42"/>
    <w:rsid w:val="00594151"/>
    <w:rsid w:val="00597EB1"/>
    <w:rsid w:val="005A2A3E"/>
    <w:rsid w:val="005B23A6"/>
    <w:rsid w:val="005C28E8"/>
    <w:rsid w:val="005C5625"/>
    <w:rsid w:val="005C5C48"/>
    <w:rsid w:val="005C75A7"/>
    <w:rsid w:val="005D0761"/>
    <w:rsid w:val="005D3D4E"/>
    <w:rsid w:val="005E031D"/>
    <w:rsid w:val="005E2765"/>
    <w:rsid w:val="005E6D3C"/>
    <w:rsid w:val="005F738C"/>
    <w:rsid w:val="00610891"/>
    <w:rsid w:val="0064383B"/>
    <w:rsid w:val="00650324"/>
    <w:rsid w:val="006638D3"/>
    <w:rsid w:val="00663DD5"/>
    <w:rsid w:val="006704FB"/>
    <w:rsid w:val="0068206F"/>
    <w:rsid w:val="00682891"/>
    <w:rsid w:val="00682A57"/>
    <w:rsid w:val="006867A3"/>
    <w:rsid w:val="006943D3"/>
    <w:rsid w:val="006A689A"/>
    <w:rsid w:val="006A7DC4"/>
    <w:rsid w:val="006C0316"/>
    <w:rsid w:val="006C1A37"/>
    <w:rsid w:val="006D2054"/>
    <w:rsid w:val="006E2FC6"/>
    <w:rsid w:val="00704E4A"/>
    <w:rsid w:val="0071181A"/>
    <w:rsid w:val="00724A3F"/>
    <w:rsid w:val="007259EC"/>
    <w:rsid w:val="00727B7F"/>
    <w:rsid w:val="0073074B"/>
    <w:rsid w:val="0073233F"/>
    <w:rsid w:val="0073552B"/>
    <w:rsid w:val="00737EA6"/>
    <w:rsid w:val="0075221B"/>
    <w:rsid w:val="00754D14"/>
    <w:rsid w:val="007650F2"/>
    <w:rsid w:val="007651C3"/>
    <w:rsid w:val="00776881"/>
    <w:rsid w:val="007810DD"/>
    <w:rsid w:val="00781C6C"/>
    <w:rsid w:val="00782FB0"/>
    <w:rsid w:val="00785530"/>
    <w:rsid w:val="00786961"/>
    <w:rsid w:val="00796DA1"/>
    <w:rsid w:val="007A07DE"/>
    <w:rsid w:val="007E6500"/>
    <w:rsid w:val="007F53CF"/>
    <w:rsid w:val="007F5FA4"/>
    <w:rsid w:val="00814D9B"/>
    <w:rsid w:val="00816618"/>
    <w:rsid w:val="00820572"/>
    <w:rsid w:val="00822255"/>
    <w:rsid w:val="00832433"/>
    <w:rsid w:val="00832A53"/>
    <w:rsid w:val="00837BC1"/>
    <w:rsid w:val="00842B75"/>
    <w:rsid w:val="008444E8"/>
    <w:rsid w:val="008619CA"/>
    <w:rsid w:val="00862CE2"/>
    <w:rsid w:val="008664D5"/>
    <w:rsid w:val="00871567"/>
    <w:rsid w:val="00871E2C"/>
    <w:rsid w:val="00872FF8"/>
    <w:rsid w:val="008852CE"/>
    <w:rsid w:val="0088741B"/>
    <w:rsid w:val="008940E0"/>
    <w:rsid w:val="00894F70"/>
    <w:rsid w:val="008B0AC3"/>
    <w:rsid w:val="008B5D7C"/>
    <w:rsid w:val="008C3A4A"/>
    <w:rsid w:val="008D7F9C"/>
    <w:rsid w:val="008E399F"/>
    <w:rsid w:val="008E53C2"/>
    <w:rsid w:val="008E6292"/>
    <w:rsid w:val="008E7441"/>
    <w:rsid w:val="008E790A"/>
    <w:rsid w:val="00915221"/>
    <w:rsid w:val="0091638B"/>
    <w:rsid w:val="0092141A"/>
    <w:rsid w:val="00933B90"/>
    <w:rsid w:val="00933CB6"/>
    <w:rsid w:val="009343FB"/>
    <w:rsid w:val="0093713A"/>
    <w:rsid w:val="009618A6"/>
    <w:rsid w:val="00964B81"/>
    <w:rsid w:val="00966E08"/>
    <w:rsid w:val="00987F0C"/>
    <w:rsid w:val="00990A1F"/>
    <w:rsid w:val="009A08AE"/>
    <w:rsid w:val="009A172C"/>
    <w:rsid w:val="009A2337"/>
    <w:rsid w:val="009A4FCA"/>
    <w:rsid w:val="009B28A1"/>
    <w:rsid w:val="009B3CF3"/>
    <w:rsid w:val="009C2BBE"/>
    <w:rsid w:val="009E35AE"/>
    <w:rsid w:val="009F6C60"/>
    <w:rsid w:val="00A1352E"/>
    <w:rsid w:val="00A205CB"/>
    <w:rsid w:val="00A317A1"/>
    <w:rsid w:val="00A32D40"/>
    <w:rsid w:val="00A33DBA"/>
    <w:rsid w:val="00A350E8"/>
    <w:rsid w:val="00A44ED2"/>
    <w:rsid w:val="00A45996"/>
    <w:rsid w:val="00A536A5"/>
    <w:rsid w:val="00A5442D"/>
    <w:rsid w:val="00A56F6E"/>
    <w:rsid w:val="00A6494E"/>
    <w:rsid w:val="00A70AD4"/>
    <w:rsid w:val="00A767FD"/>
    <w:rsid w:val="00A80AEC"/>
    <w:rsid w:val="00A84BD0"/>
    <w:rsid w:val="00A93363"/>
    <w:rsid w:val="00AB4A60"/>
    <w:rsid w:val="00AD4F4C"/>
    <w:rsid w:val="00AF5E47"/>
    <w:rsid w:val="00AF63ED"/>
    <w:rsid w:val="00B06B0D"/>
    <w:rsid w:val="00B07460"/>
    <w:rsid w:val="00B13C59"/>
    <w:rsid w:val="00B2055E"/>
    <w:rsid w:val="00B32979"/>
    <w:rsid w:val="00B33183"/>
    <w:rsid w:val="00B340D3"/>
    <w:rsid w:val="00B37246"/>
    <w:rsid w:val="00B4546D"/>
    <w:rsid w:val="00B51A11"/>
    <w:rsid w:val="00B55EEB"/>
    <w:rsid w:val="00B609A5"/>
    <w:rsid w:val="00B60FF3"/>
    <w:rsid w:val="00B6167F"/>
    <w:rsid w:val="00B61BD0"/>
    <w:rsid w:val="00B63D29"/>
    <w:rsid w:val="00B665AB"/>
    <w:rsid w:val="00B716CD"/>
    <w:rsid w:val="00B721FB"/>
    <w:rsid w:val="00B81CB2"/>
    <w:rsid w:val="00B86FD6"/>
    <w:rsid w:val="00B90B12"/>
    <w:rsid w:val="00B93B28"/>
    <w:rsid w:val="00BA2DD5"/>
    <w:rsid w:val="00BB7FAE"/>
    <w:rsid w:val="00BC60DB"/>
    <w:rsid w:val="00BE54DD"/>
    <w:rsid w:val="00BF51AE"/>
    <w:rsid w:val="00C00802"/>
    <w:rsid w:val="00C01ED7"/>
    <w:rsid w:val="00C108C1"/>
    <w:rsid w:val="00C11B85"/>
    <w:rsid w:val="00C167AA"/>
    <w:rsid w:val="00C22028"/>
    <w:rsid w:val="00C22C6F"/>
    <w:rsid w:val="00C235F9"/>
    <w:rsid w:val="00C32E9F"/>
    <w:rsid w:val="00C34F42"/>
    <w:rsid w:val="00C423C8"/>
    <w:rsid w:val="00C55DEE"/>
    <w:rsid w:val="00C73EC9"/>
    <w:rsid w:val="00C7409D"/>
    <w:rsid w:val="00C83057"/>
    <w:rsid w:val="00C8348A"/>
    <w:rsid w:val="00C83A53"/>
    <w:rsid w:val="00C974A1"/>
    <w:rsid w:val="00CB05F6"/>
    <w:rsid w:val="00CB3696"/>
    <w:rsid w:val="00CB4D47"/>
    <w:rsid w:val="00CC20D1"/>
    <w:rsid w:val="00CC3F4F"/>
    <w:rsid w:val="00CD1A90"/>
    <w:rsid w:val="00CD27A9"/>
    <w:rsid w:val="00CD49FD"/>
    <w:rsid w:val="00CD51CC"/>
    <w:rsid w:val="00CE67A7"/>
    <w:rsid w:val="00CF5D3B"/>
    <w:rsid w:val="00D06359"/>
    <w:rsid w:val="00D07BB5"/>
    <w:rsid w:val="00D13CC6"/>
    <w:rsid w:val="00D1567A"/>
    <w:rsid w:val="00D25ACF"/>
    <w:rsid w:val="00D3146F"/>
    <w:rsid w:val="00D31A58"/>
    <w:rsid w:val="00D40160"/>
    <w:rsid w:val="00D418E6"/>
    <w:rsid w:val="00D4687D"/>
    <w:rsid w:val="00D4691A"/>
    <w:rsid w:val="00D61BE5"/>
    <w:rsid w:val="00D62FDB"/>
    <w:rsid w:val="00D66DB0"/>
    <w:rsid w:val="00D803E2"/>
    <w:rsid w:val="00D80642"/>
    <w:rsid w:val="00D8210B"/>
    <w:rsid w:val="00D856FE"/>
    <w:rsid w:val="00D858E1"/>
    <w:rsid w:val="00D93628"/>
    <w:rsid w:val="00DA5E1A"/>
    <w:rsid w:val="00DD4314"/>
    <w:rsid w:val="00DD57DD"/>
    <w:rsid w:val="00DE481B"/>
    <w:rsid w:val="00DF6CF5"/>
    <w:rsid w:val="00E07AC4"/>
    <w:rsid w:val="00E25B75"/>
    <w:rsid w:val="00E4182C"/>
    <w:rsid w:val="00E44CA8"/>
    <w:rsid w:val="00E55B6B"/>
    <w:rsid w:val="00E56C45"/>
    <w:rsid w:val="00E77D51"/>
    <w:rsid w:val="00E80324"/>
    <w:rsid w:val="00E836DE"/>
    <w:rsid w:val="00E85535"/>
    <w:rsid w:val="00E9732D"/>
    <w:rsid w:val="00E97A3C"/>
    <w:rsid w:val="00EB3205"/>
    <w:rsid w:val="00EB5FA1"/>
    <w:rsid w:val="00ED12FA"/>
    <w:rsid w:val="00ED4C45"/>
    <w:rsid w:val="00F071CF"/>
    <w:rsid w:val="00F166B9"/>
    <w:rsid w:val="00F231E8"/>
    <w:rsid w:val="00F252F2"/>
    <w:rsid w:val="00F26BA0"/>
    <w:rsid w:val="00F45103"/>
    <w:rsid w:val="00F53636"/>
    <w:rsid w:val="00F67E81"/>
    <w:rsid w:val="00F7126F"/>
    <w:rsid w:val="00F7155B"/>
    <w:rsid w:val="00F7429D"/>
    <w:rsid w:val="00F74F81"/>
    <w:rsid w:val="00F75474"/>
    <w:rsid w:val="00F8252F"/>
    <w:rsid w:val="00F87644"/>
    <w:rsid w:val="00F96B32"/>
    <w:rsid w:val="00FA29AC"/>
    <w:rsid w:val="00FA5582"/>
    <w:rsid w:val="00FB2266"/>
    <w:rsid w:val="00FC10D0"/>
    <w:rsid w:val="00FD1626"/>
    <w:rsid w:val="00FE1E3E"/>
    <w:rsid w:val="00FE321E"/>
    <w:rsid w:val="00FF4793"/>
    <w:rsid w:val="00FF6285"/>
    <w:rsid w:val="0B8BE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B3C1DC2F-E1D3-49FF-B0D4-4B75BDFB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752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727B7F"/>
    <w:pPr>
      <w:spacing w:after="0" w:line="240" w:lineRule="auto"/>
    </w:pPr>
    <w:rPr>
      <w:lang w:val="en-GB"/>
    </w:rPr>
  </w:style>
  <w:style w:type="character" w:customStyle="1" w:styleId="ListParagraphChar">
    <w:name w:val="List Paragraph Char"/>
    <w:basedOn w:val="DefaultParagraphFont"/>
    <w:link w:val="ListParagraph"/>
    <w:rsid w:val="00727B7F"/>
  </w:style>
  <w:style w:type="character" w:customStyle="1" w:styleId="SecondnumberingChar">
    <w:name w:val="Second numbering Char"/>
    <w:basedOn w:val="DefaultParagraphFont"/>
    <w:link w:val="Secondnumbering"/>
    <w:rsid w:val="00727B7F"/>
    <w:rPr>
      <w:lang w:val="en-GB"/>
    </w:rPr>
  </w:style>
  <w:style w:type="character" w:styleId="UnresolvedMention">
    <w:name w:val="Unresolved Mention"/>
    <w:basedOn w:val="DefaultParagraphFont"/>
    <w:uiPriority w:val="99"/>
    <w:semiHidden/>
    <w:unhideWhenUsed/>
    <w:rsid w:val="009C2BBE"/>
    <w:rPr>
      <w:color w:val="605E5C"/>
      <w:shd w:val="clear" w:color="auto" w:fill="E1DFDD"/>
    </w:rPr>
  </w:style>
  <w:style w:type="character" w:customStyle="1" w:styleId="Heading3Char">
    <w:name w:val="Heading 3 Char"/>
    <w:basedOn w:val="DefaultParagraphFont"/>
    <w:link w:val="Heading3"/>
    <w:uiPriority w:val="9"/>
    <w:semiHidden/>
    <w:rsid w:val="0075221B"/>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894F70"/>
  </w:style>
  <w:style w:type="paragraph" w:styleId="Revision">
    <w:name w:val="Revision"/>
    <w:hidden/>
    <w:uiPriority w:val="99"/>
    <w:semiHidden/>
    <w:rsid w:val="00822255"/>
    <w:pPr>
      <w:spacing w:after="0" w:line="240" w:lineRule="auto"/>
    </w:pPr>
  </w:style>
  <w:style w:type="character" w:styleId="FollowedHyperlink">
    <w:name w:val="FollowedHyperlink"/>
    <w:basedOn w:val="DefaultParagraphFont"/>
    <w:uiPriority w:val="99"/>
    <w:semiHidden/>
    <w:unhideWhenUsed/>
    <w:rsid w:val="00067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ynergies-and-partnerships-14" TargetMode="External"/><Relationship Id="rId18" Type="http://schemas.openxmlformats.org/officeDocument/2006/relationships/hyperlink" Target="https://www.cbd.int/doc/decisions/cop-15/cop-15-dec-05-en.pdf" TargetMode="External"/><Relationship Id="rId26" Type="http://schemas.openxmlformats.org/officeDocument/2006/relationships/hyperlink" Target="https://www.cms.int/es/node/46390" TargetMode="External"/><Relationship Id="rId21" Type="http://schemas.openxmlformats.org/officeDocument/2006/relationships/hyperlink" Target="https://www.cms.int/es/news/2024017-especies-migratorias-y-estrategias-y-planes-de-acci%C3%B3n-nacionales-sobre-biodiversida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4_res.11.10_rev.cop14_synergies-and-partnerships_s.pdf" TargetMode="External"/><Relationship Id="rId17" Type="http://schemas.openxmlformats.org/officeDocument/2006/relationships/hyperlink" Target="https://www.cbd.int/doc/notifications/2025/ntf-2025-099-gbo-en.pdf" TargetMode="External"/><Relationship Id="rId25" Type="http://schemas.openxmlformats.org/officeDocument/2006/relationships/hyperlink" Target="https://www.cbd.int/doc/notifications/2025/ntf-2025-005-cc-e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2.safelinks.protection.outlook.com/?url=https%3A%2F%2Fwww.cbd.int%2Fdoc%2Fc%2Fee9e%2Ff0d6%2F0b7a88e2719ca0563aaed1a4%2Fsbstta-27-inf-15-en.pdf&amp;data=05%7C02%7Claura.cerasi%40un.org%7C4a021c554b6c474a874508de10bbaa72%7C0f9e35db544f4f60bdcc5ea416e6dc70%7C0%7C0%7C638966595376339986%7CUnknown%7CTWFpbGZsb3d8eyJFbXB0eU1hcGkiOnRydWUsIlYiOiIwLjAuMDAwMCIsIlAiOiJXaW4zMiIsIkFOIjoiTWFpbCIsIldUIjoyfQ%3D%3D%7C0%7C%7C%7C&amp;sdata=1huuEvPuJUZbRnG%2B%2Fg4N95OjfuA0oscTIfS7sla%2BWmM%3D&amp;reserved=0" TargetMode="External"/><Relationship Id="rId20" Type="http://schemas.openxmlformats.org/officeDocument/2006/relationships/hyperlink" Target="https://www.cms.int/es/node/463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bd.int/peace"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docs.unep.org/items/25a64de4-1a4d-4e68-a479-58018a3051f5" TargetMode="External"/><Relationship Id="rId23" Type="http://schemas.openxmlformats.org/officeDocument/2006/relationships/hyperlink" Target="https://www.cbd.int/notifications/2025-135" TargetMode="External"/><Relationship Id="rId28" Type="http://schemas.openxmlformats.org/officeDocument/2006/relationships/hyperlink" Target="https://www.cms.int/es/node/4638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6/cop-16-dec-31-e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source-mobilization-12" TargetMode="External"/><Relationship Id="rId22" Type="http://schemas.openxmlformats.org/officeDocument/2006/relationships/hyperlink" Target="https://www.cms.int/es/node/46384" TargetMode="External"/><Relationship Id="rId27" Type="http://schemas.openxmlformats.org/officeDocument/2006/relationships/hyperlink" Target="https://www.cbd.int/doc/notifications/2025/ntf-2025-014-wildlife-en.pdf"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92D4CC62-8976-4E63-AE33-424C03C72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44</TotalTime>
  <Pages>7</Pages>
  <Words>2662</Words>
  <Characters>15176</Characters>
  <Application>Microsoft Office Word</Application>
  <DocSecurity>0</DocSecurity>
  <Lines>126</Lines>
  <Paragraphs>35</Paragraphs>
  <ScaleCrop>false</ScaleCrop>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cp:revision>
  <dcterms:created xsi:type="dcterms:W3CDTF">2025-12-29T09:58:00Z</dcterms:created>
  <dcterms:modified xsi:type="dcterms:W3CDTF">2026-01-08T15:24:00Z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TaxCatchAll">
    <vt:lpwstr/>
  </property>
  <property fmtid="{D5CDD505-2E9C-101B-9397-08002B2CF9AE}" pid="7" name="lcf76f155ced4ddcb4097134ff3c332f">
    <vt:lpwstr/>
  </property>
  <property fmtid="{D5CDD505-2E9C-101B-9397-08002B2CF9AE}" pid="8" name="SharedWithUsers">
    <vt:lpwstr>16;#Ximena Victoria Cancino Ordenes;#1073741823;#Cuenta del Sistema;#78;#Thilan Mannan(Afiliado)</vt:lpwstr>
  </property>
  <property fmtid="{D5CDD505-2E9C-101B-9397-08002B2CF9AE}" pid="9" name="TaxKeywordTaxHTField">
    <vt:lpwstr/>
  </property>
  <property fmtid="{D5CDD505-2E9C-101B-9397-08002B2CF9AE}" pid="10" name="Sign-off status">
    <vt:lpwstr/>
  </property>
  <property fmtid="{D5CDD505-2E9C-101B-9397-08002B2CF9AE}" pid="11" name="Reviewer">
    <vt:lpwstr/>
  </property>
  <property fmtid="{D5CDD505-2E9C-101B-9397-08002B2CF9AE}" pid="12" name="MariaJoseOrtiz">
    <vt:lpwstr/>
  </property>
  <property fmtid="{D5CDD505-2E9C-101B-9397-08002B2CF9AE}" pid="13" name="Notes">
    <vt:lpwstr/>
  </property>
  <property fmtid="{D5CDD505-2E9C-101B-9397-08002B2CF9AE}" pid="14" name="Sent">
    <vt:lpwstr/>
  </property>
  <property fmtid="{D5CDD505-2E9C-101B-9397-08002B2CF9AE}" pid="15" name="Pre-selection">
    <vt:lpwstr>1</vt:lpwstr>
  </property>
  <property fmtid="{D5CDD505-2E9C-101B-9397-08002B2CF9AE}" pid="16" name="MSIP_Label_8b77875e-5908-45a0-9cb4-dec9ae074618_Enabled">
    <vt:lpwstr>verdadero</vt:lpwstr>
  </property>
  <property fmtid="{D5CDD505-2E9C-101B-9397-08002B2CF9AE}" pid="17" name="MSIP_Label_8b77875e-5908-45a0-9cb4-dec9ae074618_SetDate">
    <vt:lpwstr>11/12/2025 21:08:23</vt:lpwstr>
  </property>
  <property fmtid="{D5CDD505-2E9C-101B-9397-08002B2CF9AE}" pid="18" name="MSIP_Label_8b77875e-5908-45a0-9cb4-dec9ae074618_Method">
    <vt:lpwstr>Estándar</vt:lpwstr>
  </property>
  <property fmtid="{D5CDD505-2E9C-101B-9397-08002B2CF9AE}" pid="19" name="MSIP_Label_8b77875e-5908-45a0-9cb4-dec9ae074618_Name">
    <vt:lpwstr>8b77875e-5908-45a0-9cb4-dec9ae074618</vt:lpwstr>
  </property>
  <property fmtid="{D5CDD505-2E9C-101B-9397-08002B2CF9AE}" pid="20" name="MSIP_Label_8b77875e-5908-45a0-9cb4-dec9ae074618_SiteId">
    <vt:lpwstr>0f9e35db-544f-4f60-bdcc-5ea416e6dc70</vt:lpwstr>
  </property>
  <property fmtid="{D5CDD505-2E9C-101B-9397-08002B2CF9AE}" pid="21" name="MSIP_Label_8b77875e-5908-45a0-9cb4-dec9ae074618_ActionId">
    <vt:lpwstr>c0c8634e-c0c0-4001-8733-283db8d005b8</vt:lpwstr>
  </property>
  <property fmtid="{D5CDD505-2E9C-101B-9397-08002B2CF9AE}" pid="22" name="MSIP_Label_8b77875e-5908-45a0-9cb4-dec9ae074618_ContentBits">
    <vt:lpwstr>0</vt:lpwstr>
  </property>
  <property fmtid="{D5CDD505-2E9C-101B-9397-08002B2CF9AE}" pid="23" name="docLang">
    <vt:lpwstr>es</vt:lpwstr>
  </property>
</Properties>
</file>