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D7366D" w:rsidRPr="00D7366D" w14:paraId="0FC17A31" w14:textId="77777777" w:rsidTr="007456D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1755F16" w14:textId="77777777" w:rsidR="00D7366D" w:rsidRPr="00EC2A58" w:rsidRDefault="00D7366D" w:rsidP="007456D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2CA2BCC" wp14:editId="30FF1657">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ECDA0A9" w14:textId="77777777" w:rsidR="00D7366D" w:rsidRPr="00EC2A58" w:rsidRDefault="00D7366D" w:rsidP="007456D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1997326" w14:textId="77777777" w:rsidR="00D7366D" w:rsidRPr="00EC2A58" w:rsidRDefault="00D7366D" w:rsidP="007456D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6E3471A" w14:textId="77777777" w:rsidR="00D7366D" w:rsidRPr="00EC2A58" w:rsidRDefault="00D7366D" w:rsidP="007456D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382BA988" w14:textId="77777777" w:rsidR="00D7366D" w:rsidRPr="00EC2A58" w:rsidRDefault="00D7366D" w:rsidP="007456D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E138E42" w14:textId="77777777" w:rsidR="00D7366D" w:rsidRPr="00EC2A58" w:rsidRDefault="00D7366D" w:rsidP="007456D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F458199" w14:textId="1B4F82F0" w:rsidR="00D7366D" w:rsidRPr="00AF3AEC" w:rsidRDefault="00D7366D" w:rsidP="007456D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8F6726">
              <w:rPr>
                <w:rFonts w:eastAsia="Arial" w:cs="Arial"/>
                <w:lang w:val="fr-FR"/>
              </w:rPr>
              <w:t>18.3</w:t>
            </w:r>
          </w:p>
          <w:p w14:paraId="38899BBB" w14:textId="78EB6E7F" w:rsidR="00D7366D" w:rsidRPr="00AF3AEC" w:rsidRDefault="008F6726" w:rsidP="007456D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16 décembre </w:t>
            </w:r>
            <w:r w:rsidR="00D7366D" w:rsidRPr="00AF3AEC">
              <w:rPr>
                <w:rFonts w:eastAsia="Arial" w:cs="Arial"/>
                <w:lang w:val="fr-FR"/>
              </w:rPr>
              <w:t>2025</w:t>
            </w:r>
          </w:p>
          <w:p w14:paraId="122823E9" w14:textId="77777777" w:rsidR="00D7366D" w:rsidRPr="00FC4F18" w:rsidRDefault="00D7366D" w:rsidP="007456D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28F6665B" w14:textId="77777777" w:rsidR="00D7366D" w:rsidRPr="00FC4F18" w:rsidRDefault="00D7366D" w:rsidP="007456D8">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C796812" w14:textId="77777777" w:rsidR="00D7366D" w:rsidRPr="00EC2A58" w:rsidRDefault="00D7366D" w:rsidP="00D7366D">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89A2BD8" w14:textId="77777777" w:rsidR="00D7366D" w:rsidRPr="00EC2A58" w:rsidRDefault="00D7366D" w:rsidP="00D7366D">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D90C4E0" w14:textId="77777777" w:rsidR="00D7366D" w:rsidRPr="00EC2A58" w:rsidRDefault="00D7366D" w:rsidP="00D736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5DDA32F" w14:textId="558AE337" w:rsidR="00D7366D" w:rsidRPr="00EC2A58" w:rsidRDefault="00D7366D" w:rsidP="00D7366D">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8F6726">
        <w:rPr>
          <w:rFonts w:eastAsia="Arial" w:cs="Arial"/>
          <w:iCs/>
          <w:lang w:val="fr-FR"/>
        </w:rPr>
        <w:t>18.3</w:t>
      </w:r>
      <w:r w:rsidRPr="00EC2A58">
        <w:rPr>
          <w:rFonts w:eastAsia="Arial" w:cs="Arial"/>
          <w:iCs/>
          <w:lang w:val="fr-FR"/>
        </w:rPr>
        <w:t xml:space="preserve"> de l’ordre du jour</w:t>
      </w:r>
    </w:p>
    <w:bookmarkEnd w:id="1"/>
    <w:p w14:paraId="3CDD14DB"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lang w:val="fr-FR"/>
        </w:rPr>
      </w:pPr>
    </w:p>
    <w:p w14:paraId="0875E6EF"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lang w:val="fr-FR"/>
        </w:rPr>
      </w:pPr>
    </w:p>
    <w:p w14:paraId="2E291C57" w14:textId="77777777" w:rsidR="007C476A" w:rsidRPr="00EA289A" w:rsidRDefault="0007653E">
      <w:pPr>
        <w:widowControl w:val="0"/>
        <w:suppressAutoHyphens/>
        <w:autoSpaceDE w:val="0"/>
        <w:autoSpaceDN w:val="0"/>
        <w:spacing w:after="120" w:line="240" w:lineRule="auto"/>
        <w:jc w:val="center"/>
        <w:textAlignment w:val="baseline"/>
        <w:rPr>
          <w:rFonts w:eastAsia="Times New Roman" w:cs="Arial"/>
          <w:b/>
          <w:bCs/>
          <w:lang w:val="fr-FR"/>
        </w:rPr>
      </w:pPr>
      <w:r w:rsidRPr="00EA289A">
        <w:rPr>
          <w:rFonts w:eastAsia="Arial" w:cs="Arial"/>
          <w:b/>
          <w:bCs/>
          <w:lang w:val="fr-FR"/>
        </w:rPr>
        <w:t>CONTRIBUTION DE LA CMS AU CADRE MONDIAL DE LA BIODIVERSITÉ DE KUNMING-MONTRÉAL</w:t>
      </w:r>
    </w:p>
    <w:p w14:paraId="7A311450" w14:textId="77777777" w:rsidR="007C476A" w:rsidRPr="00EA289A" w:rsidRDefault="0007653E">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A289A">
        <w:rPr>
          <w:rFonts w:eastAsia="Times New Roman" w:cs="Arial"/>
          <w:i/>
          <w:lang w:val="fr-FR"/>
        </w:rPr>
        <w:t>(Préparé par le Secrétariat)</w:t>
      </w:r>
    </w:p>
    <w:p w14:paraId="47E531AE" w14:textId="665665DF" w:rsidR="007C476A" w:rsidRPr="00EA289A" w:rsidRDefault="007C476A">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3EAFBA5A" w14:textId="1B8EFC72" w:rsidR="007C476A" w:rsidRPr="00EA289A" w:rsidRDefault="005D3758">
      <w:pPr>
        <w:widowControl w:val="0"/>
        <w:suppressAutoHyphens/>
        <w:autoSpaceDE w:val="0"/>
        <w:autoSpaceDN w:val="0"/>
        <w:spacing w:after="0" w:line="240" w:lineRule="auto"/>
        <w:jc w:val="both"/>
        <w:textAlignment w:val="baseline"/>
        <w:rPr>
          <w:rFonts w:eastAsia="Times New Roman" w:cs="Arial"/>
          <w:sz w:val="21"/>
          <w:szCs w:val="21"/>
          <w:lang w:val="fr-FR"/>
        </w:rPr>
      </w:pPr>
      <w:r w:rsidRPr="00EA289A">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5C1861FC" wp14:editId="50D86B3D">
                <wp:simplePos x="0" y="0"/>
                <wp:positionH relativeFrom="margin">
                  <wp:posOffset>895350</wp:posOffset>
                </wp:positionH>
                <wp:positionV relativeFrom="margin">
                  <wp:posOffset>2942590</wp:posOffset>
                </wp:positionV>
                <wp:extent cx="4304665" cy="21621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162175"/>
                        </a:xfrm>
                        <a:prstGeom prst="rect">
                          <a:avLst/>
                        </a:prstGeom>
                        <a:solidFill>
                          <a:srgbClr val="FFFFFF"/>
                        </a:solidFill>
                        <a:ln w="3172">
                          <a:solidFill>
                            <a:srgbClr val="000000"/>
                          </a:solidFill>
                          <a:prstDash val="solid"/>
                        </a:ln>
                      </wps:spPr>
                      <wps:txbx>
                        <w:txbxContent>
                          <w:p w14:paraId="224CA94A" w14:textId="77777777" w:rsidR="007C476A" w:rsidRDefault="0007653E">
                            <w:pPr>
                              <w:spacing w:after="0"/>
                              <w:jc w:val="both"/>
                              <w:rPr>
                                <w:rFonts w:cs="Arial"/>
                                <w:lang w:val="fr-FR"/>
                              </w:rPr>
                            </w:pPr>
                            <w:r>
                              <w:rPr>
                                <w:rFonts w:cs="Arial"/>
                                <w:lang w:val="fr-FR"/>
                              </w:rPr>
                              <w:t>Résumé :</w:t>
                            </w:r>
                          </w:p>
                          <w:p w14:paraId="7207484F" w14:textId="77777777" w:rsidR="007C476A" w:rsidRDefault="007C476A">
                            <w:pPr>
                              <w:spacing w:after="0" w:line="240" w:lineRule="auto"/>
                              <w:jc w:val="both"/>
                              <w:rPr>
                                <w:rFonts w:cs="Arial"/>
                                <w:lang w:val="fr-FR"/>
                              </w:rPr>
                            </w:pPr>
                          </w:p>
                          <w:p w14:paraId="1C6DE308" w14:textId="77777777" w:rsidR="007C476A" w:rsidRDefault="0007653E">
                            <w:pPr>
                              <w:spacing w:after="0" w:line="240" w:lineRule="auto"/>
                              <w:jc w:val="both"/>
                              <w:rPr>
                                <w:rFonts w:cs="Arial"/>
                                <w:color w:val="000000" w:themeColor="text1"/>
                                <w:lang w:val="fr-FR"/>
                              </w:rPr>
                            </w:pPr>
                            <w:r>
                              <w:rPr>
                                <w:rFonts w:cs="Arial"/>
                                <w:lang w:val="fr-FR"/>
                              </w:rPr>
                              <w:t xml:space="preserve">Ce document rend compte des progrès réalisés dans la mise en œuvre de la Décision 14.7 </w:t>
                            </w:r>
                            <w:r>
                              <w:rPr>
                                <w:rFonts w:cs="Arial"/>
                                <w:i/>
                                <w:iCs/>
                                <w:lang w:val="fr-FR"/>
                              </w:rPr>
                              <w:t>Engagement de la CMS dans les processus de la CDB, y compris le Cadre mondial de la biodiversité</w:t>
                            </w:r>
                            <w:r>
                              <w:rPr>
                                <w:rFonts w:cs="Arial"/>
                                <w:color w:val="000000" w:themeColor="text1"/>
                                <w:lang w:val="fr-FR"/>
                              </w:rPr>
                              <w:t>. Il contient de nouveaux projets de décisions et une proposition d'abrogation des Décisions 14.6 et 14.7.</w:t>
                            </w:r>
                          </w:p>
                          <w:p w14:paraId="3EAB65C6" w14:textId="77777777" w:rsidR="007C476A" w:rsidRDefault="007C476A">
                            <w:pPr>
                              <w:spacing w:after="0" w:line="240" w:lineRule="auto"/>
                              <w:jc w:val="both"/>
                              <w:rPr>
                                <w:rFonts w:cs="Arial"/>
                                <w:vanish/>
                                <w:color w:val="000000" w:themeColor="text1"/>
                                <w:highlight w:val="yellow"/>
                                <w:lang w:val="fr-FR"/>
                              </w:rPr>
                            </w:pPr>
                          </w:p>
                          <w:p w14:paraId="506C3BCA" w14:textId="77777777" w:rsidR="007C476A" w:rsidRDefault="0007653E">
                            <w:pPr>
                              <w:spacing w:after="0" w:line="240" w:lineRule="auto"/>
                              <w:jc w:val="both"/>
                              <w:rPr>
                                <w:rFonts w:cs="Arial"/>
                                <w:lang w:val="fr-FR"/>
                              </w:rPr>
                            </w:pPr>
                            <w:r>
                              <w:rPr>
                                <w:rFonts w:cs="Arial"/>
                                <w:color w:val="000000" w:themeColor="text1"/>
                                <w:lang w:val="fr-FR"/>
                              </w:rPr>
                              <w:t xml:space="preserve">Les projets de décisions joints, qui favorisent la mise en œuvre du Cadre mondial de la biodiversité de Kunming-Montréal, appuieraient la réalisation de toutes les cibles du Plan stratégique de Samarcande pour </w:t>
                            </w:r>
                            <w:r>
                              <w:rPr>
                                <w:rFonts w:cs="Arial"/>
                                <w:lang w:val="fr-FR"/>
                              </w:rPr>
                              <w:t>les espèces migratrices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5C1861FC" id="_x0000_t202" coordsize="21600,21600" o:spt="202" path="m,l,21600r21600,l21600,xe">
                <v:stroke joinstyle="miter"/>
                <v:path gradientshapeok="t" o:connecttype="rect"/>
              </v:shapetype>
              <v:shape id="Text Box 5" o:spid="_x0000_s1026" type="#_x0000_t202" style="position:absolute;left:0;text-align:left;margin-left:70.5pt;margin-top:231.7pt;width:338.95pt;height:170.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" strokeweight=".08811mm">
                <v:textbox>
                  <w:txbxContent>
                    <w:p w14:paraId="224CA94A" w14:textId="77777777" w:rsidR="007C476A" w:rsidRDefault="0007653E">
                      <w:pPr>
                        <w:spacing w:after="0"/>
                        <w:jc w:val="both"/>
                        <w:rPr>
                          <w:rFonts w:cs="Arial"/>
                          <w:lang w:val="fr-FR"/>
                        </w:rPr>
                      </w:pPr>
                      <w:r>
                        <w:rPr>
                          <w:rFonts w:cs="Arial"/>
                          <w:lang w:val="fr-FR"/>
                        </w:rPr>
                        <w:t>Résumé :</w:t>
                      </w:r>
                    </w:p>
                    <w:p w14:paraId="7207484F" w14:textId="77777777" w:rsidR="007C476A" w:rsidRDefault="007C476A">
                      <w:pPr>
                        <w:spacing w:after="0" w:line="240" w:lineRule="auto"/>
                        <w:jc w:val="both"/>
                        <w:rPr>
                          <w:rFonts w:cs="Arial"/>
                          <w:lang w:val="fr-FR"/>
                        </w:rPr>
                      </w:pPr>
                    </w:p>
                    <w:p w14:paraId="1C6DE308" w14:textId="77777777" w:rsidR="007C476A" w:rsidRDefault="0007653E">
                      <w:pPr>
                        <w:spacing w:after="0" w:line="240" w:lineRule="auto"/>
                        <w:jc w:val="both"/>
                        <w:rPr>
                          <w:rFonts w:cs="Arial"/>
                          <w:color w:val="000000" w:themeColor="text1"/>
                          <w:lang w:val="fr-FR"/>
                        </w:rPr>
                      </w:pPr>
                      <w:r>
                        <w:rPr>
                          <w:rFonts w:cs="Arial"/>
                          <w:lang w:val="fr-FR"/>
                        </w:rPr>
                        <w:t xml:space="preserve">Ce document rend compte des progrès réalisés dans la mise en œuvre de la Décision 14.7 </w:t>
                      </w:r>
                      <w:r>
                        <w:rPr>
                          <w:rFonts w:cs="Arial"/>
                          <w:i/>
                          <w:iCs/>
                          <w:lang w:val="fr-FR"/>
                        </w:rPr>
                        <w:t>Engagement de la CMS dans les processus de la CDB, y compris le Cadre mondial de la biodiversité</w:t>
                      </w:r>
                      <w:r>
                        <w:rPr>
                          <w:rFonts w:cs="Arial"/>
                          <w:color w:val="000000" w:themeColor="text1"/>
                          <w:lang w:val="fr-FR"/>
                        </w:rPr>
                        <w:t>. Il contient de nouveaux projets de décisions et une proposition d'abrogation des Décisions 14.6 et 14.7.</w:t>
                      </w:r>
                    </w:p>
                    <w:p w14:paraId="3EAB65C6" w14:textId="77777777" w:rsidR="007C476A" w:rsidRDefault="007C476A">
                      <w:pPr>
                        <w:spacing w:after="0" w:line="240" w:lineRule="auto"/>
                        <w:jc w:val="both"/>
                        <w:rPr>
                          <w:rFonts w:cs="Arial"/>
                          <w:vanish/>
                          <w:color w:val="000000" w:themeColor="text1"/>
                          <w:highlight w:val="yellow"/>
                          <w:lang w:val="fr-FR"/>
                        </w:rPr>
                      </w:pPr>
                    </w:p>
                    <w:p w14:paraId="506C3BCA" w14:textId="77777777" w:rsidR="007C476A" w:rsidRDefault="0007653E">
                      <w:pPr>
                        <w:spacing w:after="0" w:line="240" w:lineRule="auto"/>
                        <w:jc w:val="both"/>
                        <w:rPr>
                          <w:rFonts w:cs="Arial"/>
                          <w:lang w:val="fr-FR"/>
                        </w:rPr>
                      </w:pPr>
                      <w:r>
                        <w:rPr>
                          <w:rFonts w:cs="Arial"/>
                          <w:color w:val="000000" w:themeColor="text1"/>
                          <w:lang w:val="fr-FR"/>
                        </w:rPr>
                        <w:t xml:space="preserve">Les projets de décisions joints, qui favorisent la mise en œuvre du Cadre mondial de la biodiversité de Kunming-Montréal, appuieraient la réalisation de toutes les cibles du Plan stratégique de Samarcande pour </w:t>
                      </w:r>
                      <w:r>
                        <w:rPr>
                          <w:rFonts w:cs="Arial"/>
                          <w:lang w:val="fr-FR"/>
                        </w:rPr>
                        <w:t>les espèces migratrices 2024-2032.</w:t>
                      </w:r>
                    </w:p>
                  </w:txbxContent>
                </v:textbox>
                <w10:wrap type="square" anchorx="margin" anchory="margin"/>
              </v:shape>
            </w:pict>
          </mc:Fallback>
        </mc:AlternateContent>
      </w:r>
    </w:p>
    <w:p w14:paraId="768CD5E0"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13F5E1A6"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5ADE46BD"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1C4CABA9"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4462348E"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06871457"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0723FE8A"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0AE898B4"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1836D715"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0AE6021F"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34EC094C"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5E2D7EA0"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sz w:val="21"/>
          <w:szCs w:val="21"/>
          <w:lang w:val="fr-FR"/>
        </w:rPr>
      </w:pPr>
    </w:p>
    <w:p w14:paraId="125FAE0C" w14:textId="77777777" w:rsidR="007C476A" w:rsidRPr="00EA289A" w:rsidRDefault="007C476A">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7BA4C7BD"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lang w:val="fr-FR"/>
        </w:rPr>
      </w:pPr>
    </w:p>
    <w:p w14:paraId="7B8FA580" w14:textId="77777777" w:rsidR="007C476A" w:rsidRPr="00EA289A" w:rsidRDefault="007C476A">
      <w:pPr>
        <w:widowControl w:val="0"/>
        <w:suppressAutoHyphens/>
        <w:autoSpaceDE w:val="0"/>
        <w:autoSpaceDN w:val="0"/>
        <w:spacing w:after="0" w:line="240" w:lineRule="auto"/>
        <w:jc w:val="both"/>
        <w:textAlignment w:val="baseline"/>
        <w:rPr>
          <w:rFonts w:eastAsia="Times New Roman" w:cs="Arial"/>
          <w:lang w:val="fr-FR"/>
        </w:rPr>
      </w:pPr>
    </w:p>
    <w:p w14:paraId="50CD2BD7" w14:textId="77777777" w:rsidR="007C476A" w:rsidRPr="00EA289A" w:rsidRDefault="007C476A">
      <w:pPr>
        <w:spacing w:after="0" w:line="240" w:lineRule="auto"/>
        <w:jc w:val="both"/>
        <w:rPr>
          <w:lang w:val="fr-FR"/>
        </w:rPr>
      </w:pPr>
    </w:p>
    <w:p w14:paraId="6A17B92F" w14:textId="77777777" w:rsidR="007C476A" w:rsidRPr="00EA289A" w:rsidRDefault="007C476A">
      <w:pPr>
        <w:spacing w:after="0" w:line="240" w:lineRule="auto"/>
        <w:jc w:val="both"/>
        <w:rPr>
          <w:lang w:val="fr-FR"/>
        </w:rPr>
      </w:pPr>
    </w:p>
    <w:p w14:paraId="2B28375D" w14:textId="77777777" w:rsidR="007C476A" w:rsidRPr="00EA289A" w:rsidRDefault="007C476A">
      <w:pPr>
        <w:spacing w:after="0" w:line="240" w:lineRule="auto"/>
        <w:jc w:val="both"/>
        <w:rPr>
          <w:lang w:val="fr-FR"/>
        </w:rPr>
      </w:pPr>
    </w:p>
    <w:p w14:paraId="40E0A4DB" w14:textId="77777777" w:rsidR="007C476A" w:rsidRPr="00EA289A" w:rsidRDefault="007C476A">
      <w:pPr>
        <w:spacing w:after="0" w:line="240" w:lineRule="auto"/>
        <w:jc w:val="both"/>
        <w:rPr>
          <w:lang w:val="fr-FR"/>
        </w:rPr>
      </w:pPr>
    </w:p>
    <w:p w14:paraId="052136A3" w14:textId="77777777" w:rsidR="007C476A" w:rsidRPr="00EA289A" w:rsidRDefault="007C476A">
      <w:pPr>
        <w:spacing w:after="0" w:line="240" w:lineRule="auto"/>
        <w:jc w:val="both"/>
        <w:rPr>
          <w:lang w:val="fr-FR"/>
        </w:rPr>
      </w:pPr>
    </w:p>
    <w:p w14:paraId="6639ACDB" w14:textId="77777777" w:rsidR="007C476A" w:rsidRPr="00EA289A" w:rsidRDefault="007C476A">
      <w:pPr>
        <w:spacing w:after="0" w:line="240" w:lineRule="auto"/>
        <w:jc w:val="both"/>
        <w:rPr>
          <w:lang w:val="fr-FR"/>
        </w:rPr>
      </w:pPr>
    </w:p>
    <w:p w14:paraId="4DA93CC0" w14:textId="77777777" w:rsidR="007C476A" w:rsidRPr="00EA289A" w:rsidRDefault="007C476A">
      <w:pPr>
        <w:spacing w:after="0" w:line="240" w:lineRule="auto"/>
        <w:jc w:val="both"/>
        <w:rPr>
          <w:lang w:val="fr-FR"/>
        </w:rPr>
      </w:pPr>
    </w:p>
    <w:p w14:paraId="708C80DE" w14:textId="77777777" w:rsidR="007C476A" w:rsidRPr="00EA289A" w:rsidRDefault="007C476A">
      <w:pPr>
        <w:spacing w:after="0" w:line="240" w:lineRule="auto"/>
        <w:jc w:val="both"/>
        <w:rPr>
          <w:lang w:val="fr-FR"/>
        </w:rPr>
      </w:pPr>
    </w:p>
    <w:p w14:paraId="5938ACCC" w14:textId="77777777" w:rsidR="007C476A" w:rsidRPr="00EA289A" w:rsidRDefault="007C476A">
      <w:pPr>
        <w:spacing w:after="0" w:line="240" w:lineRule="auto"/>
        <w:jc w:val="both"/>
        <w:rPr>
          <w:lang w:val="fr-FR"/>
        </w:rPr>
      </w:pPr>
    </w:p>
    <w:p w14:paraId="6E49FA87" w14:textId="77777777" w:rsidR="007C476A" w:rsidRPr="00EA289A" w:rsidRDefault="007C476A">
      <w:pPr>
        <w:spacing w:after="0" w:line="240" w:lineRule="auto"/>
        <w:jc w:val="both"/>
        <w:rPr>
          <w:lang w:val="fr-FR"/>
        </w:rPr>
      </w:pPr>
    </w:p>
    <w:p w14:paraId="271D06E1" w14:textId="77777777" w:rsidR="007C476A" w:rsidRPr="00EA289A" w:rsidRDefault="0007653E">
      <w:pPr>
        <w:jc w:val="both"/>
        <w:rPr>
          <w:lang w:val="fr-FR"/>
        </w:rPr>
      </w:pPr>
      <w:r w:rsidRPr="00EA289A">
        <w:rPr>
          <w:lang w:val="fr-FR"/>
        </w:rPr>
        <w:br w:type="page"/>
      </w:r>
    </w:p>
    <w:p w14:paraId="1F9DA6B4" w14:textId="77777777" w:rsidR="007C476A" w:rsidRPr="00EA289A" w:rsidRDefault="0007653E">
      <w:pPr>
        <w:widowControl w:val="0"/>
        <w:suppressAutoHyphens/>
        <w:autoSpaceDE w:val="0"/>
        <w:autoSpaceDN w:val="0"/>
        <w:spacing w:after="120" w:line="240" w:lineRule="auto"/>
        <w:jc w:val="center"/>
        <w:textAlignment w:val="baseline"/>
        <w:rPr>
          <w:rFonts w:eastAsia="Times New Roman" w:cs="Arial"/>
          <w:b/>
          <w:bCs/>
          <w:lang w:val="fr-FR"/>
        </w:rPr>
      </w:pPr>
      <w:r w:rsidRPr="00EA289A">
        <w:rPr>
          <w:rFonts w:eastAsia="Arial" w:cs="Arial"/>
          <w:b/>
          <w:bCs/>
          <w:lang w:val="fr-FR"/>
        </w:rPr>
        <w:lastRenderedPageBreak/>
        <w:t>CONTRIBUTION DE LA CMS AU CADRE MONDIAL DE LA BIODIVERSITÉ DE KUNMING-MONTRÉAL</w:t>
      </w:r>
    </w:p>
    <w:p w14:paraId="7E110D5F" w14:textId="77777777" w:rsidR="007C476A" w:rsidRPr="00EA289A" w:rsidRDefault="007C476A">
      <w:pPr>
        <w:suppressAutoHyphens/>
        <w:autoSpaceDN w:val="0"/>
        <w:spacing w:after="0" w:line="240" w:lineRule="auto"/>
        <w:textAlignment w:val="baseline"/>
        <w:rPr>
          <w:rFonts w:eastAsia="Calibri" w:cs="Arial"/>
          <w:lang w:val="fr-FR"/>
        </w:rPr>
      </w:pPr>
    </w:p>
    <w:p w14:paraId="6F3AE860" w14:textId="77777777" w:rsidR="007C476A" w:rsidRPr="00EA289A" w:rsidRDefault="007C476A">
      <w:pPr>
        <w:suppressAutoHyphens/>
        <w:autoSpaceDN w:val="0"/>
        <w:spacing w:after="0" w:line="240" w:lineRule="auto"/>
        <w:textAlignment w:val="baseline"/>
        <w:rPr>
          <w:rFonts w:eastAsia="Calibri" w:cs="Arial"/>
          <w:lang w:val="fr-FR"/>
        </w:rPr>
      </w:pPr>
    </w:p>
    <w:p w14:paraId="41F1963F" w14:textId="77777777" w:rsidR="007C476A" w:rsidRPr="00EA289A" w:rsidRDefault="0007653E">
      <w:pPr>
        <w:suppressAutoHyphens/>
        <w:autoSpaceDN w:val="0"/>
        <w:spacing w:after="0" w:line="240" w:lineRule="auto"/>
        <w:jc w:val="both"/>
        <w:textAlignment w:val="baseline"/>
        <w:rPr>
          <w:rFonts w:eastAsia="Calibri" w:cs="Arial"/>
          <w:u w:val="single"/>
          <w:lang w:val="fr-FR"/>
        </w:rPr>
      </w:pPr>
      <w:r w:rsidRPr="00EA289A">
        <w:rPr>
          <w:rFonts w:eastAsia="Calibri" w:cs="Arial"/>
          <w:u w:val="single"/>
          <w:lang w:val="fr-FR"/>
        </w:rPr>
        <w:t>Contexte</w:t>
      </w:r>
    </w:p>
    <w:p w14:paraId="6C1DD3F6" w14:textId="77777777" w:rsidR="007C476A" w:rsidRPr="00EA289A" w:rsidRDefault="007C476A">
      <w:pPr>
        <w:spacing w:after="0" w:line="240" w:lineRule="auto"/>
        <w:jc w:val="both"/>
        <w:rPr>
          <w:rFonts w:cs="Arial"/>
          <w:lang w:val="fr-FR"/>
        </w:rPr>
      </w:pPr>
    </w:p>
    <w:p w14:paraId="4F5985D8"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Style w:val="markedcontent"/>
          <w:rFonts w:cs="Arial"/>
          <w:lang w:val="fr-FR"/>
        </w:rPr>
        <w:t>La Conférence des Parties, lors de sa 14</w:t>
      </w:r>
      <w:r w:rsidRPr="00EA289A">
        <w:rPr>
          <w:rStyle w:val="markedcontent"/>
          <w:rFonts w:cs="Arial"/>
          <w:vertAlign w:val="superscript"/>
          <w:lang w:val="fr-FR"/>
        </w:rPr>
        <w:t>e</w:t>
      </w:r>
      <w:r w:rsidRPr="00EA289A">
        <w:rPr>
          <w:rStyle w:val="markedcontent"/>
          <w:rFonts w:cs="Arial"/>
          <w:lang w:val="fr-FR"/>
        </w:rPr>
        <w:t xml:space="preserve"> réunion (COP14, 2024), </w:t>
      </w:r>
      <w:r w:rsidRPr="00EA289A">
        <w:rPr>
          <w:rFonts w:eastAsia="Calibri" w:cs="Arial"/>
          <w:lang w:val="fr-FR"/>
        </w:rPr>
        <w:t xml:space="preserve">a adopté les Décisions 14.6 et 14.7 </w:t>
      </w:r>
      <w:bookmarkStart w:id="2" w:name="_Hlk213709973"/>
      <w:r w:rsidRPr="00EA289A">
        <w:rPr>
          <w:rFonts w:eastAsia="Calibri" w:cs="Arial"/>
          <w:i/>
          <w:iCs/>
          <w:lang w:val="fr-FR"/>
        </w:rPr>
        <w:t>Engagement de la CMS dans les processus de la CDB, y compris le Cadre mondial de la biodiversité</w:t>
      </w:r>
      <w:bookmarkEnd w:id="2"/>
      <w:r w:rsidRPr="00EA289A">
        <w:rPr>
          <w:rFonts w:eastAsia="Calibri" w:cs="Arial"/>
          <w:lang w:val="fr-FR"/>
        </w:rPr>
        <w:t>. Ce dernier a chargé le Secrétariat de la CMS de renforcer la coopération avec la Convention sur la diversité biologique (CDB) et de contribuer à la mise en œuvre du Cadre mondial de la biodiversité de Kunming-Montréal (KMGBF).</w:t>
      </w:r>
    </w:p>
    <w:p w14:paraId="38708483" w14:textId="77777777" w:rsidR="007C476A" w:rsidRPr="00EA289A" w:rsidRDefault="007C476A">
      <w:pPr>
        <w:widowControl w:val="0"/>
        <w:autoSpaceDE w:val="0"/>
        <w:autoSpaceDN w:val="0"/>
        <w:adjustRightInd w:val="0"/>
        <w:spacing w:after="0" w:line="240" w:lineRule="auto"/>
        <w:contextualSpacing/>
        <w:jc w:val="both"/>
        <w:rPr>
          <w:rFonts w:cs="Arial"/>
          <w:lang w:val="fr-FR"/>
        </w:rPr>
      </w:pPr>
    </w:p>
    <w:p w14:paraId="4F9875A6" w14:textId="154E946E" w:rsidR="007C476A" w:rsidRPr="00D8792D" w:rsidRDefault="0007653E" w:rsidP="00D8792D">
      <w:pPr>
        <w:pStyle w:val="Default"/>
        <w:ind w:left="851"/>
        <w:jc w:val="both"/>
        <w:rPr>
          <w:rFonts w:ascii="Arial" w:eastAsia="Arial" w:hAnsi="Arial" w:cs="Arial"/>
          <w:b/>
          <w:bCs/>
          <w:i/>
          <w:iCs/>
          <w:color w:val="auto"/>
          <w:sz w:val="20"/>
          <w:szCs w:val="20"/>
          <w:lang w:val="fr-FR"/>
        </w:rPr>
      </w:pPr>
      <w:r w:rsidRPr="00D8792D">
        <w:rPr>
          <w:rFonts w:ascii="Arial" w:eastAsia="Arial" w:hAnsi="Arial" w:cs="Arial"/>
          <w:b/>
          <w:bCs/>
          <w:i/>
          <w:iCs/>
          <w:color w:val="auto"/>
          <w:sz w:val="20"/>
          <w:szCs w:val="20"/>
          <w:lang w:val="fr-FR"/>
        </w:rPr>
        <w:t xml:space="preserve">14.6 </w:t>
      </w:r>
      <w:r w:rsidR="00EA289A" w:rsidRPr="00D8792D">
        <w:rPr>
          <w:rFonts w:ascii="Arial" w:eastAsia="Arial" w:hAnsi="Arial" w:cs="Arial"/>
          <w:b/>
          <w:bCs/>
          <w:i/>
          <w:iCs/>
          <w:color w:val="auto"/>
          <w:sz w:val="20"/>
          <w:szCs w:val="20"/>
          <w:lang w:val="fr-FR"/>
        </w:rPr>
        <w:t>À l’adresse des Parties</w:t>
      </w:r>
    </w:p>
    <w:p w14:paraId="26E635E7" w14:textId="77777777" w:rsidR="007C476A" w:rsidRPr="00D8792D" w:rsidRDefault="007C476A" w:rsidP="00D8792D">
      <w:pPr>
        <w:pStyle w:val="ListParagraph"/>
        <w:spacing w:after="0" w:line="240" w:lineRule="auto"/>
        <w:ind w:left="851"/>
        <w:jc w:val="both"/>
        <w:rPr>
          <w:rFonts w:eastAsia="Arial" w:cs="Arial"/>
          <w:i/>
          <w:iCs/>
          <w:sz w:val="20"/>
          <w:szCs w:val="20"/>
          <w:lang w:val="fr-FR"/>
        </w:rPr>
      </w:pPr>
    </w:p>
    <w:p w14:paraId="6C8E28DD" w14:textId="77777777" w:rsidR="00EA289A" w:rsidRDefault="00EA289A" w:rsidP="00D8792D">
      <w:pPr>
        <w:autoSpaceDE w:val="0"/>
        <w:autoSpaceDN w:val="0"/>
        <w:adjustRightInd w:val="0"/>
        <w:spacing w:after="0" w:line="240" w:lineRule="auto"/>
        <w:ind w:left="851"/>
        <w:jc w:val="both"/>
        <w:rPr>
          <w:rFonts w:eastAsia="Arial" w:cs="Arial"/>
          <w:i/>
          <w:iCs/>
          <w:sz w:val="20"/>
          <w:szCs w:val="20"/>
          <w:lang w:val="fr-FR"/>
        </w:rPr>
      </w:pPr>
      <w:r w:rsidRPr="00D8792D">
        <w:rPr>
          <w:rFonts w:eastAsia="Arial" w:cs="Arial"/>
          <w:i/>
          <w:iCs/>
          <w:sz w:val="20"/>
          <w:szCs w:val="20"/>
          <w:lang w:val="fr-FR"/>
        </w:rPr>
        <w:t xml:space="preserve">Les Parties sont invitées à : </w:t>
      </w:r>
    </w:p>
    <w:p w14:paraId="3BE2C390" w14:textId="77777777" w:rsidR="00D8792D" w:rsidRPr="00D8792D" w:rsidRDefault="00D8792D" w:rsidP="00D8792D">
      <w:pPr>
        <w:autoSpaceDE w:val="0"/>
        <w:autoSpaceDN w:val="0"/>
        <w:adjustRightInd w:val="0"/>
        <w:spacing w:after="0" w:line="240" w:lineRule="auto"/>
        <w:ind w:left="851"/>
        <w:jc w:val="both"/>
        <w:rPr>
          <w:rFonts w:eastAsia="Arial" w:cs="Arial"/>
          <w:i/>
          <w:iCs/>
          <w:sz w:val="20"/>
          <w:szCs w:val="20"/>
          <w:lang w:val="fr-FR"/>
        </w:rPr>
      </w:pPr>
    </w:p>
    <w:p w14:paraId="56410BC8" w14:textId="74D84ABF" w:rsidR="00EA289A" w:rsidRPr="00D8792D" w:rsidRDefault="00EA289A" w:rsidP="00D8792D">
      <w:pPr>
        <w:pStyle w:val="ListParagraph"/>
        <w:numPr>
          <w:ilvl w:val="0"/>
          <w:numId w:val="35"/>
        </w:numPr>
        <w:autoSpaceDE w:val="0"/>
        <w:autoSpaceDN w:val="0"/>
        <w:adjustRightInd w:val="0"/>
        <w:spacing w:after="80" w:line="240" w:lineRule="auto"/>
        <w:ind w:left="1276" w:hanging="425"/>
        <w:contextualSpacing w:val="0"/>
        <w:jc w:val="both"/>
        <w:rPr>
          <w:rFonts w:eastAsia="Arial" w:cs="Arial"/>
          <w:i/>
          <w:iCs/>
          <w:sz w:val="20"/>
          <w:szCs w:val="20"/>
          <w:lang w:val="fr-FR"/>
        </w:rPr>
      </w:pPr>
      <w:r w:rsidRPr="00D8792D">
        <w:rPr>
          <w:rFonts w:eastAsia="Arial" w:cs="Arial"/>
          <w:i/>
          <w:iCs/>
          <w:sz w:val="20"/>
          <w:szCs w:val="20"/>
          <w:lang w:val="fr-FR"/>
        </w:rPr>
        <w:t xml:space="preserve">veiller à ce que les besoins et les considérations liées aux espèces migratrices soient intégrés dans la révision et la mise à jour des Stratégies et plans d’action nationaux pour la biodiversité (SPANB) et des cibles nationales, conformément au Cadre mondial de la biodiversité de Kunming-Montréal, y compris les plans d’action nationaux pertinents, ainsi que dans la coopération bilatérale et régionale dans le cadre de la mise en </w:t>
      </w:r>
      <w:proofErr w:type="spellStart"/>
      <w:r w:rsidRPr="00D8792D">
        <w:rPr>
          <w:rFonts w:eastAsia="Arial" w:cs="Arial"/>
          <w:i/>
          <w:iCs/>
          <w:sz w:val="20"/>
          <w:szCs w:val="20"/>
          <w:lang w:val="fr-FR"/>
        </w:rPr>
        <w:t>oeuvre</w:t>
      </w:r>
      <w:proofErr w:type="spellEnd"/>
      <w:r w:rsidRPr="00D8792D">
        <w:rPr>
          <w:rFonts w:eastAsia="Arial" w:cs="Arial"/>
          <w:i/>
          <w:iCs/>
          <w:sz w:val="20"/>
          <w:szCs w:val="20"/>
          <w:lang w:val="fr-FR"/>
        </w:rPr>
        <w:t xml:space="preserve"> du cadre mondial pour la biodiversité de Kunming-Montréal ; et </w:t>
      </w:r>
    </w:p>
    <w:p w14:paraId="186DE701" w14:textId="1054DB97" w:rsidR="00EA289A" w:rsidRPr="00D8792D" w:rsidRDefault="00EA289A" w:rsidP="00D8792D">
      <w:pPr>
        <w:pStyle w:val="ListParagraph"/>
        <w:numPr>
          <w:ilvl w:val="0"/>
          <w:numId w:val="35"/>
        </w:numPr>
        <w:autoSpaceDE w:val="0"/>
        <w:autoSpaceDN w:val="0"/>
        <w:adjustRightInd w:val="0"/>
        <w:spacing w:after="0" w:line="240" w:lineRule="auto"/>
        <w:ind w:left="1276" w:hanging="425"/>
        <w:jc w:val="both"/>
        <w:rPr>
          <w:rFonts w:eastAsia="Arial" w:cs="Arial"/>
          <w:i/>
          <w:iCs/>
          <w:sz w:val="20"/>
          <w:szCs w:val="20"/>
          <w:lang w:val="fr-FR"/>
        </w:rPr>
      </w:pPr>
      <w:r w:rsidRPr="00D8792D">
        <w:rPr>
          <w:rFonts w:eastAsia="Arial" w:cs="Arial"/>
          <w:i/>
          <w:iCs/>
          <w:sz w:val="20"/>
          <w:szCs w:val="20"/>
          <w:lang w:val="fr-FR"/>
        </w:rPr>
        <w:t xml:space="preserve">envisager de s'engager dans le processus de Berne, avec l’appui du PNUE, afin de contribuer à la mise en </w:t>
      </w:r>
      <w:proofErr w:type="spellStart"/>
      <w:r w:rsidRPr="00D8792D">
        <w:rPr>
          <w:rFonts w:eastAsia="Arial" w:cs="Arial"/>
          <w:i/>
          <w:iCs/>
          <w:sz w:val="20"/>
          <w:szCs w:val="20"/>
          <w:lang w:val="fr-FR"/>
        </w:rPr>
        <w:t>oeuvre</w:t>
      </w:r>
      <w:proofErr w:type="spellEnd"/>
      <w:r w:rsidRPr="00D8792D">
        <w:rPr>
          <w:rFonts w:eastAsia="Arial" w:cs="Arial"/>
          <w:i/>
          <w:iCs/>
          <w:sz w:val="20"/>
          <w:szCs w:val="20"/>
          <w:lang w:val="fr-FR"/>
        </w:rPr>
        <w:t xml:space="preserve"> effective et efficace du Cadre mondial pour la biodiversité de Kunming-Montréal, et examiner ses résultats pertinents </w:t>
      </w:r>
    </w:p>
    <w:p w14:paraId="401F96CF" w14:textId="77777777" w:rsidR="007C476A" w:rsidRPr="00C5525F" w:rsidRDefault="007C476A" w:rsidP="00C5525F">
      <w:pPr>
        <w:widowControl w:val="0"/>
        <w:autoSpaceDE w:val="0"/>
        <w:autoSpaceDN w:val="0"/>
        <w:adjustRightInd w:val="0"/>
        <w:spacing w:after="0" w:line="240" w:lineRule="auto"/>
        <w:jc w:val="both"/>
        <w:rPr>
          <w:rFonts w:eastAsia="Arial" w:cs="Arial"/>
          <w:b/>
          <w:bCs/>
          <w:i/>
          <w:iCs/>
          <w:sz w:val="20"/>
          <w:szCs w:val="20"/>
          <w:lang w:val="fr-FR"/>
        </w:rPr>
      </w:pPr>
    </w:p>
    <w:p w14:paraId="16E9540D" w14:textId="3F5EE39F" w:rsidR="007C476A" w:rsidRPr="00C5525F" w:rsidRDefault="0007653E" w:rsidP="00C5525F">
      <w:pPr>
        <w:pStyle w:val="Default"/>
        <w:ind w:left="851"/>
        <w:jc w:val="both"/>
        <w:rPr>
          <w:rFonts w:ascii="Arial" w:eastAsia="Arial" w:hAnsi="Arial" w:cs="Arial"/>
          <w:b/>
          <w:bCs/>
          <w:i/>
          <w:iCs/>
          <w:color w:val="auto"/>
          <w:sz w:val="20"/>
          <w:szCs w:val="20"/>
          <w:lang w:val="fr-FR"/>
        </w:rPr>
      </w:pPr>
      <w:bookmarkStart w:id="3" w:name="_Hlk210915064"/>
      <w:r w:rsidRPr="0074180E">
        <w:rPr>
          <w:rFonts w:ascii="Arial" w:eastAsia="Arial" w:hAnsi="Arial" w:cs="Arial"/>
          <w:b/>
          <w:bCs/>
          <w:i/>
          <w:iCs/>
          <w:color w:val="auto"/>
          <w:sz w:val="20"/>
          <w:szCs w:val="20"/>
          <w:lang w:val="fr-FR"/>
        </w:rPr>
        <w:t xml:space="preserve">14.7 </w:t>
      </w:r>
      <w:r w:rsidR="00EA289A" w:rsidRPr="0074180E">
        <w:rPr>
          <w:rFonts w:ascii="Arial" w:eastAsia="Arial" w:hAnsi="Arial" w:cs="Arial"/>
          <w:b/>
          <w:bCs/>
          <w:i/>
          <w:iCs/>
          <w:color w:val="auto"/>
          <w:sz w:val="20"/>
          <w:szCs w:val="20"/>
          <w:lang w:val="fr-FR"/>
        </w:rPr>
        <w:t xml:space="preserve">À l’adresse du Secrétariat </w:t>
      </w:r>
    </w:p>
    <w:p w14:paraId="104A29D4" w14:textId="77777777" w:rsidR="007C476A" w:rsidRPr="00C5525F" w:rsidRDefault="007C476A" w:rsidP="00C5525F">
      <w:pPr>
        <w:spacing w:after="0" w:line="240" w:lineRule="auto"/>
        <w:jc w:val="both"/>
        <w:rPr>
          <w:rFonts w:eastAsia="Arial" w:cs="Arial"/>
          <w:i/>
          <w:iCs/>
          <w:sz w:val="20"/>
          <w:szCs w:val="20"/>
          <w:lang w:val="fr-FR"/>
        </w:rPr>
      </w:pPr>
    </w:p>
    <w:p w14:paraId="5F70D114" w14:textId="77777777" w:rsidR="00EA289A" w:rsidRDefault="00EA289A" w:rsidP="0074180E">
      <w:pPr>
        <w:autoSpaceDE w:val="0"/>
        <w:autoSpaceDN w:val="0"/>
        <w:adjustRightInd w:val="0"/>
        <w:spacing w:after="0" w:line="240" w:lineRule="auto"/>
        <w:ind w:left="851"/>
        <w:jc w:val="both"/>
        <w:rPr>
          <w:rFonts w:eastAsia="Arial" w:cs="Arial"/>
          <w:i/>
          <w:iCs/>
          <w:sz w:val="20"/>
          <w:szCs w:val="20"/>
          <w:lang w:val="fr-FR"/>
        </w:rPr>
      </w:pPr>
      <w:bookmarkStart w:id="4" w:name="_Hlk213710252"/>
      <w:r w:rsidRPr="0074180E">
        <w:rPr>
          <w:rFonts w:eastAsia="Arial" w:cs="Arial"/>
          <w:i/>
          <w:iCs/>
          <w:sz w:val="20"/>
          <w:szCs w:val="20"/>
          <w:lang w:val="fr-FR"/>
        </w:rPr>
        <w:t xml:space="preserve">Le Secrétariat, sous réserve de la disponibilité de ressources externes, est prié de : </w:t>
      </w:r>
    </w:p>
    <w:p w14:paraId="16CE6784" w14:textId="77777777" w:rsidR="00C5525F" w:rsidRPr="0074180E" w:rsidRDefault="00C5525F" w:rsidP="0074180E">
      <w:pPr>
        <w:autoSpaceDE w:val="0"/>
        <w:autoSpaceDN w:val="0"/>
        <w:adjustRightInd w:val="0"/>
        <w:spacing w:after="0" w:line="240" w:lineRule="auto"/>
        <w:ind w:left="851"/>
        <w:jc w:val="both"/>
        <w:rPr>
          <w:rFonts w:eastAsia="Arial" w:cs="Arial"/>
          <w:i/>
          <w:iCs/>
          <w:sz w:val="20"/>
          <w:szCs w:val="20"/>
          <w:lang w:val="fr-FR"/>
        </w:rPr>
      </w:pPr>
    </w:p>
    <w:p w14:paraId="757C0DDD" w14:textId="355C5952" w:rsidR="00EA289A" w:rsidRPr="00C5525F" w:rsidRDefault="00EA289A" w:rsidP="00C5525F">
      <w:pPr>
        <w:numPr>
          <w:ilvl w:val="0"/>
          <w:numId w:val="37"/>
        </w:numPr>
        <w:autoSpaceDE w:val="0"/>
        <w:autoSpaceDN w:val="0"/>
        <w:adjustRightInd w:val="0"/>
        <w:spacing w:after="80" w:line="240" w:lineRule="auto"/>
        <w:ind w:left="1570" w:hanging="357"/>
        <w:jc w:val="both"/>
        <w:rPr>
          <w:rFonts w:eastAsia="Arial" w:cs="Arial"/>
          <w:i/>
          <w:iCs/>
          <w:sz w:val="20"/>
          <w:szCs w:val="20"/>
          <w:lang w:val="fr-FR"/>
        </w:rPr>
      </w:pPr>
      <w:r w:rsidRPr="0074180E">
        <w:rPr>
          <w:rFonts w:eastAsia="Arial" w:cs="Arial"/>
          <w:i/>
          <w:iCs/>
          <w:sz w:val="20"/>
          <w:szCs w:val="20"/>
          <w:lang w:val="fr-FR"/>
        </w:rPr>
        <w:t xml:space="preserve">contribuer à soutenir la mise en </w:t>
      </w:r>
      <w:proofErr w:type="spellStart"/>
      <w:r w:rsidRPr="0074180E">
        <w:rPr>
          <w:rFonts w:eastAsia="Arial" w:cs="Arial"/>
          <w:i/>
          <w:iCs/>
          <w:sz w:val="20"/>
          <w:szCs w:val="20"/>
          <w:lang w:val="fr-FR"/>
        </w:rPr>
        <w:t>oeuvre</w:t>
      </w:r>
      <w:proofErr w:type="spellEnd"/>
      <w:r w:rsidRPr="0074180E">
        <w:rPr>
          <w:rFonts w:eastAsia="Arial" w:cs="Arial"/>
          <w:i/>
          <w:iCs/>
          <w:sz w:val="20"/>
          <w:szCs w:val="20"/>
          <w:lang w:val="fr-FR"/>
        </w:rPr>
        <w:t xml:space="preserve"> du Cadre mondial de la biodiversité de Kunming-Montréal ; </w:t>
      </w:r>
    </w:p>
    <w:p w14:paraId="4ABF66B0" w14:textId="0D4D4D32" w:rsidR="00EA289A" w:rsidRPr="00C5525F" w:rsidRDefault="00EA289A" w:rsidP="00C5525F">
      <w:pPr>
        <w:numPr>
          <w:ilvl w:val="0"/>
          <w:numId w:val="37"/>
        </w:numPr>
        <w:autoSpaceDE w:val="0"/>
        <w:autoSpaceDN w:val="0"/>
        <w:adjustRightInd w:val="0"/>
        <w:spacing w:after="80" w:line="240" w:lineRule="auto"/>
        <w:ind w:left="1570" w:hanging="357"/>
        <w:jc w:val="both"/>
        <w:rPr>
          <w:rFonts w:eastAsia="Arial" w:cs="Arial"/>
          <w:i/>
          <w:iCs/>
          <w:sz w:val="20"/>
          <w:szCs w:val="20"/>
          <w:lang w:val="fr-FR"/>
        </w:rPr>
      </w:pPr>
      <w:r w:rsidRPr="0074180E">
        <w:rPr>
          <w:rFonts w:eastAsia="Arial" w:cs="Arial"/>
          <w:i/>
          <w:iCs/>
          <w:sz w:val="20"/>
          <w:szCs w:val="20"/>
          <w:lang w:val="fr-FR"/>
        </w:rPr>
        <w:t xml:space="preserve">continuer à s'engager activement dans le processus de Berne, avec l’appui du Programme des Nations Unies pour l'environnement, afin de contribuer à la mise en </w:t>
      </w:r>
      <w:proofErr w:type="spellStart"/>
      <w:r w:rsidRPr="0074180E">
        <w:rPr>
          <w:rFonts w:eastAsia="Arial" w:cs="Arial"/>
          <w:i/>
          <w:iCs/>
          <w:sz w:val="20"/>
          <w:szCs w:val="20"/>
          <w:lang w:val="fr-FR"/>
        </w:rPr>
        <w:t>oeuvre</w:t>
      </w:r>
      <w:proofErr w:type="spellEnd"/>
      <w:r w:rsidRPr="0074180E">
        <w:rPr>
          <w:rFonts w:eastAsia="Arial" w:cs="Arial"/>
          <w:i/>
          <w:iCs/>
          <w:sz w:val="20"/>
          <w:szCs w:val="20"/>
          <w:lang w:val="fr-FR"/>
        </w:rPr>
        <w:t xml:space="preserve"> effective et efficace du cadre mondial pour la biodiversité de Kunming-Montréal ; </w:t>
      </w:r>
    </w:p>
    <w:p w14:paraId="644185C8" w14:textId="7AFB9851" w:rsidR="00EA289A" w:rsidRPr="00C5525F" w:rsidRDefault="00EA289A" w:rsidP="00C5525F">
      <w:pPr>
        <w:numPr>
          <w:ilvl w:val="0"/>
          <w:numId w:val="37"/>
        </w:numPr>
        <w:autoSpaceDE w:val="0"/>
        <w:autoSpaceDN w:val="0"/>
        <w:adjustRightInd w:val="0"/>
        <w:spacing w:after="80" w:line="240" w:lineRule="auto"/>
        <w:ind w:left="1570" w:hanging="357"/>
        <w:jc w:val="both"/>
        <w:rPr>
          <w:rFonts w:eastAsia="Arial" w:cs="Arial"/>
          <w:i/>
          <w:iCs/>
          <w:sz w:val="20"/>
          <w:szCs w:val="20"/>
          <w:lang w:val="fr-FR"/>
        </w:rPr>
      </w:pPr>
      <w:r w:rsidRPr="0074180E">
        <w:rPr>
          <w:rFonts w:eastAsia="Arial" w:cs="Arial"/>
          <w:i/>
          <w:iCs/>
          <w:sz w:val="20"/>
          <w:szCs w:val="20"/>
          <w:lang w:val="fr-FR"/>
        </w:rPr>
        <w:t xml:space="preserve">soutenir le groupe de travail de la Famille de la CMS s’agissant du Cadre mondial de la biodiversité de Kunming-Montréal ; </w:t>
      </w:r>
    </w:p>
    <w:p w14:paraId="7BFD3FBB" w14:textId="03E53BA3" w:rsidR="00EA289A" w:rsidRPr="00C5525F" w:rsidRDefault="00EA289A" w:rsidP="00C5525F">
      <w:pPr>
        <w:numPr>
          <w:ilvl w:val="0"/>
          <w:numId w:val="37"/>
        </w:numPr>
        <w:autoSpaceDE w:val="0"/>
        <w:autoSpaceDN w:val="0"/>
        <w:adjustRightInd w:val="0"/>
        <w:spacing w:after="80" w:line="240" w:lineRule="auto"/>
        <w:ind w:left="1570" w:hanging="357"/>
        <w:jc w:val="both"/>
        <w:rPr>
          <w:rFonts w:eastAsia="Arial" w:cs="Arial"/>
          <w:i/>
          <w:iCs/>
          <w:sz w:val="20"/>
          <w:szCs w:val="20"/>
          <w:lang w:val="fr-FR"/>
        </w:rPr>
      </w:pPr>
      <w:r w:rsidRPr="0074180E">
        <w:rPr>
          <w:rFonts w:eastAsia="Arial" w:cs="Arial"/>
          <w:i/>
          <w:iCs/>
          <w:sz w:val="20"/>
          <w:szCs w:val="20"/>
          <w:lang w:val="fr-FR"/>
        </w:rPr>
        <w:t xml:space="preserve">examiner comment soutenir et appliquer le cadre de suivi convenu au titre de la CDB pour le Cadre mondial de la biodiversité de Kunming-Montréal, en mesurant les progrès accomplis dans la réalisation des objectifs et des cibles du Plan stratégique de Samarcande pour les espèces migratrices 2024-2032, notamment grâce à la promotion de l’état des espèces migratrices, l’un des principaux indicateurs, ainsi qu’à la ventilation des principaux indicateurs actuels et au renforcement des indicateurs complémentaires pour mieux mesurer les progrès accomplis dans la réalisation des éléments du cadre relatifs à la connectivité et à l'intégrité écologiques ; </w:t>
      </w:r>
      <w:bookmarkEnd w:id="3"/>
      <w:bookmarkEnd w:id="4"/>
    </w:p>
    <w:p w14:paraId="6106032B" w14:textId="588E6351" w:rsidR="00EA289A" w:rsidRPr="00C5525F" w:rsidRDefault="00EA289A" w:rsidP="00C5525F">
      <w:pPr>
        <w:numPr>
          <w:ilvl w:val="0"/>
          <w:numId w:val="37"/>
        </w:numPr>
        <w:autoSpaceDE w:val="0"/>
        <w:autoSpaceDN w:val="0"/>
        <w:adjustRightInd w:val="0"/>
        <w:spacing w:after="80" w:line="240" w:lineRule="auto"/>
        <w:ind w:left="1570" w:hanging="357"/>
        <w:jc w:val="both"/>
        <w:rPr>
          <w:rFonts w:eastAsia="Arial" w:cs="Arial"/>
          <w:i/>
          <w:iCs/>
          <w:sz w:val="20"/>
          <w:szCs w:val="20"/>
          <w:lang w:val="fr-FR"/>
        </w:rPr>
      </w:pPr>
      <w:r w:rsidRPr="0074180E">
        <w:rPr>
          <w:rFonts w:eastAsia="Arial" w:cs="Arial"/>
          <w:i/>
          <w:iCs/>
          <w:sz w:val="20"/>
          <w:szCs w:val="20"/>
          <w:lang w:val="fr-FR"/>
        </w:rPr>
        <w:t xml:space="preserve">mettre à jour les Directives sur l’intégration des espèces migratrices dans les stratégies et les plans d’action nationaux pour la biodiversité (SPANB) à l’intention des Paries à la CMS ; </w:t>
      </w:r>
    </w:p>
    <w:p w14:paraId="2C6555AF" w14:textId="765F0F08" w:rsidR="00EA289A" w:rsidRPr="00C5525F" w:rsidRDefault="00EA289A" w:rsidP="00C5525F">
      <w:pPr>
        <w:numPr>
          <w:ilvl w:val="0"/>
          <w:numId w:val="37"/>
        </w:numPr>
        <w:autoSpaceDE w:val="0"/>
        <w:autoSpaceDN w:val="0"/>
        <w:adjustRightInd w:val="0"/>
        <w:spacing w:after="80" w:line="240" w:lineRule="auto"/>
        <w:ind w:left="1570" w:hanging="357"/>
        <w:jc w:val="both"/>
        <w:rPr>
          <w:rFonts w:eastAsia="Arial" w:cs="Arial"/>
          <w:i/>
          <w:iCs/>
          <w:sz w:val="20"/>
          <w:szCs w:val="20"/>
          <w:lang w:val="fr-FR"/>
        </w:rPr>
      </w:pPr>
      <w:r w:rsidRPr="0074180E">
        <w:rPr>
          <w:rFonts w:eastAsia="Arial" w:cs="Arial"/>
          <w:i/>
          <w:iCs/>
          <w:sz w:val="20"/>
          <w:szCs w:val="20"/>
          <w:lang w:val="fr-FR"/>
        </w:rPr>
        <w:t>élaborer un nouveau Programme de travail conjoint avec le Secrétariat de la CDB</w:t>
      </w:r>
      <w:r w:rsidR="00C5525F">
        <w:rPr>
          <w:rFonts w:eastAsia="Arial" w:cs="Arial"/>
          <w:i/>
          <w:iCs/>
          <w:sz w:val="20"/>
          <w:szCs w:val="20"/>
          <w:lang w:val="fr-FR"/>
        </w:rPr>
        <w:t> ;</w:t>
      </w:r>
      <w:r w:rsidRPr="0074180E">
        <w:rPr>
          <w:rFonts w:eastAsia="Arial" w:cs="Arial"/>
          <w:i/>
          <w:iCs/>
          <w:sz w:val="20"/>
          <w:szCs w:val="20"/>
          <w:lang w:val="fr-FR"/>
        </w:rPr>
        <w:t xml:space="preserve"> et </w:t>
      </w:r>
    </w:p>
    <w:p w14:paraId="4694DC5C" w14:textId="3BCBB05F" w:rsidR="00EA289A" w:rsidRPr="0074180E" w:rsidRDefault="00EA289A" w:rsidP="00C5525F">
      <w:pPr>
        <w:numPr>
          <w:ilvl w:val="0"/>
          <w:numId w:val="37"/>
        </w:numPr>
        <w:autoSpaceDE w:val="0"/>
        <w:autoSpaceDN w:val="0"/>
        <w:adjustRightInd w:val="0"/>
        <w:spacing w:after="0" w:line="240" w:lineRule="auto"/>
        <w:jc w:val="both"/>
        <w:rPr>
          <w:rFonts w:eastAsia="Arial" w:cs="Arial"/>
          <w:i/>
          <w:iCs/>
          <w:sz w:val="20"/>
          <w:szCs w:val="20"/>
          <w:lang w:val="fr-FR"/>
        </w:rPr>
      </w:pPr>
      <w:r w:rsidRPr="0074180E">
        <w:rPr>
          <w:rFonts w:eastAsia="Arial" w:cs="Arial"/>
          <w:i/>
          <w:iCs/>
          <w:sz w:val="20"/>
          <w:szCs w:val="20"/>
          <w:lang w:val="fr-FR"/>
        </w:rPr>
        <w:t xml:space="preserve">rendre compte au Comité permanent, lors de ses 56e et 57e réunions, et à la COP15, des progrès accomplis dans la mise en </w:t>
      </w:r>
      <w:proofErr w:type="spellStart"/>
      <w:r w:rsidRPr="0074180E">
        <w:rPr>
          <w:rFonts w:eastAsia="Arial" w:cs="Arial"/>
          <w:i/>
          <w:iCs/>
          <w:sz w:val="20"/>
          <w:szCs w:val="20"/>
          <w:lang w:val="fr-FR"/>
        </w:rPr>
        <w:t>oeuvre</w:t>
      </w:r>
      <w:proofErr w:type="spellEnd"/>
      <w:r w:rsidRPr="0074180E">
        <w:rPr>
          <w:rFonts w:eastAsia="Arial" w:cs="Arial"/>
          <w:i/>
          <w:iCs/>
          <w:sz w:val="20"/>
          <w:szCs w:val="20"/>
          <w:lang w:val="fr-FR"/>
        </w:rPr>
        <w:t xml:space="preserve"> de la présente Décision. </w:t>
      </w:r>
    </w:p>
    <w:p w14:paraId="306445BA" w14:textId="527A1E82" w:rsidR="00C5525F" w:rsidRDefault="00C5525F">
      <w:pPr>
        <w:widowControl w:val="0"/>
        <w:autoSpaceDE w:val="0"/>
        <w:autoSpaceDN w:val="0"/>
        <w:adjustRightInd w:val="0"/>
        <w:spacing w:after="0" w:line="240" w:lineRule="auto"/>
        <w:jc w:val="both"/>
        <w:rPr>
          <w:rFonts w:cs="Arial"/>
          <w:u w:val="single"/>
          <w:lang w:val="fr-FR"/>
        </w:rPr>
      </w:pPr>
      <w:r>
        <w:rPr>
          <w:rFonts w:cs="Arial"/>
          <w:u w:val="single"/>
          <w:lang w:val="fr-FR"/>
        </w:rPr>
        <w:br w:type="page"/>
      </w:r>
    </w:p>
    <w:p w14:paraId="11D3AF23" w14:textId="4ADEB4F2" w:rsidR="007C476A" w:rsidRPr="00EA289A" w:rsidRDefault="0007653E">
      <w:pPr>
        <w:widowControl w:val="0"/>
        <w:numPr>
          <w:ilvl w:val="0"/>
          <w:numId w:val="4"/>
        </w:numPr>
        <w:autoSpaceDE w:val="0"/>
        <w:autoSpaceDN w:val="0"/>
        <w:adjustRightInd w:val="0"/>
        <w:spacing w:after="0" w:line="240" w:lineRule="auto"/>
        <w:ind w:left="709" w:hanging="851"/>
        <w:contextualSpacing/>
        <w:jc w:val="both"/>
        <w:rPr>
          <w:rFonts w:cs="Arial"/>
          <w:lang w:val="fr-FR"/>
        </w:rPr>
      </w:pPr>
      <w:r w:rsidRPr="00EA289A">
        <w:rPr>
          <w:rFonts w:cs="Arial"/>
          <w:lang w:val="fr-FR"/>
        </w:rPr>
        <w:lastRenderedPageBreak/>
        <w:t xml:space="preserve">La COP14 a également adopté la </w:t>
      </w:r>
      <w:hyperlink r:id="rId12" w:history="1">
        <w:r w:rsidR="007C476A" w:rsidRPr="00EA289A">
          <w:rPr>
            <w:rStyle w:val="Hyperlink"/>
            <w:rFonts w:cs="Arial"/>
            <w:lang w:val="fr-FR"/>
          </w:rPr>
          <w:t xml:space="preserve">Résolution 11.10 (Rev.COP14) </w:t>
        </w:r>
      </w:hyperlink>
      <w:r w:rsidR="003E2BF1">
        <w:rPr>
          <w:rFonts w:cs="Arial"/>
          <w:lang w:val="fr-FR"/>
        </w:rPr>
        <w:t xml:space="preserve"> </w:t>
      </w:r>
      <w:r w:rsidR="003E2BF1" w:rsidRPr="003E2BF1">
        <w:rPr>
          <w:rFonts w:cs="Arial"/>
          <w:i/>
          <w:iCs/>
          <w:lang w:val="fr-FR"/>
        </w:rPr>
        <w:t>Synergies et partenariats</w:t>
      </w:r>
      <w:r w:rsidR="003E2BF1">
        <w:rPr>
          <w:rFonts w:cs="Arial"/>
          <w:lang w:val="fr-FR"/>
        </w:rPr>
        <w:t xml:space="preserve"> </w:t>
      </w:r>
      <w:r w:rsidRPr="00EA289A">
        <w:rPr>
          <w:rFonts w:cs="Arial"/>
          <w:lang w:val="fr-FR"/>
        </w:rPr>
        <w:t xml:space="preserve">qui contient des dispositions relatives à la promotion de la collaboration dans la mise en œuvre et le suivi du KMGBF. Un rapport complet sur la mise en œuvre de cette résolution figure dans le document </w:t>
      </w:r>
      <w:hyperlink r:id="rId13" w:history="1">
        <w:r w:rsidR="007B60F5" w:rsidRPr="007B60F5">
          <w:rPr>
            <w:rStyle w:val="Hyperlink"/>
            <w:rFonts w:cs="Arial"/>
            <w:lang w:val="fr-FR"/>
          </w:rPr>
          <w:t>UNEP/CMS/COP15/Doc.18.1.</w:t>
        </w:r>
      </w:hyperlink>
      <w:r w:rsidR="007B60F5" w:rsidRPr="007B60F5">
        <w:rPr>
          <w:rFonts w:cs="Arial"/>
          <w:lang w:val="fr-FR"/>
        </w:rPr>
        <w:t xml:space="preserve"> </w:t>
      </w:r>
      <w:r w:rsidRPr="00EA289A">
        <w:rPr>
          <w:rFonts w:cs="Arial"/>
          <w:i/>
          <w:iCs/>
          <w:lang w:val="fr-FR"/>
        </w:rPr>
        <w:t>Synergies et partenariats</w:t>
      </w:r>
      <w:r w:rsidRPr="00EA289A">
        <w:rPr>
          <w:rFonts w:cs="Arial"/>
          <w:lang w:val="fr-FR"/>
        </w:rPr>
        <w:t xml:space="preserve"> qui doit être lu conjointement avec le présent document.</w:t>
      </w:r>
    </w:p>
    <w:p w14:paraId="00F29EE5" w14:textId="77777777" w:rsidR="007C476A" w:rsidRPr="00EA289A" w:rsidRDefault="007C476A">
      <w:pPr>
        <w:widowControl w:val="0"/>
        <w:autoSpaceDE w:val="0"/>
        <w:autoSpaceDN w:val="0"/>
        <w:adjustRightInd w:val="0"/>
        <w:spacing w:after="0" w:line="240" w:lineRule="auto"/>
        <w:jc w:val="both"/>
        <w:rPr>
          <w:rFonts w:cs="Arial"/>
          <w:highlight w:val="yellow"/>
          <w:u w:val="single"/>
          <w:lang w:val="fr-FR"/>
        </w:rPr>
      </w:pPr>
    </w:p>
    <w:p w14:paraId="76C66E1C" w14:textId="77777777" w:rsidR="007C476A" w:rsidRPr="00EA289A" w:rsidRDefault="0007653E">
      <w:pPr>
        <w:widowControl w:val="0"/>
        <w:spacing w:after="0" w:line="240" w:lineRule="auto"/>
        <w:jc w:val="both"/>
        <w:rPr>
          <w:rFonts w:cs="Arial"/>
          <w:u w:val="single"/>
          <w:lang w:val="fr-FR"/>
        </w:rPr>
      </w:pPr>
      <w:r w:rsidRPr="00EA289A">
        <w:rPr>
          <w:rFonts w:cs="Arial"/>
          <w:u w:val="single"/>
          <w:lang w:val="fr-FR"/>
        </w:rPr>
        <w:t xml:space="preserve">Mise en œuvre de la Décision 14.7 a) - Soutien à la mise en œuvre du KMGBF </w:t>
      </w:r>
    </w:p>
    <w:p w14:paraId="357B2DD9" w14:textId="77777777" w:rsidR="007C476A" w:rsidRPr="00EA289A" w:rsidRDefault="007C476A">
      <w:pPr>
        <w:pStyle w:val="ListParagraph"/>
        <w:widowControl w:val="0"/>
        <w:suppressAutoHyphens/>
        <w:spacing w:after="0" w:line="240" w:lineRule="auto"/>
        <w:ind w:left="630"/>
        <w:jc w:val="both"/>
        <w:rPr>
          <w:rFonts w:eastAsia="Calibri" w:cs="Arial"/>
          <w:lang w:val="fr-FR"/>
        </w:rPr>
      </w:pPr>
    </w:p>
    <w:p w14:paraId="519A9EA5" w14:textId="44BCC855"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 xml:space="preserve">Fin 2024, le Fonds de Kunming pour la biodiversité (KBF), qui est un fonds initié par la Chine et soutenu par l'ONU en vue d'aider les pays en développement dans la mise en œuvre du KMGBF, a lancé un appel à propositions comprenant plusieurs domaines d'intérêt thématiques d'une grande pertinence pour la CMS et ses instruments. Le Secrétariat a assuré la liaison avec les points focaux des Parties des pays en développement ainsi qu'avec les organisations non gouvernementales (ONG) partenaires et a soumis de nombreuses propositions de projets afin de soutenir la mise en œuvre au niveau national et régional ; deux d'entre elles ont été acceptées. De plus amples détails figurent dans le document </w:t>
      </w:r>
      <w:hyperlink r:id="rId14" w:history="1">
        <w:r w:rsidR="008819B2">
          <w:rPr>
            <w:rStyle w:val="Hyperlink"/>
            <w:rFonts w:eastAsia="Calibri" w:cs="Arial"/>
            <w:lang w:val="fr-FR"/>
          </w:rPr>
          <w:t>UNEP/CMS/COP15/Doc.14.3</w:t>
        </w:r>
      </w:hyperlink>
      <w:r w:rsidR="007B60F5">
        <w:rPr>
          <w:rFonts w:eastAsia="Calibri" w:cs="Arial"/>
          <w:lang w:val="fr-FR"/>
        </w:rPr>
        <w:t xml:space="preserve"> </w:t>
      </w:r>
      <w:r w:rsidRPr="00EA289A">
        <w:rPr>
          <w:rFonts w:eastAsia="Calibri" w:cs="Arial"/>
          <w:i/>
          <w:iCs/>
          <w:lang w:val="fr-FR"/>
        </w:rPr>
        <w:t>Mobilisation des ressources</w:t>
      </w:r>
      <w:r w:rsidRPr="00EA289A">
        <w:rPr>
          <w:rFonts w:eastAsia="Calibri" w:cs="Arial"/>
          <w:lang w:val="fr-FR"/>
        </w:rPr>
        <w:t>.</w:t>
      </w:r>
    </w:p>
    <w:p w14:paraId="33C4FE5A" w14:textId="77777777" w:rsidR="007C476A" w:rsidRPr="00EA289A" w:rsidRDefault="007C476A">
      <w:pPr>
        <w:pStyle w:val="ListParagraph"/>
        <w:widowControl w:val="0"/>
        <w:suppressAutoHyphens/>
        <w:spacing w:after="0" w:line="240" w:lineRule="auto"/>
        <w:ind w:left="630"/>
        <w:jc w:val="both"/>
        <w:rPr>
          <w:rFonts w:eastAsia="Calibri" w:cs="Arial"/>
          <w:lang w:val="fr-FR"/>
        </w:rPr>
      </w:pPr>
    </w:p>
    <w:p w14:paraId="275E9771"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Les projets de la CMS visent à traduire les objectifs et les cibles du KMGBF en actions concrètes sur le terrain pour les espèces migratrices et en mesures de conservation coordonnées le long des routes migratoires et des écosystèmes partagés.  Ils favorisent la coopération internationale, qui constitue un principe fondamental du KMGBF. De cette façon, l'engagement de la CMS avec le KBF sert de mécanisme concret pour transformer le KMGBF d'un cadre global en une action coordonnée et axée sur les résultats pour la conservation des espèces migratrices.</w:t>
      </w:r>
    </w:p>
    <w:p w14:paraId="72E48E3C" w14:textId="77777777" w:rsidR="007C476A" w:rsidRPr="00EA289A" w:rsidRDefault="007C476A">
      <w:pPr>
        <w:pStyle w:val="ListParagraph"/>
        <w:widowControl w:val="0"/>
        <w:suppressAutoHyphens/>
        <w:spacing w:after="0" w:line="240" w:lineRule="auto"/>
        <w:ind w:left="630"/>
        <w:jc w:val="both"/>
        <w:rPr>
          <w:rFonts w:eastAsia="Calibri" w:cs="Arial"/>
          <w:lang w:val="fr-FR"/>
        </w:rPr>
      </w:pPr>
    </w:p>
    <w:p w14:paraId="453178E0" w14:textId="77777777" w:rsidR="007C476A" w:rsidRPr="00EA289A" w:rsidRDefault="007C476A">
      <w:pPr>
        <w:widowControl w:val="0"/>
        <w:spacing w:after="0" w:line="240" w:lineRule="auto"/>
        <w:jc w:val="both"/>
        <w:rPr>
          <w:rFonts w:cs="Arial"/>
          <w:u w:val="single"/>
          <w:lang w:val="fr-FR"/>
        </w:rPr>
      </w:pPr>
    </w:p>
    <w:p w14:paraId="15F70491" w14:textId="77777777" w:rsidR="007C476A" w:rsidRPr="00EA289A" w:rsidRDefault="0007653E">
      <w:pPr>
        <w:widowControl w:val="0"/>
        <w:spacing w:after="0" w:line="240" w:lineRule="auto"/>
        <w:jc w:val="both"/>
        <w:rPr>
          <w:rFonts w:cs="Arial"/>
          <w:u w:val="single"/>
          <w:lang w:val="fr-FR"/>
        </w:rPr>
      </w:pPr>
      <w:r w:rsidRPr="00EA289A">
        <w:rPr>
          <w:rFonts w:cs="Arial"/>
          <w:u w:val="single"/>
          <w:lang w:val="fr-FR"/>
        </w:rPr>
        <w:t xml:space="preserve">Mise en œuvre de la Décision 14.7 b) et c) - Engagement actif dans le Processus de Berne </w:t>
      </w:r>
    </w:p>
    <w:p w14:paraId="4076E453" w14:textId="77777777" w:rsidR="007C476A" w:rsidRPr="00EA289A" w:rsidRDefault="007C476A">
      <w:pPr>
        <w:suppressAutoHyphens/>
        <w:autoSpaceDN w:val="0"/>
        <w:spacing w:after="0" w:line="240" w:lineRule="auto"/>
        <w:textAlignment w:val="baseline"/>
        <w:rPr>
          <w:rFonts w:eastAsia="Calibri" w:cs="Arial"/>
          <w:b/>
          <w:lang w:val="fr-FR"/>
        </w:rPr>
      </w:pPr>
    </w:p>
    <w:p w14:paraId="2C222017"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Le Secrétariat de la CMS a participé activement à la Conférence de Berne III (23-25 janvier 2024), qui s'est concentrée sur l'identification des opportunités de collaboration entre les Accords multilatéraux sur l'environnement (AME) pour mettre en œuvre le KMGBF.</w:t>
      </w:r>
    </w:p>
    <w:p w14:paraId="3435E753" w14:textId="77777777" w:rsidR="007C476A" w:rsidRPr="00EA289A" w:rsidRDefault="007C476A">
      <w:pPr>
        <w:widowControl w:val="0"/>
        <w:autoSpaceDE w:val="0"/>
        <w:autoSpaceDN w:val="0"/>
        <w:adjustRightInd w:val="0"/>
        <w:spacing w:after="0" w:line="240" w:lineRule="auto"/>
        <w:ind w:left="567" w:hanging="567"/>
        <w:contextualSpacing/>
        <w:jc w:val="both"/>
        <w:rPr>
          <w:rFonts w:cs="Arial"/>
          <w:lang w:val="fr-FR"/>
        </w:rPr>
      </w:pPr>
    </w:p>
    <w:p w14:paraId="12F8343F"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Grâce au soutien financier du gouvernement suisse, la CMS a convoqué une réunion préparatoire en ligne le 9 janvier 2024, réunissant des représentants des entités suivantes :</w:t>
      </w:r>
    </w:p>
    <w:p w14:paraId="56F9073D" w14:textId="77777777" w:rsidR="007C476A" w:rsidRPr="00EA289A" w:rsidRDefault="0007653E">
      <w:pPr>
        <w:numPr>
          <w:ilvl w:val="1"/>
          <w:numId w:val="16"/>
        </w:numPr>
        <w:suppressAutoHyphens/>
        <w:autoSpaceDN w:val="0"/>
        <w:spacing w:after="80" w:line="240" w:lineRule="auto"/>
        <w:textAlignment w:val="baseline"/>
        <w:rPr>
          <w:rFonts w:eastAsia="Calibri" w:cs="Arial"/>
          <w:lang w:val="fr-FR"/>
        </w:rPr>
      </w:pPr>
      <w:r w:rsidRPr="00EA289A">
        <w:rPr>
          <w:rFonts w:eastAsia="Calibri" w:cs="Arial"/>
          <w:lang w:val="fr-FR"/>
        </w:rPr>
        <w:t>Parties à la CMS participant à la Conférence de Berne III,</w:t>
      </w:r>
    </w:p>
    <w:p w14:paraId="2A978B66" w14:textId="77777777" w:rsidR="007C476A" w:rsidRPr="00EA289A" w:rsidRDefault="0007653E">
      <w:pPr>
        <w:numPr>
          <w:ilvl w:val="1"/>
          <w:numId w:val="16"/>
        </w:numPr>
        <w:suppressAutoHyphens/>
        <w:autoSpaceDN w:val="0"/>
        <w:spacing w:after="80" w:line="240" w:lineRule="auto"/>
        <w:textAlignment w:val="baseline"/>
        <w:rPr>
          <w:rFonts w:eastAsia="Calibri" w:cs="Arial"/>
          <w:lang w:val="fr-FR"/>
        </w:rPr>
      </w:pPr>
      <w:r w:rsidRPr="00EA289A">
        <w:rPr>
          <w:rFonts w:eastAsia="Calibri" w:cs="Arial"/>
          <w:lang w:val="fr-FR"/>
        </w:rPr>
        <w:t>Membres du Comité permanent,</w:t>
      </w:r>
    </w:p>
    <w:p w14:paraId="12CB9289" w14:textId="77777777" w:rsidR="007C476A" w:rsidRPr="00EA289A" w:rsidRDefault="0007653E">
      <w:pPr>
        <w:numPr>
          <w:ilvl w:val="1"/>
          <w:numId w:val="16"/>
        </w:numPr>
        <w:suppressAutoHyphens/>
        <w:autoSpaceDN w:val="0"/>
        <w:spacing w:after="80" w:line="240" w:lineRule="auto"/>
        <w:textAlignment w:val="baseline"/>
        <w:rPr>
          <w:rFonts w:eastAsia="Calibri" w:cs="Arial"/>
          <w:lang w:val="fr-FR"/>
        </w:rPr>
      </w:pPr>
      <w:r w:rsidRPr="00EA289A">
        <w:rPr>
          <w:rFonts w:eastAsia="Calibri" w:cs="Arial"/>
          <w:lang w:val="fr-FR"/>
        </w:rPr>
        <w:t>Président du Conseil scientifique de la CMS,</w:t>
      </w:r>
    </w:p>
    <w:p w14:paraId="26C15A60" w14:textId="77777777" w:rsidR="007C476A" w:rsidRPr="00EA289A" w:rsidRDefault="0007653E">
      <w:pPr>
        <w:numPr>
          <w:ilvl w:val="1"/>
          <w:numId w:val="16"/>
        </w:numPr>
        <w:suppressAutoHyphens/>
        <w:autoSpaceDN w:val="0"/>
        <w:spacing w:after="0" w:line="240" w:lineRule="auto"/>
        <w:textAlignment w:val="baseline"/>
        <w:rPr>
          <w:rFonts w:eastAsia="Calibri" w:cs="Arial"/>
          <w:lang w:val="fr-FR"/>
        </w:rPr>
      </w:pPr>
      <w:r w:rsidRPr="00EA289A">
        <w:rPr>
          <w:rFonts w:eastAsia="Calibri" w:cs="Arial"/>
          <w:lang w:val="fr-FR"/>
        </w:rPr>
        <w:t>Membres du Groupe de travail de la famille CMS sur le KMGBF.</w:t>
      </w:r>
    </w:p>
    <w:p w14:paraId="62B4EF16" w14:textId="77777777" w:rsidR="007C476A" w:rsidRPr="00EA289A" w:rsidRDefault="007C476A">
      <w:pPr>
        <w:suppressAutoHyphens/>
        <w:autoSpaceDN w:val="0"/>
        <w:spacing w:after="0" w:line="240" w:lineRule="auto"/>
        <w:ind w:left="1440"/>
        <w:textAlignment w:val="baseline"/>
        <w:rPr>
          <w:rFonts w:eastAsia="Calibri" w:cs="Arial"/>
          <w:lang w:val="fr-FR"/>
        </w:rPr>
      </w:pPr>
    </w:p>
    <w:p w14:paraId="52451381"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Cet engagement a permis d'intégrer les priorités de la CMS dans les résultats de la Conférence de Berne III, en mettant l'accent sur la conservation de la connectivité, les corridors de migration des espèces et le rôle des espèces migratrices dans la résilience des écosystèmes.</w:t>
      </w:r>
    </w:p>
    <w:p w14:paraId="3F0A2703" w14:textId="77777777" w:rsidR="007C476A" w:rsidRPr="00EA289A" w:rsidRDefault="007C476A">
      <w:pPr>
        <w:pStyle w:val="ListParagraph"/>
        <w:widowControl w:val="0"/>
        <w:suppressAutoHyphens/>
        <w:spacing w:after="0" w:line="240" w:lineRule="auto"/>
        <w:ind w:left="630"/>
        <w:jc w:val="both"/>
        <w:rPr>
          <w:rFonts w:eastAsia="Calibri" w:cs="Arial"/>
          <w:lang w:val="fr-FR"/>
        </w:rPr>
      </w:pPr>
    </w:p>
    <w:p w14:paraId="03876E31"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Le rapport de la conférence contient plusieurs propositions concrètes pour une mise en œuvre conjointe entre les AME, soulignant le rôle prépondérant de la CMS dans la promotion de la connectivité écologique dans le cadre du KMGBF.</w:t>
      </w:r>
    </w:p>
    <w:p w14:paraId="4695FFA0" w14:textId="26A62A4B" w:rsidR="00444410" w:rsidRDefault="00444410">
      <w:pPr>
        <w:pStyle w:val="ListParagraph"/>
        <w:rPr>
          <w:rFonts w:eastAsia="Calibri" w:cs="Arial"/>
          <w:lang w:val="fr-FR"/>
        </w:rPr>
      </w:pPr>
      <w:r>
        <w:rPr>
          <w:rFonts w:eastAsia="Calibri" w:cs="Arial"/>
          <w:lang w:val="fr-FR"/>
        </w:rPr>
        <w:br w:type="page"/>
      </w:r>
    </w:p>
    <w:p w14:paraId="3F8CA6F5" w14:textId="25AC79C1" w:rsidR="007C476A" w:rsidRPr="00444410"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lastRenderedPageBreak/>
        <w:t xml:space="preserve">Le Secrétariat a pris part à un </w:t>
      </w:r>
      <w:hyperlink r:id="rId15" w:history="1">
        <w:r w:rsidR="007C476A" w:rsidRPr="00E669DA">
          <w:rPr>
            <w:rStyle w:val="Hyperlink"/>
            <w:rFonts w:eastAsia="Calibri" w:cs="Arial"/>
            <w:lang w:val="fr-FR"/>
          </w:rPr>
          <w:t>Atelier d'experts</w:t>
        </w:r>
        <w:r w:rsidRPr="00E669DA">
          <w:rPr>
            <w:rStyle w:val="Hyperlink"/>
            <w:rFonts w:eastAsia="Calibri" w:cs="Arial"/>
            <w:lang w:val="fr-FR"/>
          </w:rPr>
          <w:t xml:space="preserve"> </w:t>
        </w:r>
      </w:hyperlink>
      <w:r w:rsidRPr="00EA289A">
        <w:rPr>
          <w:rFonts w:eastAsia="Calibri" w:cs="Arial"/>
          <w:lang w:val="fr-FR"/>
        </w:rPr>
        <w:t xml:space="preserve">sur le Processus de Berne et la contribution des AME à la mise en œuvre du KMGBF, les 27 et 28 août 2025 à </w:t>
      </w:r>
      <w:proofErr w:type="spellStart"/>
      <w:r w:rsidRPr="00EA289A">
        <w:rPr>
          <w:rFonts w:eastAsia="Calibri" w:cs="Arial"/>
          <w:lang w:val="fr-FR"/>
        </w:rPr>
        <w:t>Bogis</w:t>
      </w:r>
      <w:proofErr w:type="spellEnd"/>
      <w:r w:rsidRPr="00EA289A">
        <w:rPr>
          <w:rFonts w:eastAsia="Calibri" w:cs="Arial"/>
          <w:lang w:val="fr-FR"/>
        </w:rPr>
        <w:t xml:space="preserve">-Bossey, en Suisse, organisé par le Programme des Nations Unies pour l'environnement (PNUE) en partenariat avec le gouvernement suisse et avec le soutien technique du Secrétariat de la Convention sur la diversité biologique (CDB). L'atelier visait à soutenir l'examen global des progrès collectifs dans la mise en œuvre du KMGBF en facilitant l'échange d'informations et en promouvant la complémentarité des contributions des AME à cet examen, en accord avec leurs mandats respectifs, et en réponse à la Décision 16/323 de la COP de la Convention sur la diversité biologique (CDB) concernant les </w:t>
      </w:r>
      <w:r w:rsidRPr="00EA289A">
        <w:rPr>
          <w:rFonts w:eastAsia="Calibri" w:cs="Arial"/>
          <w:i/>
          <w:iCs/>
          <w:lang w:val="fr-FR"/>
        </w:rPr>
        <w:t>Mécanismes de planification, de suivi, de rapport et d'examen</w:t>
      </w:r>
      <w:r w:rsidRPr="00EA289A">
        <w:rPr>
          <w:rFonts w:eastAsia="Calibri" w:cs="Arial"/>
          <w:lang w:val="fr-FR"/>
        </w:rPr>
        <w:t xml:space="preserve">. Il a également cherché à offrir des éléments de conseil sur le rôle et les objectifs futurs du Processus de Berne, en s'appuyant sur les enseignements tirés, les résultats et les impacts des activités antérieures. Le rapport de l'Atelier de </w:t>
      </w:r>
      <w:proofErr w:type="spellStart"/>
      <w:r w:rsidRPr="00EA289A">
        <w:rPr>
          <w:rFonts w:eastAsia="Calibri" w:cs="Arial"/>
          <w:lang w:val="fr-FR"/>
        </w:rPr>
        <w:t>Bogis</w:t>
      </w:r>
      <w:proofErr w:type="spellEnd"/>
      <w:r w:rsidRPr="00EA289A">
        <w:rPr>
          <w:rFonts w:eastAsia="Calibri" w:cs="Arial"/>
          <w:lang w:val="fr-FR"/>
        </w:rPr>
        <w:t>-Bossey a été soumis en tant que document d'information dans le cadre de la 27e réunion de l'Organe subsidiaire chargé de fournir des avis scientifiques, techniques et technologiques de la CDB (</w:t>
      </w:r>
      <w:hyperlink r:id="rId16" w:history="1">
        <w:r w:rsidR="007C476A" w:rsidRPr="00EA289A">
          <w:rPr>
            <w:rStyle w:val="Hyperlink"/>
            <w:lang w:val="fr-FR"/>
          </w:rPr>
          <w:t>CBD/SBSTTA/27/INF/15</w:t>
        </w:r>
      </w:hyperlink>
      <w:r w:rsidRPr="00EA289A">
        <w:rPr>
          <w:lang w:val="fr-FR"/>
        </w:rPr>
        <w:t>).</w:t>
      </w:r>
    </w:p>
    <w:p w14:paraId="69C8C0BF" w14:textId="77777777" w:rsidR="00444410" w:rsidRPr="00EA289A" w:rsidRDefault="00444410" w:rsidP="00444410">
      <w:pPr>
        <w:pStyle w:val="ListParagraph"/>
        <w:widowControl w:val="0"/>
        <w:suppressAutoHyphens/>
        <w:spacing w:after="0" w:line="240" w:lineRule="auto"/>
        <w:ind w:left="630"/>
        <w:jc w:val="both"/>
        <w:rPr>
          <w:rFonts w:eastAsia="Calibri" w:cs="Arial"/>
          <w:lang w:val="fr-FR"/>
        </w:rPr>
      </w:pPr>
    </w:p>
    <w:p w14:paraId="11EDC8F8" w14:textId="1DEE3371" w:rsidR="007C476A" w:rsidRPr="00EA289A" w:rsidRDefault="0007653E">
      <w:pPr>
        <w:pStyle w:val="ListParagraph"/>
        <w:widowControl w:val="0"/>
        <w:numPr>
          <w:ilvl w:val="0"/>
          <w:numId w:val="4"/>
        </w:numPr>
        <w:suppressAutoHyphens/>
        <w:spacing w:after="0" w:line="240" w:lineRule="auto"/>
        <w:ind w:left="567" w:hanging="567"/>
        <w:jc w:val="both"/>
        <w:rPr>
          <w:rFonts w:eastAsia="Calibri" w:cs="Arial"/>
          <w:lang w:val="fr-FR"/>
        </w:rPr>
      </w:pPr>
      <w:r w:rsidRPr="00EA289A">
        <w:rPr>
          <w:rFonts w:eastAsia="Calibri" w:cs="Arial"/>
          <w:lang w:val="fr-FR"/>
        </w:rPr>
        <w:t xml:space="preserve">Suite à l'atelier, le 1er octobre 2025, le Secrétariat a soumis des contributions en réponse à la </w:t>
      </w:r>
      <w:hyperlink r:id="rId17" w:history="1">
        <w:r w:rsidR="007C476A" w:rsidRPr="00EA289A">
          <w:rPr>
            <w:rStyle w:val="Hyperlink"/>
            <w:rFonts w:eastAsia="Calibri" w:cs="Arial"/>
            <w:lang w:val="fr-FR"/>
          </w:rPr>
          <w:t>Notification 2025-099 de la CDB</w:t>
        </w:r>
      </w:hyperlink>
      <w:r w:rsidRPr="00EA289A">
        <w:rPr>
          <w:rFonts w:eastAsia="Calibri" w:cs="Arial"/>
          <w:lang w:val="fr-FR"/>
        </w:rPr>
        <w:t xml:space="preserve"> concernant le rapport global sur les progrès collectifs dans la mise en œuvre du KMGBF.</w:t>
      </w:r>
    </w:p>
    <w:p w14:paraId="6A437BE7" w14:textId="77777777" w:rsidR="007C476A" w:rsidRPr="00EA289A" w:rsidRDefault="007C476A">
      <w:pPr>
        <w:suppressAutoHyphens/>
        <w:autoSpaceDN w:val="0"/>
        <w:spacing w:after="0" w:line="240" w:lineRule="auto"/>
        <w:textAlignment w:val="baseline"/>
        <w:rPr>
          <w:rFonts w:eastAsia="Calibri" w:cs="Arial"/>
          <w:lang w:val="fr-FR"/>
        </w:rPr>
      </w:pPr>
    </w:p>
    <w:p w14:paraId="39F53465" w14:textId="77777777" w:rsidR="007C476A" w:rsidRPr="00EA289A" w:rsidRDefault="0007653E">
      <w:pPr>
        <w:widowControl w:val="0"/>
        <w:spacing w:after="0" w:line="240" w:lineRule="auto"/>
        <w:jc w:val="both"/>
        <w:rPr>
          <w:rFonts w:cs="Arial"/>
          <w:u w:val="single"/>
          <w:lang w:val="fr-FR"/>
        </w:rPr>
      </w:pPr>
      <w:r w:rsidRPr="00EA289A">
        <w:rPr>
          <w:rFonts w:cs="Arial"/>
          <w:u w:val="single"/>
          <w:lang w:val="fr-FR"/>
        </w:rPr>
        <w:t xml:space="preserve">Mise en œuvre de la Décision 14.7(d) - Alignement du cadre de suivi de la CMS avec le KMGBF </w:t>
      </w:r>
    </w:p>
    <w:p w14:paraId="0EE7DA9D" w14:textId="77777777" w:rsidR="007C476A" w:rsidRPr="00EA289A" w:rsidRDefault="007C476A">
      <w:pPr>
        <w:suppressAutoHyphens/>
        <w:autoSpaceDN w:val="0"/>
        <w:spacing w:after="0" w:line="240" w:lineRule="auto"/>
        <w:textAlignment w:val="baseline"/>
        <w:rPr>
          <w:rFonts w:eastAsia="Calibri" w:cs="Arial"/>
          <w:b/>
          <w:lang w:val="fr-FR"/>
        </w:rPr>
      </w:pPr>
    </w:p>
    <w:p w14:paraId="6FBA7D4B" w14:textId="3AC5D65B" w:rsidR="007C476A" w:rsidRPr="00EA289A" w:rsidRDefault="0007653E">
      <w:pPr>
        <w:widowControl w:val="0"/>
        <w:numPr>
          <w:ilvl w:val="0"/>
          <w:numId w:val="4"/>
        </w:numPr>
        <w:autoSpaceDE w:val="0"/>
        <w:autoSpaceDN w:val="0"/>
        <w:adjustRightInd w:val="0"/>
        <w:spacing w:after="0" w:line="240" w:lineRule="auto"/>
        <w:ind w:left="567" w:hanging="567"/>
        <w:contextualSpacing/>
        <w:jc w:val="both"/>
        <w:rPr>
          <w:rFonts w:cs="Arial"/>
          <w:i/>
          <w:iCs/>
          <w:lang w:val="fr-FR"/>
        </w:rPr>
      </w:pPr>
      <w:r w:rsidRPr="00EA289A">
        <w:rPr>
          <w:rFonts w:cs="Arial"/>
          <w:lang w:val="fr-FR"/>
        </w:rPr>
        <w:t xml:space="preserve">Conformément à la </w:t>
      </w:r>
      <w:bookmarkStart w:id="5" w:name="_Hlk213709763"/>
      <w:r w:rsidRPr="00EA289A">
        <w:rPr>
          <w:rFonts w:cs="Arial"/>
          <w:lang w:val="fr-FR"/>
        </w:rPr>
        <w:t>Décision 14.7(d)</w:t>
      </w:r>
      <w:bookmarkEnd w:id="5"/>
      <w:r w:rsidRPr="00EA289A">
        <w:rPr>
          <w:rFonts w:cs="Arial"/>
          <w:lang w:val="fr-FR"/>
        </w:rPr>
        <w:t>, grâce au travail du Groupe de travail intersessions sur le Plan stratégique de Samarcande pour les espèces migratrices (PSEM) 2024–2032, des i</w:t>
      </w:r>
      <w:r w:rsidRPr="00EA289A">
        <w:rPr>
          <w:rStyle w:val="Hyperlink"/>
          <w:rFonts w:cs="Arial"/>
          <w:color w:val="auto"/>
          <w:u w:val="none"/>
          <w:lang w:val="fr-FR"/>
        </w:rPr>
        <w:t xml:space="preserve">ndicateurs pour les cibles dudit Plan ont été identifiés à l'aide d'un ensemble de principes directeurs. Ils s'inspirent en partie des </w:t>
      </w:r>
      <w:hyperlink r:id="rId18" w:history="1">
        <w:r w:rsidR="007C476A" w:rsidRPr="00EA289A">
          <w:rPr>
            <w:rStyle w:val="Hyperlink"/>
            <w:rFonts w:cs="Arial"/>
            <w:color w:val="auto"/>
            <w:u w:val="none"/>
            <w:lang w:val="fr-FR"/>
          </w:rPr>
          <w:t>critères</w:t>
        </w:r>
      </w:hyperlink>
      <w:r w:rsidRPr="00EA289A">
        <w:rPr>
          <w:rStyle w:val="Hyperlink"/>
          <w:rFonts w:cs="Arial"/>
          <w:color w:val="auto"/>
          <w:u w:val="none"/>
          <w:lang w:val="fr-FR"/>
        </w:rPr>
        <w:t xml:space="preserve"> adoptés lors de la COP15 de la CDB pour sélectionner les indicateurs du cadre de suivi (</w:t>
      </w:r>
      <w:hyperlink r:id="rId19">
        <w:r w:rsidR="007C476A" w:rsidRPr="00EA289A">
          <w:rPr>
            <w:rStyle w:val="Hyperlink"/>
            <w:rFonts w:cs="Arial"/>
            <w:color w:val="0563C1" w:themeColor="hyperlink"/>
            <w:kern w:val="2"/>
            <w:lang w:val="fr-FR"/>
            <w14:ligatures w14:val="standardContextual"/>
          </w:rPr>
          <w:t>CBD/COP/DEC/16/31</w:t>
        </w:r>
      </w:hyperlink>
      <w:r w:rsidRPr="00EA289A">
        <w:rPr>
          <w:rStyle w:val="Hyperlink"/>
          <w:rFonts w:cs="Arial"/>
          <w:color w:val="auto"/>
          <w:u w:val="none"/>
          <w:lang w:val="fr-FR"/>
        </w:rPr>
        <w:t xml:space="preserve">) du KMGBF, et en partie de considérations supplémentaires spécifiques à la CMS. Pour plus de détails, voir le document </w:t>
      </w:r>
      <w:hyperlink r:id="rId20" w:history="1">
        <w:r w:rsidR="007C476A" w:rsidRPr="00EA289A">
          <w:rPr>
            <w:rStyle w:val="Hyperlink"/>
            <w:rFonts w:cs="Arial"/>
            <w:lang w:val="fr-FR"/>
          </w:rPr>
          <w:t>UNEP/CMS/COP15/Doc.15</w:t>
        </w:r>
      </w:hyperlink>
      <w:r w:rsidRPr="00EA289A">
        <w:rPr>
          <w:rStyle w:val="Hyperlink"/>
          <w:rFonts w:cs="Arial"/>
          <w:color w:val="auto"/>
          <w:u w:val="none"/>
          <w:lang w:val="fr-FR"/>
        </w:rPr>
        <w:t xml:space="preserve"> </w:t>
      </w:r>
      <w:r w:rsidRPr="00EA289A">
        <w:rPr>
          <w:rStyle w:val="Hyperlink"/>
          <w:rFonts w:cs="Arial"/>
          <w:i/>
          <w:iCs/>
          <w:color w:val="auto"/>
          <w:u w:val="none"/>
          <w:lang w:val="fr-FR"/>
        </w:rPr>
        <w:t>Plan stratégique de Samarcande pour les espèces migratrices 2024-2032.</w:t>
      </w:r>
    </w:p>
    <w:p w14:paraId="6065924B" w14:textId="77777777" w:rsidR="007C476A" w:rsidRPr="00EA289A" w:rsidRDefault="007C476A">
      <w:pPr>
        <w:suppressAutoHyphens/>
        <w:autoSpaceDN w:val="0"/>
        <w:spacing w:after="0" w:line="240" w:lineRule="auto"/>
        <w:textAlignment w:val="baseline"/>
        <w:rPr>
          <w:rFonts w:eastAsia="Calibri" w:cs="Arial"/>
          <w:b/>
          <w:lang w:val="fr-FR"/>
        </w:rPr>
      </w:pPr>
    </w:p>
    <w:p w14:paraId="33AA1E64" w14:textId="77777777" w:rsidR="007C476A" w:rsidRPr="00EA289A" w:rsidRDefault="0007653E">
      <w:pPr>
        <w:widowControl w:val="0"/>
        <w:spacing w:after="0" w:line="240" w:lineRule="auto"/>
        <w:jc w:val="both"/>
        <w:rPr>
          <w:rFonts w:cs="Arial"/>
          <w:u w:val="single"/>
          <w:lang w:val="fr-FR"/>
        </w:rPr>
      </w:pPr>
      <w:r w:rsidRPr="00EA289A">
        <w:rPr>
          <w:rFonts w:cs="Arial"/>
          <w:u w:val="single"/>
          <w:lang w:val="fr-FR"/>
        </w:rPr>
        <w:t xml:space="preserve">Mise en œuvre de la Décision 14.7 e) - Soutien à la mise en </w:t>
      </w:r>
      <w:proofErr w:type="spellStart"/>
      <w:r w:rsidRPr="00EA289A">
        <w:rPr>
          <w:rFonts w:cs="Arial"/>
          <w:u w:val="single"/>
          <w:lang w:val="fr-FR"/>
        </w:rPr>
        <w:t>oeuvre</w:t>
      </w:r>
      <w:proofErr w:type="spellEnd"/>
      <w:r w:rsidRPr="00EA289A">
        <w:rPr>
          <w:rFonts w:cs="Arial"/>
          <w:u w:val="single"/>
          <w:lang w:val="fr-FR"/>
        </w:rPr>
        <w:t xml:space="preserve"> nationale par le biais des Stratégies et plans d'action nationaux pour la biodiversité (SPANB)</w:t>
      </w:r>
    </w:p>
    <w:p w14:paraId="205C9F52" w14:textId="77777777" w:rsidR="007C476A" w:rsidRPr="00EA289A" w:rsidRDefault="007C476A">
      <w:pPr>
        <w:suppressAutoHyphens/>
        <w:autoSpaceDN w:val="0"/>
        <w:spacing w:after="0" w:line="240" w:lineRule="auto"/>
        <w:textAlignment w:val="baseline"/>
        <w:rPr>
          <w:rFonts w:eastAsia="Calibri" w:cs="Arial"/>
          <w:b/>
          <w:lang w:val="fr-FR"/>
        </w:rPr>
      </w:pPr>
    </w:p>
    <w:p w14:paraId="1C58E116" w14:textId="561089B9"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 xml:space="preserve">En réponse au point e) de la Décision 14.7, le Secrétariat a diffusé en juillet 2024 la </w:t>
      </w:r>
      <w:hyperlink r:id="rId21" w:history="1">
        <w:r w:rsidR="007C476A" w:rsidRPr="00EA289A">
          <w:rPr>
            <w:rStyle w:val="Hyperlink"/>
            <w:rFonts w:eastAsia="Calibri" w:cs="Arial"/>
            <w:lang w:val="fr-FR"/>
          </w:rPr>
          <w:t>Notification 2024/017</w:t>
        </w:r>
      </w:hyperlink>
      <w:r w:rsidRPr="00EA289A">
        <w:rPr>
          <w:rFonts w:eastAsia="Calibri" w:cs="Arial"/>
          <w:lang w:val="fr-FR"/>
        </w:rPr>
        <w:t xml:space="preserve"> pour informer les Parties des documents d'orientation et autres outils destinés à favoriser la prise en compte des besoins des espèces migratrices et des considérations connexes dans la révision et la mise à jour des Stratégies et plans d'action nationaux pour la biodiversité (SPANB). </w:t>
      </w:r>
    </w:p>
    <w:p w14:paraId="18BFC9BC" w14:textId="77777777" w:rsidR="007C476A" w:rsidRPr="00EA289A" w:rsidRDefault="007C476A">
      <w:pPr>
        <w:pStyle w:val="ListParagraph"/>
        <w:widowControl w:val="0"/>
        <w:suppressAutoHyphens/>
        <w:spacing w:after="0" w:line="240" w:lineRule="auto"/>
        <w:ind w:left="630"/>
        <w:jc w:val="both"/>
        <w:rPr>
          <w:rFonts w:eastAsia="Calibri" w:cs="Arial"/>
          <w:lang w:val="fr-FR"/>
        </w:rPr>
      </w:pPr>
    </w:p>
    <w:p w14:paraId="10AAE261"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Parmi ces ressources figure un document d'orientation élaboré par le Secrétariat en collaboration avec le Secrétariat de la Convention sur le commerce international des espèces de faune et de flore sauvages menacées d'extinction (CITES) en tant que contribution au Plan de travail 2023-2025 du Partenariat de collaboration sur la gestion durable de la vie sauvage (PCF), dont les deux sont membres. Ce document met l'accent sur la nécessité de prendre en compte les travaux menés dans le cadre de la CMS et de la CITES lors de l'élaboration des actions des SPANB liées aux trois objectifs du Cadre mondial de la biodiversité de Kunming-Montréal qui ciblent certaines espèces particulières.</w:t>
      </w:r>
    </w:p>
    <w:p w14:paraId="06BB55BE" w14:textId="30FAE93F" w:rsidR="0057071A" w:rsidRDefault="0057071A">
      <w:pPr>
        <w:pStyle w:val="ListParagraph"/>
        <w:rPr>
          <w:rFonts w:eastAsia="Calibri" w:cs="Arial"/>
          <w:lang w:val="fr-FR"/>
        </w:rPr>
      </w:pPr>
      <w:r>
        <w:rPr>
          <w:rFonts w:eastAsia="Calibri" w:cs="Arial"/>
          <w:lang w:val="fr-FR"/>
        </w:rPr>
        <w:br w:type="page"/>
      </w:r>
    </w:p>
    <w:p w14:paraId="5BD51DD5" w14:textId="77777777" w:rsidR="007C476A" w:rsidRPr="00EA289A" w:rsidRDefault="0007653E">
      <w:pPr>
        <w:pStyle w:val="ListParagraph"/>
        <w:widowControl w:val="0"/>
        <w:numPr>
          <w:ilvl w:val="0"/>
          <w:numId w:val="4"/>
        </w:numPr>
        <w:suppressAutoHyphens/>
        <w:spacing w:after="0" w:line="240" w:lineRule="auto"/>
        <w:ind w:left="567" w:hanging="567"/>
        <w:jc w:val="both"/>
        <w:rPr>
          <w:rFonts w:eastAsia="Calibri" w:cs="Arial"/>
          <w:lang w:val="fr-FR"/>
        </w:rPr>
      </w:pPr>
      <w:r w:rsidRPr="00EA289A">
        <w:rPr>
          <w:rFonts w:eastAsia="Calibri" w:cs="Arial"/>
          <w:lang w:val="fr-FR"/>
        </w:rPr>
        <w:lastRenderedPageBreak/>
        <w:t>Il convient également de mentionner l'existence d'un autre document d'orientation qui soutient l'intégration de la connectivité écologique dans les stratégies nationales pour la diversité biologique et les plans d'action en fournissant des approches, des actions et des outils pratiques pour aider les pays à traiter efficacement la connectivité écologique en relation avec les objectifs et les cibles du Cadre mondial de la biodiversité de Kunming-Montréal, y compris ceux liés aux moyens de mise en œuvre au niveau national. Il a été élaboré par le Groupe de spécialistes de la conservation de la connectivité (CCSG) de la Commission mondiale des aires protégées (WCPA) de l'Union internationale pour la conservation de la nature (UICN).</w:t>
      </w:r>
    </w:p>
    <w:p w14:paraId="19E65CFB" w14:textId="77777777" w:rsidR="007C476A" w:rsidRPr="00EA289A" w:rsidRDefault="007C476A">
      <w:pPr>
        <w:widowControl w:val="0"/>
        <w:suppressAutoHyphens/>
        <w:spacing w:after="0" w:line="240" w:lineRule="auto"/>
        <w:jc w:val="both"/>
        <w:rPr>
          <w:rFonts w:eastAsia="Calibri" w:cs="Arial"/>
          <w:lang w:val="fr-FR"/>
        </w:rPr>
      </w:pPr>
    </w:p>
    <w:p w14:paraId="3589D28A" w14:textId="77777777" w:rsidR="007C476A" w:rsidRPr="00EA289A" w:rsidRDefault="0007653E">
      <w:pPr>
        <w:widowControl w:val="0"/>
        <w:spacing w:after="0" w:line="240" w:lineRule="auto"/>
        <w:jc w:val="both"/>
        <w:rPr>
          <w:rFonts w:cs="Arial"/>
          <w:u w:val="single"/>
          <w:lang w:val="fr-FR"/>
        </w:rPr>
      </w:pPr>
      <w:r w:rsidRPr="00EA289A">
        <w:rPr>
          <w:rFonts w:cs="Arial"/>
          <w:u w:val="single"/>
          <w:lang w:val="fr-FR"/>
        </w:rPr>
        <w:t>Mise en œuvre de la Décision 14.7 f) - Poursuite de la collaboration avec la Convention sur la diversité biologique (CDB)</w:t>
      </w:r>
    </w:p>
    <w:p w14:paraId="035ECB4F" w14:textId="77777777" w:rsidR="007C476A" w:rsidRPr="00EA289A" w:rsidRDefault="007C476A">
      <w:pPr>
        <w:suppressAutoHyphens/>
        <w:autoSpaceDN w:val="0"/>
        <w:spacing w:after="0" w:line="240" w:lineRule="auto"/>
        <w:textAlignment w:val="baseline"/>
        <w:rPr>
          <w:rFonts w:eastAsia="Calibri" w:cs="Arial"/>
          <w:b/>
          <w:lang w:val="fr-FR"/>
        </w:rPr>
      </w:pPr>
    </w:p>
    <w:p w14:paraId="66AA3AA3"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 xml:space="preserve">Le Secrétariat de la CMS coopère étroitement avec le Secrétariat de la CDB, à la fois de manière bilatérale et dans le cadre du </w:t>
      </w:r>
      <w:r w:rsidRPr="00EA289A">
        <w:rPr>
          <w:rFonts w:cs="Arial"/>
          <w:lang w:val="fr-FR"/>
        </w:rPr>
        <w:t xml:space="preserve">Groupe de liaison sur la biodiversité </w:t>
      </w:r>
      <w:r w:rsidRPr="00EA289A">
        <w:rPr>
          <w:rFonts w:eastAsia="Calibri" w:cs="Arial"/>
          <w:lang w:val="fr-FR"/>
        </w:rPr>
        <w:t>(BLG), en veillant à la cohérence et au renforcement mutuel dans la mise en œuvre des engagements mondiaux en matière de biodiversité. Le Secrétariat de la CMS a assisté aux première et deuxième sessions reprises de la COP16 de la CDB et a participé activement aux discussions et négociations pertinentes. Parallèlement à l'élaboration d'un Programme de travail conjoint qui se poursuit, une collaboration étroite avec le Secrétariat de la CDB a progressé sur plusieurs fronts, notamment :</w:t>
      </w:r>
    </w:p>
    <w:p w14:paraId="2B986E1C" w14:textId="1857F90F" w:rsidR="007C476A" w:rsidRPr="00EA289A" w:rsidRDefault="0007653E">
      <w:pPr>
        <w:numPr>
          <w:ilvl w:val="1"/>
          <w:numId w:val="25"/>
        </w:numPr>
        <w:suppressAutoHyphens/>
        <w:autoSpaceDN w:val="0"/>
        <w:spacing w:before="120" w:after="0" w:line="240" w:lineRule="auto"/>
        <w:ind w:left="851" w:hanging="284"/>
        <w:jc w:val="both"/>
        <w:textAlignment w:val="baseline"/>
        <w:rPr>
          <w:rFonts w:eastAsia="Calibri" w:cs="Arial"/>
          <w:lang w:val="fr-FR"/>
        </w:rPr>
      </w:pPr>
      <w:r w:rsidRPr="00EA289A">
        <w:rPr>
          <w:rFonts w:eastAsia="Calibri" w:cs="Arial"/>
          <w:u w:val="single"/>
          <w:lang w:val="fr-FR"/>
        </w:rPr>
        <w:t>Mesures de conservation par zone et connectivité écologique</w:t>
      </w:r>
      <w:r w:rsidR="00353D16" w:rsidRPr="00EA289A">
        <w:rPr>
          <w:rFonts w:eastAsia="Calibri" w:cs="Arial"/>
          <w:u w:val="single"/>
          <w:lang w:val="fr-FR"/>
        </w:rPr>
        <w:t> :</w:t>
      </w:r>
      <w:r w:rsidRPr="00EA289A">
        <w:rPr>
          <w:rFonts w:eastAsia="Calibri" w:cs="Arial"/>
          <w:lang w:val="fr-FR"/>
        </w:rPr>
        <w:t xml:space="preserve"> le Secrétariat de la CDB a rejoint le Partenariat mondial sur la connectivité écologique et, dans ce contexte, la collaboration a été axée sur le soutien à la diffusion et à l'application d'outils et de lignes directrices visant la mise en œuvre et le suivi de la connectivité dans le cadre du KMGBF. Des détails supplémentaires sont inclus dans le document </w:t>
      </w:r>
      <w:hyperlink r:id="rId22" w:history="1">
        <w:r w:rsidR="007C476A" w:rsidRPr="00EA289A">
          <w:rPr>
            <w:rStyle w:val="Hyperlink"/>
            <w:rFonts w:eastAsia="Calibri" w:cs="Arial"/>
            <w:lang w:val="fr-FR"/>
          </w:rPr>
          <w:t>UNEP/CMS/COP15/Doc.28.2</w:t>
        </w:r>
      </w:hyperlink>
      <w:r w:rsidRPr="00EA289A">
        <w:rPr>
          <w:lang w:val="fr-FR"/>
        </w:rPr>
        <w:t xml:space="preserve"> </w:t>
      </w:r>
      <w:r w:rsidRPr="00EA289A">
        <w:rPr>
          <w:i/>
          <w:iCs/>
          <w:lang w:val="fr-FR"/>
        </w:rPr>
        <w:t>Connectivité écologique</w:t>
      </w:r>
      <w:r w:rsidRPr="00EA289A">
        <w:rPr>
          <w:rFonts w:eastAsia="Calibri" w:cs="Arial"/>
          <w:lang w:val="fr-FR"/>
        </w:rPr>
        <w:t xml:space="preserve">. Le Secrétariat de la CMS a fourni des contributions en réponse à la </w:t>
      </w:r>
      <w:hyperlink r:id="rId23" w:history="1">
        <w:r w:rsidR="007C476A" w:rsidRPr="00EA289A">
          <w:rPr>
            <w:rStyle w:val="Hyperlink"/>
            <w:rFonts w:eastAsia="Calibri" w:cs="Arial"/>
            <w:lang w:val="fr-FR"/>
          </w:rPr>
          <w:t>Notification 2025-135 de la CDB</w:t>
        </w:r>
      </w:hyperlink>
      <w:r w:rsidRPr="00EA289A">
        <w:rPr>
          <w:lang w:val="fr-FR"/>
        </w:rPr>
        <w:t xml:space="preserve"> avec </w:t>
      </w:r>
      <w:r w:rsidRPr="00EA289A">
        <w:rPr>
          <w:rFonts w:eastAsia="Calibri" w:cs="Arial"/>
          <w:lang w:val="fr-FR"/>
        </w:rPr>
        <w:t>des avis et des informations concernant l'étude stratégique et l'analyse du Programme de travail actuel relatif aux zones protégées (</w:t>
      </w:r>
      <w:proofErr w:type="spellStart"/>
      <w:r w:rsidRPr="00EA289A">
        <w:rPr>
          <w:rFonts w:eastAsia="Calibri" w:cs="Arial"/>
          <w:lang w:val="fr-FR"/>
        </w:rPr>
        <w:t>PowPA</w:t>
      </w:r>
      <w:proofErr w:type="spellEnd"/>
      <w:r w:rsidRPr="00EA289A">
        <w:rPr>
          <w:rFonts w:eastAsia="Calibri" w:cs="Arial"/>
          <w:lang w:val="fr-FR"/>
        </w:rPr>
        <w:t>) dans le contexte du KMGBF. Le Secrétariat de la CMS s'est engagé dans l'</w:t>
      </w:r>
      <w:hyperlink r:id="rId24" w:history="1">
        <w:r w:rsidR="007C476A" w:rsidRPr="00EA289A">
          <w:rPr>
            <w:rStyle w:val="Hyperlink"/>
            <w:rFonts w:eastAsia="Calibri" w:cs="Arial"/>
            <w:lang w:val="fr-FR"/>
          </w:rPr>
          <w:t>Initiative de dialogue pour la paix et la biodiversité (PBDI)</w:t>
        </w:r>
      </w:hyperlink>
      <w:r w:rsidRPr="00EA289A">
        <w:rPr>
          <w:rFonts w:eastAsia="Calibri" w:cs="Arial"/>
          <w:lang w:val="fr-FR"/>
        </w:rPr>
        <w:t xml:space="preserve"> de la CDB qui promeut la coopération transfrontalière dans les aires protégées au niveau mondial.</w:t>
      </w:r>
    </w:p>
    <w:p w14:paraId="11C4FB6C" w14:textId="77777777" w:rsidR="007C476A" w:rsidRPr="00EA289A" w:rsidRDefault="0007653E">
      <w:pPr>
        <w:numPr>
          <w:ilvl w:val="1"/>
          <w:numId w:val="25"/>
        </w:numPr>
        <w:suppressAutoHyphens/>
        <w:autoSpaceDN w:val="0"/>
        <w:spacing w:before="120" w:after="0" w:line="240" w:lineRule="auto"/>
        <w:ind w:left="851" w:hanging="284"/>
        <w:jc w:val="both"/>
        <w:textAlignment w:val="baseline"/>
        <w:rPr>
          <w:rFonts w:eastAsia="Calibri" w:cs="Arial"/>
          <w:lang w:val="fr-FR"/>
        </w:rPr>
      </w:pPr>
      <w:r w:rsidRPr="00EA289A">
        <w:rPr>
          <w:rFonts w:eastAsia="Calibri" w:cs="Arial"/>
          <w:u w:val="single"/>
          <w:lang w:val="fr-FR"/>
        </w:rPr>
        <w:t>Océans :</w:t>
      </w:r>
      <w:r w:rsidRPr="00EA289A">
        <w:rPr>
          <w:rFonts w:eastAsia="Calibri" w:cs="Arial"/>
          <w:lang w:val="fr-FR"/>
        </w:rPr>
        <w:t xml:space="preserve"> le Secrétariat a participé à la quatrième réunion du Dialogue mondial de l'Initiative pour un océan durable (SOI) avec les organisations maritimes régionales et les organismes régionaux de pêche en juin 2024, ainsi qu'à la réunion de la SOI en marge de la Conférence des Nations Unies sur l'Océan (UNOC3) à Nice, en France, en juin 2025.</w:t>
      </w:r>
    </w:p>
    <w:p w14:paraId="4CEE0A24" w14:textId="71651BFE" w:rsidR="007C476A" w:rsidRPr="00EA289A" w:rsidRDefault="0007653E">
      <w:pPr>
        <w:numPr>
          <w:ilvl w:val="1"/>
          <w:numId w:val="25"/>
        </w:numPr>
        <w:suppressAutoHyphens/>
        <w:autoSpaceDN w:val="0"/>
        <w:spacing w:before="120" w:after="0" w:line="240" w:lineRule="auto"/>
        <w:ind w:left="851" w:hanging="284"/>
        <w:jc w:val="both"/>
        <w:textAlignment w:val="baseline"/>
        <w:rPr>
          <w:rFonts w:eastAsia="Calibri" w:cs="Arial"/>
          <w:lang w:val="fr-FR"/>
        </w:rPr>
      </w:pPr>
      <w:r w:rsidRPr="00EA289A">
        <w:rPr>
          <w:rFonts w:eastAsia="Calibri" w:cs="Arial"/>
          <w:u w:val="single"/>
          <w:lang w:val="fr-FR"/>
        </w:rPr>
        <w:t xml:space="preserve">Changement climatique </w:t>
      </w:r>
      <w:r w:rsidRPr="00EA289A">
        <w:rPr>
          <w:rFonts w:eastAsia="Calibri" w:cs="Arial"/>
          <w:lang w:val="fr-FR"/>
        </w:rPr>
        <w:t xml:space="preserve">: le Secrétariat de la CMS a communiqué des avis et des informations concernant les espèces migratrices et le changement climatique en accord avec la </w:t>
      </w:r>
      <w:hyperlink r:id="rId25" w:history="1">
        <w:r w:rsidR="007C476A" w:rsidRPr="00EA289A">
          <w:rPr>
            <w:rStyle w:val="Hyperlink"/>
            <w:rFonts w:eastAsia="Calibri" w:cs="Arial"/>
            <w:lang w:val="fr-FR"/>
          </w:rPr>
          <w:t>Notification 2025-005 de la CDB</w:t>
        </w:r>
      </w:hyperlink>
      <w:r w:rsidRPr="00EA289A">
        <w:rPr>
          <w:rFonts w:eastAsia="Calibri" w:cs="Arial"/>
          <w:lang w:val="fr-FR"/>
        </w:rPr>
        <w:t xml:space="preserve">. Le Secrétariat de la CDB a participé à l'Atelier d'experts de la CMS sur les espèces migratrices et le changement climatique, qui s'est tenu en février 2025. Pour plus de détails, voir le document </w:t>
      </w:r>
      <w:hyperlink r:id="rId26" w:history="1">
        <w:r w:rsidR="007C476A" w:rsidRPr="00EA289A">
          <w:rPr>
            <w:rStyle w:val="Hyperlink"/>
            <w:rFonts w:eastAsia="Calibri" w:cs="Arial"/>
            <w:lang w:val="fr-FR"/>
          </w:rPr>
          <w:t>UNEP/CMS/COP15/Doc.28.12</w:t>
        </w:r>
      </w:hyperlink>
      <w:r w:rsidRPr="00EA289A">
        <w:rPr>
          <w:lang w:val="fr-FR"/>
        </w:rPr>
        <w:t xml:space="preserve"> </w:t>
      </w:r>
      <w:r w:rsidRPr="00EA289A">
        <w:rPr>
          <w:i/>
          <w:iCs/>
          <w:lang w:val="fr-FR"/>
        </w:rPr>
        <w:t>Changement climatique</w:t>
      </w:r>
      <w:r w:rsidRPr="00EA289A">
        <w:rPr>
          <w:rFonts w:eastAsia="Calibri" w:cs="Arial"/>
          <w:lang w:val="fr-FR"/>
        </w:rPr>
        <w:t xml:space="preserve">. </w:t>
      </w:r>
    </w:p>
    <w:p w14:paraId="6307F1D9" w14:textId="3F6C80A9" w:rsidR="007C476A" w:rsidRPr="00EA289A" w:rsidRDefault="0007653E">
      <w:pPr>
        <w:numPr>
          <w:ilvl w:val="1"/>
          <w:numId w:val="25"/>
        </w:numPr>
        <w:suppressAutoHyphens/>
        <w:autoSpaceDN w:val="0"/>
        <w:spacing w:before="120" w:after="0" w:line="240" w:lineRule="auto"/>
        <w:ind w:left="851" w:hanging="284"/>
        <w:jc w:val="both"/>
        <w:textAlignment w:val="baseline"/>
        <w:rPr>
          <w:rFonts w:eastAsia="Calibri" w:cs="Arial"/>
          <w:lang w:val="fr-FR"/>
        </w:rPr>
      </w:pPr>
      <w:r w:rsidRPr="00EA289A">
        <w:rPr>
          <w:rFonts w:eastAsia="Calibri" w:cs="Arial"/>
          <w:u w:val="single"/>
          <w:lang w:val="fr-FR"/>
        </w:rPr>
        <w:t>Gestion durable de la faune sauvage</w:t>
      </w:r>
      <w:r w:rsidR="00353D16" w:rsidRPr="00EA289A">
        <w:rPr>
          <w:rFonts w:eastAsia="Calibri" w:cs="Arial"/>
          <w:u w:val="single"/>
          <w:lang w:val="fr-FR"/>
        </w:rPr>
        <w:t> :</w:t>
      </w:r>
      <w:r w:rsidRPr="00EA289A">
        <w:rPr>
          <w:rFonts w:eastAsia="Calibri" w:cs="Arial"/>
          <w:lang w:val="fr-FR"/>
        </w:rPr>
        <w:t xml:space="preserve"> le Secrétariat a participé activement à la préparation d'un projet d'orientation mondiale sur la gestion durable de la faune sauvage, comme demandé dans la Décision 16/15 de la CDB et a soumis des contributions en accord avec la </w:t>
      </w:r>
      <w:hyperlink r:id="rId27" w:history="1">
        <w:r w:rsidR="007C476A" w:rsidRPr="00EA289A">
          <w:rPr>
            <w:rStyle w:val="Hyperlink"/>
            <w:rFonts w:eastAsia="Calibri" w:cs="Arial"/>
            <w:lang w:val="fr-FR"/>
          </w:rPr>
          <w:t>Notification 2025-014 de la CDB</w:t>
        </w:r>
      </w:hyperlink>
      <w:r w:rsidRPr="00EA289A">
        <w:rPr>
          <w:rFonts w:eastAsia="Calibri" w:cs="Arial"/>
          <w:lang w:val="fr-FR"/>
        </w:rPr>
        <w:t>.</w:t>
      </w:r>
      <w:r w:rsidRPr="00EA289A">
        <w:rPr>
          <w:rFonts w:ascii="Calibri" w:hAnsi="Calibri" w:cs="Calibri"/>
          <w:lang w:val="fr-FR"/>
        </w:rPr>
        <w:t xml:space="preserve"> </w:t>
      </w:r>
      <w:r w:rsidRPr="00EA289A">
        <w:rPr>
          <w:rFonts w:eastAsia="Calibri" w:cs="Arial"/>
          <w:lang w:val="fr-FR"/>
        </w:rPr>
        <w:t>Le Secrétariat participera à la réunion d'experts dédiée qui se tiendra du 9 au 11 février 2026 à Bonn.</w:t>
      </w:r>
    </w:p>
    <w:p w14:paraId="42D60BD1" w14:textId="3DC8EC92" w:rsidR="007C476A" w:rsidRPr="00EA289A" w:rsidRDefault="0007653E">
      <w:pPr>
        <w:numPr>
          <w:ilvl w:val="1"/>
          <w:numId w:val="25"/>
        </w:numPr>
        <w:suppressAutoHyphens/>
        <w:autoSpaceDN w:val="0"/>
        <w:spacing w:before="120" w:after="0" w:line="240" w:lineRule="auto"/>
        <w:ind w:left="851" w:hanging="284"/>
        <w:jc w:val="both"/>
        <w:textAlignment w:val="baseline"/>
        <w:rPr>
          <w:rFonts w:eastAsia="Calibri" w:cs="Arial"/>
          <w:lang w:val="fr-FR"/>
        </w:rPr>
      </w:pPr>
      <w:r w:rsidRPr="00EA289A">
        <w:rPr>
          <w:rFonts w:eastAsia="Calibri" w:cs="Arial"/>
          <w:u w:val="single"/>
          <w:lang w:val="fr-FR"/>
        </w:rPr>
        <w:lastRenderedPageBreak/>
        <w:t>Énergie :</w:t>
      </w:r>
      <w:r w:rsidR="00353D16" w:rsidRPr="00EA289A">
        <w:rPr>
          <w:rFonts w:eastAsia="Calibri" w:cs="Arial"/>
          <w:lang w:val="fr-FR"/>
        </w:rPr>
        <w:t xml:space="preserve"> l</w:t>
      </w:r>
      <w:r w:rsidRPr="00EA289A">
        <w:rPr>
          <w:rFonts w:eastAsia="Calibri" w:cs="Arial"/>
          <w:lang w:val="fr-FR"/>
        </w:rPr>
        <w:t xml:space="preserve">e Secrétariat de la CDB participe aux travaux et aux réunions du Groupe d'étude de l'énergie de la CMS. Pour plus de détails, voir le document </w:t>
      </w:r>
      <w:hyperlink r:id="rId28">
        <w:r w:rsidR="007C476A" w:rsidRPr="00EA289A">
          <w:rPr>
            <w:rStyle w:val="Hyperlink"/>
            <w:rFonts w:eastAsia="Calibri" w:cs="Arial"/>
            <w:lang w:val="fr-FR"/>
          </w:rPr>
          <w:t>UNEP/CMS/COP15/Doc.28.11</w:t>
        </w:r>
      </w:hyperlink>
      <w:r w:rsidRPr="00EA289A">
        <w:rPr>
          <w:lang w:val="fr-FR"/>
        </w:rPr>
        <w:t xml:space="preserve"> </w:t>
      </w:r>
      <w:r w:rsidRPr="00EA289A">
        <w:rPr>
          <w:i/>
          <w:iCs/>
          <w:lang w:val="fr-FR"/>
        </w:rPr>
        <w:t>Énergie Renouvelable</w:t>
      </w:r>
      <w:r w:rsidRPr="00EA289A">
        <w:rPr>
          <w:rFonts w:eastAsia="Calibri" w:cs="Arial"/>
          <w:lang w:val="fr-FR"/>
        </w:rPr>
        <w:t>.</w:t>
      </w:r>
    </w:p>
    <w:p w14:paraId="28901FAD" w14:textId="77777777" w:rsidR="007C476A" w:rsidRPr="00EA289A" w:rsidRDefault="0007653E">
      <w:pPr>
        <w:numPr>
          <w:ilvl w:val="1"/>
          <w:numId w:val="25"/>
        </w:numPr>
        <w:suppressAutoHyphens/>
        <w:autoSpaceDN w:val="0"/>
        <w:spacing w:before="120" w:after="0" w:line="240" w:lineRule="auto"/>
        <w:ind w:left="851" w:hanging="284"/>
        <w:jc w:val="both"/>
        <w:textAlignment w:val="baseline"/>
        <w:rPr>
          <w:rFonts w:eastAsia="Calibri" w:cs="Arial"/>
          <w:lang w:val="fr-FR"/>
        </w:rPr>
      </w:pPr>
      <w:r w:rsidRPr="00EA289A">
        <w:rPr>
          <w:rFonts w:eastAsia="Calibri" w:cs="Arial"/>
          <w:u w:val="single"/>
          <w:lang w:val="fr-FR"/>
        </w:rPr>
        <w:t>Engagement du secteur privé :</w:t>
      </w:r>
      <w:r w:rsidRPr="00EA289A">
        <w:rPr>
          <w:rFonts w:ascii="Aptos" w:hAnsi="Aptos" w:cs="Aptos"/>
          <w:lang w:val="fr-FR"/>
          <w14:ligatures w14:val="standardContextual"/>
        </w:rPr>
        <w:t xml:space="preserve"> </w:t>
      </w:r>
      <w:r w:rsidRPr="00EA289A">
        <w:rPr>
          <w:rFonts w:eastAsia="Calibri" w:cs="Arial"/>
          <w:lang w:val="fr-FR"/>
        </w:rPr>
        <w:t>des consultations ont été initiées sur les travaux de la CDB concernant l'engagement des entreprises, ainsi que sur la manière dont les secrétariats pourraient collaborer dans des domaines pertinents tels que les infrastructures, l'énergie, la pollution, les plans d'entreprise et la préservation des terres.</w:t>
      </w:r>
    </w:p>
    <w:p w14:paraId="3C1C0604" w14:textId="77777777" w:rsidR="007C476A" w:rsidRPr="00EA289A" w:rsidRDefault="0007653E">
      <w:pPr>
        <w:numPr>
          <w:ilvl w:val="1"/>
          <w:numId w:val="25"/>
        </w:numPr>
        <w:suppressAutoHyphens/>
        <w:autoSpaceDN w:val="0"/>
        <w:spacing w:before="120" w:after="0" w:line="240" w:lineRule="auto"/>
        <w:ind w:left="851" w:hanging="284"/>
        <w:jc w:val="both"/>
        <w:textAlignment w:val="baseline"/>
        <w:rPr>
          <w:rFonts w:eastAsia="Calibri" w:cs="Arial"/>
          <w:lang w:val="fr-FR"/>
        </w:rPr>
      </w:pPr>
      <w:r w:rsidRPr="00EA289A">
        <w:rPr>
          <w:rFonts w:eastAsia="Calibri" w:cs="Arial"/>
          <w:u w:val="single"/>
          <w:lang w:val="fr-FR"/>
        </w:rPr>
        <w:t>Engagement des peuples autochtones et des communautés locales :</w:t>
      </w:r>
      <w:r w:rsidRPr="00EA289A">
        <w:rPr>
          <w:rFonts w:eastAsia="Calibri" w:cs="Arial"/>
          <w:lang w:val="fr-FR"/>
        </w:rPr>
        <w:t xml:space="preserve"> des consultations ont été initiées afin d'explorer les moyens d'accroître l'implication des peuples autochtones, des groupes de jeunes et des communautés locales dans les processus de la CMS, en s'appuyant sur les processus et programmes bien établis de la CDB.</w:t>
      </w:r>
    </w:p>
    <w:p w14:paraId="1A1F9CF3" w14:textId="308F2008" w:rsidR="007C476A" w:rsidRPr="00EA289A" w:rsidRDefault="0007653E">
      <w:pPr>
        <w:numPr>
          <w:ilvl w:val="1"/>
          <w:numId w:val="25"/>
        </w:numPr>
        <w:suppressAutoHyphens/>
        <w:autoSpaceDN w:val="0"/>
        <w:spacing w:before="120" w:after="0" w:line="240" w:lineRule="auto"/>
        <w:ind w:left="851" w:hanging="284"/>
        <w:jc w:val="both"/>
        <w:textAlignment w:val="baseline"/>
        <w:rPr>
          <w:rFonts w:eastAsia="Calibri" w:cs="Arial"/>
          <w:lang w:val="fr-FR"/>
        </w:rPr>
      </w:pPr>
      <w:r w:rsidRPr="00EA289A">
        <w:rPr>
          <w:rFonts w:eastAsia="Calibri" w:cs="Arial"/>
          <w:u w:val="single"/>
          <w:lang w:val="fr-FR"/>
        </w:rPr>
        <w:t>Biodiversité et santé</w:t>
      </w:r>
      <w:r w:rsidR="00353D16" w:rsidRPr="00EA289A">
        <w:rPr>
          <w:rFonts w:eastAsia="Calibri" w:cs="Arial"/>
          <w:u w:val="single"/>
          <w:lang w:val="fr-FR"/>
        </w:rPr>
        <w:t> :</w:t>
      </w:r>
      <w:r w:rsidRPr="00EA289A">
        <w:rPr>
          <w:rFonts w:eastAsia="Calibri" w:cs="Arial"/>
          <w:lang w:val="fr-FR"/>
        </w:rPr>
        <w:t xml:space="preserve"> des consultations sont en cours en vue de l'élaboration de matériel de sensibilisation sur les liens entre la biodiversité et la santé, ainsi que sur l'importance de la coopération intersectorielle.</w:t>
      </w:r>
    </w:p>
    <w:p w14:paraId="49D4D36B" w14:textId="77777777" w:rsidR="007C476A" w:rsidRPr="00EA289A" w:rsidRDefault="007C476A">
      <w:pPr>
        <w:widowControl w:val="0"/>
        <w:tabs>
          <w:tab w:val="num" w:pos="1134"/>
        </w:tabs>
        <w:spacing w:before="120" w:after="0" w:line="240" w:lineRule="auto"/>
        <w:ind w:left="1134" w:hanging="425"/>
        <w:jc w:val="both"/>
        <w:rPr>
          <w:rFonts w:eastAsia="Calibri" w:cs="Arial"/>
          <w:color w:val="000000" w:themeColor="text1"/>
          <w:highlight w:val="yellow"/>
          <w:lang w:val="fr-FR"/>
        </w:rPr>
      </w:pPr>
    </w:p>
    <w:p w14:paraId="04BF921B" w14:textId="77777777" w:rsidR="007C476A" w:rsidRPr="00EA289A" w:rsidRDefault="0007653E">
      <w:pPr>
        <w:spacing w:after="0" w:line="240" w:lineRule="auto"/>
        <w:jc w:val="both"/>
        <w:rPr>
          <w:rFonts w:cs="Arial"/>
          <w:u w:val="single"/>
          <w:lang w:val="fr-FR"/>
        </w:rPr>
      </w:pPr>
      <w:r w:rsidRPr="00EA289A">
        <w:rPr>
          <w:rFonts w:cs="Arial"/>
          <w:u w:val="single"/>
          <w:lang w:val="fr-FR"/>
        </w:rPr>
        <w:t>Discussion et analyse</w:t>
      </w:r>
    </w:p>
    <w:p w14:paraId="4454CE4E" w14:textId="77777777" w:rsidR="007C476A" w:rsidRPr="00EA289A" w:rsidRDefault="007C476A">
      <w:pPr>
        <w:spacing w:after="0" w:line="240" w:lineRule="auto"/>
        <w:jc w:val="both"/>
        <w:rPr>
          <w:rFonts w:cs="Arial"/>
          <w:highlight w:val="yellow"/>
          <w:lang w:val="fr-FR"/>
        </w:rPr>
      </w:pPr>
    </w:p>
    <w:p w14:paraId="047B5E88"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cs="Arial"/>
          <w:lang w:val="fr-FR"/>
        </w:rPr>
        <w:t xml:space="preserve">Le </w:t>
      </w:r>
      <w:r w:rsidRPr="00EA289A">
        <w:rPr>
          <w:rFonts w:eastAsia="Calibri" w:cs="Arial"/>
          <w:lang w:val="fr-FR"/>
        </w:rPr>
        <w:t xml:space="preserve">Secrétariat </w:t>
      </w:r>
      <w:r w:rsidRPr="00EA289A">
        <w:rPr>
          <w:rFonts w:cs="Arial"/>
          <w:lang w:val="fr-FR"/>
        </w:rPr>
        <w:t>joue un rôle essentiel dans l'avancement du KMGBF</w:t>
      </w:r>
      <w:r w:rsidRPr="00EA289A">
        <w:rPr>
          <w:rFonts w:eastAsia="Calibri" w:cs="Arial"/>
          <w:lang w:val="fr-FR"/>
        </w:rPr>
        <w:t xml:space="preserve"> en établissant un lien entre les objectifs mondiaux et régionaux en matière de biodiversité et les actions de conservation spécifiques aux espèces migratrices. Grâce à son Plan stratégique (PSEM) 2024–2032, à sa participation au Processus de Berne et à son intégration dans les Stratégies et plans d'action nationaux pour la biodiversité (SPANB), le Secrétariat veille à ce que la conservation des espèces migratrices demeure un pilier fondamental des efforts mondiaux en faveur de la biodiversité. La collaboration continue entre la CMS et la CDB, soutenue par un Programme de travail conjoint à venir, permettra de renforcer les synergies, d'optimiser les ressources et de consolider les progrès collectifs vers les objectifs 2030 et 2050 du KMGBF.</w:t>
      </w:r>
    </w:p>
    <w:p w14:paraId="0BE632DE" w14:textId="77777777" w:rsidR="007C476A" w:rsidRPr="00EA289A" w:rsidRDefault="007C476A">
      <w:pPr>
        <w:spacing w:after="0" w:line="240" w:lineRule="auto"/>
        <w:jc w:val="both"/>
        <w:rPr>
          <w:rFonts w:cs="Arial"/>
          <w:highlight w:val="yellow"/>
          <w:lang w:val="fr-FR"/>
        </w:rPr>
      </w:pPr>
    </w:p>
    <w:p w14:paraId="193A2F9D" w14:textId="77777777" w:rsidR="007C476A" w:rsidRPr="00EA289A" w:rsidRDefault="0007653E">
      <w:pPr>
        <w:spacing w:after="0" w:line="240" w:lineRule="auto"/>
        <w:jc w:val="both"/>
        <w:rPr>
          <w:rFonts w:cs="Arial"/>
          <w:lang w:val="fr-FR"/>
        </w:rPr>
      </w:pPr>
      <w:r w:rsidRPr="00EA289A">
        <w:rPr>
          <w:rFonts w:cs="Arial"/>
          <w:u w:val="single"/>
          <w:lang w:val="fr-FR"/>
        </w:rPr>
        <w:t>Actions recommandées</w:t>
      </w:r>
    </w:p>
    <w:p w14:paraId="68416004" w14:textId="77777777" w:rsidR="007C476A" w:rsidRPr="00EA289A" w:rsidRDefault="007C476A">
      <w:pPr>
        <w:spacing w:after="0" w:line="240" w:lineRule="auto"/>
        <w:jc w:val="both"/>
        <w:rPr>
          <w:rFonts w:cs="Arial"/>
          <w:lang w:val="fr-FR"/>
        </w:rPr>
      </w:pPr>
    </w:p>
    <w:p w14:paraId="2F0D6C52" w14:textId="77777777" w:rsidR="007C476A" w:rsidRPr="00EA289A" w:rsidRDefault="0007653E">
      <w:pPr>
        <w:pStyle w:val="ListParagraph"/>
        <w:widowControl w:val="0"/>
        <w:numPr>
          <w:ilvl w:val="0"/>
          <w:numId w:val="4"/>
        </w:numPr>
        <w:suppressAutoHyphens/>
        <w:spacing w:after="0" w:line="240" w:lineRule="auto"/>
        <w:ind w:left="630" w:hanging="630"/>
        <w:jc w:val="both"/>
        <w:rPr>
          <w:rFonts w:eastAsia="Calibri" w:cs="Arial"/>
          <w:lang w:val="fr-FR"/>
        </w:rPr>
      </w:pPr>
      <w:r w:rsidRPr="00EA289A">
        <w:rPr>
          <w:rFonts w:eastAsia="Calibri" w:cs="Arial"/>
          <w:lang w:val="fr-FR"/>
        </w:rPr>
        <w:t>Il est recommandé à la Conférence des Parties :</w:t>
      </w:r>
    </w:p>
    <w:p w14:paraId="31014AB9" w14:textId="77777777" w:rsidR="007C476A" w:rsidRPr="00EA289A" w:rsidRDefault="007C476A">
      <w:pPr>
        <w:pStyle w:val="Secondnumbering"/>
        <w:jc w:val="both"/>
        <w:rPr>
          <w:rFonts w:cs="Arial"/>
          <w:lang w:val="fr-FR"/>
        </w:rPr>
      </w:pPr>
    </w:p>
    <w:p w14:paraId="199C793F" w14:textId="77777777" w:rsidR="007C476A" w:rsidRPr="00EA289A" w:rsidRDefault="0007653E">
      <w:pPr>
        <w:pStyle w:val="Secondnumbering"/>
        <w:numPr>
          <w:ilvl w:val="0"/>
          <w:numId w:val="13"/>
        </w:numPr>
        <w:ind w:left="1080" w:hanging="540"/>
        <w:jc w:val="both"/>
        <w:rPr>
          <w:rFonts w:cs="Arial"/>
          <w:lang w:val="fr-FR"/>
        </w:rPr>
      </w:pPr>
      <w:r w:rsidRPr="00EA289A">
        <w:rPr>
          <w:rFonts w:cs="Arial"/>
          <w:lang w:val="fr-FR"/>
        </w:rPr>
        <w:t>d'adopter le projet de décisions figurant à l'annexe du présent document ;</w:t>
      </w:r>
    </w:p>
    <w:p w14:paraId="22E417CB" w14:textId="77777777" w:rsidR="007C476A" w:rsidRPr="00EA289A" w:rsidRDefault="007C476A">
      <w:pPr>
        <w:pStyle w:val="Secondnumbering"/>
        <w:ind w:left="1080"/>
        <w:jc w:val="both"/>
        <w:rPr>
          <w:rFonts w:cs="Arial"/>
          <w:lang w:val="fr-FR"/>
        </w:rPr>
      </w:pPr>
    </w:p>
    <w:p w14:paraId="2371792D" w14:textId="77777777" w:rsidR="007C476A" w:rsidRPr="00EA289A" w:rsidRDefault="0007653E">
      <w:pPr>
        <w:pStyle w:val="Secondnumbering"/>
        <w:numPr>
          <w:ilvl w:val="0"/>
          <w:numId w:val="13"/>
        </w:numPr>
        <w:ind w:left="1080" w:hanging="540"/>
        <w:jc w:val="both"/>
        <w:rPr>
          <w:rFonts w:cs="Arial"/>
          <w:lang w:val="fr-FR"/>
        </w:rPr>
      </w:pPr>
      <w:r w:rsidRPr="00EA289A">
        <w:rPr>
          <w:rFonts w:cs="Arial"/>
          <w:lang w:val="fr-FR"/>
        </w:rPr>
        <w:t>d'abroger les Décisions 14.6 et 14.7</w:t>
      </w:r>
    </w:p>
    <w:p w14:paraId="53427030" w14:textId="77777777" w:rsidR="007C476A" w:rsidRPr="00EA289A" w:rsidRDefault="007C476A">
      <w:pPr>
        <w:pStyle w:val="Secondnumbering"/>
        <w:numPr>
          <w:ilvl w:val="0"/>
          <w:numId w:val="13"/>
        </w:numPr>
        <w:ind w:left="1080" w:hanging="540"/>
        <w:jc w:val="both"/>
        <w:rPr>
          <w:rFonts w:cs="Arial"/>
          <w:lang w:val="fr-FR"/>
        </w:rPr>
        <w:sectPr w:rsidR="007C476A" w:rsidRPr="00EA289A">
          <w:headerReference w:type="even" r:id="rId29"/>
          <w:headerReference w:type="default" r:id="rId30"/>
          <w:footerReference w:type="even" r:id="rId31"/>
          <w:footerReference w:type="default" r:id="rId32"/>
          <w:headerReference w:type="first" r:id="rId33"/>
          <w:pgSz w:w="11906" w:h="16838" w:code="9"/>
          <w:pgMar w:top="1440" w:right="1440" w:bottom="1440" w:left="1440" w:header="720" w:footer="720" w:gutter="0"/>
          <w:cols w:space="720"/>
          <w:titlePg/>
          <w:docGrid w:linePitch="360"/>
        </w:sectPr>
      </w:pPr>
    </w:p>
    <w:p w14:paraId="36D6CE29" w14:textId="77777777" w:rsidR="007C476A" w:rsidRPr="00EA289A" w:rsidRDefault="0007653E">
      <w:pPr>
        <w:spacing w:after="0" w:line="240" w:lineRule="auto"/>
        <w:jc w:val="right"/>
        <w:rPr>
          <w:rFonts w:cs="Arial"/>
          <w:b/>
          <w:bCs/>
          <w:caps/>
          <w:lang w:val="fr-FR"/>
        </w:rPr>
      </w:pPr>
      <w:r w:rsidRPr="00EA289A">
        <w:rPr>
          <w:rFonts w:cs="Arial"/>
          <w:b/>
          <w:caps/>
          <w:lang w:val="fr-FR"/>
        </w:rPr>
        <w:lastRenderedPageBreak/>
        <w:t>Annexe</w:t>
      </w:r>
    </w:p>
    <w:p w14:paraId="69AFC3DF" w14:textId="77777777" w:rsidR="007C476A" w:rsidRPr="00EA289A" w:rsidRDefault="007C476A">
      <w:pPr>
        <w:spacing w:after="0" w:line="240" w:lineRule="auto"/>
        <w:rPr>
          <w:rFonts w:cs="Arial"/>
          <w:lang w:val="fr-FR"/>
        </w:rPr>
      </w:pPr>
    </w:p>
    <w:p w14:paraId="16FA3F12" w14:textId="77777777" w:rsidR="007C476A" w:rsidRPr="00EA289A" w:rsidRDefault="007C476A">
      <w:pPr>
        <w:spacing w:after="0" w:line="240" w:lineRule="auto"/>
        <w:rPr>
          <w:rFonts w:cs="Arial"/>
          <w:lang w:val="fr-FR"/>
        </w:rPr>
      </w:pPr>
    </w:p>
    <w:p w14:paraId="19524F16" w14:textId="4BB7DF93" w:rsidR="007C476A" w:rsidRPr="00EA289A" w:rsidRDefault="0007653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sidRPr="00EA289A">
        <w:rPr>
          <w:rFonts w:cs="Arial"/>
          <w:bCs/>
          <w:caps/>
          <w:lang w:val="fr-FR"/>
        </w:rPr>
        <w:t>Projet de d</w:t>
      </w:r>
      <w:r w:rsidR="009B5022">
        <w:rPr>
          <w:rFonts w:cs="Arial"/>
          <w:bCs/>
          <w:caps/>
          <w:lang w:val="fr-FR"/>
        </w:rPr>
        <w:t>É</w:t>
      </w:r>
      <w:r w:rsidRPr="00EA289A">
        <w:rPr>
          <w:rFonts w:cs="Arial"/>
          <w:bCs/>
          <w:caps/>
          <w:lang w:val="fr-FR"/>
        </w:rPr>
        <w:t>cisions</w:t>
      </w:r>
    </w:p>
    <w:p w14:paraId="05B0C5A7" w14:textId="77777777" w:rsidR="007C476A" w:rsidRPr="00EA289A" w:rsidRDefault="007C476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p>
    <w:p w14:paraId="699B5628" w14:textId="77777777" w:rsidR="007C476A" w:rsidRPr="00EA289A" w:rsidRDefault="0007653E">
      <w:pPr>
        <w:widowControl w:val="0"/>
        <w:spacing w:after="0" w:line="240" w:lineRule="auto"/>
        <w:jc w:val="center"/>
        <w:rPr>
          <w:rFonts w:eastAsia="Arial" w:cs="Arial"/>
          <w:b/>
          <w:bCs/>
          <w:highlight w:val="yellow"/>
          <w:lang w:val="fr-FR"/>
        </w:rPr>
      </w:pPr>
      <w:r w:rsidRPr="00EA289A">
        <w:rPr>
          <w:rFonts w:eastAsia="Arial" w:cs="Arial"/>
          <w:b/>
          <w:bCs/>
          <w:lang w:val="fr-FR"/>
        </w:rPr>
        <w:t>ENGAGEMENT DE LA CMS DANS LES PROCESSUS DE LA CDB, Y COMPRIS LE CADRE MONDIAL DE LA BIODIVERSITÉ DE KUNMING-MONTRÉAL</w:t>
      </w:r>
    </w:p>
    <w:p w14:paraId="0745291B" w14:textId="77777777" w:rsidR="007C476A" w:rsidRPr="00EA289A" w:rsidRDefault="007C476A">
      <w:pPr>
        <w:spacing w:after="0" w:line="240" w:lineRule="auto"/>
        <w:jc w:val="both"/>
        <w:rPr>
          <w:rFonts w:eastAsia="Arial" w:cs="Arial"/>
          <w:i/>
          <w:iCs/>
          <w:sz w:val="20"/>
          <w:szCs w:val="20"/>
          <w:lang w:val="fr-FR"/>
        </w:rPr>
      </w:pPr>
    </w:p>
    <w:p w14:paraId="0346ABDB" w14:textId="77777777" w:rsidR="007C476A" w:rsidRPr="00EA289A" w:rsidRDefault="007C476A">
      <w:pPr>
        <w:spacing w:after="0" w:line="240" w:lineRule="auto"/>
        <w:jc w:val="both"/>
        <w:rPr>
          <w:rFonts w:eastAsia="Arial" w:cs="Arial"/>
          <w:i/>
          <w:iCs/>
          <w:sz w:val="20"/>
          <w:szCs w:val="20"/>
          <w:lang w:val="fr-FR"/>
        </w:rPr>
      </w:pPr>
    </w:p>
    <w:p w14:paraId="493BA921" w14:textId="77777777" w:rsidR="007C476A" w:rsidRPr="00EA289A" w:rsidRDefault="0007653E">
      <w:pPr>
        <w:spacing w:after="0" w:line="240" w:lineRule="auto"/>
        <w:jc w:val="both"/>
        <w:rPr>
          <w:rFonts w:cs="Arial"/>
          <w:b/>
          <w:i/>
          <w:lang w:val="fr-FR"/>
        </w:rPr>
      </w:pPr>
      <w:r w:rsidRPr="00EA289A">
        <w:rPr>
          <w:rFonts w:cs="Arial"/>
          <w:b/>
          <w:i/>
          <w:lang w:val="fr-FR"/>
        </w:rPr>
        <w:t>À l'adresse des Parties</w:t>
      </w:r>
    </w:p>
    <w:p w14:paraId="10D43627" w14:textId="77777777" w:rsidR="007C476A" w:rsidRPr="00EA289A" w:rsidRDefault="007C476A">
      <w:pPr>
        <w:spacing w:after="0" w:line="240" w:lineRule="auto"/>
        <w:jc w:val="both"/>
        <w:rPr>
          <w:rFonts w:cs="Arial"/>
          <w:lang w:val="fr-FR"/>
        </w:rPr>
      </w:pPr>
    </w:p>
    <w:p w14:paraId="382E3482" w14:textId="77777777" w:rsidR="007C476A" w:rsidRPr="00EA289A" w:rsidRDefault="0007653E">
      <w:pPr>
        <w:spacing w:after="0" w:line="240" w:lineRule="auto"/>
        <w:jc w:val="both"/>
        <w:rPr>
          <w:rFonts w:cs="Arial"/>
          <w:lang w:val="fr-FR"/>
        </w:rPr>
      </w:pPr>
      <w:r w:rsidRPr="00EA289A">
        <w:rPr>
          <w:rFonts w:cs="Arial"/>
          <w:lang w:val="fr-FR"/>
        </w:rPr>
        <w:t xml:space="preserve">15.AA </w:t>
      </w:r>
      <w:r w:rsidRPr="00EA289A">
        <w:rPr>
          <w:rFonts w:cs="Arial"/>
          <w:lang w:val="fr-FR"/>
        </w:rPr>
        <w:tab/>
        <w:t>Les Parties sont invitées à :</w:t>
      </w:r>
    </w:p>
    <w:p w14:paraId="5FA13DDC" w14:textId="77777777" w:rsidR="007C476A" w:rsidRPr="00EA289A" w:rsidRDefault="007C476A">
      <w:pPr>
        <w:spacing w:after="0" w:line="240" w:lineRule="auto"/>
        <w:jc w:val="both"/>
        <w:rPr>
          <w:rFonts w:cs="Arial"/>
          <w:lang w:val="fr-FR"/>
        </w:rPr>
      </w:pPr>
    </w:p>
    <w:p w14:paraId="47CF0A92" w14:textId="77777777" w:rsidR="007C476A" w:rsidRPr="00EA289A" w:rsidRDefault="0007653E">
      <w:pPr>
        <w:pStyle w:val="ListParagraph"/>
        <w:numPr>
          <w:ilvl w:val="0"/>
          <w:numId w:val="15"/>
        </w:numPr>
        <w:spacing w:after="0" w:line="240" w:lineRule="auto"/>
        <w:ind w:left="1440" w:hanging="540"/>
        <w:jc w:val="both"/>
        <w:rPr>
          <w:rFonts w:cs="Arial"/>
          <w:lang w:val="fr-FR"/>
        </w:rPr>
      </w:pPr>
      <w:r w:rsidRPr="00EA289A">
        <w:rPr>
          <w:rFonts w:cs="Arial"/>
          <w:lang w:val="fr-FR"/>
        </w:rPr>
        <w:t xml:space="preserve">veiller à ce que les besoins et les considérations des espèces migratrices soient intégrés dans la révision et la mise à jour des Stratégies et plans d'action nationaux pour la biodiversité (SPANB) et des objectifs nationaux, en accord avec le Cadre Mondial de la biodiversité de Kunming-Montréal (KMGBF), y compris les plans d'action nationaux pertinents, ainsi que dans la coopération bilatérale et régionale dans le cadre de la mise en œuvre du KMGBF ; </w:t>
      </w:r>
    </w:p>
    <w:p w14:paraId="6CD56139" w14:textId="77777777" w:rsidR="007C476A" w:rsidRPr="00EA289A" w:rsidRDefault="007C476A">
      <w:pPr>
        <w:pStyle w:val="ListParagraph"/>
        <w:spacing w:after="0" w:line="240" w:lineRule="auto"/>
        <w:ind w:left="1440"/>
        <w:jc w:val="both"/>
        <w:rPr>
          <w:rFonts w:cs="Arial"/>
          <w:lang w:val="fr-FR"/>
        </w:rPr>
      </w:pPr>
    </w:p>
    <w:p w14:paraId="50FFADE9" w14:textId="77777777" w:rsidR="007C476A" w:rsidRPr="00EA289A" w:rsidRDefault="0007653E">
      <w:pPr>
        <w:pStyle w:val="ListParagraph"/>
        <w:numPr>
          <w:ilvl w:val="0"/>
          <w:numId w:val="15"/>
        </w:numPr>
        <w:spacing w:after="0" w:line="240" w:lineRule="auto"/>
        <w:ind w:left="1440" w:hanging="540"/>
        <w:jc w:val="both"/>
        <w:rPr>
          <w:rFonts w:cs="Arial"/>
          <w:lang w:val="fr-FR"/>
        </w:rPr>
      </w:pPr>
      <w:r w:rsidRPr="00EA289A">
        <w:rPr>
          <w:rFonts w:cs="Arial"/>
          <w:lang w:val="fr-FR"/>
        </w:rPr>
        <w:t>envisager de participer au Processus de Berne, facilité par le Programme des Nations Unies pour l'environnement (PNUE), afin de contribuer à une mise en œuvre efficace et efficiente du KMGBF, et d'examiner ses résultats pertinents.</w:t>
      </w:r>
    </w:p>
    <w:p w14:paraId="7BBF9430" w14:textId="77777777" w:rsidR="007C476A" w:rsidRPr="00EA289A" w:rsidRDefault="007C476A">
      <w:pPr>
        <w:spacing w:after="0" w:line="240" w:lineRule="auto"/>
        <w:jc w:val="both"/>
        <w:rPr>
          <w:rFonts w:cs="Arial"/>
          <w:highlight w:val="yellow"/>
          <w:lang w:val="fr-FR"/>
        </w:rPr>
      </w:pPr>
    </w:p>
    <w:p w14:paraId="7FA4FFC0" w14:textId="77777777" w:rsidR="007C476A" w:rsidRPr="00EA289A" w:rsidRDefault="007C476A">
      <w:pPr>
        <w:spacing w:after="0" w:line="240" w:lineRule="auto"/>
        <w:jc w:val="both"/>
        <w:rPr>
          <w:rFonts w:cs="Arial"/>
          <w:highlight w:val="yellow"/>
          <w:lang w:val="fr-FR"/>
        </w:rPr>
      </w:pPr>
    </w:p>
    <w:p w14:paraId="77F474F0" w14:textId="77777777" w:rsidR="007C476A" w:rsidRPr="00EA289A" w:rsidRDefault="0007653E">
      <w:pPr>
        <w:spacing w:after="0" w:line="240" w:lineRule="auto"/>
        <w:jc w:val="both"/>
        <w:rPr>
          <w:rFonts w:cs="Arial"/>
          <w:b/>
          <w:i/>
          <w:lang w:val="fr-FR"/>
        </w:rPr>
      </w:pPr>
      <w:r w:rsidRPr="00EA289A">
        <w:rPr>
          <w:rFonts w:cs="Arial"/>
          <w:b/>
          <w:i/>
          <w:lang w:val="fr-FR"/>
        </w:rPr>
        <w:t>À l'adresse du Secrétariat</w:t>
      </w:r>
    </w:p>
    <w:p w14:paraId="783715B1" w14:textId="77777777" w:rsidR="007C476A" w:rsidRPr="00EA289A" w:rsidRDefault="007C476A">
      <w:pPr>
        <w:spacing w:after="0" w:line="240" w:lineRule="auto"/>
        <w:jc w:val="both"/>
        <w:rPr>
          <w:rFonts w:cs="Arial"/>
          <w:lang w:val="fr-FR"/>
        </w:rPr>
      </w:pPr>
    </w:p>
    <w:p w14:paraId="744826E7" w14:textId="77777777" w:rsidR="007C476A" w:rsidRPr="00EA289A" w:rsidRDefault="0007653E">
      <w:pPr>
        <w:spacing w:after="0" w:line="240" w:lineRule="auto"/>
        <w:ind w:left="900" w:hanging="900"/>
        <w:jc w:val="both"/>
        <w:rPr>
          <w:rFonts w:cs="Arial"/>
          <w:lang w:val="fr-FR"/>
        </w:rPr>
      </w:pPr>
      <w:r w:rsidRPr="00EA289A">
        <w:rPr>
          <w:rFonts w:cs="Arial"/>
          <w:lang w:val="fr-FR"/>
        </w:rPr>
        <w:t>15.BB</w:t>
      </w:r>
      <w:r w:rsidRPr="00EA289A">
        <w:rPr>
          <w:rFonts w:cs="Arial"/>
          <w:lang w:val="fr-FR"/>
        </w:rPr>
        <w:tab/>
        <w:t>Le Secrétariat, sous réserve de la disponibilité des ressources, est invité à :</w:t>
      </w:r>
    </w:p>
    <w:p w14:paraId="0F0952A6" w14:textId="77777777" w:rsidR="007C476A" w:rsidRPr="00EA289A" w:rsidRDefault="007C476A">
      <w:pPr>
        <w:pStyle w:val="ListParagraph"/>
        <w:spacing w:after="0" w:line="240" w:lineRule="auto"/>
        <w:jc w:val="both"/>
        <w:rPr>
          <w:rFonts w:eastAsia="Arial" w:cs="Arial"/>
          <w:i/>
          <w:iCs/>
          <w:sz w:val="20"/>
          <w:szCs w:val="20"/>
          <w:lang w:val="fr-FR"/>
        </w:rPr>
      </w:pPr>
    </w:p>
    <w:p w14:paraId="73B45EFA" w14:textId="77777777" w:rsidR="007C476A" w:rsidRPr="00EA289A" w:rsidRDefault="0007653E">
      <w:pPr>
        <w:pStyle w:val="ListParagraph"/>
        <w:numPr>
          <w:ilvl w:val="0"/>
          <w:numId w:val="19"/>
        </w:numPr>
        <w:spacing w:after="0" w:line="240" w:lineRule="auto"/>
        <w:ind w:left="1418" w:hanging="567"/>
        <w:jc w:val="both"/>
        <w:rPr>
          <w:rFonts w:cs="Arial"/>
          <w:lang w:val="fr-FR"/>
        </w:rPr>
      </w:pPr>
      <w:r w:rsidRPr="00EA289A">
        <w:rPr>
          <w:rFonts w:cs="Arial"/>
          <w:lang w:val="fr-FR"/>
        </w:rPr>
        <w:t>continuer à contribuer à la mise en œuvre du KMGBF ;</w:t>
      </w:r>
    </w:p>
    <w:p w14:paraId="69AC9142" w14:textId="77777777" w:rsidR="007C476A" w:rsidRPr="00EA289A" w:rsidRDefault="007C476A">
      <w:pPr>
        <w:pStyle w:val="ListParagraph"/>
        <w:spacing w:after="0" w:line="240" w:lineRule="auto"/>
        <w:ind w:left="1418"/>
        <w:jc w:val="both"/>
        <w:rPr>
          <w:rFonts w:cs="Arial"/>
          <w:lang w:val="fr-FR"/>
        </w:rPr>
      </w:pPr>
    </w:p>
    <w:p w14:paraId="1C4D754F" w14:textId="77777777" w:rsidR="007C476A" w:rsidRPr="00EA289A" w:rsidRDefault="0007653E" w:rsidP="00EA289A">
      <w:pPr>
        <w:pStyle w:val="ListParagraph"/>
        <w:numPr>
          <w:ilvl w:val="0"/>
          <w:numId w:val="19"/>
        </w:numPr>
        <w:spacing w:after="0" w:line="240" w:lineRule="auto"/>
        <w:ind w:left="1440" w:right="237" w:hanging="540"/>
        <w:jc w:val="both"/>
        <w:rPr>
          <w:rFonts w:cs="Arial"/>
          <w:lang w:val="fr-FR"/>
        </w:rPr>
      </w:pPr>
      <w:r w:rsidRPr="00EA289A">
        <w:rPr>
          <w:rFonts w:cs="Arial"/>
          <w:lang w:val="fr-FR"/>
        </w:rPr>
        <w:t>continuer à s'engager activement dans le Processus de Berne, facilité par le PNUE, afin de contribuer à une mise en œuvre efficace et efficiente du KMGBF ;</w:t>
      </w:r>
    </w:p>
    <w:p w14:paraId="629A137D" w14:textId="77777777" w:rsidR="007C476A" w:rsidRPr="00EA289A" w:rsidRDefault="007C476A">
      <w:pPr>
        <w:spacing w:after="0" w:line="240" w:lineRule="auto"/>
        <w:jc w:val="both"/>
        <w:rPr>
          <w:rFonts w:cs="Arial"/>
          <w:lang w:val="fr-FR"/>
        </w:rPr>
      </w:pPr>
    </w:p>
    <w:p w14:paraId="4BEAA0AA" w14:textId="77777777" w:rsidR="007C476A" w:rsidRPr="00EA289A" w:rsidRDefault="0007653E">
      <w:pPr>
        <w:pStyle w:val="ListParagraph"/>
        <w:numPr>
          <w:ilvl w:val="0"/>
          <w:numId w:val="19"/>
        </w:numPr>
        <w:spacing w:after="0" w:line="240" w:lineRule="auto"/>
        <w:ind w:left="1440" w:hanging="540"/>
        <w:jc w:val="both"/>
        <w:rPr>
          <w:rFonts w:cs="Arial"/>
          <w:lang w:val="fr-FR"/>
        </w:rPr>
      </w:pPr>
      <w:r w:rsidRPr="00EA289A">
        <w:rPr>
          <w:rFonts w:cs="Arial"/>
          <w:lang w:val="fr-FR"/>
        </w:rPr>
        <w:t>élaborer un nouveau Programme de travail conjoint avec le Secrétariat de la CDB.</w:t>
      </w:r>
    </w:p>
    <w:p w14:paraId="03227613" w14:textId="77777777" w:rsidR="007C476A" w:rsidRPr="00EA289A" w:rsidRDefault="007C476A">
      <w:pPr>
        <w:pStyle w:val="Secondnumbering"/>
        <w:ind w:left="540"/>
        <w:jc w:val="both"/>
        <w:rPr>
          <w:rFonts w:cs="Arial"/>
          <w:lang w:val="fr-FR"/>
        </w:rPr>
      </w:pPr>
    </w:p>
    <w:sectPr w:rsidR="007C476A" w:rsidRPr="00EA289A">
      <w:headerReference w:type="first" r:id="rId34"/>
      <w:foot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8AC8" w14:textId="77777777" w:rsidR="00887875" w:rsidRDefault="00887875">
      <w:pPr>
        <w:spacing w:after="0" w:line="240" w:lineRule="auto"/>
        <w:rPr>
          <w:lang w:val="fr-FR"/>
        </w:rPr>
      </w:pPr>
      <w:r>
        <w:rPr>
          <w:lang w:val="fr-FR"/>
        </w:rPr>
        <w:separator/>
      </w:r>
    </w:p>
  </w:endnote>
  <w:endnote w:type="continuationSeparator" w:id="0">
    <w:p w14:paraId="6C858404" w14:textId="77777777" w:rsidR="00887875" w:rsidRDefault="00887875">
      <w:pPr>
        <w:spacing w:after="0" w:line="240" w:lineRule="auto"/>
        <w:rPr>
          <w:lang w:val="fr-FR"/>
        </w:rPr>
      </w:pPr>
      <w:r>
        <w:rPr>
          <w:lang w:val="fr-FR"/>
        </w:rPr>
        <w:continuationSeparator/>
      </w:r>
    </w:p>
  </w:endnote>
  <w:endnote w:type="continuationNotice" w:id="1">
    <w:p w14:paraId="322FF02A" w14:textId="77777777" w:rsidR="00887875" w:rsidRDefault="00887875">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2514EA6A" w14:textId="77777777" w:rsidR="002E0DE9" w:rsidRPr="005E6DE8" w:rsidRDefault="002E0DE9">
        <w:pPr>
          <w:pStyle w:val="Footer"/>
          <w:jc w:val="center"/>
          <w:rPr>
            <w:sz w:val="18"/>
            <w:szCs w:val="18"/>
          </w:rPr>
        </w:pPr>
        <w:r w:rsidRPr="005E6DE8">
          <w:rPr>
            <w:sz w:val="18"/>
            <w:szCs w:val="18"/>
          </w:rPr>
          <w:fldChar w:fldCharType="begin"/>
        </w:r>
        <w:r w:rsidRPr="005E6DE8">
          <w:rPr>
            <w:sz w:val="18"/>
            <w:szCs w:val="18"/>
          </w:rPr>
          <w:instrText xml:space="preserve"> PAGE   \* MERGEFORMAT </w:instrText>
        </w:r>
        <w:r w:rsidRPr="005E6DE8">
          <w:rPr>
            <w:sz w:val="18"/>
            <w:szCs w:val="18"/>
          </w:rPr>
          <w:fldChar w:fldCharType="separate"/>
        </w:r>
        <w:r w:rsidRPr="005E6DE8">
          <w:rPr>
            <w:noProof/>
            <w:sz w:val="18"/>
            <w:szCs w:val="18"/>
          </w:rPr>
          <w:t>2</w:t>
        </w:r>
        <w:r w:rsidRPr="005E6D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5A728718" w14:textId="77777777" w:rsidR="0035024E" w:rsidRPr="005E6DE8" w:rsidRDefault="0035024E" w:rsidP="0035024E">
        <w:pPr>
          <w:pStyle w:val="Footer"/>
          <w:jc w:val="center"/>
          <w:rPr>
            <w:sz w:val="18"/>
            <w:szCs w:val="18"/>
          </w:rPr>
        </w:pPr>
        <w:r w:rsidRPr="005E6DE8">
          <w:rPr>
            <w:sz w:val="18"/>
            <w:szCs w:val="18"/>
          </w:rPr>
          <w:fldChar w:fldCharType="begin"/>
        </w:r>
        <w:r w:rsidRPr="005E6DE8">
          <w:rPr>
            <w:sz w:val="18"/>
            <w:szCs w:val="18"/>
          </w:rPr>
          <w:instrText xml:space="preserve"> PAGE   \* MERGEFORMAT </w:instrText>
        </w:r>
        <w:r w:rsidRPr="005E6DE8">
          <w:rPr>
            <w:sz w:val="18"/>
            <w:szCs w:val="18"/>
          </w:rPr>
          <w:fldChar w:fldCharType="separate"/>
        </w:r>
        <w:r w:rsidRPr="005E6DE8">
          <w:rPr>
            <w:noProof/>
            <w:sz w:val="18"/>
            <w:szCs w:val="18"/>
          </w:rPr>
          <w:t>2</w:t>
        </w:r>
        <w:r w:rsidRPr="005E6D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552155"/>
      <w:docPartObj>
        <w:docPartGallery w:val="Page Numbers (Bottom of Page)"/>
        <w:docPartUnique/>
      </w:docPartObj>
    </w:sdtPr>
    <w:sdtEndPr>
      <w:rPr>
        <w:noProof/>
        <w:sz w:val="18"/>
        <w:szCs w:val="18"/>
      </w:rPr>
    </w:sdtEndPr>
    <w:sdtContent>
      <w:p w14:paraId="0C34BDE6" w14:textId="77777777" w:rsidR="000F6BBB" w:rsidRPr="005E6DE8" w:rsidRDefault="000F6BBB">
        <w:pPr>
          <w:pStyle w:val="Footer"/>
          <w:jc w:val="center"/>
          <w:rPr>
            <w:sz w:val="18"/>
            <w:szCs w:val="18"/>
          </w:rPr>
        </w:pPr>
        <w:r w:rsidRPr="005E6DE8">
          <w:rPr>
            <w:sz w:val="18"/>
            <w:szCs w:val="18"/>
          </w:rPr>
          <w:fldChar w:fldCharType="begin"/>
        </w:r>
        <w:r w:rsidRPr="005E6DE8">
          <w:rPr>
            <w:sz w:val="18"/>
            <w:szCs w:val="18"/>
          </w:rPr>
          <w:instrText xml:space="preserve"> PAGE   \* MERGEFORMAT </w:instrText>
        </w:r>
        <w:r w:rsidRPr="005E6DE8">
          <w:rPr>
            <w:sz w:val="18"/>
            <w:szCs w:val="18"/>
          </w:rPr>
          <w:fldChar w:fldCharType="separate"/>
        </w:r>
        <w:r w:rsidRPr="005E6DE8">
          <w:rPr>
            <w:noProof/>
            <w:sz w:val="18"/>
            <w:szCs w:val="18"/>
          </w:rPr>
          <w:t>2</w:t>
        </w:r>
        <w:r w:rsidRPr="005E6D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698A" w14:textId="77777777" w:rsidR="00887875" w:rsidRDefault="00887875">
      <w:pPr>
        <w:spacing w:after="0" w:line="240" w:lineRule="auto"/>
        <w:rPr>
          <w:lang w:val="fr-FR"/>
        </w:rPr>
      </w:pPr>
      <w:r>
        <w:rPr>
          <w:lang w:val="fr-FR"/>
        </w:rPr>
        <w:separator/>
      </w:r>
    </w:p>
  </w:footnote>
  <w:footnote w:type="continuationSeparator" w:id="0">
    <w:p w14:paraId="017DFC95" w14:textId="77777777" w:rsidR="00887875" w:rsidRDefault="00887875">
      <w:pPr>
        <w:spacing w:after="0" w:line="240" w:lineRule="auto"/>
        <w:rPr>
          <w:lang w:val="fr-FR"/>
        </w:rPr>
      </w:pPr>
      <w:r>
        <w:rPr>
          <w:lang w:val="fr-FR"/>
        </w:rPr>
        <w:continuationSeparator/>
      </w:r>
    </w:p>
  </w:footnote>
  <w:footnote w:type="continuationNotice" w:id="1">
    <w:p w14:paraId="5E400313" w14:textId="77777777" w:rsidR="00887875" w:rsidRDefault="00887875">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0B2C" w14:textId="77777777" w:rsidR="002E0DE9" w:rsidRPr="005E6DE8" w:rsidRDefault="002E0DE9" w:rsidP="002E0DE9">
    <w:pPr>
      <w:pStyle w:val="Header"/>
      <w:pBdr>
        <w:bottom w:val="single" w:sz="4" w:space="1" w:color="auto"/>
      </w:pBdr>
      <w:rPr>
        <w:i/>
        <w:sz w:val="18"/>
        <w:szCs w:val="18"/>
      </w:rPr>
    </w:pPr>
    <w:r w:rsidRPr="005E6DE8">
      <w:rPr>
        <w:rFonts w:eastAsia="Times New Roman" w:cs="Arial"/>
        <w:i/>
        <w:sz w:val="18"/>
        <w:szCs w:val="18"/>
        <w:lang w:val="en-GB"/>
      </w:rPr>
      <w:t>UNEP/CMS/COP1</w:t>
    </w:r>
    <w:r w:rsidR="006A689A" w:rsidRPr="005E6DE8">
      <w:rPr>
        <w:rFonts w:eastAsia="Times New Roman" w:cs="Arial"/>
        <w:i/>
        <w:sz w:val="18"/>
        <w:szCs w:val="18"/>
        <w:lang w:val="en-GB"/>
      </w:rPr>
      <w:t>5</w:t>
    </w:r>
    <w:r w:rsidRPr="005E6DE8">
      <w:rPr>
        <w:rFonts w:eastAsia="Times New Roman" w:cs="Arial"/>
        <w:i/>
        <w:sz w:val="18"/>
        <w:szCs w:val="18"/>
        <w:lang w:val="en-GB"/>
      </w:rPr>
      <w:t>/</w:t>
    </w:r>
    <w:r w:rsidR="006A7DC4" w:rsidRPr="005E6DE8">
      <w:rPr>
        <w:rFonts w:eastAsia="Times New Roman" w:cs="Arial"/>
        <w:i/>
        <w:sz w:val="18"/>
        <w:szCs w:val="18"/>
        <w:lang w:val="en-GB"/>
      </w:rPr>
      <w:t>Doc</w:t>
    </w:r>
    <w:r w:rsidR="0035024E" w:rsidRPr="005E6DE8">
      <w:rPr>
        <w:rFonts w:eastAsia="Times New Roman" w:cs="Arial"/>
        <w:i/>
        <w:sz w:val="18"/>
        <w:szCs w:val="18"/>
        <w:lang w:val="en-GB"/>
      </w:rPr>
      <w:t>.</w:t>
    </w:r>
    <w:r w:rsidR="000F6BBB" w:rsidRPr="005E6DE8">
      <w:rPr>
        <w:rFonts w:eastAsia="Times New Roman" w:cs="Arial"/>
        <w:i/>
        <w:sz w:val="18"/>
        <w:szCs w:val="18"/>
        <w:lang w:val="en-GB"/>
      </w:rPr>
      <w:t>18.</w:t>
    </w:r>
    <w:r w:rsidR="00496FE6" w:rsidRPr="005E6DE8">
      <w:rPr>
        <w:rFonts w:eastAsia="Times New Roman"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E136" w14:textId="77777777" w:rsidR="002E0DE9" w:rsidRPr="005E6DE8" w:rsidRDefault="002E0DE9" w:rsidP="00842B75">
    <w:pPr>
      <w:pStyle w:val="Header"/>
      <w:pBdr>
        <w:bottom w:val="single" w:sz="4" w:space="1" w:color="auto"/>
      </w:pBdr>
      <w:jc w:val="right"/>
      <w:rPr>
        <w:i/>
        <w:sz w:val="18"/>
        <w:szCs w:val="18"/>
      </w:rPr>
    </w:pPr>
    <w:r w:rsidRPr="005E6DE8">
      <w:rPr>
        <w:rFonts w:eastAsia="Times New Roman" w:cs="Arial"/>
        <w:i/>
        <w:sz w:val="18"/>
        <w:szCs w:val="18"/>
        <w:lang w:val="en-GB"/>
      </w:rPr>
      <w:t>UNEP/CMS/COP1</w:t>
    </w:r>
    <w:r w:rsidR="006A689A" w:rsidRPr="005E6DE8">
      <w:rPr>
        <w:rFonts w:eastAsia="Times New Roman" w:cs="Arial"/>
        <w:i/>
        <w:sz w:val="18"/>
        <w:szCs w:val="18"/>
        <w:lang w:val="en-GB"/>
      </w:rPr>
      <w:t>5</w:t>
    </w:r>
    <w:r w:rsidRPr="005E6DE8">
      <w:rPr>
        <w:rFonts w:eastAsia="Times New Roman" w:cs="Arial"/>
        <w:i/>
        <w:sz w:val="18"/>
        <w:szCs w:val="18"/>
        <w:lang w:val="en-GB"/>
      </w:rPr>
      <w:t>/</w:t>
    </w:r>
    <w:r w:rsidR="006A7DC4" w:rsidRPr="005E6DE8">
      <w:rPr>
        <w:rFonts w:eastAsia="Times New Roman" w:cs="Arial"/>
        <w:i/>
        <w:sz w:val="18"/>
        <w:szCs w:val="18"/>
        <w:lang w:val="en-GB"/>
      </w:rPr>
      <w:t>Doc.</w:t>
    </w:r>
    <w:r w:rsidR="000F6BBB" w:rsidRPr="005E6DE8">
      <w:rPr>
        <w:rFonts w:eastAsia="Times New Roman" w:cs="Arial"/>
        <w:i/>
        <w:sz w:val="18"/>
        <w:szCs w:val="18"/>
        <w:lang w:val="en-GB"/>
      </w:rPr>
      <w:t>18.</w:t>
    </w:r>
    <w:r w:rsidR="00496FE6" w:rsidRPr="005E6DE8">
      <w:rPr>
        <w:rFonts w:eastAsia="Times New Roman" w:cs="Arial"/>
        <w:i/>
        <w:sz w:val="18"/>
        <w:szCs w:val="18"/>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78" w14:textId="77777777" w:rsidR="005C4CAB" w:rsidRPr="00FF59D5" w:rsidRDefault="005C4CAB" w:rsidP="005C4CAB">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6" w:name="_Hlk208560916"/>
    <w:bookmarkStart w:id="7" w:name="_Hlk208560917"/>
    <w:r>
      <w:rPr>
        <w:noProof/>
      </w:rPr>
      <w:drawing>
        <wp:anchor distT="0" distB="0" distL="114300" distR="114300" simplePos="0" relativeHeight="251661312" behindDoc="0" locked="0" layoutInCell="1" allowOverlap="1" wp14:anchorId="3F860728" wp14:editId="13CD60E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490B2973" wp14:editId="5F7B59DB">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1D490DC4" wp14:editId="16A1E51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6"/>
    <w:bookmarkEnd w:id="7"/>
  </w:p>
  <w:p w14:paraId="2AA1B401" w14:textId="77777777" w:rsidR="007C476A" w:rsidRDefault="007C476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08" w14:textId="77777777" w:rsidR="007C476A" w:rsidRDefault="0007653E">
    <w:pPr>
      <w:pStyle w:val="Header"/>
      <w:pBdr>
        <w:bottom w:val="single" w:sz="4" w:space="1" w:color="auto"/>
      </w:pBdr>
      <w:jc w:val="right"/>
      <w:rPr>
        <w:i/>
        <w:sz w:val="18"/>
        <w:szCs w:val="18"/>
        <w:lang w:val="fr-FR"/>
      </w:rPr>
    </w:pPr>
    <w:r>
      <w:rPr>
        <w:rFonts w:eastAsia="Times New Roman" w:cs="Arial"/>
        <w:i/>
        <w:sz w:val="18"/>
        <w:szCs w:val="18"/>
        <w:lang w:val="fr-FR"/>
      </w:rPr>
      <w:t>UNEP/CMS/COP15/Doc.18.3/Annexe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212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58B0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FB1C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A614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AA6B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309080D"/>
    <w:multiLevelType w:val="hybridMultilevel"/>
    <w:tmpl w:val="417244A2"/>
    <w:lvl w:ilvl="0" w:tplc="5DB43398">
      <w:start w:val="1"/>
      <w:numFmt w:val="lowerLetter"/>
      <w:lvlText w:val="%1)"/>
      <w:lvlJc w:val="left"/>
      <w:pPr>
        <w:ind w:left="1080" w:hanging="360"/>
      </w:pPr>
    </w:lvl>
    <w:lvl w:ilvl="1" w:tplc="99F6FC92">
      <w:start w:val="1"/>
      <w:numFmt w:val="lowerLetter"/>
      <w:lvlText w:val="%2."/>
      <w:lvlJc w:val="left"/>
      <w:pPr>
        <w:ind w:left="1800" w:hanging="360"/>
      </w:pPr>
    </w:lvl>
    <w:lvl w:ilvl="2" w:tplc="39CCB772">
      <w:start w:val="1"/>
      <w:numFmt w:val="lowerRoman"/>
      <w:lvlText w:val="%3."/>
      <w:lvlJc w:val="right"/>
      <w:pPr>
        <w:ind w:left="2520" w:hanging="180"/>
      </w:pPr>
    </w:lvl>
    <w:lvl w:ilvl="3" w:tplc="234C73BC">
      <w:start w:val="1"/>
      <w:numFmt w:val="decimal"/>
      <w:lvlText w:val="%4."/>
      <w:lvlJc w:val="left"/>
      <w:pPr>
        <w:ind w:left="3240" w:hanging="360"/>
      </w:pPr>
    </w:lvl>
    <w:lvl w:ilvl="4" w:tplc="7860A026">
      <w:start w:val="1"/>
      <w:numFmt w:val="lowerLetter"/>
      <w:lvlText w:val="%5."/>
      <w:lvlJc w:val="left"/>
      <w:pPr>
        <w:ind w:left="3960" w:hanging="360"/>
      </w:pPr>
    </w:lvl>
    <w:lvl w:ilvl="5" w:tplc="4CF8541A">
      <w:start w:val="1"/>
      <w:numFmt w:val="lowerRoman"/>
      <w:lvlText w:val="%6."/>
      <w:lvlJc w:val="right"/>
      <w:pPr>
        <w:ind w:left="4680" w:hanging="180"/>
      </w:pPr>
    </w:lvl>
    <w:lvl w:ilvl="6" w:tplc="C2F60D58">
      <w:start w:val="1"/>
      <w:numFmt w:val="decimal"/>
      <w:lvlText w:val="%7."/>
      <w:lvlJc w:val="left"/>
      <w:pPr>
        <w:ind w:left="5400" w:hanging="360"/>
      </w:pPr>
    </w:lvl>
    <w:lvl w:ilvl="7" w:tplc="2C74CB82">
      <w:start w:val="1"/>
      <w:numFmt w:val="lowerLetter"/>
      <w:lvlText w:val="%8."/>
      <w:lvlJc w:val="left"/>
      <w:pPr>
        <w:ind w:left="6120" w:hanging="360"/>
      </w:pPr>
    </w:lvl>
    <w:lvl w:ilvl="8" w:tplc="B2A6414A">
      <w:start w:val="1"/>
      <w:numFmt w:val="lowerRoman"/>
      <w:lvlText w:val="%9."/>
      <w:lvlJc w:val="right"/>
      <w:pPr>
        <w:ind w:left="6840" w:hanging="180"/>
      </w:pPr>
    </w:lvl>
  </w:abstractNum>
  <w:abstractNum w:abstractNumId="7"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222CE0"/>
    <w:multiLevelType w:val="hybridMultilevel"/>
    <w:tmpl w:val="417244A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3F835A6"/>
    <w:multiLevelType w:val="hybridMultilevel"/>
    <w:tmpl w:val="A3766CDE"/>
    <w:lvl w:ilvl="0" w:tplc="20000017">
      <w:start w:val="1"/>
      <w:numFmt w:val="lowerLetter"/>
      <w:lvlText w:val="%1)"/>
      <w:lvlJc w:val="left"/>
      <w:pPr>
        <w:ind w:left="1575" w:hanging="360"/>
      </w:pPr>
    </w:lvl>
    <w:lvl w:ilvl="1" w:tplc="20000019" w:tentative="1">
      <w:start w:val="1"/>
      <w:numFmt w:val="lowerLetter"/>
      <w:lvlText w:val="%2."/>
      <w:lvlJc w:val="left"/>
      <w:pPr>
        <w:ind w:left="2295" w:hanging="360"/>
      </w:pPr>
    </w:lvl>
    <w:lvl w:ilvl="2" w:tplc="2000001B" w:tentative="1">
      <w:start w:val="1"/>
      <w:numFmt w:val="lowerRoman"/>
      <w:lvlText w:val="%3."/>
      <w:lvlJc w:val="right"/>
      <w:pPr>
        <w:ind w:left="3015" w:hanging="180"/>
      </w:pPr>
    </w:lvl>
    <w:lvl w:ilvl="3" w:tplc="2000000F" w:tentative="1">
      <w:start w:val="1"/>
      <w:numFmt w:val="decimal"/>
      <w:lvlText w:val="%4."/>
      <w:lvlJc w:val="left"/>
      <w:pPr>
        <w:ind w:left="3735" w:hanging="360"/>
      </w:pPr>
    </w:lvl>
    <w:lvl w:ilvl="4" w:tplc="20000019" w:tentative="1">
      <w:start w:val="1"/>
      <w:numFmt w:val="lowerLetter"/>
      <w:lvlText w:val="%5."/>
      <w:lvlJc w:val="left"/>
      <w:pPr>
        <w:ind w:left="4455" w:hanging="360"/>
      </w:pPr>
    </w:lvl>
    <w:lvl w:ilvl="5" w:tplc="2000001B" w:tentative="1">
      <w:start w:val="1"/>
      <w:numFmt w:val="lowerRoman"/>
      <w:lvlText w:val="%6."/>
      <w:lvlJc w:val="right"/>
      <w:pPr>
        <w:ind w:left="5175" w:hanging="180"/>
      </w:pPr>
    </w:lvl>
    <w:lvl w:ilvl="6" w:tplc="2000000F" w:tentative="1">
      <w:start w:val="1"/>
      <w:numFmt w:val="decimal"/>
      <w:lvlText w:val="%7."/>
      <w:lvlJc w:val="left"/>
      <w:pPr>
        <w:ind w:left="5895" w:hanging="360"/>
      </w:pPr>
    </w:lvl>
    <w:lvl w:ilvl="7" w:tplc="20000019" w:tentative="1">
      <w:start w:val="1"/>
      <w:numFmt w:val="lowerLetter"/>
      <w:lvlText w:val="%8."/>
      <w:lvlJc w:val="left"/>
      <w:pPr>
        <w:ind w:left="6615" w:hanging="360"/>
      </w:pPr>
    </w:lvl>
    <w:lvl w:ilvl="8" w:tplc="2000001B" w:tentative="1">
      <w:start w:val="1"/>
      <w:numFmt w:val="lowerRoman"/>
      <w:lvlText w:val="%9."/>
      <w:lvlJc w:val="right"/>
      <w:pPr>
        <w:ind w:left="7335" w:hanging="180"/>
      </w:pPr>
    </w:lvl>
  </w:abstractNum>
  <w:abstractNum w:abstractNumId="10" w15:restartNumberingAfterBreak="0">
    <w:nsid w:val="1668F0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B3042D"/>
    <w:multiLevelType w:val="hybridMultilevel"/>
    <w:tmpl w:val="F2D6B1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FD7A0F"/>
    <w:multiLevelType w:val="hybridMultilevel"/>
    <w:tmpl w:val="FE72292A"/>
    <w:lvl w:ilvl="0" w:tplc="DC9C0FF8">
      <w:start w:val="1"/>
      <w:numFmt w:val="lowerLetter"/>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13" w15:restartNumberingAfterBreak="0">
    <w:nsid w:val="2E4A7DDE"/>
    <w:multiLevelType w:val="hybridMultilevel"/>
    <w:tmpl w:val="FE58080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6775D"/>
    <w:multiLevelType w:val="multilevel"/>
    <w:tmpl w:val="F3EC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C5E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764340"/>
    <w:multiLevelType w:val="hybridMultilevel"/>
    <w:tmpl w:val="29B8E18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51A690A"/>
    <w:multiLevelType w:val="hybridMultilevel"/>
    <w:tmpl w:val="D75451C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E81B66"/>
    <w:multiLevelType w:val="hybridMultilevel"/>
    <w:tmpl w:val="9BA0DA06"/>
    <w:lvl w:ilvl="0" w:tplc="2000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45AF1D87"/>
    <w:multiLevelType w:val="multilevel"/>
    <w:tmpl w:val="78CA4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ECC3C3B"/>
    <w:multiLevelType w:val="multilevel"/>
    <w:tmpl w:val="63A07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1D6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83816"/>
    <w:multiLevelType w:val="hybridMultilevel"/>
    <w:tmpl w:val="E1F8726A"/>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8" w15:restartNumberingAfterBreak="0">
    <w:nsid w:val="69A23F83"/>
    <w:multiLevelType w:val="hybridMultilevel"/>
    <w:tmpl w:val="A89C0AF8"/>
    <w:lvl w:ilvl="0" w:tplc="0C60177A">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801C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02B5ECF"/>
    <w:multiLevelType w:val="multilevel"/>
    <w:tmpl w:val="ED26715C"/>
    <w:lvl w:ilvl="0">
      <w:start w:val="14"/>
      <w:numFmt w:val="decimal"/>
      <w:lvlText w:val="%1"/>
      <w:lvlJc w:val="left"/>
      <w:pPr>
        <w:ind w:left="501" w:hanging="501"/>
      </w:pPr>
      <w:rPr>
        <w:rFonts w:hint="default"/>
      </w:rPr>
    </w:lvl>
    <w:lvl w:ilvl="1">
      <w:start w:val="12"/>
      <w:numFmt w:val="decimal"/>
      <w:lvlText w:val="%1.%2"/>
      <w:lvlJc w:val="left"/>
      <w:pPr>
        <w:ind w:left="1131" w:hanging="50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654501C"/>
    <w:multiLevelType w:val="hybridMultilevel"/>
    <w:tmpl w:val="F2D6B1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8F34FE2"/>
    <w:multiLevelType w:val="multilevel"/>
    <w:tmpl w:val="B03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22"/>
  </w:num>
  <w:num w:numId="2" w16cid:durableId="1342467551">
    <w:abstractNumId w:val="31"/>
  </w:num>
  <w:num w:numId="3" w16cid:durableId="1569996155">
    <w:abstractNumId w:val="5"/>
  </w:num>
  <w:num w:numId="4" w16cid:durableId="5037120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4"/>
  </w:num>
  <w:num w:numId="8" w16cid:durableId="657730385">
    <w:abstractNumId w:val="35"/>
  </w:num>
  <w:num w:numId="9" w16cid:durableId="1150515762">
    <w:abstractNumId w:val="26"/>
  </w:num>
  <w:num w:numId="10" w16cid:durableId="627323914">
    <w:abstractNumId w:val="7"/>
  </w:num>
  <w:num w:numId="11" w16cid:durableId="235171476">
    <w:abstractNumId w:val="6"/>
  </w:num>
  <w:num w:numId="12" w16cid:durableId="616719271">
    <w:abstractNumId w:val="30"/>
  </w:num>
  <w:num w:numId="13" w16cid:durableId="1071387366">
    <w:abstractNumId w:val="13"/>
  </w:num>
  <w:num w:numId="14" w16cid:durableId="628125219">
    <w:abstractNumId w:val="9"/>
  </w:num>
  <w:num w:numId="15" w16cid:durableId="886835039">
    <w:abstractNumId w:val="32"/>
  </w:num>
  <w:num w:numId="16" w16cid:durableId="1401059363">
    <w:abstractNumId w:val="21"/>
  </w:num>
  <w:num w:numId="17" w16cid:durableId="900867363">
    <w:abstractNumId w:val="15"/>
  </w:num>
  <w:num w:numId="18" w16cid:durableId="781612819">
    <w:abstractNumId w:val="33"/>
  </w:num>
  <w:num w:numId="19" w16cid:durableId="1923558940">
    <w:abstractNumId w:val="11"/>
  </w:num>
  <w:num w:numId="20" w16cid:durableId="189690105">
    <w:abstractNumId w:val="28"/>
  </w:num>
  <w:num w:numId="21" w16cid:durableId="1429348459">
    <w:abstractNumId w:val="19"/>
  </w:num>
  <w:num w:numId="22" w16cid:durableId="1704013023">
    <w:abstractNumId w:val="17"/>
  </w:num>
  <w:num w:numId="23" w16cid:durableId="1541045608">
    <w:abstractNumId w:val="8"/>
  </w:num>
  <w:num w:numId="24" w16cid:durableId="1995989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428578">
    <w:abstractNumId w:val="24"/>
  </w:num>
  <w:num w:numId="26" w16cid:durableId="1610508004">
    <w:abstractNumId w:val="1"/>
  </w:num>
  <w:num w:numId="27" w16cid:durableId="2103641212">
    <w:abstractNumId w:val="29"/>
  </w:num>
  <w:num w:numId="28" w16cid:durableId="335545003">
    <w:abstractNumId w:val="25"/>
  </w:num>
  <w:num w:numId="29" w16cid:durableId="308247400">
    <w:abstractNumId w:val="2"/>
  </w:num>
  <w:num w:numId="30" w16cid:durableId="1504659084">
    <w:abstractNumId w:val="4"/>
  </w:num>
  <w:num w:numId="31" w16cid:durableId="988174626">
    <w:abstractNumId w:val="10"/>
  </w:num>
  <w:num w:numId="32" w16cid:durableId="1030489979">
    <w:abstractNumId w:val="3"/>
  </w:num>
  <w:num w:numId="33" w16cid:durableId="644284578">
    <w:abstractNumId w:val="0"/>
  </w:num>
  <w:num w:numId="34" w16cid:durableId="60718499">
    <w:abstractNumId w:val="16"/>
  </w:num>
  <w:num w:numId="35" w16cid:durableId="1780878918">
    <w:abstractNumId w:val="18"/>
  </w:num>
  <w:num w:numId="36" w16cid:durableId="534123930">
    <w:abstractNumId w:val="12"/>
  </w:num>
  <w:num w:numId="37" w16cid:durableId="15996740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67AF"/>
    <w:rsid w:val="00027839"/>
    <w:rsid w:val="00027FB8"/>
    <w:rsid w:val="000539AB"/>
    <w:rsid w:val="0006101D"/>
    <w:rsid w:val="0006396F"/>
    <w:rsid w:val="00063C40"/>
    <w:rsid w:val="000661B2"/>
    <w:rsid w:val="0007653E"/>
    <w:rsid w:val="00081045"/>
    <w:rsid w:val="00081615"/>
    <w:rsid w:val="0009245E"/>
    <w:rsid w:val="000A2CFF"/>
    <w:rsid w:val="000C50B6"/>
    <w:rsid w:val="000E0F57"/>
    <w:rsid w:val="000E2279"/>
    <w:rsid w:val="000E7846"/>
    <w:rsid w:val="000F13BB"/>
    <w:rsid w:val="000F35F7"/>
    <w:rsid w:val="000F6BBB"/>
    <w:rsid w:val="00103C7C"/>
    <w:rsid w:val="00131950"/>
    <w:rsid w:val="00134E93"/>
    <w:rsid w:val="00134F8C"/>
    <w:rsid w:val="00137609"/>
    <w:rsid w:val="00142426"/>
    <w:rsid w:val="00171229"/>
    <w:rsid w:val="00177179"/>
    <w:rsid w:val="00184004"/>
    <w:rsid w:val="00184287"/>
    <w:rsid w:val="00190ADA"/>
    <w:rsid w:val="00191F7A"/>
    <w:rsid w:val="001C6C56"/>
    <w:rsid w:val="001D449D"/>
    <w:rsid w:val="001E46A7"/>
    <w:rsid w:val="001E5748"/>
    <w:rsid w:val="001F33A1"/>
    <w:rsid w:val="0021262F"/>
    <w:rsid w:val="00212F43"/>
    <w:rsid w:val="002178CF"/>
    <w:rsid w:val="00230D21"/>
    <w:rsid w:val="002326AB"/>
    <w:rsid w:val="00235010"/>
    <w:rsid w:val="00237692"/>
    <w:rsid w:val="00243406"/>
    <w:rsid w:val="00254906"/>
    <w:rsid w:val="00284272"/>
    <w:rsid w:val="00284880"/>
    <w:rsid w:val="00290428"/>
    <w:rsid w:val="002A44E3"/>
    <w:rsid w:val="002A4A3D"/>
    <w:rsid w:val="002B2806"/>
    <w:rsid w:val="002B48C1"/>
    <w:rsid w:val="002E03F2"/>
    <w:rsid w:val="002E0DE9"/>
    <w:rsid w:val="002E21E5"/>
    <w:rsid w:val="002E6A7D"/>
    <w:rsid w:val="002F287C"/>
    <w:rsid w:val="00303662"/>
    <w:rsid w:val="0031269D"/>
    <w:rsid w:val="003218B1"/>
    <w:rsid w:val="00327666"/>
    <w:rsid w:val="00330F65"/>
    <w:rsid w:val="00331D38"/>
    <w:rsid w:val="00331DFA"/>
    <w:rsid w:val="00340E67"/>
    <w:rsid w:val="0035024E"/>
    <w:rsid w:val="00353D16"/>
    <w:rsid w:val="00354055"/>
    <w:rsid w:val="00361EAD"/>
    <w:rsid w:val="003669FF"/>
    <w:rsid w:val="003A1B21"/>
    <w:rsid w:val="003C569E"/>
    <w:rsid w:val="003C7C2C"/>
    <w:rsid w:val="003D1082"/>
    <w:rsid w:val="003D4575"/>
    <w:rsid w:val="003D6AF2"/>
    <w:rsid w:val="003E2BF1"/>
    <w:rsid w:val="003E78F2"/>
    <w:rsid w:val="003F6A08"/>
    <w:rsid w:val="00405877"/>
    <w:rsid w:val="0040663F"/>
    <w:rsid w:val="0040723D"/>
    <w:rsid w:val="004250A7"/>
    <w:rsid w:val="00431FE3"/>
    <w:rsid w:val="004329BA"/>
    <w:rsid w:val="004332EC"/>
    <w:rsid w:val="00434BDA"/>
    <w:rsid w:val="00443325"/>
    <w:rsid w:val="00444017"/>
    <w:rsid w:val="00444410"/>
    <w:rsid w:val="004531F1"/>
    <w:rsid w:val="004532AF"/>
    <w:rsid w:val="00457A20"/>
    <w:rsid w:val="004608C4"/>
    <w:rsid w:val="004639CE"/>
    <w:rsid w:val="004714F5"/>
    <w:rsid w:val="00472BCE"/>
    <w:rsid w:val="00483A05"/>
    <w:rsid w:val="00486BD7"/>
    <w:rsid w:val="004907CB"/>
    <w:rsid w:val="00495B71"/>
    <w:rsid w:val="00496FE6"/>
    <w:rsid w:val="004C015B"/>
    <w:rsid w:val="004C1FDD"/>
    <w:rsid w:val="004F375D"/>
    <w:rsid w:val="00500665"/>
    <w:rsid w:val="00516A25"/>
    <w:rsid w:val="00531690"/>
    <w:rsid w:val="00531BD1"/>
    <w:rsid w:val="005330F7"/>
    <w:rsid w:val="0055344C"/>
    <w:rsid w:val="00563598"/>
    <w:rsid w:val="0057071A"/>
    <w:rsid w:val="0058406F"/>
    <w:rsid w:val="005861F0"/>
    <w:rsid w:val="0059075E"/>
    <w:rsid w:val="00594151"/>
    <w:rsid w:val="00597EB1"/>
    <w:rsid w:val="005A2A3E"/>
    <w:rsid w:val="005B23A6"/>
    <w:rsid w:val="005C28E8"/>
    <w:rsid w:val="005C4CAB"/>
    <w:rsid w:val="005C5625"/>
    <w:rsid w:val="005C5C48"/>
    <w:rsid w:val="005C75A7"/>
    <w:rsid w:val="005D0761"/>
    <w:rsid w:val="005D3758"/>
    <w:rsid w:val="005D3D4E"/>
    <w:rsid w:val="005E031D"/>
    <w:rsid w:val="005E2765"/>
    <w:rsid w:val="005E6D3C"/>
    <w:rsid w:val="005E6DE8"/>
    <w:rsid w:val="005F738C"/>
    <w:rsid w:val="00610891"/>
    <w:rsid w:val="0064383B"/>
    <w:rsid w:val="00650324"/>
    <w:rsid w:val="006638D3"/>
    <w:rsid w:val="00663DD5"/>
    <w:rsid w:val="006704FB"/>
    <w:rsid w:val="0068206F"/>
    <w:rsid w:val="00682891"/>
    <w:rsid w:val="00682A57"/>
    <w:rsid w:val="006867A3"/>
    <w:rsid w:val="006943D3"/>
    <w:rsid w:val="006A689A"/>
    <w:rsid w:val="006A7DC4"/>
    <w:rsid w:val="006C0316"/>
    <w:rsid w:val="006C1A37"/>
    <w:rsid w:val="006D2054"/>
    <w:rsid w:val="006E2FC6"/>
    <w:rsid w:val="00704E4A"/>
    <w:rsid w:val="0071181A"/>
    <w:rsid w:val="007259EC"/>
    <w:rsid w:val="00727B7F"/>
    <w:rsid w:val="0073233F"/>
    <w:rsid w:val="00737EA6"/>
    <w:rsid w:val="0074180E"/>
    <w:rsid w:val="0075221B"/>
    <w:rsid w:val="00754D14"/>
    <w:rsid w:val="007650F2"/>
    <w:rsid w:val="007651C3"/>
    <w:rsid w:val="007810DD"/>
    <w:rsid w:val="00781C6C"/>
    <w:rsid w:val="00782FB0"/>
    <w:rsid w:val="00785530"/>
    <w:rsid w:val="00786961"/>
    <w:rsid w:val="00796DA1"/>
    <w:rsid w:val="007A07DE"/>
    <w:rsid w:val="007B60F5"/>
    <w:rsid w:val="007C476A"/>
    <w:rsid w:val="007E7DBB"/>
    <w:rsid w:val="007F53CF"/>
    <w:rsid w:val="007F5FA4"/>
    <w:rsid w:val="00814D9B"/>
    <w:rsid w:val="00816618"/>
    <w:rsid w:val="00820572"/>
    <w:rsid w:val="00822255"/>
    <w:rsid w:val="00837BC1"/>
    <w:rsid w:val="00842B75"/>
    <w:rsid w:val="008444E8"/>
    <w:rsid w:val="008619CA"/>
    <w:rsid w:val="00862CE2"/>
    <w:rsid w:val="008664D5"/>
    <w:rsid w:val="00871567"/>
    <w:rsid w:val="00871E2C"/>
    <w:rsid w:val="00872FF8"/>
    <w:rsid w:val="008819B2"/>
    <w:rsid w:val="008852CE"/>
    <w:rsid w:val="00887875"/>
    <w:rsid w:val="008940E0"/>
    <w:rsid w:val="00894F70"/>
    <w:rsid w:val="008B0AC3"/>
    <w:rsid w:val="008B5D7C"/>
    <w:rsid w:val="008C3A4A"/>
    <w:rsid w:val="008D7F9C"/>
    <w:rsid w:val="008E399F"/>
    <w:rsid w:val="008E53C2"/>
    <w:rsid w:val="008E6292"/>
    <w:rsid w:val="008E7441"/>
    <w:rsid w:val="008E790A"/>
    <w:rsid w:val="008F6726"/>
    <w:rsid w:val="0091638B"/>
    <w:rsid w:val="0092141A"/>
    <w:rsid w:val="00933B90"/>
    <w:rsid w:val="009343FB"/>
    <w:rsid w:val="0093713A"/>
    <w:rsid w:val="00964B81"/>
    <w:rsid w:val="00966E08"/>
    <w:rsid w:val="00987F0C"/>
    <w:rsid w:val="009A08AE"/>
    <w:rsid w:val="009A172C"/>
    <w:rsid w:val="009A2337"/>
    <w:rsid w:val="009A4FCA"/>
    <w:rsid w:val="009B28A1"/>
    <w:rsid w:val="009B3CF3"/>
    <w:rsid w:val="009B5022"/>
    <w:rsid w:val="009C2BBE"/>
    <w:rsid w:val="009E35AE"/>
    <w:rsid w:val="009F6C60"/>
    <w:rsid w:val="00A1352E"/>
    <w:rsid w:val="00A317A1"/>
    <w:rsid w:val="00A32D40"/>
    <w:rsid w:val="00A33DBA"/>
    <w:rsid w:val="00A350E8"/>
    <w:rsid w:val="00A44ED2"/>
    <w:rsid w:val="00A45996"/>
    <w:rsid w:val="00A536A5"/>
    <w:rsid w:val="00A5442D"/>
    <w:rsid w:val="00A56F6E"/>
    <w:rsid w:val="00A6494E"/>
    <w:rsid w:val="00A70AD4"/>
    <w:rsid w:val="00A767FD"/>
    <w:rsid w:val="00A80AEC"/>
    <w:rsid w:val="00A84BD0"/>
    <w:rsid w:val="00A93363"/>
    <w:rsid w:val="00AB4A60"/>
    <w:rsid w:val="00AD4F4C"/>
    <w:rsid w:val="00AF28E6"/>
    <w:rsid w:val="00AF5E47"/>
    <w:rsid w:val="00AF63ED"/>
    <w:rsid w:val="00B06B0D"/>
    <w:rsid w:val="00B07460"/>
    <w:rsid w:val="00B13C59"/>
    <w:rsid w:val="00B2055E"/>
    <w:rsid w:val="00B32979"/>
    <w:rsid w:val="00B33183"/>
    <w:rsid w:val="00B340D3"/>
    <w:rsid w:val="00B37246"/>
    <w:rsid w:val="00B41178"/>
    <w:rsid w:val="00B4546D"/>
    <w:rsid w:val="00B51A11"/>
    <w:rsid w:val="00B55EEB"/>
    <w:rsid w:val="00B609A5"/>
    <w:rsid w:val="00B60FF3"/>
    <w:rsid w:val="00B6167F"/>
    <w:rsid w:val="00B61BD0"/>
    <w:rsid w:val="00B63D29"/>
    <w:rsid w:val="00B665AB"/>
    <w:rsid w:val="00B716CD"/>
    <w:rsid w:val="00B721FB"/>
    <w:rsid w:val="00B81CB2"/>
    <w:rsid w:val="00B86FD6"/>
    <w:rsid w:val="00B90B12"/>
    <w:rsid w:val="00B93B28"/>
    <w:rsid w:val="00BA2DD5"/>
    <w:rsid w:val="00BB7FAE"/>
    <w:rsid w:val="00BC60DB"/>
    <w:rsid w:val="00BE54DD"/>
    <w:rsid w:val="00BF51AE"/>
    <w:rsid w:val="00C00802"/>
    <w:rsid w:val="00C01ED7"/>
    <w:rsid w:val="00C036C0"/>
    <w:rsid w:val="00C108C1"/>
    <w:rsid w:val="00C11B85"/>
    <w:rsid w:val="00C22028"/>
    <w:rsid w:val="00C22C6F"/>
    <w:rsid w:val="00C235F9"/>
    <w:rsid w:val="00C32E9F"/>
    <w:rsid w:val="00C34F42"/>
    <w:rsid w:val="00C423C8"/>
    <w:rsid w:val="00C5525F"/>
    <w:rsid w:val="00C55DEE"/>
    <w:rsid w:val="00C73EC9"/>
    <w:rsid w:val="00C7409D"/>
    <w:rsid w:val="00C83057"/>
    <w:rsid w:val="00C8348A"/>
    <w:rsid w:val="00C974A1"/>
    <w:rsid w:val="00CB05F6"/>
    <w:rsid w:val="00CB4D47"/>
    <w:rsid w:val="00CC20D1"/>
    <w:rsid w:val="00CC3F4F"/>
    <w:rsid w:val="00CD0A3D"/>
    <w:rsid w:val="00CD27A9"/>
    <w:rsid w:val="00CD51CC"/>
    <w:rsid w:val="00CE67A7"/>
    <w:rsid w:val="00CF5D3B"/>
    <w:rsid w:val="00D06359"/>
    <w:rsid w:val="00D07BB5"/>
    <w:rsid w:val="00D1567A"/>
    <w:rsid w:val="00D25ACF"/>
    <w:rsid w:val="00D3146F"/>
    <w:rsid w:val="00D31A58"/>
    <w:rsid w:val="00D3699B"/>
    <w:rsid w:val="00D40160"/>
    <w:rsid w:val="00D418E6"/>
    <w:rsid w:val="00D4687D"/>
    <w:rsid w:val="00D4691A"/>
    <w:rsid w:val="00D46C4D"/>
    <w:rsid w:val="00D61BE5"/>
    <w:rsid w:val="00D62FDB"/>
    <w:rsid w:val="00D66DB0"/>
    <w:rsid w:val="00D7366D"/>
    <w:rsid w:val="00D803E2"/>
    <w:rsid w:val="00D80642"/>
    <w:rsid w:val="00D8210B"/>
    <w:rsid w:val="00D856FE"/>
    <w:rsid w:val="00D858E1"/>
    <w:rsid w:val="00D8792D"/>
    <w:rsid w:val="00D93628"/>
    <w:rsid w:val="00DA5E1A"/>
    <w:rsid w:val="00DD4314"/>
    <w:rsid w:val="00DD57DD"/>
    <w:rsid w:val="00DE481B"/>
    <w:rsid w:val="00DF6CF5"/>
    <w:rsid w:val="00E4182C"/>
    <w:rsid w:val="00E44CA8"/>
    <w:rsid w:val="00E55B6B"/>
    <w:rsid w:val="00E56C45"/>
    <w:rsid w:val="00E669DA"/>
    <w:rsid w:val="00E77D51"/>
    <w:rsid w:val="00E80324"/>
    <w:rsid w:val="00E836DE"/>
    <w:rsid w:val="00E85535"/>
    <w:rsid w:val="00E97A3C"/>
    <w:rsid w:val="00EA289A"/>
    <w:rsid w:val="00EB28FE"/>
    <w:rsid w:val="00EB3205"/>
    <w:rsid w:val="00EB5FA1"/>
    <w:rsid w:val="00F071CF"/>
    <w:rsid w:val="00F166B9"/>
    <w:rsid w:val="00F231E8"/>
    <w:rsid w:val="00F252F2"/>
    <w:rsid w:val="00F26BA0"/>
    <w:rsid w:val="00F430E0"/>
    <w:rsid w:val="00F45103"/>
    <w:rsid w:val="00F5323A"/>
    <w:rsid w:val="00F53636"/>
    <w:rsid w:val="00F67E81"/>
    <w:rsid w:val="00F7126F"/>
    <w:rsid w:val="00F7155B"/>
    <w:rsid w:val="00F7429D"/>
    <w:rsid w:val="00F74F81"/>
    <w:rsid w:val="00F75474"/>
    <w:rsid w:val="00F8252F"/>
    <w:rsid w:val="00FA29AC"/>
    <w:rsid w:val="00FA5582"/>
    <w:rsid w:val="00FB2266"/>
    <w:rsid w:val="00FC10D0"/>
    <w:rsid w:val="00FD1626"/>
    <w:rsid w:val="00FE1E3E"/>
    <w:rsid w:val="00FE321E"/>
    <w:rsid w:val="00FF4793"/>
    <w:rsid w:val="00FF6285"/>
    <w:rsid w:val="0B8BE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A654"/>
  <w15:chartTrackingRefBased/>
  <w15:docId w15:val="{B3C1DC2F-E1D3-49FF-B0D4-4B75BDFB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7522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727B7F"/>
    <w:pPr>
      <w:spacing w:after="0" w:line="240" w:lineRule="auto"/>
    </w:pPr>
    <w:rPr>
      <w:lang w:val="en-GB"/>
    </w:rPr>
  </w:style>
  <w:style w:type="character" w:customStyle="1" w:styleId="ListParagraphChar">
    <w:name w:val="List Paragraph Char"/>
    <w:basedOn w:val="DefaultParagraphFont"/>
    <w:link w:val="ListParagraph"/>
    <w:rsid w:val="00727B7F"/>
  </w:style>
  <w:style w:type="character" w:customStyle="1" w:styleId="SecondnumberingChar">
    <w:name w:val="Second numbering Char"/>
    <w:basedOn w:val="DefaultParagraphFont"/>
    <w:link w:val="Secondnumbering"/>
    <w:rsid w:val="00727B7F"/>
    <w:rPr>
      <w:lang w:val="en-GB"/>
    </w:rPr>
  </w:style>
  <w:style w:type="character" w:styleId="UnresolvedMention">
    <w:name w:val="Unresolved Mention"/>
    <w:basedOn w:val="DefaultParagraphFont"/>
    <w:uiPriority w:val="99"/>
    <w:semiHidden/>
    <w:unhideWhenUsed/>
    <w:rsid w:val="009C2BBE"/>
    <w:rPr>
      <w:color w:val="605E5C"/>
      <w:shd w:val="clear" w:color="auto" w:fill="E1DFDD"/>
    </w:rPr>
  </w:style>
  <w:style w:type="character" w:customStyle="1" w:styleId="Heading3Char">
    <w:name w:val="Heading 3 Char"/>
    <w:basedOn w:val="DefaultParagraphFont"/>
    <w:link w:val="Heading3"/>
    <w:uiPriority w:val="9"/>
    <w:semiHidden/>
    <w:rsid w:val="0075221B"/>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894F70"/>
  </w:style>
  <w:style w:type="paragraph" w:styleId="Revision">
    <w:name w:val="Revision"/>
    <w:hidden/>
    <w:uiPriority w:val="99"/>
    <w:semiHidden/>
    <w:rsid w:val="00822255"/>
    <w:pPr>
      <w:spacing w:after="0" w:line="240" w:lineRule="auto"/>
    </w:pPr>
  </w:style>
  <w:style w:type="character" w:styleId="FollowedHyperlink">
    <w:name w:val="FollowedHyperlink"/>
    <w:basedOn w:val="DefaultParagraphFont"/>
    <w:uiPriority w:val="99"/>
    <w:semiHidden/>
    <w:unhideWhenUsed/>
    <w:rsid w:val="00EA28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synergies-and-partnerships-14" TargetMode="External"/><Relationship Id="rId18" Type="http://schemas.openxmlformats.org/officeDocument/2006/relationships/hyperlink" Target="https://www.cbd.int/doc/decisions/cop-15/cop-15-dec-05-en.pdf" TargetMode="External"/><Relationship Id="rId26" Type="http://schemas.openxmlformats.org/officeDocument/2006/relationships/hyperlink" Target="https://www.cms.int/fr/node/46390" TargetMode="External"/><Relationship Id="rId21" Type="http://schemas.openxmlformats.org/officeDocument/2006/relationships/hyperlink" Target="https://www.cms.int/fr/news/2024017-esp%C3%A8ces-migratrices-et-strat%C3%A9gies-et-plans-daction-nationaux-pour-la-biodiversit%C3%A9-spanb"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sites/default/files/document/cms_cop14_res.11.10_rev.cop14_synergies-and-partnerships_f.pdf" TargetMode="External"/><Relationship Id="rId17" Type="http://schemas.openxmlformats.org/officeDocument/2006/relationships/hyperlink" Target="https://www.cbd.int/doc/notifications/2025/ntf-2025-099-gbo-en.pdf" TargetMode="External"/><Relationship Id="rId25" Type="http://schemas.openxmlformats.org/officeDocument/2006/relationships/hyperlink" Target="https://www.cbd.int/doc/notifications/2025/ntf-2025-005-cc-en.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02.safelinks.protection.outlook.com/?url=https%3A%2F%2Fwww.cbd.int%2Fdoc%2Fc%2Fee9e%2Ff0d6%2F0b7a88e2719ca0563aaed1a4%2Fsbstta-27-inf-15-en.pdf&amp;data=05%7C02%7Claura.cerasi%40un.org%7C4a021c554b6c474a874508de10bbaa72%7C0f9e35db544f4f60bdcc5ea416e6dc70%7C0%7C0%7C638966595376339986%7CUnknown%7CTWFpbGZsb3d8eyJFbXB0eU1hcGkiOnRydWUsIlYiOiIwLjAuMDAwMCIsIlAiOiJXaW4zMiIsIkFOIjoiTWFpbCIsIldUIjoyfQ%3D%3D%7C0%7C%7C%7C&amp;sdata=1huuEvPuJUZbRnG%2B%2Fg4N95OjfuA0oscTIfS7sla%2BWmM%3D&amp;reserved=0" TargetMode="External"/><Relationship Id="rId20" Type="http://schemas.openxmlformats.org/officeDocument/2006/relationships/hyperlink" Target="https://www.cms.int/fr/node/4635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bd.int/peace"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docs.unep.org/items/25a64de4-1a4d-4e68-a479-58018a3051f5" TargetMode="External"/><Relationship Id="rId23" Type="http://schemas.openxmlformats.org/officeDocument/2006/relationships/hyperlink" Target="https://www.cbd.int/notifications/2025-135" TargetMode="External"/><Relationship Id="rId28" Type="http://schemas.openxmlformats.org/officeDocument/2006/relationships/hyperlink" Target="https://www.cms.int/fr/node/4638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6/cop-16-dec-31-en.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resource-mobilization-12" TargetMode="External"/><Relationship Id="rId22" Type="http://schemas.openxmlformats.org/officeDocument/2006/relationships/hyperlink" Target="https://www.cms.int/fr/node/46384" TargetMode="External"/><Relationship Id="rId27" Type="http://schemas.openxmlformats.org/officeDocument/2006/relationships/hyperlink" Target="https://www.cbd.int/doc/notifications/2025/ntf-2025-014-wildlife-en.pdf" TargetMode="External"/><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C8C05C0F-1A03-42DF-9EBD-A6C702991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2790</Words>
  <Characters>15908</Characters>
  <Application>Microsoft Office Word</Application>
  <DocSecurity>0</DocSecurity>
  <Lines>132</Lines>
  <Paragraphs>37</Paragraphs>
  <ScaleCrop>false</ScaleCrop>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Laura Cerasi</cp:lastModifiedBy>
  <cp:revision>21</cp:revision>
  <dcterms:created xsi:type="dcterms:W3CDTF">2025-12-19T07:46:00Z</dcterms:created>
  <dcterms:modified xsi:type="dcterms:W3CDTF">2026-01-07T12:20:00Z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TaxCatchAll">
    <vt:lpwstr/>
  </property>
  <property fmtid="{D5CDD505-2E9C-101B-9397-08002B2CF9AE}" pid="7" name="lcf76f155ced4ddcb4097134ff3c332f">
    <vt:lpwstr/>
  </property>
  <property fmtid="{D5CDD505-2E9C-101B-9397-08002B2CF9AE}" pid="8" name="SharedWithUsers">
    <vt:lpwstr>16;#Ximena Victoria Cancino Ordenes;#1073741823;#System Account;#78;#Thilan Mannan(Affiliate)</vt:lpwstr>
  </property>
  <property fmtid="{D5CDD505-2E9C-101B-9397-08002B2CF9AE}" pid="9" name="TaxKeywordTaxHTField">
    <vt:lpwstr/>
  </property>
  <property fmtid="{D5CDD505-2E9C-101B-9397-08002B2CF9AE}" pid="10" name="Sign-off status">
    <vt:lpwstr/>
  </property>
  <property fmtid="{D5CDD505-2E9C-101B-9397-08002B2CF9AE}" pid="11" name="Reviewer">
    <vt:lpwstr/>
  </property>
  <property fmtid="{D5CDD505-2E9C-101B-9397-08002B2CF9AE}" pid="12" name="MariaJoseOrtiz">
    <vt:lpwstr/>
  </property>
  <property fmtid="{D5CDD505-2E9C-101B-9397-08002B2CF9AE}" pid="13" name="Notes">
    <vt:lpwstr/>
  </property>
  <property fmtid="{D5CDD505-2E9C-101B-9397-08002B2CF9AE}" pid="14" name="Sent">
    <vt:lpwstr/>
  </property>
  <property fmtid="{D5CDD505-2E9C-101B-9397-08002B2CF9AE}" pid="15" name="Pre-selection">
    <vt:lpwstr>1</vt:lpwstr>
  </property>
  <property fmtid="{D5CDD505-2E9C-101B-9397-08002B2CF9AE}" pid="16" name="MSIP_Label_8b77875e-5908-45a0-9cb4-dec9ae074618_Enabled">
    <vt:lpwstr>true</vt:lpwstr>
  </property>
  <property fmtid="{D5CDD505-2E9C-101B-9397-08002B2CF9AE}" pid="17" name="MSIP_Label_8b77875e-5908-45a0-9cb4-dec9ae074618_SetDate">
    <vt:lpwstr>2025-11-12T21:08:23Z</vt:lpwstr>
  </property>
  <property fmtid="{D5CDD505-2E9C-101B-9397-08002B2CF9AE}" pid="18" name="MSIP_Label_8b77875e-5908-45a0-9cb4-dec9ae074618_Method">
    <vt:lpwstr>Standard</vt:lpwstr>
  </property>
  <property fmtid="{D5CDD505-2E9C-101B-9397-08002B2CF9AE}" pid="19" name="MSIP_Label_8b77875e-5908-45a0-9cb4-dec9ae074618_Name">
    <vt:lpwstr>8b77875e-5908-45a0-9cb4-dec9ae074618</vt:lpwstr>
  </property>
  <property fmtid="{D5CDD505-2E9C-101B-9397-08002B2CF9AE}" pid="20" name="MSIP_Label_8b77875e-5908-45a0-9cb4-dec9ae074618_SiteId">
    <vt:lpwstr>0f9e35db-544f-4f60-bdcc-5ea416e6dc70</vt:lpwstr>
  </property>
  <property fmtid="{D5CDD505-2E9C-101B-9397-08002B2CF9AE}" pid="21" name="MSIP_Label_8b77875e-5908-45a0-9cb4-dec9ae074618_ActionId">
    <vt:lpwstr>c0c8634e-c0c0-4001-8733-283db8d005b8</vt:lpwstr>
  </property>
  <property fmtid="{D5CDD505-2E9C-101B-9397-08002B2CF9AE}" pid="22" name="MSIP_Label_8b77875e-5908-45a0-9cb4-dec9ae074618_ContentBits">
    <vt:lpwstr>0</vt:lpwstr>
  </property>
  <property fmtid="{D5CDD505-2E9C-101B-9397-08002B2CF9AE}" pid="23" name="docLang">
    <vt:lpwstr>en</vt:lpwstr>
  </property>
</Properties>
</file>