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5A308" w14:textId="77777777" w:rsidR="000527FF" w:rsidRPr="00EC2A58" w:rsidRDefault="000527FF" w:rsidP="000527FF">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0527FF" w:rsidRPr="000527FF" w14:paraId="6B05E8D5" w14:textId="77777777" w:rsidTr="00F05961">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2AEC3F8D" w14:textId="77777777" w:rsidR="000527FF" w:rsidRPr="00EC2A58" w:rsidRDefault="000527FF" w:rsidP="00F05961">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505F37F9" wp14:editId="6FF32BE3">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444ECF4D" w14:textId="77777777" w:rsidR="000527FF" w:rsidRPr="00EC2A58" w:rsidRDefault="000527FF" w:rsidP="00F05961">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1E7396F7" w14:textId="77777777" w:rsidR="000527FF" w:rsidRPr="00EC2A58" w:rsidRDefault="000527FF" w:rsidP="00F05961">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3733AFA" w14:textId="77777777" w:rsidR="000527FF" w:rsidRPr="00EC2A58" w:rsidRDefault="000527FF" w:rsidP="00F0596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06AA59F9" w14:textId="77777777" w:rsidR="000527FF" w:rsidRPr="00EC2A58" w:rsidRDefault="000527FF" w:rsidP="00F0596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04A4E11" w14:textId="77777777" w:rsidR="000527FF" w:rsidRPr="00EC2A58" w:rsidRDefault="000527FF" w:rsidP="00F0596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4DA1CD3F" w14:textId="66937462" w:rsidR="000527FF" w:rsidRPr="00AF3AEC" w:rsidRDefault="000527FF" w:rsidP="00F0596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8041B8">
              <w:rPr>
                <w:rFonts w:eastAsia="Arial" w:cs="Arial"/>
                <w:lang w:val="fr-FR"/>
              </w:rPr>
              <w:t>18.1</w:t>
            </w:r>
          </w:p>
          <w:p w14:paraId="534BD961" w14:textId="3EDA29C9" w:rsidR="000527FF" w:rsidRPr="00AF3AEC" w:rsidRDefault="003900A1" w:rsidP="00F0596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8 janvier 2026</w:t>
            </w:r>
          </w:p>
          <w:p w14:paraId="1FDF42DF" w14:textId="77777777" w:rsidR="000527FF" w:rsidRPr="00FC4F18" w:rsidRDefault="000527FF" w:rsidP="00F05961">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53151650" w14:textId="77777777" w:rsidR="000527FF" w:rsidRPr="00FC4F18" w:rsidRDefault="000527FF" w:rsidP="00F05961">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5CC21130" w14:textId="77777777" w:rsidR="000527FF" w:rsidRPr="00EC2A58" w:rsidRDefault="000527FF" w:rsidP="000527FF">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1C1A482A" w14:textId="77777777" w:rsidR="000527FF" w:rsidRPr="00EC2A58" w:rsidRDefault="000527FF" w:rsidP="000527FF">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374F320C" w14:textId="77777777" w:rsidR="000527FF" w:rsidRPr="00EC2A58" w:rsidRDefault="000527FF" w:rsidP="000527F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743FD870" w14:textId="60D9DD78" w:rsidR="000527FF" w:rsidRPr="00EC2A58" w:rsidRDefault="000527FF" w:rsidP="000527FF">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3900A1">
        <w:rPr>
          <w:rFonts w:eastAsia="Arial" w:cs="Arial"/>
          <w:iCs/>
          <w:lang w:val="fr-FR"/>
        </w:rPr>
        <w:t>18.1</w:t>
      </w:r>
      <w:r w:rsidRPr="00EC2A58">
        <w:rPr>
          <w:rFonts w:eastAsia="Arial" w:cs="Arial"/>
          <w:iCs/>
          <w:lang w:val="fr-FR"/>
        </w:rPr>
        <w:t xml:space="preserve"> de l’ordre du jour</w:t>
      </w:r>
    </w:p>
    <w:bookmarkEnd w:id="1"/>
    <w:p w14:paraId="50E5DAA4" w14:textId="77777777" w:rsidR="005E4539" w:rsidRDefault="005E4539">
      <w:pPr>
        <w:widowControl w:val="0"/>
        <w:suppressAutoHyphens/>
        <w:autoSpaceDE w:val="0"/>
        <w:autoSpaceDN w:val="0"/>
        <w:spacing w:after="0" w:line="240" w:lineRule="auto"/>
        <w:jc w:val="both"/>
        <w:textAlignment w:val="baseline"/>
        <w:rPr>
          <w:rFonts w:eastAsia="Times New Roman" w:cs="Arial"/>
          <w:lang w:val="fr-FR"/>
        </w:rPr>
      </w:pPr>
    </w:p>
    <w:p w14:paraId="77C735E7" w14:textId="77777777" w:rsidR="00211154" w:rsidRPr="00A91B2C" w:rsidRDefault="00211154">
      <w:pPr>
        <w:widowControl w:val="0"/>
        <w:suppressAutoHyphens/>
        <w:autoSpaceDE w:val="0"/>
        <w:autoSpaceDN w:val="0"/>
        <w:spacing w:after="0" w:line="240" w:lineRule="auto"/>
        <w:jc w:val="both"/>
        <w:textAlignment w:val="baseline"/>
        <w:rPr>
          <w:rFonts w:eastAsia="Times New Roman" w:cs="Arial"/>
          <w:lang w:val="fr-FR"/>
        </w:rPr>
      </w:pPr>
    </w:p>
    <w:p w14:paraId="1D01B320" w14:textId="77777777" w:rsidR="005E4539" w:rsidRPr="00A91B2C" w:rsidRDefault="003C4062">
      <w:pPr>
        <w:widowControl w:val="0"/>
        <w:suppressAutoHyphens/>
        <w:autoSpaceDE w:val="0"/>
        <w:autoSpaceDN w:val="0"/>
        <w:spacing w:after="120" w:line="240" w:lineRule="auto"/>
        <w:jc w:val="center"/>
        <w:textAlignment w:val="baseline"/>
        <w:rPr>
          <w:rFonts w:eastAsia="Times New Roman" w:cs="Arial"/>
          <w:b/>
          <w:bCs/>
          <w:lang w:val="fr-FR"/>
        </w:rPr>
      </w:pPr>
      <w:r w:rsidRPr="00A91B2C">
        <w:rPr>
          <w:rFonts w:eastAsia="Times New Roman" w:cs="Arial"/>
          <w:b/>
          <w:bCs/>
          <w:lang w:val="fr-FR"/>
        </w:rPr>
        <w:t>SYNERGIES ET PARTENARIATS</w:t>
      </w:r>
    </w:p>
    <w:p w14:paraId="65419B87" w14:textId="77777777" w:rsidR="005E4539" w:rsidRPr="00A91B2C" w:rsidRDefault="003C4062">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A91B2C">
        <w:rPr>
          <w:rFonts w:eastAsia="Times New Roman" w:cs="Arial"/>
          <w:i/>
          <w:lang w:val="fr-FR"/>
        </w:rPr>
        <w:t>(Préparé par le Secrétariat)</w:t>
      </w:r>
    </w:p>
    <w:p w14:paraId="20F88022" w14:textId="77777777" w:rsidR="005E4539" w:rsidRPr="00A91B2C" w:rsidRDefault="005E4539">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78585604" w14:textId="4BE2BADE" w:rsidR="005E4539" w:rsidRPr="00A91B2C" w:rsidRDefault="00211154">
      <w:pPr>
        <w:widowControl w:val="0"/>
        <w:suppressAutoHyphens/>
        <w:autoSpaceDE w:val="0"/>
        <w:autoSpaceDN w:val="0"/>
        <w:spacing w:after="0" w:line="240" w:lineRule="auto"/>
        <w:jc w:val="both"/>
        <w:textAlignment w:val="baseline"/>
        <w:rPr>
          <w:rFonts w:eastAsia="Times New Roman" w:cs="Arial"/>
          <w:sz w:val="21"/>
          <w:szCs w:val="21"/>
          <w:lang w:val="fr-FR"/>
        </w:rPr>
      </w:pPr>
      <w:r w:rsidRPr="00A91B2C">
        <w:rPr>
          <w:rFonts w:eastAsia="Times New Roman" w:cs="Arial"/>
          <w:noProof/>
          <w:sz w:val="21"/>
          <w:szCs w:val="21"/>
          <w:lang w:val="fr-FR" w:eastAsia="fr-FR"/>
        </w:rPr>
        <mc:AlternateContent>
          <mc:Choice Requires="wps">
            <w:drawing>
              <wp:anchor distT="0" distB="0" distL="114300" distR="114300" simplePos="0" relativeHeight="251658240" behindDoc="1" locked="0" layoutInCell="1" allowOverlap="1" wp14:anchorId="1C64500C" wp14:editId="18AC6A70">
                <wp:simplePos x="0" y="0"/>
                <wp:positionH relativeFrom="margin">
                  <wp:posOffset>884555</wp:posOffset>
                </wp:positionH>
                <wp:positionV relativeFrom="margin">
                  <wp:posOffset>2764663</wp:posOffset>
                </wp:positionV>
                <wp:extent cx="4304665" cy="2252980"/>
                <wp:effectExtent l="0" t="0" r="19685" b="1397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252980"/>
                        </a:xfrm>
                        <a:prstGeom prst="rect">
                          <a:avLst/>
                        </a:prstGeom>
                        <a:solidFill>
                          <a:srgbClr val="FFFFFF"/>
                        </a:solidFill>
                        <a:ln w="3172">
                          <a:solidFill>
                            <a:srgbClr val="000000"/>
                          </a:solidFill>
                          <a:prstDash val="solid"/>
                        </a:ln>
                      </wps:spPr>
                      <wps:txbx>
                        <w:txbxContent>
                          <w:p w14:paraId="7CCDB81C" w14:textId="77777777" w:rsidR="003C4062" w:rsidRDefault="003C4062">
                            <w:pPr>
                              <w:spacing w:after="0" w:line="240" w:lineRule="auto"/>
                              <w:jc w:val="both"/>
                              <w:rPr>
                                <w:rFonts w:cs="Arial"/>
                                <w:lang w:val="fr-FR"/>
                              </w:rPr>
                            </w:pPr>
                            <w:r>
                              <w:rPr>
                                <w:rFonts w:cs="Arial"/>
                                <w:lang w:val="fr-FR"/>
                              </w:rPr>
                              <w:t>Résumé :</w:t>
                            </w:r>
                          </w:p>
                          <w:p w14:paraId="7B1D0C65" w14:textId="77777777" w:rsidR="003C4062" w:rsidRDefault="003C4062">
                            <w:pPr>
                              <w:spacing w:after="0" w:line="240" w:lineRule="auto"/>
                              <w:jc w:val="both"/>
                              <w:rPr>
                                <w:rFonts w:cs="Arial"/>
                                <w:lang w:val="fr-FR"/>
                              </w:rPr>
                            </w:pPr>
                          </w:p>
                          <w:p w14:paraId="24717335" w14:textId="77777777" w:rsidR="003C4062" w:rsidRDefault="003C4062">
                            <w:pPr>
                              <w:spacing w:after="0" w:line="240" w:lineRule="auto"/>
                              <w:jc w:val="both"/>
                              <w:rPr>
                                <w:lang w:val="fr-FR"/>
                              </w:rPr>
                            </w:pPr>
                            <w:r>
                              <w:rPr>
                                <w:rFonts w:cs="Arial"/>
                                <w:lang w:val="fr-FR"/>
                              </w:rPr>
                              <w:t xml:space="preserve">Le présent document </w:t>
                            </w:r>
                            <w:bookmarkStart w:id="2" w:name="_Hlk19709381"/>
                            <w:r>
                              <w:rPr>
                                <w:rFonts w:cs="Arial"/>
                                <w:lang w:val="fr-FR"/>
                              </w:rPr>
                              <w:t xml:space="preserve">fait état des avancées dans la </w:t>
                            </w:r>
                            <w:bookmarkEnd w:id="2"/>
                            <w:r>
                              <w:rPr>
                                <w:rFonts w:cs="Arial"/>
                                <w:lang w:val="fr-FR"/>
                              </w:rPr>
                              <w:t>mise en œuvre</w:t>
                            </w:r>
                            <w:r>
                              <w:rPr>
                                <w:lang w:val="fr-FR"/>
                              </w:rPr>
                              <w:t xml:space="preserve"> de la Résolution 11.10 (Rev.COP14) </w:t>
                            </w:r>
                            <w:r>
                              <w:rPr>
                                <w:i/>
                                <w:lang w:val="fr-FR"/>
                              </w:rPr>
                              <w:t xml:space="preserve">Synergies et partenariats </w:t>
                            </w:r>
                            <w:r>
                              <w:rPr>
                                <w:iCs/>
                                <w:lang w:val="fr-FR"/>
                              </w:rPr>
                              <w:t>et des Décisions 14.8 à 14.10</w:t>
                            </w:r>
                            <w:r>
                              <w:rPr>
                                <w:i/>
                                <w:lang w:val="fr-FR"/>
                              </w:rPr>
                              <w:t xml:space="preserve"> Participation des organisations non gouvernementales et autres groupes aux processus de la CMS</w:t>
                            </w:r>
                            <w:r>
                              <w:rPr>
                                <w:lang w:val="fr-FR"/>
                              </w:rPr>
                              <w:t>.</w:t>
                            </w:r>
                          </w:p>
                          <w:p w14:paraId="2F5D7D1D" w14:textId="77777777" w:rsidR="003C4062" w:rsidRDefault="003C4062">
                            <w:pPr>
                              <w:spacing w:after="0" w:line="240" w:lineRule="auto"/>
                              <w:jc w:val="both"/>
                              <w:rPr>
                                <w:lang w:val="fr-FR"/>
                              </w:rPr>
                            </w:pPr>
                          </w:p>
                          <w:p w14:paraId="3095989A" w14:textId="77777777" w:rsidR="003C4062" w:rsidRDefault="003C4062">
                            <w:pPr>
                              <w:spacing w:after="0" w:line="240" w:lineRule="auto"/>
                              <w:jc w:val="both"/>
                              <w:rPr>
                                <w:rFonts w:cs="Arial"/>
                                <w:lang w:val="fr-FR"/>
                              </w:rPr>
                            </w:pPr>
                            <w:r>
                              <w:rPr>
                                <w:rFonts w:cs="Arial"/>
                                <w:lang w:val="fr-FR"/>
                              </w:rPr>
                              <w:t>Le document propose</w:t>
                            </w:r>
                            <w:r>
                              <w:rPr>
                                <w:lang w:val="fr-FR"/>
                              </w:rPr>
                              <w:t xml:space="preserve"> </w:t>
                            </w:r>
                            <w:r>
                              <w:rPr>
                                <w:rFonts w:cs="Arial"/>
                                <w:lang w:val="fr-FR"/>
                              </w:rPr>
                              <w:t>l’adoption de nouvelles Décisions et la suppression des décisions 14.8 à 14.10.</w:t>
                            </w:r>
                          </w:p>
                          <w:p w14:paraId="760C2854" w14:textId="77777777" w:rsidR="003C4062" w:rsidRDefault="003C4062">
                            <w:pPr>
                              <w:spacing w:after="0" w:line="240" w:lineRule="auto"/>
                              <w:jc w:val="both"/>
                              <w:rPr>
                                <w:rFonts w:cs="Arial"/>
                                <w:lang w:val="fr-FR"/>
                              </w:rPr>
                            </w:pPr>
                          </w:p>
                          <w:p w14:paraId="4B741D4B" w14:textId="77777777" w:rsidR="003C4062" w:rsidRDefault="003C4062">
                            <w:pPr>
                              <w:spacing w:after="0" w:line="240" w:lineRule="auto"/>
                              <w:jc w:val="both"/>
                              <w:rPr>
                                <w:rFonts w:cs="Arial"/>
                                <w:lang w:val="fr-FR"/>
                              </w:rPr>
                            </w:pPr>
                            <w:r>
                              <w:rPr>
                                <w:rFonts w:cs="Arial"/>
                                <w:lang w:val="fr-FR"/>
                              </w:rPr>
                              <w:t>Le projet de Décisions, s’il est adopté, contribuera à toutes les cibles du Plan stratégique pour les espèces migratrices 2024-2032, notamment la cible 6.4.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1C64500C" id="_x0000_t202" coordsize="21600,21600" o:spt="202" path="m,l,21600r21600,l21600,xe">
                <v:stroke joinstyle="miter"/>
                <v:path gradientshapeok="t" o:connecttype="rect"/>
              </v:shapetype>
              <v:shape id="Text Box 5" o:spid="_x0000_s1026" type="#_x0000_t202" style="position:absolute;left:0;text-align:left;margin-left:69.65pt;margin-top:217.7pt;width:338.95pt;height:177.4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" strokeweight=".08811mm">
                <v:textbox>
                  <w:txbxContent>
                    <w:p w14:paraId="7CCDB81C" w14:textId="77777777" w:rsidR="003C4062" w:rsidRDefault="003C4062">
                      <w:pPr>
                        <w:spacing w:after="0" w:line="240" w:lineRule="auto"/>
                        <w:jc w:val="both"/>
                        <w:rPr>
                          <w:rFonts w:cs="Arial"/>
                          <w:lang w:val="fr-FR"/>
                        </w:rPr>
                      </w:pPr>
                      <w:r>
                        <w:rPr>
                          <w:rFonts w:cs="Arial"/>
                          <w:lang w:val="fr-FR"/>
                        </w:rPr>
                        <w:t>Résumé :</w:t>
                      </w:r>
                    </w:p>
                    <w:p w14:paraId="7B1D0C65" w14:textId="77777777" w:rsidR="003C4062" w:rsidRDefault="003C4062">
                      <w:pPr>
                        <w:spacing w:after="0" w:line="240" w:lineRule="auto"/>
                        <w:jc w:val="both"/>
                        <w:rPr>
                          <w:rFonts w:cs="Arial"/>
                          <w:lang w:val="fr-FR"/>
                        </w:rPr>
                      </w:pPr>
                    </w:p>
                    <w:p w14:paraId="24717335" w14:textId="77777777" w:rsidR="003C4062" w:rsidRDefault="003C4062">
                      <w:pPr>
                        <w:spacing w:after="0" w:line="240" w:lineRule="auto"/>
                        <w:jc w:val="both"/>
                        <w:rPr>
                          <w:lang w:val="fr-FR"/>
                        </w:rPr>
                      </w:pPr>
                      <w:r>
                        <w:rPr>
                          <w:rFonts w:cs="Arial"/>
                          <w:lang w:val="fr-FR"/>
                        </w:rPr>
                        <w:t xml:space="preserve">Le présent document </w:t>
                      </w:r>
                      <w:bookmarkStart w:id="3" w:name="_Hlk19709381"/>
                      <w:r>
                        <w:rPr>
                          <w:rFonts w:cs="Arial"/>
                          <w:lang w:val="fr-FR"/>
                        </w:rPr>
                        <w:t xml:space="preserve">fait état des avancées dans la </w:t>
                      </w:r>
                      <w:bookmarkEnd w:id="3"/>
                      <w:r>
                        <w:rPr>
                          <w:rFonts w:cs="Arial"/>
                          <w:lang w:val="fr-FR"/>
                        </w:rPr>
                        <w:t>mise en œuvre</w:t>
                      </w:r>
                      <w:r>
                        <w:rPr>
                          <w:lang w:val="fr-FR"/>
                        </w:rPr>
                        <w:t xml:space="preserve"> de la Résolution 11.10 (Rev.COP14) </w:t>
                      </w:r>
                      <w:r>
                        <w:rPr>
                          <w:i/>
                          <w:lang w:val="fr-FR"/>
                        </w:rPr>
                        <w:t xml:space="preserve">Synergies et partenariats </w:t>
                      </w:r>
                      <w:r>
                        <w:rPr>
                          <w:iCs/>
                          <w:lang w:val="fr-FR"/>
                        </w:rPr>
                        <w:t>et des Décisions 14.8 à 14.10</w:t>
                      </w:r>
                      <w:r>
                        <w:rPr>
                          <w:i/>
                          <w:lang w:val="fr-FR"/>
                        </w:rPr>
                        <w:t xml:space="preserve"> Participation des organisations non gouvernementales et autres groupes aux processus de la CMS</w:t>
                      </w:r>
                      <w:r>
                        <w:rPr>
                          <w:lang w:val="fr-FR"/>
                        </w:rPr>
                        <w:t>.</w:t>
                      </w:r>
                    </w:p>
                    <w:p w14:paraId="2F5D7D1D" w14:textId="77777777" w:rsidR="003C4062" w:rsidRDefault="003C4062">
                      <w:pPr>
                        <w:spacing w:after="0" w:line="240" w:lineRule="auto"/>
                        <w:jc w:val="both"/>
                        <w:rPr>
                          <w:lang w:val="fr-FR"/>
                        </w:rPr>
                      </w:pPr>
                    </w:p>
                    <w:p w14:paraId="3095989A" w14:textId="77777777" w:rsidR="003C4062" w:rsidRDefault="003C4062">
                      <w:pPr>
                        <w:spacing w:after="0" w:line="240" w:lineRule="auto"/>
                        <w:jc w:val="both"/>
                        <w:rPr>
                          <w:rFonts w:cs="Arial"/>
                          <w:lang w:val="fr-FR"/>
                        </w:rPr>
                      </w:pPr>
                      <w:r>
                        <w:rPr>
                          <w:rFonts w:cs="Arial"/>
                          <w:lang w:val="fr-FR"/>
                        </w:rPr>
                        <w:t>Le document propose</w:t>
                      </w:r>
                      <w:r>
                        <w:rPr>
                          <w:lang w:val="fr-FR"/>
                        </w:rPr>
                        <w:t xml:space="preserve"> </w:t>
                      </w:r>
                      <w:r>
                        <w:rPr>
                          <w:rFonts w:cs="Arial"/>
                          <w:lang w:val="fr-FR"/>
                        </w:rPr>
                        <w:t>l’adoption de nouvelles Décisions et la suppression des décisions 14.8 à 14.10.</w:t>
                      </w:r>
                    </w:p>
                    <w:p w14:paraId="760C2854" w14:textId="77777777" w:rsidR="003C4062" w:rsidRDefault="003C4062">
                      <w:pPr>
                        <w:spacing w:after="0" w:line="240" w:lineRule="auto"/>
                        <w:jc w:val="both"/>
                        <w:rPr>
                          <w:rFonts w:cs="Arial"/>
                          <w:lang w:val="fr-FR"/>
                        </w:rPr>
                      </w:pPr>
                    </w:p>
                    <w:p w14:paraId="4B741D4B" w14:textId="77777777" w:rsidR="003C4062" w:rsidRDefault="003C4062">
                      <w:pPr>
                        <w:spacing w:after="0" w:line="240" w:lineRule="auto"/>
                        <w:jc w:val="both"/>
                        <w:rPr>
                          <w:rFonts w:cs="Arial"/>
                          <w:lang w:val="fr-FR"/>
                        </w:rPr>
                      </w:pPr>
                      <w:r>
                        <w:rPr>
                          <w:rFonts w:cs="Arial"/>
                          <w:lang w:val="fr-FR"/>
                        </w:rPr>
                        <w:t>Le projet de Décisions, s’il est adopté, contribuera à toutes les cibles du Plan stratégique pour les espèces migratrices 2024-2032, notamment la cible 6.4.</w:t>
                      </w:r>
                    </w:p>
                  </w:txbxContent>
                </v:textbox>
                <w10:wrap type="square" anchorx="margin" anchory="margin"/>
              </v:shape>
            </w:pict>
          </mc:Fallback>
        </mc:AlternateContent>
      </w:r>
    </w:p>
    <w:p w14:paraId="6FE8C419" w14:textId="516FDF9F" w:rsidR="005E4539" w:rsidRPr="00A91B2C" w:rsidRDefault="005E4539">
      <w:pPr>
        <w:widowControl w:val="0"/>
        <w:suppressAutoHyphens/>
        <w:autoSpaceDE w:val="0"/>
        <w:autoSpaceDN w:val="0"/>
        <w:spacing w:after="0" w:line="240" w:lineRule="auto"/>
        <w:jc w:val="both"/>
        <w:textAlignment w:val="baseline"/>
        <w:rPr>
          <w:rFonts w:eastAsia="Times New Roman" w:cs="Arial"/>
          <w:sz w:val="21"/>
          <w:szCs w:val="21"/>
          <w:lang w:val="fr-FR"/>
        </w:rPr>
      </w:pPr>
    </w:p>
    <w:p w14:paraId="4FB7DB9B" w14:textId="77777777" w:rsidR="005E4539" w:rsidRPr="00A91B2C" w:rsidRDefault="005E4539">
      <w:pPr>
        <w:widowControl w:val="0"/>
        <w:suppressAutoHyphens/>
        <w:autoSpaceDE w:val="0"/>
        <w:autoSpaceDN w:val="0"/>
        <w:spacing w:after="0" w:line="240" w:lineRule="auto"/>
        <w:jc w:val="both"/>
        <w:textAlignment w:val="baseline"/>
        <w:rPr>
          <w:rFonts w:eastAsia="Times New Roman" w:cs="Arial"/>
          <w:sz w:val="21"/>
          <w:szCs w:val="21"/>
          <w:lang w:val="fr-FR"/>
        </w:rPr>
      </w:pPr>
    </w:p>
    <w:p w14:paraId="5B70B222" w14:textId="77777777" w:rsidR="005E4539" w:rsidRPr="00A91B2C" w:rsidRDefault="005E4539">
      <w:pPr>
        <w:widowControl w:val="0"/>
        <w:suppressAutoHyphens/>
        <w:autoSpaceDE w:val="0"/>
        <w:autoSpaceDN w:val="0"/>
        <w:spacing w:after="0" w:line="240" w:lineRule="auto"/>
        <w:jc w:val="both"/>
        <w:textAlignment w:val="baseline"/>
        <w:rPr>
          <w:rFonts w:eastAsia="Times New Roman" w:cs="Arial"/>
          <w:sz w:val="21"/>
          <w:szCs w:val="21"/>
          <w:lang w:val="fr-FR"/>
        </w:rPr>
      </w:pPr>
    </w:p>
    <w:p w14:paraId="0D6EA09D" w14:textId="77777777" w:rsidR="005E4539" w:rsidRPr="00A91B2C" w:rsidRDefault="005E4539">
      <w:pPr>
        <w:widowControl w:val="0"/>
        <w:suppressAutoHyphens/>
        <w:autoSpaceDE w:val="0"/>
        <w:autoSpaceDN w:val="0"/>
        <w:spacing w:after="0" w:line="240" w:lineRule="auto"/>
        <w:jc w:val="both"/>
        <w:textAlignment w:val="baseline"/>
        <w:rPr>
          <w:rFonts w:eastAsia="Times New Roman" w:cs="Arial"/>
          <w:sz w:val="21"/>
          <w:szCs w:val="21"/>
          <w:lang w:val="fr-FR"/>
        </w:rPr>
      </w:pPr>
    </w:p>
    <w:p w14:paraId="68146DD7" w14:textId="77777777" w:rsidR="005E4539" w:rsidRPr="00A91B2C" w:rsidRDefault="005E4539">
      <w:pPr>
        <w:widowControl w:val="0"/>
        <w:suppressAutoHyphens/>
        <w:autoSpaceDE w:val="0"/>
        <w:autoSpaceDN w:val="0"/>
        <w:spacing w:after="0" w:line="240" w:lineRule="auto"/>
        <w:jc w:val="both"/>
        <w:textAlignment w:val="baseline"/>
        <w:rPr>
          <w:rFonts w:eastAsia="Times New Roman" w:cs="Arial"/>
          <w:sz w:val="21"/>
          <w:szCs w:val="21"/>
          <w:lang w:val="fr-FR"/>
        </w:rPr>
      </w:pPr>
    </w:p>
    <w:p w14:paraId="72C6C3E5" w14:textId="77777777" w:rsidR="005E4539" w:rsidRPr="00A91B2C" w:rsidRDefault="005E4539">
      <w:pPr>
        <w:widowControl w:val="0"/>
        <w:suppressAutoHyphens/>
        <w:autoSpaceDE w:val="0"/>
        <w:autoSpaceDN w:val="0"/>
        <w:spacing w:after="0" w:line="240" w:lineRule="auto"/>
        <w:jc w:val="both"/>
        <w:textAlignment w:val="baseline"/>
        <w:rPr>
          <w:rFonts w:eastAsia="Times New Roman" w:cs="Arial"/>
          <w:sz w:val="21"/>
          <w:szCs w:val="21"/>
          <w:lang w:val="fr-FR"/>
        </w:rPr>
      </w:pPr>
    </w:p>
    <w:p w14:paraId="4E560C85" w14:textId="77777777" w:rsidR="005E4539" w:rsidRPr="00A91B2C" w:rsidRDefault="005E4539">
      <w:pPr>
        <w:widowControl w:val="0"/>
        <w:suppressAutoHyphens/>
        <w:autoSpaceDE w:val="0"/>
        <w:autoSpaceDN w:val="0"/>
        <w:spacing w:after="0" w:line="240" w:lineRule="auto"/>
        <w:jc w:val="both"/>
        <w:textAlignment w:val="baseline"/>
        <w:rPr>
          <w:rFonts w:eastAsia="Times New Roman" w:cs="Arial"/>
          <w:sz w:val="21"/>
          <w:szCs w:val="21"/>
          <w:lang w:val="fr-FR"/>
        </w:rPr>
      </w:pPr>
    </w:p>
    <w:p w14:paraId="562B2C8C" w14:textId="77777777" w:rsidR="005E4539" w:rsidRPr="00A91B2C" w:rsidRDefault="005E4539">
      <w:pPr>
        <w:widowControl w:val="0"/>
        <w:suppressAutoHyphens/>
        <w:autoSpaceDE w:val="0"/>
        <w:autoSpaceDN w:val="0"/>
        <w:spacing w:after="0" w:line="240" w:lineRule="auto"/>
        <w:jc w:val="both"/>
        <w:textAlignment w:val="baseline"/>
        <w:rPr>
          <w:rFonts w:eastAsia="Times New Roman" w:cs="Arial"/>
          <w:sz w:val="21"/>
          <w:szCs w:val="21"/>
          <w:lang w:val="fr-FR"/>
        </w:rPr>
      </w:pPr>
    </w:p>
    <w:p w14:paraId="5158D5B8" w14:textId="77777777" w:rsidR="005E4539" w:rsidRPr="00A91B2C" w:rsidRDefault="005E4539">
      <w:pPr>
        <w:widowControl w:val="0"/>
        <w:suppressAutoHyphens/>
        <w:autoSpaceDE w:val="0"/>
        <w:autoSpaceDN w:val="0"/>
        <w:spacing w:after="0" w:line="240" w:lineRule="auto"/>
        <w:jc w:val="both"/>
        <w:textAlignment w:val="baseline"/>
        <w:rPr>
          <w:rFonts w:eastAsia="Times New Roman" w:cs="Arial"/>
          <w:sz w:val="21"/>
          <w:szCs w:val="21"/>
          <w:lang w:val="fr-FR"/>
        </w:rPr>
      </w:pPr>
    </w:p>
    <w:p w14:paraId="580BCC09" w14:textId="77777777" w:rsidR="005E4539" w:rsidRPr="00A91B2C" w:rsidRDefault="005E4539">
      <w:pPr>
        <w:widowControl w:val="0"/>
        <w:suppressAutoHyphens/>
        <w:autoSpaceDE w:val="0"/>
        <w:autoSpaceDN w:val="0"/>
        <w:spacing w:after="0" w:line="240" w:lineRule="auto"/>
        <w:jc w:val="both"/>
        <w:textAlignment w:val="baseline"/>
        <w:rPr>
          <w:rFonts w:eastAsia="Times New Roman" w:cs="Arial"/>
          <w:sz w:val="21"/>
          <w:szCs w:val="21"/>
          <w:lang w:val="fr-FR"/>
        </w:rPr>
      </w:pPr>
    </w:p>
    <w:p w14:paraId="579F4717" w14:textId="77777777" w:rsidR="005E4539" w:rsidRPr="00A91B2C" w:rsidRDefault="005E4539">
      <w:pPr>
        <w:widowControl w:val="0"/>
        <w:suppressAutoHyphens/>
        <w:autoSpaceDE w:val="0"/>
        <w:autoSpaceDN w:val="0"/>
        <w:spacing w:after="0" w:line="240" w:lineRule="auto"/>
        <w:jc w:val="both"/>
        <w:textAlignment w:val="baseline"/>
        <w:rPr>
          <w:rFonts w:eastAsia="Times New Roman" w:cs="Arial"/>
          <w:sz w:val="21"/>
          <w:szCs w:val="21"/>
          <w:lang w:val="fr-FR"/>
        </w:rPr>
      </w:pPr>
    </w:p>
    <w:p w14:paraId="147724AF" w14:textId="77777777" w:rsidR="005E4539" w:rsidRPr="00A91B2C" w:rsidRDefault="005E4539">
      <w:pPr>
        <w:widowControl w:val="0"/>
        <w:suppressAutoHyphens/>
        <w:autoSpaceDE w:val="0"/>
        <w:autoSpaceDN w:val="0"/>
        <w:spacing w:after="0" w:line="240" w:lineRule="auto"/>
        <w:jc w:val="both"/>
        <w:textAlignment w:val="baseline"/>
        <w:rPr>
          <w:rFonts w:eastAsia="Times New Roman" w:cs="Arial"/>
          <w:sz w:val="21"/>
          <w:szCs w:val="21"/>
          <w:lang w:val="fr-FR"/>
        </w:rPr>
      </w:pPr>
    </w:p>
    <w:p w14:paraId="39C7138F" w14:textId="77777777" w:rsidR="005E4539" w:rsidRPr="00A91B2C" w:rsidRDefault="005E4539">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25462174" w14:textId="77777777" w:rsidR="005E4539" w:rsidRPr="00A91B2C" w:rsidRDefault="005E4539">
      <w:pPr>
        <w:widowControl w:val="0"/>
        <w:suppressAutoHyphens/>
        <w:autoSpaceDE w:val="0"/>
        <w:autoSpaceDN w:val="0"/>
        <w:spacing w:after="0" w:line="240" w:lineRule="auto"/>
        <w:jc w:val="both"/>
        <w:textAlignment w:val="baseline"/>
        <w:rPr>
          <w:rFonts w:eastAsia="Times New Roman" w:cs="Arial"/>
          <w:lang w:val="fr-FR"/>
        </w:rPr>
      </w:pPr>
    </w:p>
    <w:p w14:paraId="0E7E2414" w14:textId="77777777" w:rsidR="005E4539" w:rsidRPr="00A91B2C" w:rsidRDefault="005E4539">
      <w:pPr>
        <w:widowControl w:val="0"/>
        <w:suppressAutoHyphens/>
        <w:autoSpaceDE w:val="0"/>
        <w:autoSpaceDN w:val="0"/>
        <w:spacing w:after="0" w:line="240" w:lineRule="auto"/>
        <w:jc w:val="both"/>
        <w:textAlignment w:val="baseline"/>
        <w:rPr>
          <w:rFonts w:eastAsia="Times New Roman" w:cs="Arial"/>
          <w:lang w:val="fr-FR"/>
        </w:rPr>
      </w:pPr>
    </w:p>
    <w:p w14:paraId="183ACAF1" w14:textId="77777777" w:rsidR="005E4539" w:rsidRPr="00A91B2C" w:rsidRDefault="005E4539">
      <w:pPr>
        <w:spacing w:after="0" w:line="240" w:lineRule="auto"/>
        <w:jc w:val="both"/>
        <w:rPr>
          <w:lang w:val="fr-FR"/>
        </w:rPr>
      </w:pPr>
    </w:p>
    <w:p w14:paraId="22883175" w14:textId="77777777" w:rsidR="005E4539" w:rsidRPr="00A91B2C" w:rsidRDefault="005E4539">
      <w:pPr>
        <w:spacing w:after="0" w:line="240" w:lineRule="auto"/>
        <w:jc w:val="both"/>
        <w:rPr>
          <w:lang w:val="fr-FR"/>
        </w:rPr>
      </w:pPr>
    </w:p>
    <w:p w14:paraId="5DDE07EE" w14:textId="77777777" w:rsidR="005E4539" w:rsidRPr="00A91B2C" w:rsidRDefault="005E4539">
      <w:pPr>
        <w:spacing w:after="0" w:line="240" w:lineRule="auto"/>
        <w:jc w:val="both"/>
        <w:rPr>
          <w:lang w:val="fr-FR"/>
        </w:rPr>
      </w:pPr>
    </w:p>
    <w:p w14:paraId="29E318AB" w14:textId="77777777" w:rsidR="005E4539" w:rsidRPr="00A91B2C" w:rsidRDefault="005E4539">
      <w:pPr>
        <w:spacing w:after="0" w:line="240" w:lineRule="auto"/>
        <w:jc w:val="both"/>
        <w:rPr>
          <w:lang w:val="fr-FR"/>
        </w:rPr>
      </w:pPr>
    </w:p>
    <w:p w14:paraId="08361E7C" w14:textId="77777777" w:rsidR="005E4539" w:rsidRPr="00A91B2C" w:rsidRDefault="005E4539">
      <w:pPr>
        <w:spacing w:after="0" w:line="240" w:lineRule="auto"/>
        <w:jc w:val="both"/>
        <w:rPr>
          <w:lang w:val="fr-FR"/>
        </w:rPr>
      </w:pPr>
    </w:p>
    <w:p w14:paraId="1F3C1DAB" w14:textId="77777777" w:rsidR="005E4539" w:rsidRPr="00A91B2C" w:rsidRDefault="005E4539">
      <w:pPr>
        <w:spacing w:after="0" w:line="240" w:lineRule="auto"/>
        <w:jc w:val="both"/>
        <w:rPr>
          <w:lang w:val="fr-FR"/>
        </w:rPr>
      </w:pPr>
    </w:p>
    <w:p w14:paraId="604AD973" w14:textId="77777777" w:rsidR="005E4539" w:rsidRPr="00A91B2C" w:rsidRDefault="005E4539">
      <w:pPr>
        <w:spacing w:after="0" w:line="240" w:lineRule="auto"/>
        <w:jc w:val="both"/>
        <w:rPr>
          <w:lang w:val="fr-FR"/>
        </w:rPr>
      </w:pPr>
    </w:p>
    <w:p w14:paraId="3284F0B0" w14:textId="77777777" w:rsidR="005E4539" w:rsidRPr="00A91B2C" w:rsidRDefault="005E4539">
      <w:pPr>
        <w:spacing w:after="0" w:line="240" w:lineRule="auto"/>
        <w:jc w:val="both"/>
        <w:rPr>
          <w:lang w:val="fr-FR"/>
        </w:rPr>
      </w:pPr>
    </w:p>
    <w:p w14:paraId="31125699" w14:textId="77777777" w:rsidR="005E4539" w:rsidRPr="00A91B2C" w:rsidRDefault="005E4539">
      <w:pPr>
        <w:spacing w:after="0" w:line="240" w:lineRule="auto"/>
        <w:jc w:val="both"/>
        <w:rPr>
          <w:lang w:val="fr-FR"/>
        </w:rPr>
      </w:pPr>
    </w:p>
    <w:p w14:paraId="2790EA13" w14:textId="77777777" w:rsidR="005E4539" w:rsidRPr="00A91B2C" w:rsidRDefault="005E4539">
      <w:pPr>
        <w:spacing w:after="0" w:line="240" w:lineRule="auto"/>
        <w:jc w:val="both"/>
        <w:rPr>
          <w:lang w:val="fr-FR"/>
        </w:rPr>
      </w:pPr>
    </w:p>
    <w:p w14:paraId="7D70A11B" w14:textId="77777777" w:rsidR="005E4539" w:rsidRPr="00A91B2C" w:rsidRDefault="003C4062">
      <w:pPr>
        <w:jc w:val="both"/>
        <w:rPr>
          <w:lang w:val="fr-FR"/>
        </w:rPr>
      </w:pPr>
      <w:r w:rsidRPr="00A91B2C">
        <w:rPr>
          <w:lang w:val="fr-FR"/>
        </w:rPr>
        <w:br w:type="page"/>
      </w:r>
    </w:p>
    <w:p w14:paraId="64E19094" w14:textId="77777777" w:rsidR="005E4539" w:rsidRPr="00A91B2C" w:rsidRDefault="003C4062">
      <w:pPr>
        <w:pStyle w:val="Title1"/>
        <w:rPr>
          <w:lang w:val="fr-FR"/>
        </w:rPr>
      </w:pPr>
      <w:r w:rsidRPr="00A91B2C">
        <w:rPr>
          <w:lang w:val="fr-FR"/>
        </w:rPr>
        <w:lastRenderedPageBreak/>
        <w:t>SYNERGIES ET PARTENARIATS</w:t>
      </w:r>
    </w:p>
    <w:p w14:paraId="3C745CB3" w14:textId="77777777" w:rsidR="005E4539" w:rsidRPr="00A91B2C" w:rsidRDefault="005E4539">
      <w:pPr>
        <w:suppressAutoHyphens/>
        <w:autoSpaceDN w:val="0"/>
        <w:spacing w:after="0" w:line="240" w:lineRule="auto"/>
        <w:textAlignment w:val="baseline"/>
        <w:rPr>
          <w:rFonts w:eastAsia="Calibri" w:cs="Arial"/>
          <w:lang w:val="fr-FR"/>
        </w:rPr>
      </w:pPr>
    </w:p>
    <w:p w14:paraId="57151E2F" w14:textId="77777777" w:rsidR="005E4539" w:rsidRPr="00A91B2C" w:rsidRDefault="005E4539">
      <w:pPr>
        <w:suppressAutoHyphens/>
        <w:autoSpaceDN w:val="0"/>
        <w:spacing w:after="0" w:line="240" w:lineRule="auto"/>
        <w:textAlignment w:val="baseline"/>
        <w:rPr>
          <w:rFonts w:eastAsia="Calibri" w:cs="Arial"/>
          <w:lang w:val="fr-FR"/>
        </w:rPr>
      </w:pPr>
    </w:p>
    <w:p w14:paraId="6033E523" w14:textId="77777777" w:rsidR="005E4539" w:rsidRPr="00A91B2C" w:rsidRDefault="003C4062">
      <w:pPr>
        <w:suppressAutoHyphens/>
        <w:autoSpaceDN w:val="0"/>
        <w:spacing w:after="0" w:line="240" w:lineRule="auto"/>
        <w:textAlignment w:val="baseline"/>
        <w:rPr>
          <w:rFonts w:eastAsia="Calibri" w:cs="Arial"/>
          <w:u w:val="single"/>
          <w:lang w:val="fr-FR"/>
        </w:rPr>
      </w:pPr>
      <w:r w:rsidRPr="00A91B2C">
        <w:rPr>
          <w:rFonts w:eastAsia="Calibri" w:cs="Arial"/>
          <w:u w:val="single"/>
          <w:lang w:val="fr-FR"/>
        </w:rPr>
        <w:t>Contexte</w:t>
      </w:r>
    </w:p>
    <w:p w14:paraId="41EA576A" w14:textId="77777777" w:rsidR="005E4539" w:rsidRPr="00A91B2C" w:rsidRDefault="005E4539">
      <w:pPr>
        <w:suppressAutoHyphens/>
        <w:autoSpaceDN w:val="0"/>
        <w:spacing w:after="0" w:line="240" w:lineRule="auto"/>
        <w:textAlignment w:val="baseline"/>
        <w:rPr>
          <w:rFonts w:eastAsia="Calibri" w:cs="Arial"/>
          <w:u w:val="single"/>
          <w:lang w:val="fr-FR"/>
        </w:rPr>
      </w:pPr>
    </w:p>
    <w:p w14:paraId="56286655" w14:textId="5A752BE2" w:rsidR="005E4539" w:rsidRPr="00A91B2C" w:rsidRDefault="003C4062">
      <w:pPr>
        <w:widowControl w:val="0"/>
        <w:numPr>
          <w:ilvl w:val="0"/>
          <w:numId w:val="55"/>
        </w:numPr>
        <w:autoSpaceDE w:val="0"/>
        <w:autoSpaceDN w:val="0"/>
        <w:adjustRightInd w:val="0"/>
        <w:spacing w:after="0" w:line="240" w:lineRule="auto"/>
        <w:ind w:left="567" w:hanging="567"/>
        <w:jc w:val="both"/>
        <w:rPr>
          <w:rFonts w:cs="Arial"/>
          <w:lang w:val="fr-FR"/>
        </w:rPr>
      </w:pPr>
      <w:r w:rsidRPr="00A91B2C">
        <w:rPr>
          <w:rStyle w:val="markedcontent"/>
          <w:rFonts w:cs="Arial"/>
          <w:lang w:val="fr-FR"/>
        </w:rPr>
        <w:t>La Conférence des Parties, lors de sa 14</w:t>
      </w:r>
      <w:r w:rsidRPr="00A91B2C">
        <w:rPr>
          <w:rStyle w:val="markedcontent"/>
          <w:rFonts w:cs="Arial"/>
          <w:vertAlign w:val="superscript"/>
          <w:lang w:val="fr-FR"/>
        </w:rPr>
        <w:t>e</w:t>
      </w:r>
      <w:r w:rsidRPr="00A91B2C">
        <w:rPr>
          <w:rStyle w:val="markedcontent"/>
          <w:rFonts w:cs="Arial"/>
          <w:lang w:val="fr-FR"/>
        </w:rPr>
        <w:t> session (COP14, 2024), a réaffirmé l</w:t>
      </w:r>
      <w:r w:rsidR="007F23D6" w:rsidRPr="00A91B2C">
        <w:rPr>
          <w:rStyle w:val="markedcontent"/>
          <w:rFonts w:cs="Arial"/>
          <w:lang w:val="fr-FR"/>
        </w:rPr>
        <w:t>’</w:t>
      </w:r>
      <w:r w:rsidRPr="00A91B2C">
        <w:rPr>
          <w:rStyle w:val="markedcontent"/>
          <w:rFonts w:cs="Arial"/>
          <w:lang w:val="fr-FR"/>
        </w:rPr>
        <w:t>importance de l</w:t>
      </w:r>
      <w:r w:rsidR="007F23D6" w:rsidRPr="00A91B2C">
        <w:rPr>
          <w:rStyle w:val="markedcontent"/>
          <w:rFonts w:cs="Arial"/>
          <w:lang w:val="fr-FR"/>
        </w:rPr>
        <w:t>’</w:t>
      </w:r>
      <w:r w:rsidRPr="00A91B2C">
        <w:rPr>
          <w:rStyle w:val="markedcontent"/>
          <w:rFonts w:cs="Arial"/>
          <w:lang w:val="fr-FR"/>
        </w:rPr>
        <w:t>engagement dans les processus pertinents et de la coopération avec les partenaires par l</w:t>
      </w:r>
      <w:r w:rsidR="007F23D6" w:rsidRPr="00A91B2C">
        <w:rPr>
          <w:rStyle w:val="markedcontent"/>
          <w:rFonts w:cs="Arial"/>
          <w:lang w:val="fr-FR"/>
        </w:rPr>
        <w:t>’</w:t>
      </w:r>
      <w:r w:rsidRPr="00A91B2C">
        <w:rPr>
          <w:rStyle w:val="markedcontent"/>
          <w:rFonts w:cs="Arial"/>
          <w:lang w:val="fr-FR"/>
        </w:rPr>
        <w:t xml:space="preserve">adoption de la </w:t>
      </w:r>
      <w:hyperlink r:id="rId12" w:history="1">
        <w:r w:rsidRPr="00A91B2C">
          <w:rPr>
            <w:rStyle w:val="Hyperlink"/>
            <w:rFonts w:cs="Arial"/>
            <w:lang w:val="fr-FR"/>
          </w:rPr>
          <w:t>Ré</w:t>
        </w:r>
        <w:r w:rsidRPr="00A91B2C">
          <w:rPr>
            <w:rStyle w:val="Hyperlink"/>
            <w:rFonts w:cs="Arial"/>
            <w:lang w:val="fr-FR"/>
          </w:rPr>
          <w:t>s</w:t>
        </w:r>
        <w:r w:rsidRPr="00A91B2C">
          <w:rPr>
            <w:rStyle w:val="Hyperlink"/>
            <w:rFonts w:cs="Arial"/>
            <w:lang w:val="fr-FR"/>
          </w:rPr>
          <w:t>olution 11.10 (Rev.COP14)</w:t>
        </w:r>
        <w:r w:rsidRPr="00A91B2C">
          <w:rPr>
            <w:rStyle w:val="Hyperlink"/>
            <w:rFonts w:cs="Arial"/>
            <w:i/>
            <w:iCs/>
            <w:lang w:val="fr-FR"/>
          </w:rPr>
          <w:t xml:space="preserve"> Synergies et partenariats</w:t>
        </w:r>
      </w:hyperlink>
      <w:r w:rsidRPr="00A91B2C">
        <w:rPr>
          <w:lang w:val="fr-FR"/>
        </w:rPr>
        <w:t>, qui comprend des dispositions destinées au Secrétariat ainsi qu</w:t>
      </w:r>
      <w:r w:rsidR="007F23D6" w:rsidRPr="00A91B2C">
        <w:rPr>
          <w:lang w:val="fr-FR"/>
        </w:rPr>
        <w:t>’</w:t>
      </w:r>
      <w:r w:rsidRPr="00A91B2C">
        <w:rPr>
          <w:lang w:val="fr-FR"/>
        </w:rPr>
        <w:t>aux Parties</w:t>
      </w:r>
      <w:r w:rsidRPr="00A91B2C">
        <w:rPr>
          <w:rStyle w:val="Hyperlink"/>
          <w:rFonts w:cs="Arial"/>
          <w:i/>
          <w:iCs/>
          <w:lang w:val="fr-FR"/>
        </w:rPr>
        <w:t>.</w:t>
      </w:r>
      <w:r w:rsidRPr="00A91B2C">
        <w:rPr>
          <w:rStyle w:val="markedcontent"/>
          <w:rFonts w:cs="Arial"/>
          <w:lang w:val="fr-FR"/>
        </w:rPr>
        <w:t xml:space="preserve"> </w:t>
      </w:r>
    </w:p>
    <w:p w14:paraId="66EAA923" w14:textId="77777777" w:rsidR="005E4539" w:rsidRPr="00A91B2C" w:rsidRDefault="005E4539">
      <w:pPr>
        <w:suppressAutoHyphens/>
        <w:autoSpaceDN w:val="0"/>
        <w:spacing w:after="0" w:line="240" w:lineRule="auto"/>
        <w:jc w:val="both"/>
        <w:textAlignment w:val="baseline"/>
        <w:rPr>
          <w:rStyle w:val="markedcontent"/>
          <w:rFonts w:cs="Arial"/>
          <w:lang w:val="fr-FR"/>
        </w:rPr>
      </w:pPr>
    </w:p>
    <w:p w14:paraId="536790E2" w14:textId="77777777" w:rsidR="005E4539" w:rsidRPr="00A91B2C" w:rsidRDefault="003C4062">
      <w:pPr>
        <w:suppressAutoHyphens/>
        <w:autoSpaceDN w:val="0"/>
        <w:spacing w:after="0" w:line="240" w:lineRule="auto"/>
        <w:ind w:left="567" w:hanging="567"/>
        <w:jc w:val="both"/>
        <w:textAlignment w:val="baseline"/>
        <w:rPr>
          <w:rStyle w:val="markedcontent"/>
          <w:rFonts w:cs="Arial"/>
          <w:lang w:val="fr-FR"/>
        </w:rPr>
      </w:pPr>
      <w:r w:rsidRPr="00A91B2C">
        <w:rPr>
          <w:rStyle w:val="markedcontent"/>
          <w:rFonts w:cs="Arial"/>
          <w:lang w:val="fr-FR"/>
        </w:rPr>
        <w:t>2.</w:t>
      </w:r>
      <w:r w:rsidRPr="00A91B2C">
        <w:rPr>
          <w:rStyle w:val="markedcontent"/>
          <w:rFonts w:cs="Arial"/>
          <w:lang w:val="fr-FR"/>
        </w:rPr>
        <w:tab/>
        <w:t xml:space="preserve">La COP14 a également adopté les décisions 14.8 à 14.10 </w:t>
      </w:r>
      <w:r w:rsidRPr="00A91B2C">
        <w:rPr>
          <w:rStyle w:val="markedcontent"/>
          <w:rFonts w:cs="Arial"/>
          <w:i/>
          <w:iCs/>
          <w:lang w:val="fr-FR"/>
        </w:rPr>
        <w:t>Participation des organisations non gouvernementales et autres groupes aux processus de la CMS</w:t>
      </w:r>
      <w:r w:rsidRPr="00A91B2C">
        <w:rPr>
          <w:rStyle w:val="markedcontent"/>
          <w:rFonts w:cs="Arial"/>
          <w:lang w:val="fr-FR"/>
        </w:rPr>
        <w:t> :</w:t>
      </w:r>
    </w:p>
    <w:p w14:paraId="472E20E4" w14:textId="77777777" w:rsidR="005E4539" w:rsidRPr="00A91B2C" w:rsidRDefault="005E4539">
      <w:pPr>
        <w:suppressAutoHyphens/>
        <w:autoSpaceDN w:val="0"/>
        <w:spacing w:after="0" w:line="240" w:lineRule="auto"/>
        <w:ind w:left="567" w:hanging="567"/>
        <w:jc w:val="both"/>
        <w:textAlignment w:val="baseline"/>
        <w:rPr>
          <w:rStyle w:val="markedcontent"/>
          <w:rFonts w:cs="Arial"/>
          <w:lang w:val="fr-FR"/>
        </w:rPr>
      </w:pPr>
    </w:p>
    <w:p w14:paraId="35BD90C9" w14:textId="44683C0C" w:rsidR="00A91B2C" w:rsidRPr="002A65AA" w:rsidRDefault="003C4062" w:rsidP="00A91B2C">
      <w:pPr>
        <w:pStyle w:val="Default"/>
        <w:ind w:firstLine="851"/>
        <w:jc w:val="both"/>
        <w:rPr>
          <w:rStyle w:val="markedcontent"/>
          <w:rFonts w:ascii="Arial" w:hAnsi="Arial" w:cs="Arial"/>
          <w:b/>
          <w:bCs/>
          <w:i/>
          <w:iCs/>
          <w:color w:val="auto"/>
          <w:sz w:val="20"/>
          <w:szCs w:val="20"/>
          <w:lang w:val="fr-FR"/>
        </w:rPr>
      </w:pPr>
      <w:r w:rsidRPr="002A65AA">
        <w:rPr>
          <w:rStyle w:val="markedcontent"/>
          <w:rFonts w:ascii="Arial" w:hAnsi="Arial" w:cs="Arial"/>
          <w:b/>
          <w:bCs/>
          <w:i/>
          <w:iCs/>
          <w:color w:val="auto"/>
          <w:sz w:val="20"/>
          <w:szCs w:val="20"/>
          <w:lang w:val="fr-FR"/>
        </w:rPr>
        <w:t xml:space="preserve">14.8 </w:t>
      </w:r>
      <w:r w:rsidR="00A91B2C" w:rsidRPr="002A65AA">
        <w:rPr>
          <w:rStyle w:val="markedcontent"/>
          <w:rFonts w:ascii="Arial" w:hAnsi="Arial" w:cs="Arial"/>
          <w:b/>
          <w:bCs/>
          <w:i/>
          <w:iCs/>
          <w:color w:val="auto"/>
          <w:sz w:val="20"/>
          <w:szCs w:val="20"/>
          <w:lang w:val="fr-FR"/>
        </w:rPr>
        <w:t xml:space="preserve">Adressée aux Parties, OIG et ONG, autres </w:t>
      </w:r>
    </w:p>
    <w:p w14:paraId="483C73B0" w14:textId="1AB18312" w:rsidR="005E4539" w:rsidRPr="002A65AA" w:rsidRDefault="005E4539">
      <w:pPr>
        <w:suppressAutoHyphens/>
        <w:autoSpaceDN w:val="0"/>
        <w:spacing w:after="0" w:line="240" w:lineRule="auto"/>
        <w:ind w:left="851"/>
        <w:jc w:val="both"/>
        <w:textAlignment w:val="baseline"/>
        <w:rPr>
          <w:rStyle w:val="markedcontent"/>
          <w:rFonts w:cs="Arial"/>
          <w:b/>
          <w:bCs/>
          <w:i/>
          <w:iCs/>
          <w:sz w:val="20"/>
          <w:szCs w:val="20"/>
          <w:lang w:val="da-DK"/>
        </w:rPr>
      </w:pPr>
    </w:p>
    <w:p w14:paraId="522EFED4" w14:textId="64AD4029" w:rsidR="005E4539" w:rsidRPr="002A65AA" w:rsidRDefault="00A91B2C" w:rsidP="00A91B2C">
      <w:pPr>
        <w:suppressAutoHyphens/>
        <w:autoSpaceDN w:val="0"/>
        <w:spacing w:after="0" w:line="240" w:lineRule="auto"/>
        <w:ind w:left="851"/>
        <w:jc w:val="both"/>
        <w:textAlignment w:val="baseline"/>
        <w:rPr>
          <w:rStyle w:val="markedcontent"/>
          <w:rFonts w:cs="Arial"/>
          <w:i/>
          <w:iCs/>
          <w:sz w:val="20"/>
          <w:szCs w:val="20"/>
          <w:lang w:val="fr-FR"/>
        </w:rPr>
      </w:pPr>
      <w:r w:rsidRPr="002A65AA">
        <w:rPr>
          <w:rStyle w:val="markedcontent"/>
          <w:rFonts w:cs="Arial"/>
          <w:i/>
          <w:iCs/>
          <w:sz w:val="20"/>
          <w:szCs w:val="20"/>
          <w:lang w:val="fr-FR"/>
        </w:rPr>
        <w:t xml:space="preserve">Les Parties, les ONG et les autres organisations concernées sont invitées à soutenir le Secrétariat dans l'exploration des options pour une accréditation spéciale pour les ONG partenaires de la CMS pour la considération de la COP15. </w:t>
      </w:r>
    </w:p>
    <w:p w14:paraId="6FF2E753" w14:textId="77777777" w:rsidR="005E4539" w:rsidRPr="002A65AA" w:rsidRDefault="005E4539">
      <w:pPr>
        <w:suppressAutoHyphens/>
        <w:autoSpaceDN w:val="0"/>
        <w:spacing w:after="0" w:line="240" w:lineRule="auto"/>
        <w:ind w:left="851"/>
        <w:jc w:val="both"/>
        <w:textAlignment w:val="baseline"/>
        <w:rPr>
          <w:rStyle w:val="markedcontent"/>
          <w:rFonts w:cs="Arial"/>
          <w:i/>
          <w:iCs/>
          <w:sz w:val="20"/>
          <w:szCs w:val="20"/>
          <w:highlight w:val="yellow"/>
          <w:lang w:val="fr-FR"/>
        </w:rPr>
      </w:pPr>
    </w:p>
    <w:p w14:paraId="11FFAF96" w14:textId="55F7495E" w:rsidR="00A91B2C" w:rsidRPr="002A65AA" w:rsidRDefault="003C4062" w:rsidP="00A91B2C">
      <w:pPr>
        <w:pStyle w:val="Default"/>
        <w:ind w:firstLine="851"/>
        <w:jc w:val="both"/>
        <w:rPr>
          <w:rStyle w:val="markedcontent"/>
          <w:rFonts w:ascii="Arial" w:hAnsi="Arial" w:cs="Arial"/>
          <w:b/>
          <w:bCs/>
          <w:i/>
          <w:iCs/>
          <w:color w:val="auto"/>
          <w:sz w:val="20"/>
          <w:szCs w:val="20"/>
        </w:rPr>
      </w:pPr>
      <w:r w:rsidRPr="002A65AA">
        <w:rPr>
          <w:rStyle w:val="markedcontent"/>
          <w:rFonts w:ascii="Arial" w:hAnsi="Arial" w:cs="Arial"/>
          <w:b/>
          <w:bCs/>
          <w:i/>
          <w:iCs/>
          <w:color w:val="auto"/>
          <w:sz w:val="20"/>
          <w:szCs w:val="20"/>
        </w:rPr>
        <w:t xml:space="preserve">14.9 </w:t>
      </w:r>
      <w:proofErr w:type="spellStart"/>
      <w:r w:rsidR="00A91B2C" w:rsidRPr="002A65AA">
        <w:rPr>
          <w:rStyle w:val="markedcontent"/>
          <w:rFonts w:ascii="Arial" w:hAnsi="Arial" w:cs="Arial"/>
          <w:b/>
          <w:bCs/>
          <w:i/>
          <w:iCs/>
          <w:color w:val="auto"/>
          <w:sz w:val="20"/>
          <w:szCs w:val="20"/>
        </w:rPr>
        <w:t>Adressée</w:t>
      </w:r>
      <w:proofErr w:type="spellEnd"/>
      <w:r w:rsidR="00A91B2C" w:rsidRPr="002A65AA">
        <w:rPr>
          <w:rStyle w:val="markedcontent"/>
          <w:rFonts w:ascii="Arial" w:hAnsi="Arial" w:cs="Arial"/>
          <w:b/>
          <w:bCs/>
          <w:i/>
          <w:iCs/>
          <w:color w:val="auto"/>
          <w:sz w:val="20"/>
          <w:szCs w:val="20"/>
        </w:rPr>
        <w:t xml:space="preserve"> au Conseil </w:t>
      </w:r>
      <w:proofErr w:type="spellStart"/>
      <w:r w:rsidR="00A91B2C" w:rsidRPr="002A65AA">
        <w:rPr>
          <w:rStyle w:val="markedcontent"/>
          <w:rFonts w:ascii="Arial" w:hAnsi="Arial" w:cs="Arial"/>
          <w:b/>
          <w:bCs/>
          <w:i/>
          <w:iCs/>
          <w:color w:val="auto"/>
          <w:sz w:val="20"/>
          <w:szCs w:val="20"/>
        </w:rPr>
        <w:t>scientifique</w:t>
      </w:r>
      <w:proofErr w:type="spellEnd"/>
      <w:r w:rsidR="00A91B2C" w:rsidRPr="002A65AA">
        <w:rPr>
          <w:rStyle w:val="markedcontent"/>
          <w:rFonts w:ascii="Arial" w:hAnsi="Arial" w:cs="Arial"/>
          <w:b/>
          <w:bCs/>
          <w:i/>
          <w:iCs/>
          <w:color w:val="auto"/>
          <w:sz w:val="20"/>
          <w:szCs w:val="20"/>
        </w:rPr>
        <w:t xml:space="preserve"> </w:t>
      </w:r>
    </w:p>
    <w:p w14:paraId="54A152F6" w14:textId="1E6E5D47" w:rsidR="005E4539" w:rsidRPr="002A65AA" w:rsidRDefault="005E4539">
      <w:pPr>
        <w:suppressAutoHyphens/>
        <w:autoSpaceDN w:val="0"/>
        <w:spacing w:after="0" w:line="240" w:lineRule="auto"/>
        <w:ind w:left="851"/>
        <w:jc w:val="both"/>
        <w:textAlignment w:val="baseline"/>
        <w:rPr>
          <w:rStyle w:val="markedcontent"/>
          <w:rFonts w:cs="Arial"/>
          <w:i/>
          <w:iCs/>
          <w:sz w:val="20"/>
          <w:szCs w:val="20"/>
        </w:rPr>
      </w:pPr>
    </w:p>
    <w:p w14:paraId="1D7677AC" w14:textId="2B400CE0" w:rsidR="00A91B2C" w:rsidRPr="002A65AA" w:rsidRDefault="00A91B2C" w:rsidP="000745A2">
      <w:pPr>
        <w:autoSpaceDE w:val="0"/>
        <w:autoSpaceDN w:val="0"/>
        <w:adjustRightInd w:val="0"/>
        <w:spacing w:after="0" w:line="240" w:lineRule="auto"/>
        <w:ind w:left="851"/>
        <w:jc w:val="both"/>
        <w:rPr>
          <w:rStyle w:val="markedcontent"/>
          <w:rFonts w:cs="Arial"/>
          <w:i/>
          <w:iCs/>
          <w:sz w:val="20"/>
          <w:szCs w:val="20"/>
          <w:lang w:val="fr-FR"/>
        </w:rPr>
      </w:pPr>
      <w:r w:rsidRPr="002A65AA">
        <w:rPr>
          <w:rStyle w:val="markedcontent"/>
          <w:i/>
          <w:iCs/>
          <w:sz w:val="20"/>
          <w:szCs w:val="20"/>
          <w:lang w:val="fr-FR"/>
        </w:rPr>
        <w:t xml:space="preserve">Le Conseil scientifique est prié, sous réserve de la disponibilité de ressources externes, de : </w:t>
      </w:r>
    </w:p>
    <w:p w14:paraId="108EFF71" w14:textId="77777777" w:rsidR="000745A2" w:rsidRPr="002A65AA" w:rsidRDefault="000745A2" w:rsidP="000745A2">
      <w:pPr>
        <w:autoSpaceDE w:val="0"/>
        <w:autoSpaceDN w:val="0"/>
        <w:adjustRightInd w:val="0"/>
        <w:spacing w:after="0" w:line="240" w:lineRule="auto"/>
        <w:ind w:left="851"/>
        <w:jc w:val="both"/>
        <w:rPr>
          <w:rFonts w:cs="Arial"/>
          <w:i/>
          <w:iCs/>
          <w:sz w:val="20"/>
          <w:szCs w:val="20"/>
          <w:lang w:val="fr-FR"/>
        </w:rPr>
      </w:pPr>
    </w:p>
    <w:p w14:paraId="49783143" w14:textId="660E7193" w:rsidR="00A91B2C" w:rsidRPr="002A65AA" w:rsidRDefault="00A91B2C" w:rsidP="002A65AA">
      <w:pPr>
        <w:numPr>
          <w:ilvl w:val="0"/>
          <w:numId w:val="85"/>
        </w:numPr>
        <w:autoSpaceDE w:val="0"/>
        <w:autoSpaceDN w:val="0"/>
        <w:adjustRightInd w:val="0"/>
        <w:spacing w:after="80" w:line="240" w:lineRule="auto"/>
        <w:ind w:left="1418" w:hanging="567"/>
        <w:jc w:val="both"/>
        <w:rPr>
          <w:i/>
          <w:iCs/>
          <w:sz w:val="20"/>
          <w:szCs w:val="20"/>
          <w:lang w:val="fr-FR"/>
        </w:rPr>
      </w:pPr>
      <w:r w:rsidRPr="002A65AA">
        <w:rPr>
          <w:rStyle w:val="markedcontent"/>
          <w:i/>
          <w:iCs/>
          <w:sz w:val="20"/>
          <w:szCs w:val="20"/>
          <w:lang w:val="fr-FR"/>
        </w:rPr>
        <w:t xml:space="preserve">évaluer l'importance de multiples systèmes de connaissances et de compréhension, notamment des connaissances traditionnelles et autochtones, pour soutenir la conservation efficace des espèces migratrices; et </w:t>
      </w:r>
    </w:p>
    <w:p w14:paraId="2306B826" w14:textId="5977DAB7" w:rsidR="00A91B2C" w:rsidRPr="002A65AA" w:rsidRDefault="002A65AA" w:rsidP="002A65AA">
      <w:pPr>
        <w:numPr>
          <w:ilvl w:val="0"/>
          <w:numId w:val="85"/>
        </w:numPr>
        <w:autoSpaceDE w:val="0"/>
        <w:autoSpaceDN w:val="0"/>
        <w:adjustRightInd w:val="0"/>
        <w:spacing w:after="0" w:line="240" w:lineRule="auto"/>
        <w:ind w:left="1418" w:hanging="567"/>
        <w:jc w:val="both"/>
        <w:rPr>
          <w:rStyle w:val="markedcontent"/>
          <w:i/>
          <w:iCs/>
          <w:sz w:val="20"/>
          <w:szCs w:val="20"/>
          <w:lang w:val="fr-FR"/>
        </w:rPr>
      </w:pPr>
      <w:r w:rsidRPr="002A65AA">
        <w:rPr>
          <w:rStyle w:val="markedcontent"/>
          <w:i/>
          <w:iCs/>
          <w:sz w:val="20"/>
          <w:szCs w:val="20"/>
          <w:lang w:val="fr-FR"/>
        </w:rPr>
        <w:t>p</w:t>
      </w:r>
      <w:r w:rsidR="00A91B2C" w:rsidRPr="002A65AA">
        <w:rPr>
          <w:rStyle w:val="markedcontent"/>
          <w:i/>
          <w:iCs/>
          <w:sz w:val="20"/>
          <w:szCs w:val="20"/>
          <w:lang w:val="fr-FR"/>
        </w:rPr>
        <w:t xml:space="preserve">résenter un rapport à COP15 comportant des suggestions sur la manière dont la CMS pourrait faciliter l'intégration de systèmes supplémentaires de connaissances et de compréhension pour une meilleure application de la Convention. </w:t>
      </w:r>
    </w:p>
    <w:p w14:paraId="4291EE19" w14:textId="528B3487" w:rsidR="005E4539" w:rsidRPr="00124BEB" w:rsidRDefault="005E4539" w:rsidP="00A91B2C">
      <w:pPr>
        <w:suppressAutoHyphens/>
        <w:autoSpaceDN w:val="0"/>
        <w:spacing w:after="0" w:line="240" w:lineRule="auto"/>
        <w:jc w:val="both"/>
        <w:textAlignment w:val="baseline"/>
        <w:rPr>
          <w:rStyle w:val="markedcontent"/>
          <w:i/>
          <w:iCs/>
          <w:sz w:val="20"/>
          <w:szCs w:val="20"/>
          <w:highlight w:val="yellow"/>
          <w:lang w:val="fr-FR"/>
        </w:rPr>
      </w:pPr>
    </w:p>
    <w:p w14:paraId="736815BD" w14:textId="77777777" w:rsidR="005E4539" w:rsidRPr="00A91B2C" w:rsidRDefault="005E4539">
      <w:pPr>
        <w:suppressAutoHyphens/>
        <w:autoSpaceDN w:val="0"/>
        <w:spacing w:after="0" w:line="240" w:lineRule="auto"/>
        <w:ind w:left="720"/>
        <w:jc w:val="both"/>
        <w:textAlignment w:val="baseline"/>
        <w:rPr>
          <w:rStyle w:val="markedcontent"/>
          <w:rFonts w:cs="Arial"/>
          <w:b/>
          <w:bCs/>
          <w:i/>
          <w:iCs/>
          <w:sz w:val="20"/>
          <w:szCs w:val="20"/>
          <w:highlight w:val="yellow"/>
          <w:lang w:val="fr-FR"/>
        </w:rPr>
      </w:pPr>
    </w:p>
    <w:p w14:paraId="48879D26" w14:textId="15A498C5" w:rsidR="00A91B2C" w:rsidRPr="001A7AD0" w:rsidRDefault="003C4062" w:rsidP="00A91B2C">
      <w:pPr>
        <w:pStyle w:val="Default"/>
        <w:ind w:firstLine="851"/>
        <w:jc w:val="both"/>
        <w:rPr>
          <w:rStyle w:val="markedcontent"/>
          <w:rFonts w:ascii="Arial" w:hAnsi="Arial" w:cs="Arial"/>
          <w:b/>
          <w:bCs/>
          <w:i/>
          <w:iCs/>
          <w:color w:val="auto"/>
          <w:sz w:val="20"/>
          <w:szCs w:val="20"/>
          <w:lang w:val="fr-FR"/>
        </w:rPr>
      </w:pPr>
      <w:r w:rsidRPr="001A7AD0">
        <w:rPr>
          <w:rStyle w:val="markedcontent"/>
          <w:rFonts w:ascii="Arial" w:hAnsi="Arial" w:cs="Arial"/>
          <w:b/>
          <w:bCs/>
          <w:i/>
          <w:iCs/>
          <w:color w:val="auto"/>
          <w:sz w:val="20"/>
          <w:szCs w:val="20"/>
          <w:lang w:val="fr-FR"/>
        </w:rPr>
        <w:t xml:space="preserve">14.10 </w:t>
      </w:r>
      <w:r w:rsidR="00A91B2C" w:rsidRPr="001A7AD0">
        <w:rPr>
          <w:rStyle w:val="markedcontent"/>
          <w:rFonts w:ascii="Arial" w:hAnsi="Arial" w:cs="Arial"/>
          <w:b/>
          <w:bCs/>
          <w:i/>
          <w:iCs/>
          <w:color w:val="auto"/>
          <w:sz w:val="20"/>
          <w:szCs w:val="20"/>
          <w:lang w:val="fr-FR"/>
        </w:rPr>
        <w:t xml:space="preserve">Adressée au Secrétariat </w:t>
      </w:r>
    </w:p>
    <w:p w14:paraId="36A8244C" w14:textId="77777777" w:rsidR="005E4539" w:rsidRPr="001A7AD0" w:rsidRDefault="005E4539" w:rsidP="00091E28">
      <w:pPr>
        <w:pStyle w:val="paragraph"/>
        <w:spacing w:before="0" w:beforeAutospacing="0" w:after="0" w:afterAutospacing="0"/>
        <w:jc w:val="both"/>
        <w:textAlignment w:val="baseline"/>
        <w:rPr>
          <w:rFonts w:ascii="Arial" w:eastAsia="Calibri" w:hAnsi="Arial" w:cs="Arial"/>
          <w:sz w:val="20"/>
          <w:szCs w:val="20"/>
          <w:lang w:val="fr-FR"/>
        </w:rPr>
      </w:pPr>
    </w:p>
    <w:p w14:paraId="53E08617" w14:textId="77777777" w:rsidR="00A91B2C" w:rsidRPr="001A7AD0" w:rsidRDefault="00A91B2C" w:rsidP="00A91B2C">
      <w:pPr>
        <w:autoSpaceDE w:val="0"/>
        <w:autoSpaceDN w:val="0"/>
        <w:adjustRightInd w:val="0"/>
        <w:spacing w:after="0" w:line="240" w:lineRule="auto"/>
        <w:ind w:left="851"/>
        <w:jc w:val="both"/>
        <w:rPr>
          <w:rStyle w:val="markedcontent"/>
          <w:rFonts w:cs="Arial"/>
          <w:i/>
          <w:iCs/>
          <w:sz w:val="20"/>
          <w:szCs w:val="20"/>
          <w:lang w:val="fr-FR"/>
        </w:rPr>
      </w:pPr>
      <w:r w:rsidRPr="001A7AD0">
        <w:rPr>
          <w:rStyle w:val="markedcontent"/>
          <w:rFonts w:cs="Arial"/>
          <w:i/>
          <w:iCs/>
          <w:sz w:val="20"/>
          <w:szCs w:val="20"/>
          <w:lang w:val="fr-FR"/>
        </w:rPr>
        <w:t xml:space="preserve">Il est demandé au Secrétariat, sous réserve de la disponibilité de ressources externes: </w:t>
      </w:r>
    </w:p>
    <w:p w14:paraId="5B3019E4" w14:textId="77777777" w:rsidR="00A91B2C" w:rsidRPr="001A7AD0" w:rsidRDefault="00A91B2C" w:rsidP="00A91B2C">
      <w:pPr>
        <w:autoSpaceDE w:val="0"/>
        <w:autoSpaceDN w:val="0"/>
        <w:adjustRightInd w:val="0"/>
        <w:spacing w:after="0" w:line="240" w:lineRule="auto"/>
        <w:ind w:left="851"/>
        <w:jc w:val="both"/>
        <w:rPr>
          <w:rStyle w:val="markedcontent"/>
          <w:rFonts w:cs="Arial"/>
          <w:i/>
          <w:iCs/>
          <w:sz w:val="20"/>
          <w:szCs w:val="20"/>
          <w:lang w:val="fr-FR"/>
        </w:rPr>
      </w:pPr>
    </w:p>
    <w:p w14:paraId="37594ED0" w14:textId="0E916714" w:rsidR="00A91B2C" w:rsidRPr="00091E28" w:rsidRDefault="00A91B2C" w:rsidP="00091E28">
      <w:pPr>
        <w:pStyle w:val="ListParagraph"/>
        <w:numPr>
          <w:ilvl w:val="0"/>
          <w:numId w:val="83"/>
        </w:numPr>
        <w:autoSpaceDE w:val="0"/>
        <w:autoSpaceDN w:val="0"/>
        <w:adjustRightInd w:val="0"/>
        <w:spacing w:after="80" w:line="240" w:lineRule="auto"/>
        <w:ind w:left="1418" w:hanging="567"/>
        <w:contextualSpacing w:val="0"/>
        <w:jc w:val="both"/>
        <w:rPr>
          <w:rStyle w:val="markedcontent"/>
          <w:rFonts w:cs="Arial"/>
          <w:i/>
          <w:iCs/>
          <w:sz w:val="20"/>
          <w:szCs w:val="20"/>
          <w:lang w:val="fr-FR"/>
        </w:rPr>
      </w:pPr>
      <w:r w:rsidRPr="001A7AD0">
        <w:rPr>
          <w:rStyle w:val="markedcontent"/>
          <w:rFonts w:cs="Arial"/>
          <w:i/>
          <w:iCs/>
          <w:sz w:val="20"/>
          <w:szCs w:val="20"/>
          <w:lang w:val="fr-FR"/>
        </w:rPr>
        <w:t xml:space="preserve">d'établir un groupe de travail intersessions comprenant les Parties, le Secrétariat, les organisations non gouvernementales (ONG) et d'autres organisations pertinentes pour explorer les options pour une accréditation spéciale pour les ONG partenaires de la CMS, y compris un processus et un modèle pour faire rapport à la Conférence des Parties ; </w:t>
      </w:r>
    </w:p>
    <w:p w14:paraId="57169740" w14:textId="6309D83C" w:rsidR="00A91B2C" w:rsidRPr="00091E28" w:rsidRDefault="00A91B2C" w:rsidP="00091E28">
      <w:pPr>
        <w:pStyle w:val="ListParagraph"/>
        <w:numPr>
          <w:ilvl w:val="0"/>
          <w:numId w:val="83"/>
        </w:numPr>
        <w:autoSpaceDE w:val="0"/>
        <w:autoSpaceDN w:val="0"/>
        <w:adjustRightInd w:val="0"/>
        <w:spacing w:after="80" w:line="240" w:lineRule="auto"/>
        <w:ind w:left="1418" w:hanging="567"/>
        <w:contextualSpacing w:val="0"/>
        <w:jc w:val="both"/>
        <w:rPr>
          <w:rStyle w:val="markedcontent"/>
          <w:rFonts w:cs="Arial"/>
          <w:i/>
          <w:iCs/>
          <w:sz w:val="20"/>
          <w:szCs w:val="20"/>
          <w:lang w:val="fr-FR"/>
        </w:rPr>
      </w:pPr>
      <w:r w:rsidRPr="001A7AD0">
        <w:rPr>
          <w:rStyle w:val="markedcontent"/>
          <w:rFonts w:cs="Arial"/>
          <w:i/>
          <w:iCs/>
          <w:sz w:val="20"/>
          <w:szCs w:val="20"/>
          <w:lang w:val="fr-FR"/>
        </w:rPr>
        <w:t>de présenter une proposition d'accréditation des ONG partenaires de la CMS à la 15e session de la Conférence des Parties pour examen et adoption ;</w:t>
      </w:r>
    </w:p>
    <w:p w14:paraId="69E94AE4" w14:textId="300DD2AA" w:rsidR="00A91B2C" w:rsidRPr="00091E28" w:rsidRDefault="00A91B2C" w:rsidP="00091E28">
      <w:pPr>
        <w:pStyle w:val="ListParagraph"/>
        <w:numPr>
          <w:ilvl w:val="0"/>
          <w:numId w:val="83"/>
        </w:numPr>
        <w:autoSpaceDE w:val="0"/>
        <w:autoSpaceDN w:val="0"/>
        <w:adjustRightInd w:val="0"/>
        <w:spacing w:after="80" w:line="240" w:lineRule="auto"/>
        <w:ind w:left="1418" w:hanging="567"/>
        <w:contextualSpacing w:val="0"/>
        <w:jc w:val="both"/>
        <w:rPr>
          <w:rStyle w:val="markedcontent"/>
          <w:rFonts w:cs="Arial"/>
          <w:i/>
          <w:iCs/>
          <w:sz w:val="20"/>
          <w:szCs w:val="20"/>
          <w:lang w:val="fr-FR"/>
        </w:rPr>
      </w:pPr>
      <w:r w:rsidRPr="001A7AD0">
        <w:rPr>
          <w:rStyle w:val="markedcontent"/>
          <w:rFonts w:cs="Arial"/>
          <w:i/>
          <w:iCs/>
          <w:sz w:val="20"/>
          <w:szCs w:val="20"/>
          <w:lang w:val="fr-FR"/>
        </w:rPr>
        <w:t xml:space="preserve">sous réserve de la disponibilité de ressources externes, continuer à explorer et à proposer des moyens d'accroître la participation des populations autochtones, des groupes de jeunes et des communautés locales aux processus de la CMS, en s'appuyant sur les expériences d'autres accords multilatéraux sur l'environnement, et présenter des suggestions, y compris leurs implications financières, à la 15e session de la Conférence des Parties (COP15) ; et </w:t>
      </w:r>
    </w:p>
    <w:p w14:paraId="6DE66366" w14:textId="44E307FF" w:rsidR="005E4539" w:rsidRPr="001A7AD0" w:rsidRDefault="00A91B2C" w:rsidP="00091E28">
      <w:pPr>
        <w:suppressAutoHyphens/>
        <w:autoSpaceDN w:val="0"/>
        <w:spacing w:after="0" w:line="240" w:lineRule="auto"/>
        <w:ind w:left="1418" w:hanging="567"/>
        <w:jc w:val="both"/>
        <w:textAlignment w:val="baseline"/>
        <w:rPr>
          <w:rStyle w:val="markedcontent"/>
          <w:i/>
          <w:iCs/>
          <w:sz w:val="20"/>
          <w:szCs w:val="20"/>
          <w:lang w:val="fr-FR"/>
        </w:rPr>
      </w:pPr>
      <w:r w:rsidRPr="001A7AD0">
        <w:rPr>
          <w:rStyle w:val="markedcontent"/>
          <w:i/>
          <w:iCs/>
          <w:sz w:val="20"/>
          <w:szCs w:val="20"/>
          <w:lang w:val="fr-FR"/>
        </w:rPr>
        <w:t xml:space="preserve">d) </w:t>
      </w:r>
      <w:r w:rsidR="00D03580">
        <w:rPr>
          <w:rStyle w:val="markedcontent"/>
          <w:i/>
          <w:iCs/>
          <w:sz w:val="20"/>
          <w:szCs w:val="20"/>
          <w:lang w:val="fr-FR"/>
        </w:rPr>
        <w:tab/>
      </w:r>
      <w:r w:rsidRPr="001A7AD0">
        <w:rPr>
          <w:rStyle w:val="markedcontent"/>
          <w:i/>
          <w:iCs/>
          <w:sz w:val="20"/>
          <w:szCs w:val="20"/>
          <w:lang w:val="fr-FR"/>
        </w:rPr>
        <w:t>en collaboration avec les parties intéressées, l'UNESCO et d'autres organisations intergouvernementales et non gouvernementales compétentes, entreprendre un examen concis des valeurs, des principes politiques et des possibilités concrètes qui existent en ce qui concerne les valeurs culturelles tangibles et intangibles associées aux espèces migratrices et à leur conservation.</w:t>
      </w:r>
    </w:p>
    <w:p w14:paraId="3A802A74" w14:textId="77777777" w:rsidR="005E4539" w:rsidRPr="00A91B2C" w:rsidRDefault="003C4062">
      <w:pPr>
        <w:widowControl w:val="0"/>
        <w:autoSpaceDE w:val="0"/>
        <w:autoSpaceDN w:val="0"/>
        <w:adjustRightInd w:val="0"/>
        <w:spacing w:after="0" w:line="240" w:lineRule="auto"/>
        <w:ind w:left="567" w:hanging="567"/>
        <w:jc w:val="both"/>
        <w:rPr>
          <w:rFonts w:cs="Arial"/>
          <w:highlight w:val="yellow"/>
          <w:lang w:val="fr-FR"/>
        </w:rPr>
      </w:pPr>
      <w:r w:rsidRPr="00A91B2C">
        <w:rPr>
          <w:rFonts w:cs="Arial"/>
          <w:highlight w:val="yellow"/>
          <w:lang w:val="fr-FR"/>
        </w:rPr>
        <w:br w:type="page"/>
      </w:r>
    </w:p>
    <w:p w14:paraId="61E97B48" w14:textId="77777777" w:rsidR="005E4539" w:rsidRPr="00A91B2C" w:rsidRDefault="003C4062">
      <w:pPr>
        <w:suppressAutoHyphens/>
        <w:autoSpaceDN w:val="0"/>
        <w:spacing w:after="0" w:line="240" w:lineRule="auto"/>
        <w:textAlignment w:val="baseline"/>
        <w:rPr>
          <w:rFonts w:eastAsia="Calibri" w:cs="Arial"/>
          <w:u w:val="single"/>
          <w:lang w:val="fr-FR"/>
        </w:rPr>
      </w:pPr>
      <w:r w:rsidRPr="00A91B2C">
        <w:rPr>
          <w:rFonts w:eastAsia="Calibri" w:cs="Arial"/>
          <w:u w:val="single"/>
          <w:lang w:val="fr-FR"/>
        </w:rPr>
        <w:lastRenderedPageBreak/>
        <w:t xml:space="preserve">Mise en œuvre de la Résolution 11.10 (Rev.COP14) </w:t>
      </w:r>
      <w:r w:rsidRPr="00A91B2C">
        <w:rPr>
          <w:rFonts w:eastAsia="Calibri" w:cs="Arial"/>
          <w:i/>
          <w:iCs/>
          <w:u w:val="single"/>
          <w:lang w:val="fr-FR"/>
        </w:rPr>
        <w:t>Synergies et partenariats</w:t>
      </w:r>
    </w:p>
    <w:p w14:paraId="552B5C83" w14:textId="77777777" w:rsidR="005E4539" w:rsidRPr="00A91B2C" w:rsidRDefault="005E4539">
      <w:pPr>
        <w:suppressAutoHyphens/>
        <w:autoSpaceDN w:val="0"/>
        <w:spacing w:after="0" w:line="240" w:lineRule="auto"/>
        <w:textAlignment w:val="baseline"/>
        <w:rPr>
          <w:rFonts w:eastAsia="Calibri" w:cs="Arial"/>
          <w:highlight w:val="yellow"/>
          <w:u w:val="single"/>
          <w:lang w:val="fr-FR"/>
        </w:rPr>
      </w:pPr>
    </w:p>
    <w:p w14:paraId="7B88E1E2" w14:textId="77777777" w:rsidR="005E4539" w:rsidRPr="00A91B2C" w:rsidRDefault="003C4062">
      <w:pPr>
        <w:spacing w:after="0"/>
        <w:jc w:val="both"/>
        <w:rPr>
          <w:rFonts w:cs="Arial"/>
          <w:b/>
          <w:lang w:val="fr-FR"/>
        </w:rPr>
      </w:pPr>
      <w:r w:rsidRPr="00A91B2C">
        <w:rPr>
          <w:rFonts w:cs="Arial"/>
          <w:b/>
          <w:lang w:val="fr-FR"/>
        </w:rPr>
        <w:t xml:space="preserve">Engagement au sein du système des Nations Unies </w:t>
      </w:r>
    </w:p>
    <w:p w14:paraId="4D4E8234" w14:textId="77777777" w:rsidR="005E4539" w:rsidRPr="00A91B2C" w:rsidRDefault="005E4539">
      <w:pPr>
        <w:spacing w:after="0"/>
        <w:jc w:val="both"/>
        <w:rPr>
          <w:rFonts w:cs="Arial"/>
          <w:i/>
          <w:lang w:val="fr-FR"/>
        </w:rPr>
      </w:pPr>
    </w:p>
    <w:p w14:paraId="57E5DC55" w14:textId="77777777" w:rsidR="005E4539" w:rsidRPr="00A91B2C" w:rsidRDefault="003C4062">
      <w:pPr>
        <w:pStyle w:val="ListParagraph"/>
        <w:numPr>
          <w:ilvl w:val="0"/>
          <w:numId w:val="60"/>
        </w:numPr>
        <w:suppressAutoHyphens/>
        <w:autoSpaceDN w:val="0"/>
        <w:spacing w:after="0" w:line="240" w:lineRule="auto"/>
        <w:ind w:left="540" w:hanging="540"/>
        <w:jc w:val="both"/>
        <w:textAlignment w:val="baseline"/>
        <w:rPr>
          <w:rFonts w:cs="Arial"/>
          <w:lang w:val="fr-FR"/>
        </w:rPr>
      </w:pPr>
      <w:r w:rsidRPr="00A91B2C">
        <w:rPr>
          <w:rFonts w:cs="Arial"/>
          <w:lang w:val="fr-FR"/>
        </w:rPr>
        <w:t>Le Secrétariat a participé à de nombreux processus et réunions pertinents des Nations Unies, notamment ceux du Programme des Nations Unies pour l</w:t>
      </w:r>
      <w:r w:rsidR="007F23D6" w:rsidRPr="00A91B2C">
        <w:rPr>
          <w:rFonts w:cs="Arial"/>
          <w:lang w:val="fr-FR"/>
        </w:rPr>
        <w:t>’</w:t>
      </w:r>
      <w:r w:rsidRPr="00A91B2C">
        <w:rPr>
          <w:rFonts w:cs="Arial"/>
          <w:lang w:val="fr-FR"/>
        </w:rPr>
        <w:t>environnement (PNUE) et de son Assemblée des Nations Unies pour l</w:t>
      </w:r>
      <w:r w:rsidR="007F23D6" w:rsidRPr="00A91B2C">
        <w:rPr>
          <w:rFonts w:cs="Arial"/>
          <w:lang w:val="fr-FR"/>
        </w:rPr>
        <w:t>’</w:t>
      </w:r>
      <w:r w:rsidRPr="00A91B2C">
        <w:rPr>
          <w:rFonts w:cs="Arial"/>
          <w:lang w:val="fr-FR"/>
        </w:rPr>
        <w:t>environnement (ANUE), ainsi qu</w:t>
      </w:r>
      <w:r w:rsidR="007F23D6" w:rsidRPr="00A91B2C">
        <w:rPr>
          <w:rFonts w:cs="Arial"/>
          <w:lang w:val="fr-FR"/>
        </w:rPr>
        <w:t>’</w:t>
      </w:r>
      <w:r w:rsidRPr="00A91B2C">
        <w:rPr>
          <w:rFonts w:cs="Arial"/>
          <w:lang w:val="fr-FR"/>
        </w:rPr>
        <w:t xml:space="preserve">à la Conférence des Nations Unies sur les océans. </w:t>
      </w:r>
    </w:p>
    <w:p w14:paraId="284281BF" w14:textId="77777777" w:rsidR="005E4539" w:rsidRPr="00A91B2C" w:rsidRDefault="005E4539">
      <w:pPr>
        <w:autoSpaceDE w:val="0"/>
        <w:autoSpaceDN w:val="0"/>
        <w:adjustRightInd w:val="0"/>
        <w:spacing w:after="0"/>
        <w:jc w:val="both"/>
        <w:rPr>
          <w:rFonts w:cs="Arial"/>
          <w:i/>
          <w:iCs/>
          <w:lang w:val="fr-FR"/>
        </w:rPr>
      </w:pPr>
    </w:p>
    <w:p w14:paraId="1A784033" w14:textId="77777777" w:rsidR="005E4539" w:rsidRPr="00A91B2C" w:rsidRDefault="003C4062">
      <w:pPr>
        <w:autoSpaceDE w:val="0"/>
        <w:autoSpaceDN w:val="0"/>
        <w:adjustRightInd w:val="0"/>
        <w:spacing w:after="0"/>
        <w:jc w:val="both"/>
        <w:rPr>
          <w:rFonts w:cs="Arial"/>
          <w:i/>
          <w:iCs/>
          <w:lang w:val="fr-FR"/>
        </w:rPr>
      </w:pPr>
      <w:r w:rsidRPr="00A91B2C">
        <w:rPr>
          <w:rFonts w:cs="Arial"/>
          <w:i/>
          <w:iCs/>
          <w:lang w:val="fr-FR"/>
        </w:rPr>
        <w:t>Processus et initiatives du PNUE, y compris les réunions de l</w:t>
      </w:r>
      <w:r w:rsidR="007F23D6" w:rsidRPr="00A91B2C">
        <w:rPr>
          <w:rFonts w:cs="Arial"/>
          <w:i/>
          <w:iCs/>
          <w:lang w:val="fr-FR"/>
        </w:rPr>
        <w:t>’</w:t>
      </w:r>
      <w:r w:rsidRPr="00A91B2C">
        <w:rPr>
          <w:rFonts w:cs="Arial"/>
          <w:i/>
          <w:iCs/>
          <w:lang w:val="fr-FR"/>
        </w:rPr>
        <w:t>Assemblée des Nations Unies pour l</w:t>
      </w:r>
      <w:r w:rsidR="007F23D6" w:rsidRPr="00A91B2C">
        <w:rPr>
          <w:rFonts w:cs="Arial"/>
          <w:i/>
          <w:iCs/>
          <w:lang w:val="fr-FR"/>
        </w:rPr>
        <w:t>’</w:t>
      </w:r>
      <w:r w:rsidRPr="00A91B2C">
        <w:rPr>
          <w:rFonts w:cs="Arial"/>
          <w:i/>
          <w:iCs/>
          <w:lang w:val="fr-FR"/>
        </w:rPr>
        <w:t>environnement</w:t>
      </w:r>
    </w:p>
    <w:p w14:paraId="1243A6C4" w14:textId="77777777" w:rsidR="005E4539" w:rsidRPr="00A91B2C" w:rsidRDefault="005E4539">
      <w:pPr>
        <w:autoSpaceDE w:val="0"/>
        <w:autoSpaceDN w:val="0"/>
        <w:adjustRightInd w:val="0"/>
        <w:spacing w:after="0"/>
        <w:jc w:val="both"/>
        <w:rPr>
          <w:rFonts w:cs="Arial"/>
          <w:i/>
          <w:iCs/>
          <w:highlight w:val="yellow"/>
          <w:u w:val="single"/>
          <w:lang w:val="fr-FR"/>
        </w:rPr>
      </w:pPr>
    </w:p>
    <w:p w14:paraId="4861768F" w14:textId="77777777" w:rsidR="005E4539" w:rsidRPr="00A91B2C" w:rsidRDefault="003C4062">
      <w:pPr>
        <w:pStyle w:val="ListParagraph"/>
        <w:numPr>
          <w:ilvl w:val="0"/>
          <w:numId w:val="60"/>
        </w:numPr>
        <w:suppressAutoHyphens/>
        <w:autoSpaceDN w:val="0"/>
        <w:spacing w:after="0" w:line="240" w:lineRule="auto"/>
        <w:ind w:left="540" w:hanging="540"/>
        <w:jc w:val="both"/>
        <w:textAlignment w:val="baseline"/>
        <w:rPr>
          <w:rFonts w:cs="Arial"/>
          <w:lang w:val="fr-FR"/>
        </w:rPr>
      </w:pPr>
      <w:r w:rsidRPr="00A91B2C">
        <w:rPr>
          <w:rFonts w:cs="Arial"/>
          <w:lang w:val="fr-FR"/>
        </w:rPr>
        <w:t>Le Secrétariat a continué à coopérer avec le PNUE sur diverses questions d</w:t>
      </w:r>
      <w:r w:rsidR="007F23D6" w:rsidRPr="00A91B2C">
        <w:rPr>
          <w:rFonts w:cs="Arial"/>
          <w:lang w:val="fr-FR"/>
        </w:rPr>
        <w:t>’</w:t>
      </w:r>
      <w:r w:rsidRPr="00A91B2C">
        <w:rPr>
          <w:rFonts w:cs="Arial"/>
          <w:lang w:val="fr-FR"/>
        </w:rPr>
        <w:t>intérêt, y compris la promotion de l</w:t>
      </w:r>
      <w:r w:rsidR="007F23D6" w:rsidRPr="00A91B2C">
        <w:rPr>
          <w:rFonts w:cs="Arial"/>
          <w:lang w:val="fr-FR"/>
        </w:rPr>
        <w:t>’</w:t>
      </w:r>
      <w:r w:rsidRPr="00A91B2C">
        <w:rPr>
          <w:rFonts w:cs="Arial"/>
          <w:lang w:val="fr-FR"/>
        </w:rPr>
        <w:t>adhésion des pays à la CMS, et a participé aux consultations régulières que le PNUE organise avec les secrétariats d</w:t>
      </w:r>
      <w:r w:rsidR="007F23D6" w:rsidRPr="00A91B2C">
        <w:rPr>
          <w:rFonts w:cs="Arial"/>
          <w:lang w:val="fr-FR"/>
        </w:rPr>
        <w:t>’</w:t>
      </w:r>
      <w:r w:rsidRPr="00A91B2C">
        <w:rPr>
          <w:rFonts w:cs="Arial"/>
          <w:lang w:val="fr-FR"/>
        </w:rPr>
        <w:t>autres accords multilatéraux sur l</w:t>
      </w:r>
      <w:r w:rsidR="007F23D6" w:rsidRPr="00A91B2C">
        <w:rPr>
          <w:rFonts w:cs="Arial"/>
          <w:lang w:val="fr-FR"/>
        </w:rPr>
        <w:t>’</w:t>
      </w:r>
      <w:r w:rsidRPr="00A91B2C">
        <w:rPr>
          <w:rFonts w:cs="Arial"/>
          <w:lang w:val="fr-FR"/>
        </w:rPr>
        <w:t>environnement (AME) — réunissant les divisions du PNUE et les points focaux des AME en vue de partager les priorités et de trouver des domaines d</w:t>
      </w:r>
      <w:r w:rsidR="007F23D6" w:rsidRPr="00A91B2C">
        <w:rPr>
          <w:rFonts w:cs="Arial"/>
          <w:lang w:val="fr-FR"/>
        </w:rPr>
        <w:t>’</w:t>
      </w:r>
      <w:r w:rsidRPr="00A91B2C">
        <w:rPr>
          <w:rFonts w:cs="Arial"/>
          <w:lang w:val="fr-FR"/>
        </w:rPr>
        <w:t>engagement ou de soutien.</w:t>
      </w:r>
    </w:p>
    <w:p w14:paraId="5E0E1F1E" w14:textId="77777777" w:rsidR="005E4539" w:rsidRPr="00A91B2C" w:rsidRDefault="005E4539">
      <w:pPr>
        <w:pStyle w:val="ListParagraph"/>
        <w:suppressAutoHyphens/>
        <w:autoSpaceDN w:val="0"/>
        <w:spacing w:after="0" w:line="240" w:lineRule="auto"/>
        <w:ind w:left="540"/>
        <w:jc w:val="both"/>
        <w:textAlignment w:val="baseline"/>
        <w:rPr>
          <w:rFonts w:cs="Arial"/>
          <w:lang w:val="fr-FR"/>
        </w:rPr>
      </w:pPr>
    </w:p>
    <w:p w14:paraId="5ECCB390" w14:textId="77777777" w:rsidR="005E4539" w:rsidRPr="00A91B2C" w:rsidRDefault="003C4062">
      <w:pPr>
        <w:pStyle w:val="ListParagraph"/>
        <w:numPr>
          <w:ilvl w:val="0"/>
          <w:numId w:val="60"/>
        </w:numPr>
        <w:suppressAutoHyphens/>
        <w:autoSpaceDN w:val="0"/>
        <w:spacing w:after="0" w:line="240" w:lineRule="auto"/>
        <w:ind w:left="540" w:hanging="540"/>
        <w:jc w:val="both"/>
        <w:textAlignment w:val="baseline"/>
        <w:rPr>
          <w:rFonts w:cs="Arial"/>
          <w:lang w:val="fr-FR"/>
        </w:rPr>
      </w:pPr>
      <w:r w:rsidRPr="00A91B2C">
        <w:rPr>
          <w:rFonts w:cs="Arial"/>
          <w:lang w:val="fr-FR"/>
        </w:rPr>
        <w:t>Le Secrétariat a participé à deux ateliers de renforcement des capacités organisés par la division juridique du PNUE afin d</w:t>
      </w:r>
      <w:r w:rsidR="007F23D6" w:rsidRPr="00A91B2C">
        <w:rPr>
          <w:rFonts w:cs="Arial"/>
          <w:lang w:val="fr-FR"/>
        </w:rPr>
        <w:t>’</w:t>
      </w:r>
      <w:r w:rsidRPr="00A91B2C">
        <w:rPr>
          <w:rFonts w:cs="Arial"/>
          <w:lang w:val="fr-FR"/>
        </w:rPr>
        <w:t>échanger des informations et de renforcer la mise en œuvre des engagements mondiaux en matière d</w:t>
      </w:r>
      <w:r w:rsidR="007F23D6" w:rsidRPr="00A91B2C">
        <w:rPr>
          <w:rFonts w:cs="Arial"/>
          <w:lang w:val="fr-FR"/>
        </w:rPr>
        <w:t>’</w:t>
      </w:r>
      <w:r w:rsidRPr="00A91B2C">
        <w:rPr>
          <w:rFonts w:cs="Arial"/>
          <w:lang w:val="fr-FR"/>
        </w:rPr>
        <w:t>environnement par la réalisation cohérente et synergique des AME relatifs à la biodiversité, aux produits chimiques et aux déchets au niveau national en Afrique. Un atelier a eu lieu en 2024 destiné à renforcer la coopération entre les points focaux nationaux de la CMS, de la Convention sur la diversité biologique (CDB), des Conventions de Bâle, de Rotterdam et de Stockholm (BRS), de la Convention sur les zones humides (Ramsar) et du Programme de Montevideo pour le droit de l</w:t>
      </w:r>
      <w:r w:rsidR="007F23D6" w:rsidRPr="00A91B2C">
        <w:rPr>
          <w:rFonts w:cs="Arial"/>
          <w:lang w:val="fr-FR"/>
        </w:rPr>
        <w:t>’</w:t>
      </w:r>
      <w:r w:rsidRPr="00A91B2C">
        <w:rPr>
          <w:rFonts w:cs="Arial"/>
          <w:lang w:val="fr-FR"/>
        </w:rPr>
        <w:t>environnement dans certains pays d</w:t>
      </w:r>
      <w:r w:rsidR="007F23D6" w:rsidRPr="00A91B2C">
        <w:rPr>
          <w:rFonts w:cs="Arial"/>
          <w:lang w:val="fr-FR"/>
        </w:rPr>
        <w:t>’</w:t>
      </w:r>
      <w:r w:rsidRPr="00A91B2C">
        <w:rPr>
          <w:rFonts w:cs="Arial"/>
          <w:lang w:val="fr-FR"/>
        </w:rPr>
        <w:t>Afrique du Nord et d</w:t>
      </w:r>
      <w:r w:rsidR="007F23D6" w:rsidRPr="00A91B2C">
        <w:rPr>
          <w:rFonts w:cs="Arial"/>
          <w:lang w:val="fr-FR"/>
        </w:rPr>
        <w:t>’</w:t>
      </w:r>
      <w:r w:rsidRPr="00A91B2C">
        <w:rPr>
          <w:rFonts w:cs="Arial"/>
          <w:lang w:val="fr-FR"/>
        </w:rPr>
        <w:t>Afrique de l</w:t>
      </w:r>
      <w:r w:rsidR="007F23D6" w:rsidRPr="00A91B2C">
        <w:rPr>
          <w:rFonts w:cs="Arial"/>
          <w:lang w:val="fr-FR"/>
        </w:rPr>
        <w:t>’</w:t>
      </w:r>
      <w:r w:rsidRPr="00A91B2C">
        <w:rPr>
          <w:rFonts w:cs="Arial"/>
          <w:lang w:val="fr-FR"/>
        </w:rPr>
        <w:t>Est (Égypte, Éthiopie, Maroc et Tunisie). Un autre atelier s’est tenu en novembre 2025 et a réuni des représentants de la CMS, de la CDB, des Conventions BRS et de la Convention de Minamata sur le mercure au Bénin, au Cameroun, en Côte d’Ivoire, au Gabon, en Gambie, au Ghana, au Nigéria et au Sénégal.</w:t>
      </w:r>
    </w:p>
    <w:p w14:paraId="6E118A34" w14:textId="77777777" w:rsidR="005E4539" w:rsidRPr="00A91B2C" w:rsidRDefault="005E4539">
      <w:pPr>
        <w:pStyle w:val="ListParagraph"/>
        <w:suppressAutoHyphens/>
        <w:autoSpaceDN w:val="0"/>
        <w:spacing w:after="0" w:line="240" w:lineRule="auto"/>
        <w:ind w:left="540"/>
        <w:jc w:val="both"/>
        <w:textAlignment w:val="baseline"/>
        <w:rPr>
          <w:rFonts w:cs="Arial"/>
          <w:lang w:val="fr-FR"/>
        </w:rPr>
      </w:pPr>
    </w:p>
    <w:p w14:paraId="31EFE680" w14:textId="77777777" w:rsidR="005E4539" w:rsidRPr="00A91B2C" w:rsidRDefault="003C4062">
      <w:pPr>
        <w:pStyle w:val="ListParagraph"/>
        <w:numPr>
          <w:ilvl w:val="0"/>
          <w:numId w:val="60"/>
        </w:numPr>
        <w:suppressAutoHyphens/>
        <w:autoSpaceDN w:val="0"/>
        <w:spacing w:after="0" w:line="240" w:lineRule="auto"/>
        <w:ind w:left="540" w:hanging="540"/>
        <w:jc w:val="both"/>
        <w:textAlignment w:val="baseline"/>
        <w:rPr>
          <w:rFonts w:cs="Arial"/>
          <w:lang w:val="fr-FR"/>
        </w:rPr>
      </w:pPr>
      <w:r w:rsidRPr="00A91B2C">
        <w:rPr>
          <w:rFonts w:cs="Arial"/>
          <w:lang w:val="fr-FR"/>
        </w:rPr>
        <w:t>Le Secrétariat, par l</w:t>
      </w:r>
      <w:r w:rsidR="007F23D6" w:rsidRPr="00A91B2C">
        <w:rPr>
          <w:rFonts w:cs="Arial"/>
          <w:lang w:val="fr-FR"/>
        </w:rPr>
        <w:t>’</w:t>
      </w:r>
      <w:r w:rsidRPr="00A91B2C">
        <w:rPr>
          <w:rFonts w:cs="Arial"/>
          <w:lang w:val="fr-FR"/>
        </w:rPr>
        <w:t>intermédiaire du Secrétaire exécutif, a participé activement aux 6</w:t>
      </w:r>
      <w:r w:rsidRPr="00A91B2C">
        <w:rPr>
          <w:rFonts w:cs="Arial"/>
          <w:vertAlign w:val="superscript"/>
          <w:lang w:val="fr-FR"/>
        </w:rPr>
        <w:t>e</w:t>
      </w:r>
      <w:r w:rsidRPr="00A91B2C">
        <w:rPr>
          <w:rFonts w:cs="Arial"/>
          <w:lang w:val="fr-FR"/>
        </w:rPr>
        <w:t xml:space="preserve"> et 7</w:t>
      </w:r>
      <w:r w:rsidRPr="00A91B2C">
        <w:rPr>
          <w:rFonts w:cs="Arial"/>
          <w:vertAlign w:val="superscript"/>
          <w:lang w:val="fr-FR"/>
        </w:rPr>
        <w:t>e</w:t>
      </w:r>
      <w:r w:rsidRPr="00A91B2C">
        <w:rPr>
          <w:rFonts w:cs="Arial"/>
          <w:lang w:val="fr-FR"/>
        </w:rPr>
        <w:t> sessions de</w:t>
      </w:r>
      <w:r w:rsidRPr="00A91B2C">
        <w:rPr>
          <w:rFonts w:cs="Arial"/>
          <w:i/>
          <w:iCs/>
          <w:lang w:val="fr-FR"/>
        </w:rPr>
        <w:t xml:space="preserve"> </w:t>
      </w:r>
      <w:r w:rsidRPr="00A91B2C">
        <w:rPr>
          <w:rFonts w:cs="Arial"/>
          <w:lang w:val="fr-FR"/>
        </w:rPr>
        <w:t>l</w:t>
      </w:r>
      <w:r w:rsidR="007F23D6" w:rsidRPr="00A91B2C">
        <w:rPr>
          <w:rFonts w:cs="Arial"/>
          <w:lang w:val="fr-FR"/>
        </w:rPr>
        <w:t>’</w:t>
      </w:r>
      <w:r w:rsidRPr="00A91B2C">
        <w:rPr>
          <w:rFonts w:cs="Arial"/>
          <w:lang w:val="fr-FR"/>
        </w:rPr>
        <w:t>ANUE, en dirigeant des groupes de discussion, des événements parallèles et des discussions multithématiques ou en y contribuant. L</w:t>
      </w:r>
      <w:r w:rsidR="007F23D6" w:rsidRPr="00A91B2C">
        <w:rPr>
          <w:rFonts w:cs="Arial"/>
          <w:lang w:val="fr-FR"/>
        </w:rPr>
        <w:t>’</w:t>
      </w:r>
      <w:r w:rsidRPr="00A91B2C">
        <w:rPr>
          <w:rFonts w:cs="Arial"/>
          <w:lang w:val="fr-FR"/>
        </w:rPr>
        <w:t>ANUE-6 s</w:t>
      </w:r>
      <w:r w:rsidR="007F23D6" w:rsidRPr="00A91B2C">
        <w:rPr>
          <w:rFonts w:cs="Arial"/>
          <w:lang w:val="fr-FR"/>
        </w:rPr>
        <w:t>’</w:t>
      </w:r>
      <w:r w:rsidRPr="00A91B2C">
        <w:rPr>
          <w:rFonts w:cs="Arial"/>
          <w:lang w:val="fr-FR"/>
        </w:rPr>
        <w:t>est déroulée du 21 février au 1</w:t>
      </w:r>
      <w:r w:rsidRPr="00A91B2C">
        <w:rPr>
          <w:rFonts w:cs="Arial"/>
          <w:vertAlign w:val="superscript"/>
          <w:lang w:val="fr-FR"/>
        </w:rPr>
        <w:t>er</w:t>
      </w:r>
      <w:r w:rsidRPr="00A91B2C">
        <w:rPr>
          <w:rFonts w:cs="Arial"/>
          <w:lang w:val="fr-FR"/>
        </w:rPr>
        <w:t> mars 2024 et comprenait un point de l</w:t>
      </w:r>
      <w:r w:rsidR="007F23D6" w:rsidRPr="00A91B2C">
        <w:rPr>
          <w:rFonts w:cs="Arial"/>
          <w:lang w:val="fr-FR"/>
        </w:rPr>
        <w:t>’</w:t>
      </w:r>
      <w:r w:rsidRPr="00A91B2C">
        <w:rPr>
          <w:rFonts w:cs="Arial"/>
          <w:lang w:val="fr-FR"/>
        </w:rPr>
        <w:t>ordre du jour sur le renforcement de la collaboration et des synergies entre le PNUE et les AME afin de lutter efficacement et de manière inclusive contre les trois crises planétaires (changement climatique, perte de biodiversité et pollution). Une « Journée des AME » a eu lieu à l</w:t>
      </w:r>
      <w:r w:rsidR="007F23D6" w:rsidRPr="00A91B2C">
        <w:rPr>
          <w:rFonts w:cs="Arial"/>
          <w:lang w:val="fr-FR"/>
        </w:rPr>
        <w:t>’</w:t>
      </w:r>
      <w:r w:rsidRPr="00A91B2C">
        <w:rPr>
          <w:rFonts w:cs="Arial"/>
          <w:lang w:val="fr-FR"/>
        </w:rPr>
        <w:t>UNEA-6, comprenant deux dialogues de haut niveau relatifs aux AME, portant sur le renforcement de l</w:t>
      </w:r>
      <w:r w:rsidR="007F23D6" w:rsidRPr="00A91B2C">
        <w:rPr>
          <w:rFonts w:cs="Arial"/>
          <w:lang w:val="fr-FR"/>
        </w:rPr>
        <w:t>’</w:t>
      </w:r>
      <w:r w:rsidRPr="00A91B2C">
        <w:rPr>
          <w:rFonts w:cs="Arial"/>
          <w:lang w:val="fr-FR"/>
        </w:rPr>
        <w:t xml:space="preserve">interface </w:t>
      </w:r>
      <w:r w:rsidR="007F23D6" w:rsidRPr="00A91B2C">
        <w:rPr>
          <w:rFonts w:cs="Arial"/>
          <w:lang w:val="fr-FR"/>
        </w:rPr>
        <w:t xml:space="preserve">entre </w:t>
      </w:r>
      <w:r w:rsidRPr="00A91B2C">
        <w:rPr>
          <w:rFonts w:cs="Arial"/>
          <w:lang w:val="fr-FR"/>
        </w:rPr>
        <w:t>science</w:t>
      </w:r>
      <w:r w:rsidR="007F23D6" w:rsidRPr="00A91B2C">
        <w:rPr>
          <w:rFonts w:cs="Arial"/>
          <w:lang w:val="fr-FR"/>
        </w:rPr>
        <w:t xml:space="preserve"> et </w:t>
      </w:r>
      <w:r w:rsidRPr="00A91B2C">
        <w:rPr>
          <w:rFonts w:cs="Arial"/>
          <w:lang w:val="fr-FR"/>
        </w:rPr>
        <w:t>politique</w:t>
      </w:r>
      <w:r w:rsidR="007F23D6" w:rsidRPr="00A91B2C">
        <w:rPr>
          <w:rFonts w:cs="Arial"/>
          <w:lang w:val="fr-FR"/>
        </w:rPr>
        <w:t>s</w:t>
      </w:r>
      <w:r w:rsidRPr="00A91B2C">
        <w:rPr>
          <w:rFonts w:cs="Arial"/>
          <w:lang w:val="fr-FR"/>
        </w:rPr>
        <w:t xml:space="preserve"> et sur la coopération entre l</w:t>
      </w:r>
      <w:r w:rsidR="007F23D6" w:rsidRPr="00A91B2C">
        <w:rPr>
          <w:rFonts w:cs="Arial"/>
          <w:lang w:val="fr-FR"/>
        </w:rPr>
        <w:t>’</w:t>
      </w:r>
      <w:r w:rsidRPr="00A91B2C">
        <w:rPr>
          <w:rFonts w:cs="Arial"/>
          <w:lang w:val="fr-FR"/>
        </w:rPr>
        <w:t>UNEA, le PNUE et les AME afin d</w:t>
      </w:r>
      <w:r w:rsidR="007F23D6" w:rsidRPr="00A91B2C">
        <w:rPr>
          <w:rFonts w:cs="Arial"/>
          <w:lang w:val="fr-FR"/>
        </w:rPr>
        <w:t>’</w:t>
      </w:r>
      <w:r w:rsidRPr="00A91B2C">
        <w:rPr>
          <w:rFonts w:cs="Arial"/>
          <w:lang w:val="fr-FR"/>
        </w:rPr>
        <w:t>améliorer la mise en œuvre effective. De même, à l’UNEA-7, deux dialogues de haut niveau organisés lors de la « Journée des AME » étaient centrés sur la mise en œuvre des AME et sur l</w:t>
      </w:r>
      <w:r w:rsidR="007F23D6" w:rsidRPr="00A91B2C">
        <w:rPr>
          <w:rFonts w:cs="Arial"/>
          <w:lang w:val="fr-FR"/>
        </w:rPr>
        <w:t>’</w:t>
      </w:r>
      <w:r w:rsidRPr="00A91B2C">
        <w:rPr>
          <w:rFonts w:cs="Arial"/>
          <w:lang w:val="fr-FR"/>
        </w:rPr>
        <w:t>avancement du programme de développement durable. À ces deux occasions, le Secrétaire exécutif a pu présenter les perspectives de la CMS sur ces questions.</w:t>
      </w:r>
    </w:p>
    <w:p w14:paraId="5B6A8ED8" w14:textId="77777777" w:rsidR="005E4539" w:rsidRPr="00A91B2C" w:rsidRDefault="005E4539">
      <w:pPr>
        <w:pStyle w:val="ListParagraph"/>
        <w:suppressAutoHyphens/>
        <w:autoSpaceDN w:val="0"/>
        <w:spacing w:after="0" w:line="240" w:lineRule="auto"/>
        <w:ind w:left="540"/>
        <w:jc w:val="both"/>
        <w:textAlignment w:val="baseline"/>
        <w:rPr>
          <w:rFonts w:cs="Arial"/>
          <w:lang w:val="fr-FR"/>
        </w:rPr>
      </w:pPr>
    </w:p>
    <w:p w14:paraId="21F6E636" w14:textId="77777777" w:rsidR="005E4539" w:rsidRPr="00A91B2C" w:rsidRDefault="003C4062">
      <w:pPr>
        <w:pStyle w:val="ListParagraph"/>
        <w:numPr>
          <w:ilvl w:val="0"/>
          <w:numId w:val="60"/>
        </w:numPr>
        <w:suppressAutoHyphens/>
        <w:autoSpaceDN w:val="0"/>
        <w:spacing w:after="0" w:line="240" w:lineRule="auto"/>
        <w:ind w:left="540" w:hanging="540"/>
        <w:jc w:val="both"/>
        <w:textAlignment w:val="baseline"/>
        <w:rPr>
          <w:rFonts w:cs="Arial"/>
          <w:lang w:val="fr-FR"/>
        </w:rPr>
      </w:pPr>
      <w:r w:rsidRPr="00A91B2C">
        <w:rPr>
          <w:rFonts w:cs="Arial"/>
          <w:lang w:val="fr-FR"/>
        </w:rPr>
        <w:t xml:space="preserve">Le Secrétariat a également entretenu activement des relations de coopération avec les bureaux régionaux du PNUE : </w:t>
      </w:r>
    </w:p>
    <w:p w14:paraId="17EA751E" w14:textId="77777777" w:rsidR="005E4539" w:rsidRPr="00A91B2C" w:rsidRDefault="003C4062">
      <w:pPr>
        <w:pStyle w:val="ListParagraph"/>
        <w:numPr>
          <w:ilvl w:val="0"/>
          <w:numId w:val="59"/>
        </w:numPr>
        <w:shd w:val="clear" w:color="auto" w:fill="FFFFFF" w:themeFill="background1"/>
        <w:spacing w:after="80" w:line="240" w:lineRule="auto"/>
        <w:ind w:left="900" w:right="14"/>
        <w:contextualSpacing w:val="0"/>
        <w:jc w:val="both"/>
        <w:rPr>
          <w:rFonts w:cs="Arial"/>
          <w:lang w:val="fr-FR"/>
        </w:rPr>
      </w:pPr>
      <w:r w:rsidRPr="00A91B2C">
        <w:rPr>
          <w:rFonts w:cs="Arial"/>
          <w:lang w:val="fr-FR"/>
        </w:rPr>
        <w:t>Le Bureau régional pour l</w:t>
      </w:r>
      <w:r w:rsidR="007F23D6" w:rsidRPr="00A91B2C">
        <w:rPr>
          <w:rFonts w:cs="Arial"/>
          <w:lang w:val="fr-FR"/>
        </w:rPr>
        <w:t>’</w:t>
      </w:r>
      <w:r w:rsidRPr="00A91B2C">
        <w:rPr>
          <w:rFonts w:cs="Arial"/>
          <w:lang w:val="fr-FR"/>
        </w:rPr>
        <w:t>Asie et le Pacifique (ROAP) : le Secrétariat a assisté (à distance) à deux ateliers régionaux. Le premier, organisé en mars 2024 par l</w:t>
      </w:r>
      <w:r w:rsidR="007F23D6" w:rsidRPr="00A91B2C">
        <w:rPr>
          <w:rFonts w:cs="Arial"/>
          <w:lang w:val="fr-FR"/>
        </w:rPr>
        <w:t>’</w:t>
      </w:r>
      <w:r w:rsidRPr="00A91B2C">
        <w:rPr>
          <w:rFonts w:cs="Arial"/>
          <w:lang w:val="fr-FR"/>
        </w:rPr>
        <w:t>équipe du projet de soutien à l</w:t>
      </w:r>
      <w:r w:rsidR="007F23D6" w:rsidRPr="00A91B2C">
        <w:rPr>
          <w:rFonts w:cs="Arial"/>
          <w:lang w:val="fr-FR"/>
        </w:rPr>
        <w:t>’</w:t>
      </w:r>
      <w:r w:rsidRPr="00A91B2C">
        <w:rPr>
          <w:rFonts w:cs="Arial"/>
          <w:lang w:val="fr-FR"/>
        </w:rPr>
        <w:t>action précoce du Fonds pour l</w:t>
      </w:r>
      <w:r w:rsidR="007F23D6" w:rsidRPr="00A91B2C">
        <w:rPr>
          <w:rFonts w:cs="Arial"/>
          <w:lang w:val="fr-FR"/>
        </w:rPr>
        <w:t>’</w:t>
      </w:r>
      <w:r w:rsidRPr="00A91B2C">
        <w:rPr>
          <w:rFonts w:cs="Arial"/>
          <w:lang w:val="fr-FR"/>
        </w:rPr>
        <w:t xml:space="preserve">environnement mondial (FEM) au sein de la Division des écosystèmes du PNUE, avec le soutien du ROAP, </w:t>
      </w:r>
      <w:r w:rsidRPr="00A91B2C">
        <w:rPr>
          <w:rFonts w:cs="Arial"/>
          <w:lang w:val="fr-FR"/>
        </w:rPr>
        <w:lastRenderedPageBreak/>
        <w:t xml:space="preserve">visait à assurer des synergies entre les AME dans la mise en œuvre des </w:t>
      </w:r>
      <w:r w:rsidRPr="00A91B2C">
        <w:rPr>
          <w:rFonts w:eastAsia="Calibri" w:cs="Arial"/>
          <w:lang w:val="fr-FR"/>
        </w:rPr>
        <w:t>Stratégies et plans d</w:t>
      </w:r>
      <w:r w:rsidR="007F23D6" w:rsidRPr="00A91B2C">
        <w:rPr>
          <w:rFonts w:eastAsia="Calibri" w:cs="Arial"/>
          <w:lang w:val="fr-FR"/>
        </w:rPr>
        <w:t>’</w:t>
      </w:r>
      <w:r w:rsidRPr="00A91B2C">
        <w:rPr>
          <w:rFonts w:eastAsia="Calibri" w:cs="Arial"/>
          <w:lang w:val="fr-FR"/>
        </w:rPr>
        <w:t>action nationaux pour la diversité biologique (SPANB)</w:t>
      </w:r>
      <w:r w:rsidRPr="00A91B2C">
        <w:rPr>
          <w:rFonts w:cs="Arial"/>
          <w:lang w:val="fr-FR"/>
        </w:rPr>
        <w:t>. Le deuxième atelier, qui s</w:t>
      </w:r>
      <w:r w:rsidR="007F23D6" w:rsidRPr="00A91B2C">
        <w:rPr>
          <w:rFonts w:cs="Arial"/>
          <w:lang w:val="fr-FR"/>
        </w:rPr>
        <w:t>’</w:t>
      </w:r>
      <w:r w:rsidRPr="00A91B2C">
        <w:rPr>
          <w:rFonts w:cs="Arial"/>
          <w:lang w:val="fr-FR"/>
        </w:rPr>
        <w:t>est tenu en octobre 2025, visait à promouvoir une approche intégrée et synergétique dans la mise en œuvre du Cadre mondial pour la biodiversité de Kunming-Montréal (KMGBF).</w:t>
      </w:r>
    </w:p>
    <w:p w14:paraId="189BCF07" w14:textId="77777777" w:rsidR="005E4539" w:rsidRPr="00A91B2C" w:rsidRDefault="003C4062">
      <w:pPr>
        <w:pStyle w:val="ListParagraph"/>
        <w:numPr>
          <w:ilvl w:val="0"/>
          <w:numId w:val="59"/>
        </w:numPr>
        <w:shd w:val="clear" w:color="auto" w:fill="FFFFFF" w:themeFill="background1"/>
        <w:spacing w:after="80" w:line="240" w:lineRule="auto"/>
        <w:ind w:left="900" w:right="14"/>
        <w:contextualSpacing w:val="0"/>
        <w:jc w:val="both"/>
        <w:rPr>
          <w:rFonts w:cs="Arial"/>
          <w:lang w:val="fr-FR"/>
        </w:rPr>
      </w:pPr>
      <w:r w:rsidRPr="00A91B2C">
        <w:rPr>
          <w:rFonts w:cs="Arial"/>
          <w:lang w:val="fr-FR"/>
        </w:rPr>
        <w:t>Le Bureau régional pour l</w:t>
      </w:r>
      <w:r w:rsidR="007F23D6" w:rsidRPr="00A91B2C">
        <w:rPr>
          <w:rFonts w:cs="Arial"/>
          <w:lang w:val="fr-FR"/>
        </w:rPr>
        <w:t>’</w:t>
      </w:r>
      <w:r w:rsidRPr="00A91B2C">
        <w:rPr>
          <w:rFonts w:cs="Arial"/>
          <w:lang w:val="fr-FR"/>
        </w:rPr>
        <w:t>Afrique (ROA) : bien que le Secrétariat n</w:t>
      </w:r>
      <w:r w:rsidR="007F23D6" w:rsidRPr="00A91B2C">
        <w:rPr>
          <w:rFonts w:cs="Arial"/>
          <w:lang w:val="fr-FR"/>
        </w:rPr>
        <w:t>’</w:t>
      </w:r>
      <w:r w:rsidRPr="00A91B2C">
        <w:rPr>
          <w:rFonts w:cs="Arial"/>
          <w:lang w:val="fr-FR"/>
        </w:rPr>
        <w:t>ait pas été en mesure d</w:t>
      </w:r>
      <w:r w:rsidR="007F23D6" w:rsidRPr="00A91B2C">
        <w:rPr>
          <w:rFonts w:cs="Arial"/>
          <w:lang w:val="fr-FR"/>
        </w:rPr>
        <w:t>’</w:t>
      </w:r>
      <w:r w:rsidRPr="00A91B2C">
        <w:rPr>
          <w:rFonts w:cs="Arial"/>
          <w:lang w:val="fr-FR"/>
        </w:rPr>
        <w:t>assister à la Conférence ministérielle africaine sur l</w:t>
      </w:r>
      <w:r w:rsidR="007F23D6" w:rsidRPr="00A91B2C">
        <w:rPr>
          <w:rFonts w:cs="Arial"/>
          <w:lang w:val="fr-FR"/>
        </w:rPr>
        <w:t>’</w:t>
      </w:r>
      <w:r w:rsidRPr="00A91B2C">
        <w:rPr>
          <w:rFonts w:cs="Arial"/>
          <w:lang w:val="fr-FR"/>
        </w:rPr>
        <w:t>environnement (CMAE), qui s</w:t>
      </w:r>
      <w:r w:rsidR="007F23D6" w:rsidRPr="00A91B2C">
        <w:rPr>
          <w:rFonts w:cs="Arial"/>
          <w:lang w:val="fr-FR"/>
        </w:rPr>
        <w:t>’</w:t>
      </w:r>
      <w:r w:rsidRPr="00A91B2C">
        <w:rPr>
          <w:rFonts w:cs="Arial"/>
          <w:lang w:val="fr-FR"/>
        </w:rPr>
        <w:t>est tenue en juillet 2025, il a apporté des contributions aux priorités</w:t>
      </w:r>
      <w:r w:rsidRPr="00A91B2C">
        <w:rPr>
          <w:lang w:val="fr-FR"/>
        </w:rPr>
        <w:t xml:space="preserve"> du </w:t>
      </w:r>
      <w:r w:rsidRPr="00A91B2C">
        <w:rPr>
          <w:rFonts w:cs="Arial"/>
          <w:lang w:val="fr-FR"/>
        </w:rPr>
        <w:t>plan de travail 2025-2026 de la CMAE et au-delà.</w:t>
      </w:r>
    </w:p>
    <w:p w14:paraId="2C61EBD4" w14:textId="77777777" w:rsidR="005E4539" w:rsidRPr="00A91B2C" w:rsidRDefault="003C4062">
      <w:pPr>
        <w:pStyle w:val="ListParagraph"/>
        <w:numPr>
          <w:ilvl w:val="0"/>
          <w:numId w:val="59"/>
        </w:numPr>
        <w:shd w:val="clear" w:color="auto" w:fill="FFFFFF" w:themeFill="background1"/>
        <w:spacing w:after="80" w:line="240" w:lineRule="auto"/>
        <w:ind w:left="900" w:right="14"/>
        <w:contextualSpacing w:val="0"/>
        <w:jc w:val="both"/>
        <w:rPr>
          <w:rFonts w:cs="Arial"/>
          <w:lang w:val="fr-FR"/>
        </w:rPr>
      </w:pPr>
      <w:r w:rsidRPr="00A91B2C">
        <w:rPr>
          <w:rFonts w:cs="Arial"/>
          <w:lang w:val="fr-FR"/>
        </w:rPr>
        <w:t>Le Bureau régional pour l</w:t>
      </w:r>
      <w:r w:rsidR="007F23D6" w:rsidRPr="00A91B2C">
        <w:rPr>
          <w:rFonts w:cs="Arial"/>
          <w:lang w:val="fr-FR"/>
        </w:rPr>
        <w:t>’</w:t>
      </w:r>
      <w:r w:rsidRPr="00A91B2C">
        <w:rPr>
          <w:rFonts w:cs="Arial"/>
          <w:lang w:val="fr-FR"/>
        </w:rPr>
        <w:t>Amérique latine et les Caraïbes (ROLAC) : le Secrétariat a participé à la réunion du Forum des ministres de l</w:t>
      </w:r>
      <w:r w:rsidR="007F23D6" w:rsidRPr="00A91B2C">
        <w:rPr>
          <w:rFonts w:cs="Arial"/>
          <w:lang w:val="fr-FR"/>
        </w:rPr>
        <w:t>’</w:t>
      </w:r>
      <w:r w:rsidRPr="00A91B2C">
        <w:rPr>
          <w:rFonts w:cs="Arial"/>
          <w:lang w:val="fr-FR"/>
        </w:rPr>
        <w:t>Environnement d</w:t>
      </w:r>
      <w:r w:rsidR="007F23D6" w:rsidRPr="00A91B2C">
        <w:rPr>
          <w:rFonts w:cs="Arial"/>
          <w:lang w:val="fr-FR"/>
        </w:rPr>
        <w:t>’</w:t>
      </w:r>
      <w:r w:rsidRPr="00A91B2C">
        <w:rPr>
          <w:rFonts w:cs="Arial"/>
          <w:lang w:val="fr-FR"/>
        </w:rPr>
        <w:t>Amérique latine et des Caraïbes, qui s</w:t>
      </w:r>
      <w:r w:rsidR="007F23D6" w:rsidRPr="00A91B2C">
        <w:rPr>
          <w:rFonts w:cs="Arial"/>
          <w:lang w:val="fr-FR"/>
        </w:rPr>
        <w:t>’</w:t>
      </w:r>
      <w:r w:rsidRPr="00A91B2C">
        <w:rPr>
          <w:rFonts w:cs="Arial"/>
          <w:lang w:val="fr-FR"/>
        </w:rPr>
        <w:t>est tenue du 30 septembre au 2 octobre 2025 à Lima, au Pérou, afin de mettre en avant la CMS et la COP15. En marge de la réunion, le ROLAC, le Bureau sous-régional des Caraïbes et le Secrétariat de la CARICOM ont appuyé l</w:t>
      </w:r>
      <w:r w:rsidR="007F23D6" w:rsidRPr="00A91B2C">
        <w:rPr>
          <w:rFonts w:cs="Arial"/>
          <w:lang w:val="fr-FR"/>
        </w:rPr>
        <w:t>’</w:t>
      </w:r>
      <w:r w:rsidRPr="00A91B2C">
        <w:rPr>
          <w:rFonts w:cs="Arial"/>
          <w:lang w:val="fr-FR"/>
        </w:rPr>
        <w:t>organisation d</w:t>
      </w:r>
      <w:r w:rsidR="007F23D6" w:rsidRPr="00A91B2C">
        <w:rPr>
          <w:rFonts w:cs="Arial"/>
          <w:lang w:val="fr-FR"/>
        </w:rPr>
        <w:t>’</w:t>
      </w:r>
      <w:r w:rsidRPr="00A91B2C">
        <w:rPr>
          <w:rFonts w:cs="Arial"/>
          <w:lang w:val="fr-FR"/>
        </w:rPr>
        <w:t>une réunion des pays des Caraïbes qui ne sont pas encore Parties à la CMS, afin de promouvoir leur adhésion. Le ROLAC et son bureau sous-régional situé au Brésil soutiennent les préparatifs de la COP15.</w:t>
      </w:r>
    </w:p>
    <w:p w14:paraId="43A0E4E7" w14:textId="77777777" w:rsidR="005E4539" w:rsidRPr="00A91B2C" w:rsidRDefault="003C4062">
      <w:pPr>
        <w:pStyle w:val="ListParagraph"/>
        <w:numPr>
          <w:ilvl w:val="0"/>
          <w:numId w:val="60"/>
        </w:numPr>
        <w:suppressAutoHyphens/>
        <w:autoSpaceDN w:val="0"/>
        <w:spacing w:after="0" w:line="240" w:lineRule="auto"/>
        <w:ind w:left="540" w:hanging="540"/>
        <w:jc w:val="both"/>
        <w:textAlignment w:val="baseline"/>
        <w:rPr>
          <w:rFonts w:cs="Arial"/>
          <w:lang w:val="fr-FR"/>
        </w:rPr>
      </w:pPr>
      <w:r w:rsidRPr="00A91B2C">
        <w:rPr>
          <w:rFonts w:cs="Arial"/>
          <w:lang w:val="fr-FR"/>
        </w:rPr>
        <w:t xml:space="preserve">Des informations supplémentaires sont contenues dans le document UNEP/CMS/COP15/Doc.11 </w:t>
      </w:r>
      <w:r w:rsidRPr="00A91B2C">
        <w:rPr>
          <w:rFonts w:cs="Arial"/>
          <w:i/>
          <w:iCs/>
          <w:lang w:val="fr-FR"/>
        </w:rPr>
        <w:t>Rapport du Programme des Nations Unies pour l</w:t>
      </w:r>
      <w:r w:rsidR="007F23D6" w:rsidRPr="00A91B2C">
        <w:rPr>
          <w:rFonts w:cs="Arial"/>
          <w:i/>
          <w:iCs/>
          <w:lang w:val="fr-FR"/>
        </w:rPr>
        <w:t>’</w:t>
      </w:r>
      <w:r w:rsidRPr="00A91B2C">
        <w:rPr>
          <w:rFonts w:cs="Arial"/>
          <w:i/>
          <w:iCs/>
          <w:lang w:val="fr-FR"/>
        </w:rPr>
        <w:t>environnement</w:t>
      </w:r>
      <w:r w:rsidRPr="00A91B2C">
        <w:rPr>
          <w:rFonts w:cs="Arial"/>
          <w:lang w:val="fr-FR"/>
        </w:rPr>
        <w:t>.</w:t>
      </w:r>
    </w:p>
    <w:p w14:paraId="0E7A574D" w14:textId="77777777" w:rsidR="005E4539" w:rsidRPr="00A91B2C" w:rsidRDefault="005E4539">
      <w:pPr>
        <w:shd w:val="clear" w:color="auto" w:fill="FFFFFF" w:themeFill="background1"/>
        <w:spacing w:after="0" w:line="240" w:lineRule="auto"/>
        <w:ind w:right="14"/>
        <w:jc w:val="both"/>
        <w:rPr>
          <w:rFonts w:eastAsia="Arial" w:cs="Arial"/>
          <w:highlight w:val="yellow"/>
          <w:lang w:val="fr-FR"/>
        </w:rPr>
      </w:pPr>
    </w:p>
    <w:p w14:paraId="0673CF3C" w14:textId="77777777" w:rsidR="005E4539" w:rsidRPr="00A91B2C" w:rsidRDefault="003C4062">
      <w:pPr>
        <w:autoSpaceDE w:val="0"/>
        <w:autoSpaceDN w:val="0"/>
        <w:adjustRightInd w:val="0"/>
        <w:spacing w:after="0" w:line="240" w:lineRule="auto"/>
        <w:jc w:val="both"/>
        <w:rPr>
          <w:rFonts w:cs="Arial"/>
          <w:i/>
          <w:iCs/>
          <w:lang w:val="fr-FR"/>
        </w:rPr>
      </w:pPr>
      <w:r w:rsidRPr="00A91B2C">
        <w:rPr>
          <w:rFonts w:cs="Arial"/>
          <w:i/>
          <w:iCs/>
          <w:lang w:val="fr-FR"/>
        </w:rPr>
        <w:t>Autres processus des Nations Unies</w:t>
      </w:r>
    </w:p>
    <w:p w14:paraId="23E1F55C" w14:textId="77777777" w:rsidR="005E4539" w:rsidRPr="00A91B2C" w:rsidRDefault="005E4539">
      <w:pPr>
        <w:autoSpaceDE w:val="0"/>
        <w:autoSpaceDN w:val="0"/>
        <w:adjustRightInd w:val="0"/>
        <w:spacing w:after="0" w:line="240" w:lineRule="auto"/>
        <w:jc w:val="both"/>
        <w:rPr>
          <w:rFonts w:cs="Arial"/>
          <w:highlight w:val="yellow"/>
          <w:lang w:val="fr-FR"/>
        </w:rPr>
      </w:pPr>
    </w:p>
    <w:p w14:paraId="2E8E859E" w14:textId="77777777" w:rsidR="005E4539" w:rsidRPr="00A91B2C" w:rsidRDefault="003C4062">
      <w:pPr>
        <w:pStyle w:val="ListParagraph"/>
        <w:numPr>
          <w:ilvl w:val="0"/>
          <w:numId w:val="60"/>
        </w:numPr>
        <w:autoSpaceDE w:val="0"/>
        <w:autoSpaceDN w:val="0"/>
        <w:adjustRightInd w:val="0"/>
        <w:spacing w:after="0"/>
        <w:ind w:left="567" w:hanging="567"/>
        <w:jc w:val="both"/>
        <w:rPr>
          <w:rFonts w:cs="Arial"/>
          <w:lang w:val="fr-FR"/>
        </w:rPr>
      </w:pPr>
      <w:r w:rsidRPr="00A91B2C">
        <w:rPr>
          <w:rFonts w:cs="Arial"/>
          <w:lang w:val="fr-FR"/>
        </w:rPr>
        <w:t>Le Secrétariat a continué de participer au processus de l</w:t>
      </w:r>
      <w:r w:rsidR="007F23D6" w:rsidRPr="00A91B2C">
        <w:rPr>
          <w:rFonts w:cs="Arial"/>
          <w:lang w:val="fr-FR"/>
        </w:rPr>
        <w:t>’</w:t>
      </w:r>
      <w:r w:rsidRPr="00A91B2C">
        <w:rPr>
          <w:rFonts w:cs="Arial"/>
          <w:lang w:val="fr-FR"/>
        </w:rPr>
        <w:t>ONU Océans, un forum d</w:t>
      </w:r>
      <w:r w:rsidR="007F23D6" w:rsidRPr="00A91B2C">
        <w:rPr>
          <w:rFonts w:cs="Arial"/>
          <w:lang w:val="fr-FR"/>
        </w:rPr>
        <w:t>’</w:t>
      </w:r>
      <w:r w:rsidRPr="00A91B2C">
        <w:rPr>
          <w:rFonts w:cs="Arial"/>
          <w:lang w:val="fr-FR"/>
        </w:rPr>
        <w:t>entités des Nations Unies travaillant sur les questions océaniques. Par le passé, ce groupe s</w:t>
      </w:r>
      <w:r w:rsidR="007F23D6" w:rsidRPr="00A91B2C">
        <w:rPr>
          <w:rFonts w:cs="Arial"/>
          <w:lang w:val="fr-FR"/>
        </w:rPr>
        <w:t>’</w:t>
      </w:r>
      <w:r w:rsidRPr="00A91B2C">
        <w:rPr>
          <w:rFonts w:cs="Arial"/>
          <w:lang w:val="fr-FR"/>
        </w:rPr>
        <w:t>est souvent réuni en marge des conférences des Nations Unies. Le forum s</w:t>
      </w:r>
      <w:r w:rsidR="007F23D6" w:rsidRPr="00A91B2C">
        <w:rPr>
          <w:rFonts w:cs="Arial"/>
          <w:lang w:val="fr-FR"/>
        </w:rPr>
        <w:t>’</w:t>
      </w:r>
      <w:r w:rsidRPr="00A91B2C">
        <w:rPr>
          <w:rFonts w:cs="Arial"/>
          <w:lang w:val="fr-FR"/>
        </w:rPr>
        <w:t>est déplacé en ligne, ce qui s</w:t>
      </w:r>
      <w:r w:rsidR="007F23D6" w:rsidRPr="00A91B2C">
        <w:rPr>
          <w:rFonts w:cs="Arial"/>
          <w:lang w:val="fr-FR"/>
        </w:rPr>
        <w:t>’</w:t>
      </w:r>
      <w:r w:rsidRPr="00A91B2C">
        <w:rPr>
          <w:rFonts w:cs="Arial"/>
          <w:lang w:val="fr-FR"/>
        </w:rPr>
        <w:t xml:space="preserve">est avéré plus efficace et plus inclusif. Le Secrétariat a également participé à la troisième Conférence des Nations Unies sur les Océans à Nice (juin 2025). </w:t>
      </w:r>
    </w:p>
    <w:p w14:paraId="2CA8C4E8" w14:textId="77777777" w:rsidR="005E4539" w:rsidRPr="00A91B2C" w:rsidRDefault="005E4539">
      <w:pPr>
        <w:pStyle w:val="ListParagraph"/>
        <w:autoSpaceDE w:val="0"/>
        <w:autoSpaceDN w:val="0"/>
        <w:adjustRightInd w:val="0"/>
        <w:spacing w:after="0"/>
        <w:ind w:left="540"/>
        <w:jc w:val="both"/>
        <w:rPr>
          <w:rFonts w:cs="Arial"/>
          <w:lang w:val="fr-FR"/>
        </w:rPr>
      </w:pPr>
    </w:p>
    <w:p w14:paraId="6196CF32" w14:textId="77777777" w:rsidR="005E4539" w:rsidRPr="00A91B2C" w:rsidRDefault="003C4062">
      <w:pPr>
        <w:spacing w:after="0" w:line="240" w:lineRule="auto"/>
        <w:jc w:val="both"/>
        <w:rPr>
          <w:rFonts w:cs="Arial"/>
          <w:b/>
          <w:lang w:val="fr-FR"/>
        </w:rPr>
      </w:pPr>
      <w:r w:rsidRPr="00A91B2C">
        <w:rPr>
          <w:rFonts w:cs="Arial"/>
          <w:b/>
          <w:lang w:val="fr-FR"/>
        </w:rPr>
        <w:t>Renforcer la collaboration existante avec d</w:t>
      </w:r>
      <w:r w:rsidR="007F23D6" w:rsidRPr="00A91B2C">
        <w:rPr>
          <w:rFonts w:cs="Arial"/>
          <w:b/>
          <w:lang w:val="fr-FR"/>
        </w:rPr>
        <w:t>’</w:t>
      </w:r>
      <w:r w:rsidRPr="00A91B2C">
        <w:rPr>
          <w:rFonts w:cs="Arial"/>
          <w:b/>
          <w:lang w:val="fr-FR"/>
        </w:rPr>
        <w:t>autres accords multilatéraux sur l</w:t>
      </w:r>
      <w:r w:rsidR="007F23D6" w:rsidRPr="00A91B2C">
        <w:rPr>
          <w:rFonts w:cs="Arial"/>
          <w:b/>
          <w:lang w:val="fr-FR"/>
        </w:rPr>
        <w:t>’</w:t>
      </w:r>
      <w:r w:rsidRPr="00A91B2C">
        <w:rPr>
          <w:rFonts w:cs="Arial"/>
          <w:b/>
          <w:lang w:val="fr-FR"/>
        </w:rPr>
        <w:t>environnement</w:t>
      </w:r>
    </w:p>
    <w:p w14:paraId="7197A5F9" w14:textId="77777777" w:rsidR="005E4539" w:rsidRPr="00A91B2C" w:rsidRDefault="005E4539">
      <w:pPr>
        <w:pStyle w:val="ListParagraph"/>
        <w:shd w:val="clear" w:color="auto" w:fill="FFFFFF" w:themeFill="background1"/>
        <w:spacing w:after="0" w:line="240" w:lineRule="auto"/>
        <w:ind w:left="0" w:right="11"/>
        <w:contextualSpacing w:val="0"/>
        <w:jc w:val="both"/>
        <w:rPr>
          <w:rFonts w:eastAsia="Calibri" w:cs="Arial"/>
          <w:b/>
          <w:i/>
          <w:iCs/>
          <w:highlight w:val="yellow"/>
          <w:lang w:val="fr-FR"/>
        </w:rPr>
      </w:pPr>
    </w:p>
    <w:p w14:paraId="61C7487A" w14:textId="77777777" w:rsidR="005E4539" w:rsidRPr="00A91B2C" w:rsidRDefault="003C4062">
      <w:pPr>
        <w:spacing w:after="0" w:line="240" w:lineRule="auto"/>
        <w:jc w:val="both"/>
        <w:rPr>
          <w:rFonts w:cs="Arial"/>
          <w:i/>
          <w:lang w:val="fr-FR"/>
        </w:rPr>
      </w:pPr>
      <w:r w:rsidRPr="00A91B2C">
        <w:rPr>
          <w:rFonts w:cs="Arial"/>
          <w:i/>
          <w:lang w:val="fr-FR"/>
        </w:rPr>
        <w:t>Groupe de liaison sur les conventions concernant la diversité biologique (BLG)</w:t>
      </w:r>
    </w:p>
    <w:p w14:paraId="35345673" w14:textId="77777777" w:rsidR="005E4539" w:rsidRPr="00A91B2C" w:rsidRDefault="005E4539">
      <w:pPr>
        <w:spacing w:after="0" w:line="240" w:lineRule="auto"/>
        <w:jc w:val="both"/>
        <w:rPr>
          <w:rFonts w:cs="Arial"/>
          <w:i/>
          <w:lang w:val="fr-FR"/>
        </w:rPr>
      </w:pPr>
    </w:p>
    <w:p w14:paraId="33E5435C" w14:textId="77777777" w:rsidR="005E4539" w:rsidRPr="00A91B2C" w:rsidRDefault="003C4062">
      <w:pPr>
        <w:pStyle w:val="ListParagraph"/>
        <w:numPr>
          <w:ilvl w:val="0"/>
          <w:numId w:val="60"/>
        </w:numPr>
        <w:spacing w:after="0" w:line="240" w:lineRule="auto"/>
        <w:ind w:left="567" w:hanging="567"/>
        <w:contextualSpacing w:val="0"/>
        <w:jc w:val="both"/>
        <w:rPr>
          <w:rFonts w:cs="Arial"/>
          <w:lang w:val="fr-FR"/>
        </w:rPr>
      </w:pPr>
      <w:r w:rsidRPr="00A91B2C">
        <w:rPr>
          <w:rFonts w:eastAsia="Calibri" w:cs="Arial"/>
          <w:lang w:val="fr-FR"/>
        </w:rPr>
        <w:t xml:space="preserve">Le Secrétariat a participé aux réunions et aux consultations informelles du </w:t>
      </w:r>
      <w:r w:rsidRPr="00A91B2C">
        <w:rPr>
          <w:rFonts w:eastAsia="Calibri" w:cs="Arial"/>
          <w:bCs/>
          <w:lang w:val="fr-FR"/>
        </w:rPr>
        <w:t xml:space="preserve">BLG qui ont </w:t>
      </w:r>
      <w:r w:rsidRPr="00A91B2C">
        <w:rPr>
          <w:rFonts w:cs="Arial"/>
          <w:lang w:val="fr-FR"/>
        </w:rPr>
        <w:t>eu lieu pendant la période intersessions. Le groupe s</w:t>
      </w:r>
      <w:r w:rsidR="007F23D6" w:rsidRPr="00A91B2C">
        <w:rPr>
          <w:rFonts w:cs="Arial"/>
          <w:lang w:val="fr-FR"/>
        </w:rPr>
        <w:t>’</w:t>
      </w:r>
      <w:r w:rsidRPr="00A91B2C">
        <w:rPr>
          <w:rFonts w:cs="Arial"/>
          <w:lang w:val="fr-FR"/>
        </w:rPr>
        <w:t>est réuni en personne au siège de l</w:t>
      </w:r>
      <w:r w:rsidR="007F23D6" w:rsidRPr="00A91B2C">
        <w:rPr>
          <w:rFonts w:cs="Arial"/>
          <w:lang w:val="fr-FR"/>
        </w:rPr>
        <w:t>’</w:t>
      </w:r>
      <w:r w:rsidRPr="00A91B2C">
        <w:rPr>
          <w:rFonts w:cs="Arial"/>
          <w:lang w:val="fr-FR"/>
        </w:rPr>
        <w:t>Organisation des Nations Unies pour l</w:t>
      </w:r>
      <w:r w:rsidR="007F23D6" w:rsidRPr="00A91B2C">
        <w:rPr>
          <w:rFonts w:cs="Arial"/>
          <w:lang w:val="fr-FR"/>
        </w:rPr>
        <w:t>’</w:t>
      </w:r>
      <w:r w:rsidRPr="00A91B2C">
        <w:rPr>
          <w:rFonts w:cs="Arial"/>
          <w:lang w:val="fr-FR"/>
        </w:rPr>
        <w:t>Alimentation et l</w:t>
      </w:r>
      <w:r w:rsidR="007F23D6" w:rsidRPr="00A91B2C">
        <w:rPr>
          <w:rFonts w:cs="Arial"/>
          <w:lang w:val="fr-FR"/>
        </w:rPr>
        <w:t>’</w:t>
      </w:r>
      <w:r w:rsidRPr="00A91B2C">
        <w:rPr>
          <w:rFonts w:cs="Arial"/>
          <w:lang w:val="fr-FR"/>
        </w:rPr>
        <w:t xml:space="preserve">Agriculture (FAO) à Rome, avant la reprise des réunions de la COP16 de la CDB en février 2025. </w:t>
      </w:r>
    </w:p>
    <w:p w14:paraId="7D55E221" w14:textId="77777777" w:rsidR="005E4539" w:rsidRPr="00A91B2C" w:rsidRDefault="005E4539">
      <w:pPr>
        <w:pStyle w:val="ListParagraph"/>
        <w:spacing w:after="0" w:line="240" w:lineRule="auto"/>
        <w:ind w:left="567" w:hanging="567"/>
        <w:contextualSpacing w:val="0"/>
        <w:jc w:val="both"/>
        <w:rPr>
          <w:rFonts w:cs="Arial"/>
          <w:lang w:val="fr-FR"/>
        </w:rPr>
      </w:pPr>
    </w:p>
    <w:p w14:paraId="62D117A7" w14:textId="77777777" w:rsidR="005E4539" w:rsidRPr="00A91B2C" w:rsidRDefault="003C4062">
      <w:pPr>
        <w:pStyle w:val="ListParagraph"/>
        <w:numPr>
          <w:ilvl w:val="0"/>
          <w:numId w:val="60"/>
        </w:numPr>
        <w:spacing w:after="0" w:line="240" w:lineRule="auto"/>
        <w:ind w:left="567" w:hanging="567"/>
        <w:contextualSpacing w:val="0"/>
        <w:jc w:val="both"/>
        <w:rPr>
          <w:rFonts w:cs="Arial"/>
          <w:lang w:val="fr-FR"/>
        </w:rPr>
      </w:pPr>
      <w:r w:rsidRPr="00A91B2C">
        <w:rPr>
          <w:rFonts w:cs="Arial"/>
          <w:lang w:val="fr-FR"/>
        </w:rPr>
        <w:t>Un point central de la réunion, ainsi que de la coopération du BLG en 2024-2025, était de garantir que les travaux de chaque convention se soutiennent mutuellement et contribuent efficacement aux objectifs plus larges de la biodiversité mondiale, en mettant particulièrement l</w:t>
      </w:r>
      <w:r w:rsidR="007F23D6" w:rsidRPr="00A91B2C">
        <w:rPr>
          <w:rFonts w:cs="Arial"/>
          <w:lang w:val="fr-FR"/>
        </w:rPr>
        <w:t>’</w:t>
      </w:r>
      <w:r w:rsidRPr="00A91B2C">
        <w:rPr>
          <w:rFonts w:cs="Arial"/>
          <w:lang w:val="fr-FR"/>
        </w:rPr>
        <w:t>accent sur l</w:t>
      </w:r>
      <w:r w:rsidR="007F23D6" w:rsidRPr="00A91B2C">
        <w:rPr>
          <w:rFonts w:cs="Arial"/>
          <w:lang w:val="fr-FR"/>
        </w:rPr>
        <w:t>’</w:t>
      </w:r>
      <w:r w:rsidRPr="00A91B2C">
        <w:rPr>
          <w:rFonts w:cs="Arial"/>
          <w:lang w:val="fr-FR"/>
        </w:rPr>
        <w:t>alignement des actions avec le KMGBF. Il s</w:t>
      </w:r>
      <w:r w:rsidR="007F23D6" w:rsidRPr="00A91B2C">
        <w:rPr>
          <w:rFonts w:cs="Arial"/>
          <w:lang w:val="fr-FR"/>
        </w:rPr>
        <w:t>’</w:t>
      </w:r>
      <w:r w:rsidRPr="00A91B2C">
        <w:rPr>
          <w:rFonts w:cs="Arial"/>
          <w:lang w:val="fr-FR"/>
        </w:rPr>
        <w:t>agit notamment d</w:t>
      </w:r>
      <w:r w:rsidR="007F23D6" w:rsidRPr="00A91B2C">
        <w:rPr>
          <w:rFonts w:cs="Arial"/>
          <w:lang w:val="fr-FR"/>
        </w:rPr>
        <w:t>’</w:t>
      </w:r>
      <w:r w:rsidRPr="00A91B2C">
        <w:rPr>
          <w:rFonts w:cs="Arial"/>
          <w:lang w:val="fr-FR"/>
        </w:rPr>
        <w:t>étudier la possibilité d</w:t>
      </w:r>
      <w:r w:rsidR="007F23D6" w:rsidRPr="00A91B2C">
        <w:rPr>
          <w:rFonts w:cs="Arial"/>
          <w:lang w:val="fr-FR"/>
        </w:rPr>
        <w:t>’</w:t>
      </w:r>
      <w:r w:rsidRPr="00A91B2C">
        <w:rPr>
          <w:rFonts w:cs="Arial"/>
          <w:lang w:val="fr-FR"/>
        </w:rPr>
        <w:t xml:space="preserve">harmoniser les rapports, de mettre en place des stratégies communes de sensibilisation et de communication, et de partager des cadres de suivi et des indicateurs lorsque cela est possible. </w:t>
      </w:r>
    </w:p>
    <w:p w14:paraId="0A8551B0" w14:textId="77777777" w:rsidR="005E4539" w:rsidRPr="00A91B2C" w:rsidRDefault="005E4539">
      <w:pPr>
        <w:pStyle w:val="ListParagraph"/>
        <w:spacing w:after="0" w:line="240" w:lineRule="auto"/>
        <w:ind w:left="567" w:hanging="567"/>
        <w:contextualSpacing w:val="0"/>
        <w:jc w:val="both"/>
        <w:rPr>
          <w:rFonts w:cs="Arial"/>
          <w:lang w:val="fr-FR"/>
        </w:rPr>
      </w:pPr>
    </w:p>
    <w:p w14:paraId="379B959E" w14:textId="77777777" w:rsidR="005E4539" w:rsidRPr="00A91B2C" w:rsidRDefault="003C4062">
      <w:pPr>
        <w:pStyle w:val="ListParagraph"/>
        <w:numPr>
          <w:ilvl w:val="0"/>
          <w:numId w:val="60"/>
        </w:numPr>
        <w:spacing w:after="0" w:line="240" w:lineRule="auto"/>
        <w:ind w:left="567" w:hanging="567"/>
        <w:contextualSpacing w:val="0"/>
        <w:jc w:val="both"/>
        <w:rPr>
          <w:rFonts w:eastAsia="Calibri" w:cs="Arial"/>
          <w:lang w:val="fr-FR"/>
        </w:rPr>
      </w:pPr>
      <w:r w:rsidRPr="00A91B2C">
        <w:rPr>
          <w:rFonts w:cs="Arial"/>
          <w:lang w:val="fr-FR"/>
        </w:rPr>
        <w:t>Les discussions du BLG comprenaient un engagement avec des organismes et des mécanismes scientifiques, tels que la Plateforme intergouvernementale scientifique et politique sur la biodiversité et les services écosystémiques (IPBES), afin d</w:t>
      </w:r>
      <w:r w:rsidR="007F23D6" w:rsidRPr="00A91B2C">
        <w:rPr>
          <w:rFonts w:cs="Arial"/>
          <w:lang w:val="fr-FR"/>
        </w:rPr>
        <w:t>’</w:t>
      </w:r>
      <w:r w:rsidRPr="00A91B2C">
        <w:rPr>
          <w:rFonts w:cs="Arial"/>
          <w:lang w:val="fr-FR"/>
        </w:rPr>
        <w:t xml:space="preserve">assurer que les évaluations et les preuves scientifiques orientent les actions politiques dans le cadre des conventions et au niveau national. Le groupe a discuté des moyens de mieux </w:t>
      </w:r>
      <w:r w:rsidRPr="00A91B2C">
        <w:rPr>
          <w:rFonts w:cs="Arial"/>
          <w:lang w:val="fr-FR"/>
        </w:rPr>
        <w:lastRenderedPageBreak/>
        <w:t xml:space="preserve">soutenir les pays </w:t>
      </w:r>
      <w:r w:rsidR="007F23D6" w:rsidRPr="00A91B2C">
        <w:rPr>
          <w:rFonts w:cs="Arial"/>
          <w:lang w:val="fr-FR"/>
        </w:rPr>
        <w:t>—</w:t>
      </w:r>
      <w:r w:rsidRPr="00A91B2C">
        <w:rPr>
          <w:rFonts w:cs="Arial"/>
          <w:lang w:val="fr-FR"/>
        </w:rPr>
        <w:t xml:space="preserve"> notamment par un renforcement coordonné des capacités, une mobilisation des ressources et une assistance technique </w:t>
      </w:r>
      <w:r w:rsidR="007F23D6" w:rsidRPr="00A91B2C">
        <w:rPr>
          <w:rFonts w:cs="Arial"/>
          <w:lang w:val="fr-FR"/>
        </w:rPr>
        <w:t>—</w:t>
      </w:r>
      <w:r w:rsidRPr="00A91B2C">
        <w:rPr>
          <w:rFonts w:cs="Arial"/>
          <w:lang w:val="fr-FR"/>
        </w:rPr>
        <w:t xml:space="preserve"> afin de</w:t>
      </w:r>
      <w:r w:rsidRPr="00A91B2C">
        <w:rPr>
          <w:rFonts w:eastAsia="Calibri" w:cs="Arial"/>
          <w:lang w:val="fr-FR"/>
        </w:rPr>
        <w:t xml:space="preserve"> mettre en œuvre efficacement les engagements en matière de biodiversité. </w:t>
      </w:r>
      <w:r w:rsidRPr="00A91B2C">
        <w:rPr>
          <w:rFonts w:eastAsia="Calibri" w:cs="Arial"/>
          <w:bCs/>
          <w:lang w:val="fr-FR"/>
        </w:rPr>
        <w:t>Vous trouverez de plus amples informations à l</w:t>
      </w:r>
      <w:r w:rsidR="007F23D6" w:rsidRPr="00A91B2C">
        <w:rPr>
          <w:rFonts w:eastAsia="Calibri" w:cs="Arial"/>
          <w:bCs/>
          <w:lang w:val="fr-FR"/>
        </w:rPr>
        <w:t>’</w:t>
      </w:r>
      <w:r w:rsidRPr="00A91B2C">
        <w:rPr>
          <w:rFonts w:eastAsia="Calibri" w:cs="Arial"/>
          <w:bCs/>
          <w:lang w:val="fr-FR"/>
        </w:rPr>
        <w:t xml:space="preserve">adresse suivante : </w:t>
      </w:r>
      <w:hyperlink r:id="rId13" w:history="1">
        <w:r w:rsidRPr="00A91B2C">
          <w:rPr>
            <w:rStyle w:val="Hyperlink"/>
            <w:rFonts w:cs="Arial"/>
            <w:bCs/>
            <w:lang w:val="fr-FR"/>
          </w:rPr>
          <w:t>https://www.cbd.int/blg/</w:t>
        </w:r>
      </w:hyperlink>
      <w:r w:rsidRPr="00A91B2C">
        <w:rPr>
          <w:rFonts w:eastAsia="Calibri" w:cs="Arial"/>
          <w:bCs/>
          <w:lang w:val="fr-FR"/>
        </w:rPr>
        <w:t>.</w:t>
      </w:r>
      <w:r w:rsidRPr="00A91B2C">
        <w:rPr>
          <w:rFonts w:eastAsia="Calibri" w:cs="Arial"/>
          <w:lang w:val="fr-FR"/>
        </w:rPr>
        <w:t xml:space="preserve"> </w:t>
      </w:r>
    </w:p>
    <w:p w14:paraId="66C7AF94" w14:textId="77777777" w:rsidR="005E4539" w:rsidRPr="00A91B2C" w:rsidRDefault="005E4539">
      <w:pPr>
        <w:pStyle w:val="ListParagraph"/>
        <w:spacing w:after="0" w:line="240" w:lineRule="auto"/>
        <w:contextualSpacing w:val="0"/>
        <w:rPr>
          <w:rFonts w:eastAsia="Calibri" w:cs="Arial"/>
          <w:lang w:val="fr-FR"/>
        </w:rPr>
      </w:pPr>
    </w:p>
    <w:p w14:paraId="15A7B129" w14:textId="77777777" w:rsidR="005E4539" w:rsidRPr="00A91B2C" w:rsidRDefault="003C4062">
      <w:pPr>
        <w:autoSpaceDE w:val="0"/>
        <w:autoSpaceDN w:val="0"/>
        <w:adjustRightInd w:val="0"/>
        <w:spacing w:after="0" w:line="240" w:lineRule="auto"/>
        <w:jc w:val="both"/>
        <w:rPr>
          <w:rFonts w:cs="Arial"/>
          <w:i/>
          <w:iCs/>
          <w:lang w:val="fr-FR"/>
        </w:rPr>
      </w:pPr>
      <w:r w:rsidRPr="00A91B2C">
        <w:rPr>
          <w:rFonts w:cs="Arial"/>
          <w:i/>
          <w:iCs/>
          <w:lang w:val="fr-FR"/>
        </w:rPr>
        <w:t>Coopération avec les accords multilatéraux sur l</w:t>
      </w:r>
      <w:r w:rsidR="007F23D6" w:rsidRPr="00A91B2C">
        <w:rPr>
          <w:rFonts w:cs="Arial"/>
          <w:i/>
          <w:iCs/>
          <w:lang w:val="fr-FR"/>
        </w:rPr>
        <w:t>’</w:t>
      </w:r>
      <w:r w:rsidRPr="00A91B2C">
        <w:rPr>
          <w:rFonts w:cs="Arial"/>
          <w:i/>
          <w:iCs/>
          <w:lang w:val="fr-FR"/>
        </w:rPr>
        <w:t>environnement</w:t>
      </w:r>
    </w:p>
    <w:p w14:paraId="5D44370D" w14:textId="77777777" w:rsidR="005E4539" w:rsidRPr="00A91B2C" w:rsidRDefault="005E4539">
      <w:pPr>
        <w:pStyle w:val="ListParagraph"/>
        <w:spacing w:after="0" w:line="240" w:lineRule="auto"/>
        <w:contextualSpacing w:val="0"/>
        <w:rPr>
          <w:rFonts w:eastAsia="Calibri" w:cs="Arial"/>
          <w:highlight w:val="yellow"/>
          <w:lang w:val="fr-FR"/>
        </w:rPr>
      </w:pPr>
    </w:p>
    <w:p w14:paraId="1D00E0AA" w14:textId="77777777" w:rsidR="005E4539" w:rsidRPr="00A91B2C" w:rsidRDefault="003C4062">
      <w:pPr>
        <w:pStyle w:val="ListParagraph"/>
        <w:numPr>
          <w:ilvl w:val="0"/>
          <w:numId w:val="60"/>
        </w:numPr>
        <w:spacing w:after="0" w:line="240" w:lineRule="auto"/>
        <w:ind w:left="567" w:hanging="567"/>
        <w:contextualSpacing w:val="0"/>
        <w:jc w:val="both"/>
        <w:rPr>
          <w:rFonts w:eastAsia="Calibri" w:cs="Arial"/>
          <w:lang w:val="fr-FR"/>
        </w:rPr>
      </w:pPr>
      <w:r w:rsidRPr="00A91B2C">
        <w:rPr>
          <w:rFonts w:cs="Arial"/>
          <w:lang w:val="fr-FR"/>
        </w:rPr>
        <w:t>La coopération bilatérale avec les différents membres du BLG et d</w:t>
      </w:r>
      <w:r w:rsidR="007F23D6" w:rsidRPr="00A91B2C">
        <w:rPr>
          <w:rFonts w:cs="Arial"/>
          <w:lang w:val="fr-FR"/>
        </w:rPr>
        <w:t>’</w:t>
      </w:r>
      <w:r w:rsidRPr="00A91B2C">
        <w:rPr>
          <w:rFonts w:cs="Arial"/>
          <w:lang w:val="fr-FR"/>
        </w:rPr>
        <w:t>autres AME s</w:t>
      </w:r>
      <w:r w:rsidR="007F23D6" w:rsidRPr="00A91B2C">
        <w:rPr>
          <w:rFonts w:cs="Arial"/>
          <w:lang w:val="fr-FR"/>
        </w:rPr>
        <w:t>’</w:t>
      </w:r>
      <w:r w:rsidRPr="00A91B2C">
        <w:rPr>
          <w:rFonts w:cs="Arial"/>
          <w:lang w:val="fr-FR"/>
        </w:rPr>
        <w:t>est poursuivie par la mise en œuvre de plans de travail conjoints et d</w:t>
      </w:r>
      <w:r w:rsidR="007F23D6" w:rsidRPr="00A91B2C">
        <w:rPr>
          <w:rFonts w:cs="Arial"/>
          <w:lang w:val="fr-FR"/>
        </w:rPr>
        <w:t>’</w:t>
      </w:r>
      <w:r w:rsidRPr="00A91B2C">
        <w:rPr>
          <w:rFonts w:cs="Arial"/>
          <w:lang w:val="fr-FR"/>
        </w:rPr>
        <w:t xml:space="preserve">autres domaines de coopération. </w:t>
      </w:r>
    </w:p>
    <w:p w14:paraId="45B7A5A9" w14:textId="77777777" w:rsidR="005E4539" w:rsidRPr="00A91B2C" w:rsidRDefault="005E4539">
      <w:pPr>
        <w:pStyle w:val="ListParagraph"/>
        <w:spacing w:after="0" w:line="240" w:lineRule="auto"/>
        <w:ind w:left="567" w:hanging="567"/>
        <w:contextualSpacing w:val="0"/>
        <w:jc w:val="both"/>
        <w:rPr>
          <w:rFonts w:eastAsia="Calibri" w:cs="Arial"/>
          <w:highlight w:val="yellow"/>
          <w:lang w:val="fr-FR"/>
        </w:rPr>
      </w:pPr>
    </w:p>
    <w:p w14:paraId="315B1E4F" w14:textId="77777777" w:rsidR="005E4539" w:rsidRPr="00A91B2C" w:rsidRDefault="003C4062">
      <w:pPr>
        <w:pStyle w:val="ListParagraph"/>
        <w:numPr>
          <w:ilvl w:val="0"/>
          <w:numId w:val="60"/>
        </w:numPr>
        <w:suppressAutoHyphens/>
        <w:autoSpaceDN w:val="0"/>
        <w:spacing w:after="0" w:line="240" w:lineRule="auto"/>
        <w:ind w:left="567" w:hanging="567"/>
        <w:jc w:val="both"/>
        <w:textAlignment w:val="baseline"/>
        <w:rPr>
          <w:lang w:val="fr-FR"/>
        </w:rPr>
      </w:pPr>
      <w:r w:rsidRPr="00A91B2C">
        <w:rPr>
          <w:rFonts w:cs="Arial"/>
          <w:lang w:val="fr-FR"/>
        </w:rPr>
        <w:t xml:space="preserve">La collaboration avec le Secrétariat de la CDB, notamment dans la mise en œuvre et le suivi du KMGBF, </w:t>
      </w:r>
      <w:r w:rsidRPr="00A91B2C">
        <w:rPr>
          <w:lang w:val="fr-FR"/>
        </w:rPr>
        <w:t xml:space="preserve">est abordée dans le document </w:t>
      </w:r>
      <w:hyperlink r:id="rId14" w:history="1">
        <w:r w:rsidRPr="00A91B2C">
          <w:rPr>
            <w:rStyle w:val="Hyperlink"/>
            <w:lang w:val="fr-FR"/>
          </w:rPr>
          <w:t>UNEP/CMS/COP15/Doc.18.3</w:t>
        </w:r>
      </w:hyperlink>
      <w:r w:rsidRPr="00A91B2C">
        <w:rPr>
          <w:lang w:val="fr-FR"/>
        </w:rPr>
        <w:t xml:space="preserve"> </w:t>
      </w:r>
      <w:r w:rsidRPr="00A91B2C">
        <w:rPr>
          <w:i/>
          <w:iCs/>
          <w:lang w:val="fr-FR"/>
        </w:rPr>
        <w:t>Contribution de la CMS au Cadre mondial de la biodiversité de Kunming-Montréal</w:t>
      </w:r>
      <w:r w:rsidRPr="00A91B2C">
        <w:rPr>
          <w:lang w:val="fr-FR"/>
        </w:rPr>
        <w:t>.</w:t>
      </w:r>
    </w:p>
    <w:p w14:paraId="0FA69558" w14:textId="77777777" w:rsidR="005E4539" w:rsidRPr="00A91B2C" w:rsidRDefault="005E4539">
      <w:pPr>
        <w:pStyle w:val="ListParagraph"/>
        <w:suppressAutoHyphens/>
        <w:autoSpaceDN w:val="0"/>
        <w:spacing w:after="0" w:line="240" w:lineRule="auto"/>
        <w:ind w:left="567" w:hanging="567"/>
        <w:jc w:val="both"/>
        <w:textAlignment w:val="baseline"/>
        <w:rPr>
          <w:lang w:val="fr-FR"/>
        </w:rPr>
      </w:pPr>
    </w:p>
    <w:p w14:paraId="04BBFFE1" w14:textId="7842B25C" w:rsidR="005E4539" w:rsidRPr="00A91B2C" w:rsidRDefault="003C4062">
      <w:pPr>
        <w:pStyle w:val="ListParagraph"/>
        <w:numPr>
          <w:ilvl w:val="0"/>
          <w:numId w:val="60"/>
        </w:numPr>
        <w:spacing w:after="0" w:line="240" w:lineRule="auto"/>
        <w:ind w:left="567" w:hanging="567"/>
        <w:contextualSpacing w:val="0"/>
        <w:jc w:val="both"/>
        <w:rPr>
          <w:rFonts w:eastAsia="Calibri" w:cs="Arial"/>
          <w:lang w:val="fr-FR"/>
        </w:rPr>
      </w:pPr>
      <w:r w:rsidRPr="00A91B2C">
        <w:rPr>
          <w:rFonts w:cs="Arial"/>
          <w:lang w:val="fr-FR"/>
        </w:rPr>
        <w:t xml:space="preserve">Suite à la validation du </w:t>
      </w:r>
      <w:r w:rsidRPr="00A91B2C">
        <w:rPr>
          <w:rFonts w:cs="Arial"/>
          <w:color w:val="000000" w:themeColor="text1"/>
          <w:lang w:val="fr-FR"/>
        </w:rPr>
        <w:t>Programme de travail conjoint 2021-2025</w:t>
      </w:r>
      <w:r w:rsidRPr="00A91B2C">
        <w:rPr>
          <w:rFonts w:cs="Arial"/>
          <w:lang w:val="fr-FR"/>
        </w:rPr>
        <w:t xml:space="preserve">, </w:t>
      </w:r>
      <w:r w:rsidRPr="00A91B2C">
        <w:rPr>
          <w:rFonts w:cs="Arial"/>
          <w:color w:val="000000" w:themeColor="text1"/>
          <w:lang w:val="fr-FR" w:eastAsia="en-GB"/>
        </w:rPr>
        <w:t>les Secrétariats de la CMS et de la Convention sur le commerce international des espèces de faune et de flore sauvages menacées d</w:t>
      </w:r>
      <w:r w:rsidR="007F23D6" w:rsidRPr="00A91B2C">
        <w:rPr>
          <w:rFonts w:cs="Arial"/>
          <w:color w:val="000000" w:themeColor="text1"/>
          <w:lang w:val="fr-FR" w:eastAsia="en-GB"/>
        </w:rPr>
        <w:t>’</w:t>
      </w:r>
      <w:r w:rsidRPr="00A91B2C">
        <w:rPr>
          <w:rFonts w:cs="Arial"/>
          <w:color w:val="000000" w:themeColor="text1"/>
          <w:lang w:val="fr-FR" w:eastAsia="en-GB"/>
        </w:rPr>
        <w:t>extinction (CITES) ont travaillé en étroite collaboration afin de promouvoir la conservation de plusieurs espèces communes, notamment le lycaon, le guépard, le léopard et le lion dans le cadre de l</w:t>
      </w:r>
      <w:r w:rsidR="007F23D6" w:rsidRPr="00A91B2C">
        <w:rPr>
          <w:rFonts w:cs="Arial"/>
          <w:color w:val="000000" w:themeColor="text1"/>
          <w:lang w:val="fr-FR" w:eastAsia="en-GB"/>
        </w:rPr>
        <w:t>’</w:t>
      </w:r>
      <w:r w:rsidRPr="00A91B2C">
        <w:rPr>
          <w:rFonts w:cs="Arial"/>
          <w:color w:val="000000" w:themeColor="text1"/>
          <w:lang w:val="fr-FR" w:eastAsia="en-GB"/>
        </w:rPr>
        <w:t>Initiative sur les carnivores africains, ainsi que le jaguar. D</w:t>
      </w:r>
      <w:r w:rsidR="007F23D6" w:rsidRPr="00A91B2C">
        <w:rPr>
          <w:rFonts w:cs="Arial"/>
          <w:color w:val="000000" w:themeColor="text1"/>
          <w:lang w:val="fr-FR" w:eastAsia="en-GB"/>
        </w:rPr>
        <w:t>’</w:t>
      </w:r>
      <w:r w:rsidRPr="00A91B2C">
        <w:rPr>
          <w:rFonts w:cs="Arial"/>
          <w:color w:val="000000" w:themeColor="text1"/>
          <w:lang w:val="fr-FR" w:eastAsia="en-GB"/>
        </w:rPr>
        <w:t xml:space="preserve">autres détails sont inclus dans le document </w:t>
      </w:r>
      <w:hyperlink r:id="rId15" w:history="1">
        <w:r w:rsidRPr="00A91B2C">
          <w:rPr>
            <w:rStyle w:val="Hyperlink"/>
            <w:rFonts w:cs="Arial"/>
            <w:lang w:val="fr-FR" w:eastAsia="en-GB"/>
          </w:rPr>
          <w:t>UNEP/CMS/COP15/Doc.27.1</w:t>
        </w:r>
      </w:hyperlink>
      <w:r w:rsidRPr="00A91B2C">
        <w:rPr>
          <w:rFonts w:cs="Arial"/>
          <w:lang w:val="fr-FR" w:eastAsia="en-GB"/>
        </w:rPr>
        <w:t xml:space="preserve"> </w:t>
      </w:r>
      <w:r w:rsidRPr="00A91B2C">
        <w:rPr>
          <w:rFonts w:cs="Arial"/>
          <w:i/>
          <w:iCs/>
          <w:lang w:val="fr-FR" w:eastAsia="en-GB"/>
        </w:rPr>
        <w:t>Initiative conjointe CMS-CITES pour les carnivores d</w:t>
      </w:r>
      <w:r w:rsidR="007F23D6" w:rsidRPr="00A91B2C">
        <w:rPr>
          <w:rFonts w:cs="Arial"/>
          <w:i/>
          <w:iCs/>
          <w:lang w:val="fr-FR" w:eastAsia="en-GB"/>
        </w:rPr>
        <w:t>’</w:t>
      </w:r>
      <w:r w:rsidRPr="00A91B2C">
        <w:rPr>
          <w:rFonts w:cs="Arial"/>
          <w:i/>
          <w:iCs/>
          <w:lang w:val="fr-FR" w:eastAsia="en-GB"/>
        </w:rPr>
        <w:t>Afrique</w:t>
      </w:r>
      <w:r w:rsidRPr="00A91B2C">
        <w:rPr>
          <w:rFonts w:cs="Arial"/>
          <w:color w:val="000000" w:themeColor="text1"/>
          <w:lang w:val="fr-FR" w:eastAsia="en-GB"/>
        </w:rPr>
        <w:t xml:space="preserve"> et </w:t>
      </w:r>
      <w:hyperlink r:id="rId16" w:history="1">
        <w:r w:rsidRPr="00A91B2C">
          <w:rPr>
            <w:rStyle w:val="Hyperlink"/>
            <w:rFonts w:eastAsia="Arial" w:cs="Arial"/>
            <w:lang w:val="fr-FR"/>
          </w:rPr>
          <w:t>UNEP/CMS/COP15/Doc.27.4</w:t>
        </w:r>
      </w:hyperlink>
      <w:r w:rsidRPr="00A91B2C">
        <w:rPr>
          <w:rFonts w:eastAsia="Arial" w:cs="Arial"/>
          <w:lang w:val="fr-FR"/>
        </w:rPr>
        <w:t xml:space="preserve"> </w:t>
      </w:r>
      <w:r w:rsidRPr="00A91B2C">
        <w:rPr>
          <w:rFonts w:eastAsia="Arial" w:cs="Arial"/>
          <w:i/>
          <w:iCs/>
          <w:lang w:val="fr-FR"/>
        </w:rPr>
        <w:t>Jaguar</w:t>
      </w:r>
      <w:r w:rsidRPr="00A91B2C">
        <w:rPr>
          <w:rFonts w:eastAsia="Arial" w:cs="Arial"/>
          <w:lang w:val="fr-FR"/>
        </w:rPr>
        <w:t>. Les deux organismes ont également coopéré sur les espèces aquatiques d</w:t>
      </w:r>
      <w:r w:rsidR="007F23D6" w:rsidRPr="00A91B2C">
        <w:rPr>
          <w:rFonts w:eastAsia="Arial" w:cs="Arial"/>
          <w:lang w:val="fr-FR"/>
        </w:rPr>
        <w:t>’</w:t>
      </w:r>
      <w:r w:rsidRPr="00A91B2C">
        <w:rPr>
          <w:rFonts w:eastAsia="Arial" w:cs="Arial"/>
          <w:lang w:val="fr-FR"/>
        </w:rPr>
        <w:t>intérêt commun</w:t>
      </w:r>
      <w:r w:rsidRPr="00A91B2C">
        <w:rPr>
          <w:rFonts w:cs="Arial"/>
          <w:lang w:val="fr-FR"/>
        </w:rPr>
        <w:t xml:space="preserve">. </w:t>
      </w:r>
    </w:p>
    <w:p w14:paraId="3B5402FA" w14:textId="77777777" w:rsidR="005E4539" w:rsidRPr="00A91B2C" w:rsidRDefault="005E4539">
      <w:pPr>
        <w:pStyle w:val="ListParagraph"/>
        <w:spacing w:after="0" w:line="240" w:lineRule="auto"/>
        <w:ind w:left="540"/>
        <w:contextualSpacing w:val="0"/>
        <w:jc w:val="both"/>
        <w:rPr>
          <w:rFonts w:eastAsia="Calibri" w:cs="Arial"/>
          <w:lang w:val="fr-FR"/>
        </w:rPr>
      </w:pPr>
    </w:p>
    <w:p w14:paraId="2102F90E" w14:textId="77777777" w:rsidR="005E4539" w:rsidRPr="00A91B2C" w:rsidRDefault="003C4062">
      <w:pPr>
        <w:pStyle w:val="ListParagraph"/>
        <w:numPr>
          <w:ilvl w:val="0"/>
          <w:numId w:val="60"/>
        </w:numPr>
        <w:spacing w:after="0" w:line="240" w:lineRule="auto"/>
        <w:ind w:left="567" w:hanging="567"/>
        <w:contextualSpacing w:val="0"/>
        <w:jc w:val="both"/>
        <w:rPr>
          <w:rFonts w:eastAsia="Calibri" w:cs="Arial"/>
          <w:lang w:val="fr-FR"/>
        </w:rPr>
      </w:pPr>
      <w:r w:rsidRPr="00A91B2C">
        <w:rPr>
          <w:rFonts w:eastAsia="Arial" w:cs="Arial"/>
          <w:lang w:val="fr-FR"/>
        </w:rPr>
        <w:t>Le Secrétariat</w:t>
      </w:r>
      <w:r w:rsidRPr="00A91B2C">
        <w:rPr>
          <w:rFonts w:cs="Arial"/>
          <w:color w:val="000000"/>
          <w:lang w:val="fr-FR" w:eastAsia="en-GB"/>
        </w:rPr>
        <w:t xml:space="preserve"> et la Commission Baleinière Internationale (CBI) collaborent étroitement dans plusieurs domaines, notamment en ce qui concerne les collisions avec les navires, la pollution plastique, la viande d</w:t>
      </w:r>
      <w:r w:rsidR="007F23D6" w:rsidRPr="00A91B2C">
        <w:rPr>
          <w:rFonts w:cs="Arial"/>
          <w:color w:val="000000"/>
          <w:lang w:val="fr-FR" w:eastAsia="en-GB"/>
        </w:rPr>
        <w:t>’</w:t>
      </w:r>
      <w:r w:rsidRPr="00A91B2C">
        <w:rPr>
          <w:rFonts w:cs="Arial"/>
          <w:color w:val="000000"/>
          <w:lang w:val="fr-FR" w:eastAsia="en-GB"/>
        </w:rPr>
        <w:t>animaux sauvages et le changement climatique.</w:t>
      </w:r>
    </w:p>
    <w:p w14:paraId="0A194576" w14:textId="77777777" w:rsidR="005E4539" w:rsidRPr="00A91B2C" w:rsidRDefault="005E4539">
      <w:pPr>
        <w:pStyle w:val="ListParagraph"/>
        <w:spacing w:line="240" w:lineRule="auto"/>
        <w:ind w:left="567" w:hanging="567"/>
        <w:rPr>
          <w:rFonts w:eastAsia="Arial" w:cs="Arial"/>
          <w:lang w:val="fr-FR"/>
        </w:rPr>
      </w:pPr>
    </w:p>
    <w:p w14:paraId="068A7C43" w14:textId="3102058C" w:rsidR="005E4539" w:rsidRPr="00A91B2C" w:rsidRDefault="003C4062">
      <w:pPr>
        <w:pStyle w:val="ListParagraph"/>
        <w:numPr>
          <w:ilvl w:val="0"/>
          <w:numId w:val="60"/>
        </w:numPr>
        <w:spacing w:after="0" w:line="240" w:lineRule="auto"/>
        <w:ind w:left="567" w:hanging="567"/>
        <w:contextualSpacing w:val="0"/>
        <w:jc w:val="both"/>
        <w:rPr>
          <w:rFonts w:eastAsia="Calibri" w:cs="Arial"/>
          <w:lang w:val="fr-FR"/>
        </w:rPr>
      </w:pPr>
      <w:r w:rsidRPr="00A91B2C">
        <w:rPr>
          <w:rFonts w:eastAsia="Arial" w:cs="Arial"/>
          <w:lang w:val="fr-FR"/>
        </w:rPr>
        <w:t>Le Secrétariat a travaillé en étroite collaboration avec le Secrétariat de la Convention des Nations Unies sur la lutte contre la désertification (CNULD) concernant des questions d</w:t>
      </w:r>
      <w:r w:rsidR="007F23D6" w:rsidRPr="00A91B2C">
        <w:rPr>
          <w:rFonts w:eastAsia="Arial" w:cs="Arial"/>
          <w:lang w:val="fr-FR"/>
        </w:rPr>
        <w:t>’</w:t>
      </w:r>
      <w:r w:rsidRPr="00A91B2C">
        <w:rPr>
          <w:rFonts w:eastAsia="Arial" w:cs="Arial"/>
          <w:lang w:val="fr-FR"/>
        </w:rPr>
        <w:t xml:space="preserve">intérêt commun, en mettant un accent particulier sur la connectivité écologique, et a lancé la publication </w:t>
      </w:r>
      <w:hyperlink r:id="rId17" w:tgtFrame="_blank" w:tooltip="(opens in a new window)" w:history="1">
        <w:r w:rsidRPr="00A91B2C">
          <w:rPr>
            <w:rStyle w:val="Hyperlink"/>
            <w:rFonts w:eastAsia="Arial" w:cs="Arial"/>
            <w:lang w:val="fr-FR"/>
          </w:rPr>
          <w:t xml:space="preserve">Global Land Outlook </w:t>
        </w:r>
        <w:proofErr w:type="spellStart"/>
        <w:r w:rsidRPr="00A91B2C">
          <w:rPr>
            <w:rStyle w:val="Hyperlink"/>
            <w:rFonts w:eastAsia="Arial" w:cs="Arial"/>
            <w:lang w:val="fr-FR"/>
          </w:rPr>
          <w:t>Thematic</w:t>
        </w:r>
        <w:proofErr w:type="spellEnd"/>
        <w:r w:rsidRPr="00A91B2C">
          <w:rPr>
            <w:rStyle w:val="Hyperlink"/>
            <w:rFonts w:eastAsia="Arial" w:cs="Arial"/>
            <w:lang w:val="fr-FR"/>
          </w:rPr>
          <w:t xml:space="preserve"> Report on </w:t>
        </w:r>
        <w:proofErr w:type="spellStart"/>
        <w:r w:rsidRPr="00A91B2C">
          <w:rPr>
            <w:rStyle w:val="Hyperlink"/>
            <w:rFonts w:eastAsia="Arial" w:cs="Arial"/>
            <w:lang w:val="fr-FR"/>
          </w:rPr>
          <w:t>Ecological</w:t>
        </w:r>
        <w:proofErr w:type="spellEnd"/>
        <w:r w:rsidRPr="00A91B2C">
          <w:rPr>
            <w:rStyle w:val="Hyperlink"/>
            <w:rFonts w:eastAsia="Arial" w:cs="Arial"/>
            <w:lang w:val="fr-FR"/>
          </w:rPr>
          <w:t xml:space="preserve"> Connectivity and Land </w:t>
        </w:r>
        <w:proofErr w:type="spellStart"/>
        <w:r w:rsidRPr="00A91B2C">
          <w:rPr>
            <w:rStyle w:val="Hyperlink"/>
            <w:rFonts w:eastAsia="Arial" w:cs="Arial"/>
            <w:lang w:val="fr-FR"/>
          </w:rPr>
          <w:t>Restoration</w:t>
        </w:r>
        <w:proofErr w:type="spellEnd"/>
      </w:hyperlink>
      <w:r w:rsidRPr="00A91B2C">
        <w:rPr>
          <w:rFonts w:eastAsia="Arial" w:cs="Arial"/>
          <w:lang w:val="fr-FR"/>
        </w:rPr>
        <w:t xml:space="preserve"> (Perspectives mondiales pour les terres — Rapport thématique sur la connectivité écologique et la restauration des terres) lors du Congrès mondial de la nature de l</w:t>
      </w:r>
      <w:r w:rsidR="007F23D6" w:rsidRPr="00A91B2C">
        <w:rPr>
          <w:rFonts w:eastAsia="Arial" w:cs="Arial"/>
          <w:lang w:val="fr-FR"/>
        </w:rPr>
        <w:t>’</w:t>
      </w:r>
      <w:r w:rsidRPr="00A91B2C">
        <w:rPr>
          <w:rFonts w:eastAsia="Arial" w:cs="Arial"/>
          <w:lang w:val="fr-FR"/>
        </w:rPr>
        <w:t>Union internationale pour la conservation de la nature (UICN) à Abou Dhabi le 11 octobre 2025.</w:t>
      </w:r>
    </w:p>
    <w:p w14:paraId="09CDD941" w14:textId="77777777" w:rsidR="005E4539" w:rsidRPr="00A91B2C" w:rsidRDefault="005E4539">
      <w:pPr>
        <w:pStyle w:val="ListParagraph"/>
        <w:spacing w:after="0" w:line="240" w:lineRule="auto"/>
        <w:contextualSpacing w:val="0"/>
        <w:rPr>
          <w:rFonts w:eastAsia="Calibri" w:cs="Arial"/>
          <w:highlight w:val="yellow"/>
          <w:lang w:val="fr-FR"/>
        </w:rPr>
      </w:pPr>
    </w:p>
    <w:p w14:paraId="39144DF5" w14:textId="77777777" w:rsidR="005E4539" w:rsidRPr="00A91B2C" w:rsidRDefault="003C4062">
      <w:pPr>
        <w:spacing w:after="0" w:line="240" w:lineRule="auto"/>
        <w:jc w:val="both"/>
        <w:rPr>
          <w:rFonts w:cs="Arial"/>
          <w:b/>
          <w:lang w:val="fr-FR"/>
        </w:rPr>
      </w:pPr>
      <w:r w:rsidRPr="00A91B2C">
        <w:rPr>
          <w:rFonts w:cs="Arial"/>
          <w:b/>
          <w:lang w:val="fr-FR"/>
        </w:rPr>
        <w:t>S</w:t>
      </w:r>
      <w:r w:rsidR="007F23D6" w:rsidRPr="00A91B2C">
        <w:rPr>
          <w:rFonts w:cs="Arial"/>
          <w:b/>
          <w:lang w:val="fr-FR"/>
        </w:rPr>
        <w:t>’</w:t>
      </w:r>
      <w:r w:rsidRPr="00A91B2C">
        <w:rPr>
          <w:rFonts w:cs="Arial"/>
          <w:b/>
          <w:lang w:val="fr-FR"/>
        </w:rPr>
        <w:t>engager dans une coopération stratégique et la poursuivre</w:t>
      </w:r>
    </w:p>
    <w:p w14:paraId="5AFF8472" w14:textId="77777777" w:rsidR="005E4539" w:rsidRPr="00A91B2C" w:rsidRDefault="005E4539">
      <w:pPr>
        <w:pStyle w:val="ListParagraph"/>
        <w:spacing w:line="240" w:lineRule="auto"/>
        <w:rPr>
          <w:rFonts w:eastAsia="Calibri" w:cs="Arial"/>
          <w:lang w:val="fr-FR"/>
        </w:rPr>
      </w:pPr>
    </w:p>
    <w:p w14:paraId="1788FE74" w14:textId="77777777" w:rsidR="005E4539" w:rsidRPr="00A91B2C" w:rsidRDefault="003C4062">
      <w:pPr>
        <w:pStyle w:val="ListParagraph"/>
        <w:numPr>
          <w:ilvl w:val="0"/>
          <w:numId w:val="60"/>
        </w:numPr>
        <w:spacing w:after="0" w:line="240" w:lineRule="auto"/>
        <w:ind w:left="567" w:hanging="567"/>
        <w:contextualSpacing w:val="0"/>
        <w:jc w:val="both"/>
        <w:rPr>
          <w:rFonts w:eastAsia="Calibri" w:cs="Arial"/>
          <w:lang w:val="fr-FR"/>
        </w:rPr>
      </w:pPr>
      <w:r w:rsidRPr="00A91B2C">
        <w:rPr>
          <w:rFonts w:eastAsia="Arial" w:cs="Arial"/>
          <w:lang w:val="fr-FR"/>
        </w:rPr>
        <w:t>Des travaux conjoints sont en cours avec diverses entités sur des questions liées à la mise en œuvre d</w:t>
      </w:r>
      <w:r w:rsidR="007F23D6" w:rsidRPr="00A91B2C">
        <w:rPr>
          <w:rFonts w:eastAsia="Arial" w:cs="Arial"/>
          <w:lang w:val="fr-FR"/>
        </w:rPr>
        <w:t>’</w:t>
      </w:r>
      <w:r w:rsidRPr="00A91B2C">
        <w:rPr>
          <w:rFonts w:eastAsia="Arial" w:cs="Arial"/>
          <w:lang w:val="fr-FR"/>
        </w:rPr>
        <w:t>activités d</w:t>
      </w:r>
      <w:r w:rsidR="007F23D6" w:rsidRPr="00A91B2C">
        <w:rPr>
          <w:rFonts w:eastAsia="Arial" w:cs="Arial"/>
          <w:lang w:val="fr-FR"/>
        </w:rPr>
        <w:t>’</w:t>
      </w:r>
      <w:r w:rsidRPr="00A91B2C">
        <w:rPr>
          <w:rFonts w:eastAsia="Arial" w:cs="Arial"/>
          <w:lang w:val="fr-FR"/>
        </w:rPr>
        <w:t xml:space="preserve">intérêt commun. </w:t>
      </w:r>
    </w:p>
    <w:p w14:paraId="7D967756" w14:textId="77777777" w:rsidR="005E4539" w:rsidRPr="00A91B2C" w:rsidRDefault="005E4539">
      <w:pPr>
        <w:spacing w:after="0" w:line="240" w:lineRule="auto"/>
        <w:jc w:val="both"/>
        <w:rPr>
          <w:rFonts w:eastAsia="Calibri" w:cs="Arial"/>
          <w:lang w:val="fr-FR"/>
        </w:rPr>
      </w:pPr>
    </w:p>
    <w:p w14:paraId="106D1E39" w14:textId="77777777" w:rsidR="005E4539" w:rsidRPr="00A91B2C" w:rsidRDefault="003C4062">
      <w:pPr>
        <w:autoSpaceDE w:val="0"/>
        <w:autoSpaceDN w:val="0"/>
        <w:adjustRightInd w:val="0"/>
        <w:spacing w:after="0" w:line="240" w:lineRule="auto"/>
        <w:jc w:val="both"/>
        <w:rPr>
          <w:rFonts w:cs="Arial"/>
          <w:i/>
          <w:iCs/>
          <w:lang w:val="fr-FR"/>
        </w:rPr>
      </w:pPr>
      <w:r w:rsidRPr="00A91B2C">
        <w:rPr>
          <w:rFonts w:cs="Arial"/>
          <w:i/>
          <w:iCs/>
          <w:lang w:val="fr-FR"/>
        </w:rPr>
        <w:t>Partenariat mondial pour la connectivité écologique (GPEC)</w:t>
      </w:r>
    </w:p>
    <w:p w14:paraId="452D2D79" w14:textId="77777777" w:rsidR="005E4539" w:rsidRPr="00A91B2C" w:rsidRDefault="005E4539">
      <w:pPr>
        <w:autoSpaceDE w:val="0"/>
        <w:autoSpaceDN w:val="0"/>
        <w:adjustRightInd w:val="0"/>
        <w:spacing w:after="0" w:line="240" w:lineRule="auto"/>
        <w:jc w:val="both"/>
        <w:rPr>
          <w:rFonts w:cs="Arial"/>
          <w:i/>
          <w:iCs/>
          <w:lang w:val="fr-FR"/>
        </w:rPr>
      </w:pPr>
    </w:p>
    <w:p w14:paraId="713660B5" w14:textId="01CE2AEE" w:rsidR="005E4539" w:rsidRPr="00A91B2C" w:rsidRDefault="003C4062">
      <w:pPr>
        <w:pStyle w:val="ListParagraph"/>
        <w:numPr>
          <w:ilvl w:val="0"/>
          <w:numId w:val="60"/>
        </w:numPr>
        <w:spacing w:after="0" w:line="240" w:lineRule="auto"/>
        <w:ind w:left="567" w:hanging="567"/>
        <w:contextualSpacing w:val="0"/>
        <w:jc w:val="both"/>
        <w:rPr>
          <w:rFonts w:eastAsia="Arial" w:cs="Arial"/>
          <w:lang w:val="fr-FR"/>
        </w:rPr>
      </w:pPr>
      <w:r w:rsidRPr="00A91B2C">
        <w:rPr>
          <w:rFonts w:eastAsia="Arial" w:cs="Arial"/>
          <w:lang w:val="fr-FR"/>
        </w:rPr>
        <w:t>Reconnaissant que de nombreuses initiatives et efforts liés à la connectivité sont en cours à l</w:t>
      </w:r>
      <w:r w:rsidR="007F23D6" w:rsidRPr="00A91B2C">
        <w:rPr>
          <w:rFonts w:eastAsia="Arial" w:cs="Arial"/>
          <w:lang w:val="fr-FR"/>
        </w:rPr>
        <w:t>’</w:t>
      </w:r>
      <w:r w:rsidRPr="00A91B2C">
        <w:rPr>
          <w:rFonts w:eastAsia="Arial" w:cs="Arial"/>
          <w:lang w:val="fr-FR"/>
        </w:rPr>
        <w:t>échelle mondiale, et que pour les espèces migratrices en particulier, la coopération et la collaboration entre divers acteurs, secteurs et frontières nationales sont primordiales, le Partenariat mondial pour la connectivité écologique (GPEC) a été lancé lors de la COP14 de la CMS. Ce partenariat, dirigé par le Secrétariat de la CMS en tant que Président de son Comité directeur, permet une collaboration par le biais d</w:t>
      </w:r>
      <w:r w:rsidR="007F23D6" w:rsidRPr="00A91B2C">
        <w:rPr>
          <w:rFonts w:eastAsia="Arial" w:cs="Arial"/>
          <w:lang w:val="fr-FR"/>
        </w:rPr>
        <w:t>’</w:t>
      </w:r>
      <w:r w:rsidRPr="00A91B2C">
        <w:rPr>
          <w:rFonts w:eastAsia="Arial" w:cs="Arial"/>
          <w:lang w:val="fr-FR"/>
        </w:rPr>
        <w:t>un réseau de partenaires multilatéraux afin de maintenir, d</w:t>
      </w:r>
      <w:r w:rsidR="007F23D6" w:rsidRPr="00A91B2C">
        <w:rPr>
          <w:rFonts w:eastAsia="Arial" w:cs="Arial"/>
          <w:lang w:val="fr-FR"/>
        </w:rPr>
        <w:t>’</w:t>
      </w:r>
      <w:r w:rsidRPr="00A91B2C">
        <w:rPr>
          <w:rFonts w:eastAsia="Arial" w:cs="Arial"/>
          <w:lang w:val="fr-FR"/>
        </w:rPr>
        <w:t xml:space="preserve">améliorer et de restaurer de manière collective et cohérente la connectivité écologique à travers le monde. Des informations supplémentaires sont disponibles dans le document </w:t>
      </w:r>
      <w:hyperlink r:id="rId18" w:history="1">
        <w:r w:rsidRPr="007320A6">
          <w:rPr>
            <w:rStyle w:val="Hyperlink"/>
            <w:rFonts w:eastAsia="Arial" w:cs="Arial"/>
            <w:lang w:val="fr-FR"/>
          </w:rPr>
          <w:t xml:space="preserve">UNEP/CMS/COP15 Doc. 28.2 </w:t>
        </w:r>
      </w:hyperlink>
      <w:r w:rsidRPr="00A91B2C">
        <w:rPr>
          <w:rFonts w:eastAsia="Arial" w:cs="Arial"/>
          <w:i/>
          <w:iCs/>
          <w:lang w:val="fr-FR"/>
        </w:rPr>
        <w:t>Connectivité écologique</w:t>
      </w:r>
      <w:r w:rsidRPr="00A91B2C">
        <w:rPr>
          <w:rFonts w:eastAsia="Arial" w:cs="Arial"/>
          <w:lang w:val="fr-FR"/>
        </w:rPr>
        <w:t xml:space="preserve">. </w:t>
      </w:r>
    </w:p>
    <w:p w14:paraId="140781BD" w14:textId="77777777" w:rsidR="005E4539" w:rsidRPr="00A91B2C" w:rsidRDefault="003C4062">
      <w:pPr>
        <w:autoSpaceDE w:val="0"/>
        <w:autoSpaceDN w:val="0"/>
        <w:adjustRightInd w:val="0"/>
        <w:spacing w:after="0" w:line="240" w:lineRule="auto"/>
        <w:jc w:val="both"/>
        <w:rPr>
          <w:rFonts w:cs="Arial"/>
          <w:i/>
          <w:iCs/>
          <w:lang w:val="fr-FR"/>
        </w:rPr>
      </w:pPr>
      <w:r w:rsidRPr="00A91B2C">
        <w:rPr>
          <w:rFonts w:cs="Arial"/>
          <w:i/>
          <w:iCs/>
          <w:lang w:val="fr-FR"/>
        </w:rPr>
        <w:lastRenderedPageBreak/>
        <w:t>Initiative mondiale sur le prélèvement d</w:t>
      </w:r>
      <w:r w:rsidR="007F23D6" w:rsidRPr="00A91B2C">
        <w:rPr>
          <w:rFonts w:cs="Arial"/>
          <w:i/>
          <w:iCs/>
          <w:lang w:val="fr-FR"/>
        </w:rPr>
        <w:t>’</w:t>
      </w:r>
      <w:r w:rsidRPr="00A91B2C">
        <w:rPr>
          <w:rFonts w:cs="Arial"/>
          <w:i/>
          <w:iCs/>
          <w:lang w:val="fr-FR"/>
        </w:rPr>
        <w:t>espèces migratrices (GTI)</w:t>
      </w:r>
    </w:p>
    <w:p w14:paraId="7F08F3B1" w14:textId="77777777" w:rsidR="005E4539" w:rsidRPr="00A91B2C" w:rsidRDefault="005E4539">
      <w:pPr>
        <w:pStyle w:val="ListParagraph"/>
        <w:rPr>
          <w:rFonts w:eastAsia="Arial" w:cs="Arial"/>
          <w:lang w:val="fr-FR"/>
        </w:rPr>
      </w:pPr>
    </w:p>
    <w:p w14:paraId="1579CACF" w14:textId="610718CF" w:rsidR="005E4539" w:rsidRPr="00A91B2C" w:rsidRDefault="003C4062">
      <w:pPr>
        <w:pStyle w:val="ListParagraph"/>
        <w:numPr>
          <w:ilvl w:val="0"/>
          <w:numId w:val="60"/>
        </w:numPr>
        <w:spacing w:after="0" w:line="240" w:lineRule="auto"/>
        <w:ind w:left="567" w:hanging="567"/>
        <w:contextualSpacing w:val="0"/>
        <w:jc w:val="both"/>
        <w:rPr>
          <w:rFonts w:eastAsia="Arial" w:cs="Arial"/>
          <w:lang w:val="fr-FR"/>
        </w:rPr>
      </w:pPr>
      <w:r w:rsidRPr="00A91B2C">
        <w:rPr>
          <w:rFonts w:eastAsia="Arial" w:cs="Arial"/>
          <w:lang w:val="fr-FR"/>
        </w:rPr>
        <w:t>Face aux impacts croissants des prélèvements illégaux et non durables d</w:t>
      </w:r>
      <w:r w:rsidR="007F23D6" w:rsidRPr="00A91B2C">
        <w:rPr>
          <w:rFonts w:eastAsia="Arial" w:cs="Arial"/>
          <w:lang w:val="fr-FR"/>
        </w:rPr>
        <w:t>’</w:t>
      </w:r>
      <w:r w:rsidRPr="00A91B2C">
        <w:rPr>
          <w:rFonts w:eastAsia="Arial" w:cs="Arial"/>
          <w:lang w:val="fr-FR"/>
        </w:rPr>
        <w:t>espèces migratrices, le Secrétariat a progressé dans le développement d</w:t>
      </w:r>
      <w:r w:rsidR="007F23D6" w:rsidRPr="00A91B2C">
        <w:rPr>
          <w:rFonts w:eastAsia="Arial" w:cs="Arial"/>
          <w:lang w:val="fr-FR"/>
        </w:rPr>
        <w:t>’</w:t>
      </w:r>
      <w:r w:rsidRPr="00A91B2C">
        <w:rPr>
          <w:rFonts w:eastAsia="Arial" w:cs="Arial"/>
          <w:lang w:val="fr-FR"/>
        </w:rPr>
        <w:t>une initiative mondiale sur les prélèvements d</w:t>
      </w:r>
      <w:r w:rsidR="007F23D6" w:rsidRPr="00A91B2C">
        <w:rPr>
          <w:rFonts w:eastAsia="Arial" w:cs="Arial"/>
          <w:lang w:val="fr-FR"/>
        </w:rPr>
        <w:t>’</w:t>
      </w:r>
      <w:r w:rsidRPr="00A91B2C">
        <w:rPr>
          <w:rFonts w:eastAsia="Arial" w:cs="Arial"/>
          <w:lang w:val="fr-FR"/>
        </w:rPr>
        <w:t>espèces migratrices visant à renforcer une action coordonnée et transversale entre les régions et les taxons. L</w:t>
      </w:r>
      <w:r w:rsidR="007F23D6" w:rsidRPr="00A91B2C">
        <w:rPr>
          <w:rFonts w:eastAsia="Arial" w:cs="Arial"/>
          <w:lang w:val="fr-FR"/>
        </w:rPr>
        <w:t>’</w:t>
      </w:r>
      <w:r w:rsidRPr="00A91B2C">
        <w:rPr>
          <w:rFonts w:eastAsia="Arial" w:cs="Arial"/>
          <w:lang w:val="fr-FR"/>
        </w:rPr>
        <w:t>initiative est pensée pour exploiter et établir des liens entre les instruments existants de la CMS et les initiatives et accords relatifs aux espèces, tout en renforçant la collaboration avec des partenaires clés, notamment la CITES, la FAO, et les membres du Partenariat de collaboration sur la gestion durable de la vie sauvage (PCF). Elle se concentre sur le comblement des lacunes en matière de politique, de législation et d</w:t>
      </w:r>
      <w:r w:rsidR="007F23D6" w:rsidRPr="00A91B2C">
        <w:rPr>
          <w:rFonts w:eastAsia="Arial" w:cs="Arial"/>
          <w:lang w:val="fr-FR"/>
        </w:rPr>
        <w:t>’</w:t>
      </w:r>
      <w:r w:rsidRPr="00A91B2C">
        <w:rPr>
          <w:rFonts w:eastAsia="Arial" w:cs="Arial"/>
          <w:lang w:val="fr-FR"/>
        </w:rPr>
        <w:t>application de la loi concernant les prélèvements nationaux, l</w:t>
      </w:r>
      <w:r w:rsidR="007F23D6" w:rsidRPr="00A91B2C">
        <w:rPr>
          <w:rFonts w:eastAsia="Arial" w:cs="Arial"/>
          <w:lang w:val="fr-FR"/>
        </w:rPr>
        <w:t>’</w:t>
      </w:r>
      <w:r w:rsidRPr="00A91B2C">
        <w:rPr>
          <w:rFonts w:eastAsia="Arial" w:cs="Arial"/>
          <w:lang w:val="fr-FR"/>
        </w:rPr>
        <w:t>amélioration des systèmes de données et de connaissances, le soutien à l</w:t>
      </w:r>
      <w:r w:rsidR="007F23D6" w:rsidRPr="00A91B2C">
        <w:rPr>
          <w:rFonts w:eastAsia="Arial" w:cs="Arial"/>
          <w:lang w:val="fr-FR"/>
        </w:rPr>
        <w:t>’</w:t>
      </w:r>
      <w:r w:rsidRPr="00A91B2C">
        <w:rPr>
          <w:rFonts w:eastAsia="Arial" w:cs="Arial"/>
          <w:lang w:val="fr-FR"/>
        </w:rPr>
        <w:t>engagement des communautés et des parties prenantes, l</w:t>
      </w:r>
      <w:r w:rsidR="007F23D6" w:rsidRPr="00A91B2C">
        <w:rPr>
          <w:rFonts w:eastAsia="Arial" w:cs="Arial"/>
          <w:lang w:val="fr-FR"/>
        </w:rPr>
        <w:t>’</w:t>
      </w:r>
      <w:r w:rsidRPr="00A91B2C">
        <w:rPr>
          <w:rFonts w:eastAsia="Arial" w:cs="Arial"/>
          <w:lang w:val="fr-FR"/>
        </w:rPr>
        <w:t>amélioration de la sensibilisation et de l</w:t>
      </w:r>
      <w:r w:rsidR="007F23D6" w:rsidRPr="00A91B2C">
        <w:rPr>
          <w:rFonts w:eastAsia="Arial" w:cs="Arial"/>
          <w:lang w:val="fr-FR"/>
        </w:rPr>
        <w:t>’</w:t>
      </w:r>
      <w:r w:rsidRPr="00A91B2C">
        <w:rPr>
          <w:rFonts w:eastAsia="Arial" w:cs="Arial"/>
          <w:lang w:val="fr-FR"/>
        </w:rPr>
        <w:t>éducation, ainsi que le renforcement des capacités institutionnelles. L</w:t>
      </w:r>
      <w:r w:rsidR="007F23D6" w:rsidRPr="00A91B2C">
        <w:rPr>
          <w:rFonts w:eastAsia="Arial" w:cs="Arial"/>
          <w:lang w:val="fr-FR"/>
        </w:rPr>
        <w:t>’</w:t>
      </w:r>
      <w:r w:rsidRPr="00A91B2C">
        <w:rPr>
          <w:rFonts w:eastAsia="Arial" w:cs="Arial"/>
          <w:lang w:val="fr-FR"/>
        </w:rPr>
        <w:t>initiative a été présentée et examinée dans les enceintes intergouvernementales et partenariales concernées, notamment le PCF, afin d</w:t>
      </w:r>
      <w:r w:rsidR="007F23D6" w:rsidRPr="00A91B2C">
        <w:rPr>
          <w:rFonts w:eastAsia="Arial" w:cs="Arial"/>
          <w:lang w:val="fr-FR"/>
        </w:rPr>
        <w:t>’</w:t>
      </w:r>
      <w:r w:rsidRPr="00A91B2C">
        <w:rPr>
          <w:rFonts w:eastAsia="Arial" w:cs="Arial"/>
          <w:lang w:val="fr-FR"/>
        </w:rPr>
        <w:t>explorer les synergies et la mise en œuvre collaborative. Une description complète de l</w:t>
      </w:r>
      <w:r w:rsidR="007F23D6" w:rsidRPr="00A91B2C">
        <w:rPr>
          <w:rFonts w:eastAsia="Arial" w:cs="Arial"/>
          <w:lang w:val="fr-FR"/>
        </w:rPr>
        <w:t>’</w:t>
      </w:r>
      <w:r w:rsidRPr="00A91B2C">
        <w:rPr>
          <w:rFonts w:eastAsia="Arial" w:cs="Arial"/>
          <w:lang w:val="fr-FR"/>
        </w:rPr>
        <w:t>Initiative, de son champ d</w:t>
      </w:r>
      <w:r w:rsidR="007F23D6" w:rsidRPr="00A91B2C">
        <w:rPr>
          <w:rFonts w:eastAsia="Arial" w:cs="Arial"/>
          <w:lang w:val="fr-FR"/>
        </w:rPr>
        <w:t>’</w:t>
      </w:r>
      <w:r w:rsidRPr="00A91B2C">
        <w:rPr>
          <w:rFonts w:eastAsia="Arial" w:cs="Arial"/>
          <w:lang w:val="fr-FR"/>
        </w:rPr>
        <w:t xml:space="preserve">application et des domaines de travail proposés est fournie dans le document </w:t>
      </w:r>
      <w:hyperlink r:id="rId19" w:history="1">
        <w:r w:rsidRPr="00A91B2C">
          <w:rPr>
            <w:rStyle w:val="Hyperlink"/>
            <w:rFonts w:eastAsia="Arial" w:cs="Arial"/>
            <w:lang w:val="fr-FR"/>
          </w:rPr>
          <w:t>UNEP/CMS/COP15 Doc.28.1</w:t>
        </w:r>
      </w:hyperlink>
      <w:r w:rsidRPr="00A91B2C">
        <w:rPr>
          <w:rFonts w:eastAsia="Arial" w:cs="Arial"/>
          <w:lang w:val="fr-FR"/>
        </w:rPr>
        <w:t xml:space="preserve"> </w:t>
      </w:r>
      <w:r w:rsidRPr="00A91B2C">
        <w:rPr>
          <w:rFonts w:eastAsia="Arial" w:cs="Arial"/>
          <w:i/>
          <w:iCs/>
          <w:lang w:val="fr-FR"/>
        </w:rPr>
        <w:t>Prélèvement illégal et non durable d’espèces migratrices</w:t>
      </w:r>
      <w:r w:rsidRPr="00A91B2C">
        <w:rPr>
          <w:rFonts w:eastAsia="Arial" w:cs="Arial"/>
          <w:lang w:val="fr-FR"/>
        </w:rPr>
        <w:t>.</w:t>
      </w:r>
    </w:p>
    <w:p w14:paraId="6CA87BBF" w14:textId="77777777" w:rsidR="0043072C" w:rsidRDefault="0043072C">
      <w:pPr>
        <w:spacing w:after="0" w:line="240" w:lineRule="auto"/>
        <w:jc w:val="both"/>
        <w:rPr>
          <w:rFonts w:cs="Arial"/>
          <w:i/>
          <w:lang w:val="fr-FR"/>
        </w:rPr>
      </w:pPr>
    </w:p>
    <w:p w14:paraId="758A1FF6" w14:textId="36E790BD" w:rsidR="005E4539" w:rsidRPr="00A91B2C" w:rsidRDefault="003C4062">
      <w:pPr>
        <w:spacing w:after="0" w:line="240" w:lineRule="auto"/>
        <w:jc w:val="both"/>
        <w:rPr>
          <w:rFonts w:cs="Arial"/>
          <w:i/>
          <w:lang w:val="fr-FR"/>
        </w:rPr>
      </w:pPr>
      <w:r w:rsidRPr="00A91B2C">
        <w:rPr>
          <w:rFonts w:cs="Arial"/>
          <w:i/>
          <w:lang w:val="fr-FR"/>
        </w:rPr>
        <w:t>Partenariat de collaboration sur la gestion durable de la vie sauvage (CPF)</w:t>
      </w:r>
    </w:p>
    <w:p w14:paraId="4EF929DC" w14:textId="77777777" w:rsidR="005E4539" w:rsidRPr="00A91B2C" w:rsidRDefault="005E4539">
      <w:pPr>
        <w:spacing w:after="0" w:line="240" w:lineRule="auto"/>
        <w:jc w:val="both"/>
        <w:rPr>
          <w:rFonts w:cs="Arial"/>
          <w:i/>
          <w:lang w:val="fr-FR"/>
        </w:rPr>
      </w:pPr>
    </w:p>
    <w:p w14:paraId="47C7C2C0" w14:textId="77777777" w:rsidR="005E4539" w:rsidRPr="00A91B2C" w:rsidRDefault="003C4062">
      <w:pPr>
        <w:pStyle w:val="ListParagraph"/>
        <w:numPr>
          <w:ilvl w:val="0"/>
          <w:numId w:val="60"/>
        </w:numPr>
        <w:spacing w:after="0" w:line="240" w:lineRule="auto"/>
        <w:ind w:left="567" w:hanging="567"/>
        <w:contextualSpacing w:val="0"/>
        <w:jc w:val="both"/>
        <w:rPr>
          <w:rFonts w:cs="Arial"/>
          <w:lang w:val="fr-FR"/>
        </w:rPr>
      </w:pPr>
      <w:r w:rsidRPr="00A91B2C">
        <w:rPr>
          <w:rFonts w:cs="Arial"/>
          <w:lang w:val="fr-FR"/>
        </w:rPr>
        <w:t>Le Secrétariat est resté activement engagé dans le CPF en tant que plateforme clé pour faire progresser la cohérence et les synergies concernant l</w:t>
      </w:r>
      <w:r w:rsidR="007F23D6" w:rsidRPr="00A91B2C">
        <w:rPr>
          <w:rFonts w:cs="Arial"/>
          <w:lang w:val="fr-FR"/>
        </w:rPr>
        <w:t>’</w:t>
      </w:r>
      <w:r w:rsidRPr="00A91B2C">
        <w:rPr>
          <w:rFonts w:cs="Arial"/>
          <w:lang w:val="fr-FR"/>
        </w:rPr>
        <w:t>utilisation durable et la conservation des espèces sauvages. Grâce à sa participation, le Secrétariat a apporté des perspectives de conservation des espèces migratrices lors de discussions conjointes sur la politique, les cadres juridiques, le renforcement des capacités et l</w:t>
      </w:r>
      <w:r w:rsidR="007F23D6" w:rsidRPr="00A91B2C">
        <w:rPr>
          <w:rFonts w:cs="Arial"/>
          <w:lang w:val="fr-FR"/>
        </w:rPr>
        <w:t>’</w:t>
      </w:r>
      <w:r w:rsidRPr="00A91B2C">
        <w:rPr>
          <w:rFonts w:cs="Arial"/>
          <w:lang w:val="fr-FR"/>
        </w:rPr>
        <w:t>élaboration d’orientations, y compris en collaboration avec les Secrétariats de la CDB et de la CITES pour la préparation d’orientations mondiales relatives à la gestion durable de la faune sauvage. Le Secrétariat a également utilisé le CPF pour présenter et examiner des partenariats autour de la proposition de GTI. Cet engagement a permis de garantir que les priorités de la CMS se reflètent dans l</w:t>
      </w:r>
      <w:r w:rsidR="007F23D6" w:rsidRPr="00A91B2C">
        <w:rPr>
          <w:rFonts w:cs="Arial"/>
          <w:lang w:val="fr-FR"/>
        </w:rPr>
        <w:t>’</w:t>
      </w:r>
      <w:r w:rsidRPr="00A91B2C">
        <w:rPr>
          <w:rFonts w:cs="Arial"/>
          <w:lang w:val="fr-FR"/>
        </w:rPr>
        <w:t>ensemble des conventions relatives à la biodiversité, tout en évitant les doublons et en renforçant les mandats complémentaires. En outre,</w:t>
      </w:r>
      <w:r w:rsidRPr="00A91B2C">
        <w:rPr>
          <w:rFonts w:eastAsia="Calibri" w:cs="Arial"/>
          <w:lang w:val="fr-FR"/>
        </w:rPr>
        <w:t xml:space="preserve"> le Secrétariat a élaboré, en collaboration avec le Secrétariat CITES, un document d</w:t>
      </w:r>
      <w:r w:rsidR="007F23D6" w:rsidRPr="00A91B2C">
        <w:rPr>
          <w:rFonts w:eastAsia="Calibri" w:cs="Arial"/>
          <w:lang w:val="fr-FR"/>
        </w:rPr>
        <w:t>’</w:t>
      </w:r>
      <w:r w:rsidRPr="00A91B2C">
        <w:rPr>
          <w:rFonts w:eastAsia="Calibri" w:cs="Arial"/>
          <w:lang w:val="fr-FR"/>
        </w:rPr>
        <w:t>orientation visant à soutenir l</w:t>
      </w:r>
      <w:r w:rsidR="007F23D6" w:rsidRPr="00A91B2C">
        <w:rPr>
          <w:rFonts w:eastAsia="Calibri" w:cs="Arial"/>
          <w:lang w:val="fr-FR"/>
        </w:rPr>
        <w:t>’</w:t>
      </w:r>
      <w:r w:rsidRPr="00A91B2C">
        <w:rPr>
          <w:rFonts w:eastAsia="Calibri" w:cs="Arial"/>
          <w:lang w:val="fr-FR"/>
        </w:rPr>
        <w:t>intégration des obligations de la CMS et de la CITES lors de l</w:t>
      </w:r>
      <w:r w:rsidR="007F23D6" w:rsidRPr="00A91B2C">
        <w:rPr>
          <w:rFonts w:eastAsia="Calibri" w:cs="Arial"/>
          <w:lang w:val="fr-FR"/>
        </w:rPr>
        <w:t>’</w:t>
      </w:r>
      <w:r w:rsidRPr="00A91B2C">
        <w:rPr>
          <w:rFonts w:eastAsia="Calibri" w:cs="Arial"/>
          <w:lang w:val="fr-FR"/>
        </w:rPr>
        <w:t>élaboration d</w:t>
      </w:r>
      <w:r w:rsidR="007F23D6" w:rsidRPr="00A91B2C">
        <w:rPr>
          <w:rFonts w:eastAsia="Calibri" w:cs="Arial"/>
          <w:lang w:val="fr-FR"/>
        </w:rPr>
        <w:t>’</w:t>
      </w:r>
      <w:r w:rsidRPr="00A91B2C">
        <w:rPr>
          <w:rFonts w:eastAsia="Calibri" w:cs="Arial"/>
          <w:lang w:val="fr-FR"/>
        </w:rPr>
        <w:t>actions pour les SPANB liées aux trois objectifs relatifs aux espèces du KMGBF, en tant que contribution au Plan de travail du CPF 2023-2025.</w:t>
      </w:r>
    </w:p>
    <w:p w14:paraId="558713D2" w14:textId="77777777" w:rsidR="005E4539" w:rsidRPr="00A91B2C" w:rsidRDefault="005E4539">
      <w:pPr>
        <w:spacing w:after="120" w:line="240" w:lineRule="auto"/>
        <w:contextualSpacing/>
        <w:jc w:val="both"/>
        <w:rPr>
          <w:rFonts w:cs="Arial"/>
          <w:i/>
          <w:lang w:val="fr-FR"/>
        </w:rPr>
      </w:pPr>
    </w:p>
    <w:p w14:paraId="3A10317C" w14:textId="77777777" w:rsidR="005E4539" w:rsidRPr="00A91B2C" w:rsidRDefault="003C4062">
      <w:pPr>
        <w:spacing w:after="120" w:line="240" w:lineRule="auto"/>
        <w:contextualSpacing/>
        <w:jc w:val="both"/>
        <w:rPr>
          <w:rFonts w:cs="Arial"/>
          <w:i/>
          <w:lang w:val="fr-FR"/>
        </w:rPr>
      </w:pPr>
      <w:r w:rsidRPr="00A91B2C">
        <w:rPr>
          <w:rFonts w:cs="Arial"/>
          <w:i/>
          <w:lang w:val="fr-FR"/>
        </w:rPr>
        <w:t>Prises accessoires</w:t>
      </w:r>
    </w:p>
    <w:p w14:paraId="1A4745DB" w14:textId="3FC5CE98" w:rsidR="005E4539" w:rsidRPr="00A91B2C" w:rsidRDefault="003C4062">
      <w:pPr>
        <w:pStyle w:val="ListParagraph"/>
        <w:numPr>
          <w:ilvl w:val="0"/>
          <w:numId w:val="60"/>
        </w:numPr>
        <w:spacing w:after="0" w:line="240" w:lineRule="auto"/>
        <w:ind w:left="567" w:hanging="567"/>
        <w:contextualSpacing w:val="0"/>
        <w:jc w:val="both"/>
        <w:rPr>
          <w:rFonts w:cs="Arial"/>
          <w:lang w:val="fr-FR"/>
        </w:rPr>
      </w:pPr>
      <w:r w:rsidRPr="00A91B2C">
        <w:rPr>
          <w:rFonts w:cs="Arial"/>
          <w:lang w:val="fr-FR"/>
        </w:rPr>
        <w:t>Le Secrétariat poursuit son engagement actif avec la CBI, la FAO, les organismes régionaux de pêche ainsi que les conventions et plans d</w:t>
      </w:r>
      <w:r w:rsidR="007F23D6" w:rsidRPr="00A91B2C">
        <w:rPr>
          <w:rFonts w:cs="Arial"/>
          <w:lang w:val="fr-FR"/>
        </w:rPr>
        <w:t>’</w:t>
      </w:r>
      <w:r w:rsidRPr="00A91B2C">
        <w:rPr>
          <w:rFonts w:cs="Arial"/>
          <w:lang w:val="fr-FR"/>
        </w:rPr>
        <w:t xml:space="preserve">action relatifs aux mers régionales concernant les prises accessoires des espèces aquatiques inscrites aux Annexes de la CMS. </w:t>
      </w:r>
      <w:r w:rsidRPr="00A91B2C">
        <w:rPr>
          <w:rFonts w:eastAsia="Arial" w:cs="Arial"/>
          <w:lang w:val="fr-FR"/>
        </w:rPr>
        <w:t xml:space="preserve">Des informations supplémentaires sont disponibles dans le document </w:t>
      </w:r>
      <w:hyperlink r:id="rId20" w:history="1">
        <w:r w:rsidRPr="00A91B2C">
          <w:rPr>
            <w:rStyle w:val="Hyperlink"/>
            <w:rFonts w:eastAsia="Arial" w:cs="Arial"/>
            <w:lang w:val="fr-FR"/>
          </w:rPr>
          <w:t>UNEP/CMS/COP15/Doc.25.1.1</w:t>
        </w:r>
      </w:hyperlink>
      <w:r w:rsidRPr="00A91B2C">
        <w:rPr>
          <w:rFonts w:eastAsia="Arial" w:cs="Arial"/>
          <w:lang w:val="fr-FR"/>
        </w:rPr>
        <w:t xml:space="preserve"> </w:t>
      </w:r>
      <w:r w:rsidRPr="00A91B2C">
        <w:rPr>
          <w:rFonts w:eastAsia="Arial" w:cs="Arial"/>
          <w:i/>
          <w:iCs/>
          <w:lang w:val="fr-FR"/>
        </w:rPr>
        <w:t>Prises accessoires et autres formes de mortalité dues à la pêche</w:t>
      </w:r>
      <w:r w:rsidRPr="00A91B2C">
        <w:rPr>
          <w:rFonts w:cs="Arial"/>
          <w:lang w:val="fr-FR"/>
        </w:rPr>
        <w:t>.</w:t>
      </w:r>
    </w:p>
    <w:p w14:paraId="3B4F93F0" w14:textId="77777777" w:rsidR="005E4539" w:rsidRPr="00A91B2C" w:rsidRDefault="005E4539">
      <w:pPr>
        <w:spacing w:after="0" w:line="240" w:lineRule="auto"/>
        <w:jc w:val="both"/>
        <w:rPr>
          <w:rFonts w:eastAsia="Calibri" w:cs="Arial"/>
          <w:lang w:val="fr-FR"/>
        </w:rPr>
      </w:pPr>
    </w:p>
    <w:p w14:paraId="76EB2C8F" w14:textId="77777777" w:rsidR="005E4539" w:rsidRPr="00A91B2C" w:rsidRDefault="003C4062">
      <w:pPr>
        <w:pStyle w:val="ListParagraph"/>
        <w:shd w:val="clear" w:color="auto" w:fill="FFFFFF" w:themeFill="background1"/>
        <w:spacing w:after="0" w:line="240" w:lineRule="auto"/>
        <w:ind w:left="0" w:right="11"/>
        <w:contextualSpacing w:val="0"/>
        <w:jc w:val="both"/>
        <w:rPr>
          <w:rFonts w:eastAsia="Arial" w:cs="Arial"/>
          <w:i/>
          <w:iCs/>
          <w:lang w:val="fr-FR"/>
        </w:rPr>
      </w:pPr>
      <w:r w:rsidRPr="00A91B2C">
        <w:rPr>
          <w:rFonts w:eastAsia="Arial" w:cs="Arial"/>
          <w:i/>
          <w:iCs/>
          <w:lang w:val="fr-FR"/>
        </w:rPr>
        <w:t>Programme des Nations Unies pour le Développement (PNUD)</w:t>
      </w:r>
    </w:p>
    <w:p w14:paraId="37196A01" w14:textId="77777777" w:rsidR="005E4539" w:rsidRPr="00A91B2C" w:rsidRDefault="005E4539">
      <w:pPr>
        <w:spacing w:after="0" w:line="240" w:lineRule="auto"/>
        <w:jc w:val="both"/>
        <w:rPr>
          <w:rFonts w:eastAsia="Calibri" w:cs="Arial"/>
          <w:lang w:val="fr-FR"/>
        </w:rPr>
      </w:pPr>
    </w:p>
    <w:p w14:paraId="65046C2C" w14:textId="5DD87F26" w:rsidR="005E4539" w:rsidRPr="00A91B2C" w:rsidRDefault="003C4062">
      <w:pPr>
        <w:pStyle w:val="ListParagraph"/>
        <w:numPr>
          <w:ilvl w:val="0"/>
          <w:numId w:val="60"/>
        </w:numPr>
        <w:spacing w:after="0" w:line="240" w:lineRule="auto"/>
        <w:ind w:left="567" w:hanging="567"/>
        <w:contextualSpacing w:val="0"/>
        <w:jc w:val="both"/>
        <w:rPr>
          <w:rFonts w:eastAsia="Calibri" w:cs="Arial"/>
          <w:lang w:val="fr-FR"/>
        </w:rPr>
      </w:pPr>
      <w:r w:rsidRPr="00A91B2C">
        <w:rPr>
          <w:rFonts w:eastAsia="Arial" w:cs="Arial"/>
          <w:lang w:val="fr-FR"/>
        </w:rPr>
        <w:t>Le Secrétariat a travaillé en étroite collaboration avec le PNUD</w:t>
      </w:r>
      <w:r w:rsidRPr="00A91B2C">
        <w:rPr>
          <w:rFonts w:eastAsia="Arial" w:cs="Arial"/>
          <w:color w:val="FF0000"/>
          <w:lang w:val="fr-FR"/>
        </w:rPr>
        <w:t xml:space="preserve"> </w:t>
      </w:r>
      <w:r w:rsidRPr="00A91B2C">
        <w:rPr>
          <w:rFonts w:eastAsia="Arial" w:cs="Arial"/>
          <w:lang w:val="fr-FR"/>
        </w:rPr>
        <w:t xml:space="preserve">en faveur de la conservation du jaguar. De plus amples informations sont disponibles dans le document </w:t>
      </w:r>
      <w:hyperlink r:id="rId21" w:history="1">
        <w:r w:rsidRPr="00A91B2C">
          <w:rPr>
            <w:rStyle w:val="Hyperlink"/>
            <w:rFonts w:eastAsia="Arial" w:cs="Arial"/>
            <w:lang w:val="fr-FR"/>
          </w:rPr>
          <w:t>UNEP/CMS/COP15/Doc.27.4</w:t>
        </w:r>
      </w:hyperlink>
      <w:r w:rsidRPr="00A91B2C">
        <w:rPr>
          <w:rFonts w:eastAsia="Arial" w:cs="Arial"/>
          <w:lang w:val="fr-FR"/>
        </w:rPr>
        <w:t xml:space="preserve"> </w:t>
      </w:r>
      <w:r w:rsidRPr="00A91B2C">
        <w:rPr>
          <w:rFonts w:eastAsia="Arial" w:cs="Arial"/>
          <w:i/>
          <w:iCs/>
          <w:lang w:val="fr-FR"/>
        </w:rPr>
        <w:t>Jaguar</w:t>
      </w:r>
      <w:r w:rsidRPr="00A91B2C">
        <w:rPr>
          <w:rFonts w:eastAsia="Arial" w:cs="Arial"/>
          <w:lang w:val="fr-FR"/>
        </w:rPr>
        <w:t>. Il a également bénéficié du soutien logistique des bureaux nationaux du PNUD dans l</w:t>
      </w:r>
      <w:r w:rsidR="007F23D6" w:rsidRPr="00A91B2C">
        <w:rPr>
          <w:rFonts w:eastAsia="Arial" w:cs="Arial"/>
          <w:lang w:val="fr-FR"/>
        </w:rPr>
        <w:t>’</w:t>
      </w:r>
      <w:r w:rsidRPr="00A91B2C">
        <w:rPr>
          <w:rFonts w:eastAsia="Arial" w:cs="Arial"/>
          <w:lang w:val="fr-FR"/>
        </w:rPr>
        <w:t xml:space="preserve">organisation de nombreuses réunions. </w:t>
      </w:r>
    </w:p>
    <w:p w14:paraId="7E6D8FD8" w14:textId="77777777" w:rsidR="005E4539" w:rsidRPr="00A91B2C" w:rsidRDefault="003C4062">
      <w:pPr>
        <w:shd w:val="clear" w:color="auto" w:fill="FFFFFF" w:themeFill="background1"/>
        <w:spacing w:after="0" w:line="240" w:lineRule="auto"/>
        <w:ind w:right="11"/>
        <w:jc w:val="both"/>
        <w:rPr>
          <w:rFonts w:eastAsia="Arial" w:cs="Arial"/>
          <w:i/>
          <w:iCs/>
          <w:lang w:val="fr-FR"/>
        </w:rPr>
      </w:pPr>
      <w:r w:rsidRPr="00A91B2C">
        <w:rPr>
          <w:rFonts w:eastAsia="Arial" w:cs="Arial"/>
          <w:i/>
          <w:iCs/>
          <w:lang w:val="fr-FR"/>
        </w:rPr>
        <w:lastRenderedPageBreak/>
        <w:t>Banque mondiale</w:t>
      </w:r>
    </w:p>
    <w:p w14:paraId="4C344B14" w14:textId="77777777" w:rsidR="005E4539" w:rsidRPr="00A91B2C" w:rsidRDefault="005E4539">
      <w:pPr>
        <w:spacing w:after="0" w:line="240" w:lineRule="auto"/>
        <w:rPr>
          <w:rFonts w:eastAsia="Calibri" w:cs="Arial"/>
          <w:lang w:val="fr-FR"/>
        </w:rPr>
      </w:pPr>
    </w:p>
    <w:p w14:paraId="0D31109E" w14:textId="764E97F4" w:rsidR="005E4539" w:rsidRPr="00A91B2C" w:rsidRDefault="003C4062">
      <w:pPr>
        <w:pStyle w:val="ListParagraph"/>
        <w:numPr>
          <w:ilvl w:val="0"/>
          <w:numId w:val="60"/>
        </w:numPr>
        <w:spacing w:after="0" w:line="240" w:lineRule="auto"/>
        <w:ind w:left="567" w:hanging="567"/>
        <w:contextualSpacing w:val="0"/>
        <w:jc w:val="both"/>
        <w:rPr>
          <w:rFonts w:eastAsia="Calibri" w:cs="Arial"/>
          <w:lang w:val="fr-FR"/>
        </w:rPr>
      </w:pPr>
      <w:r w:rsidRPr="00A91B2C">
        <w:rPr>
          <w:rFonts w:cs="Arial"/>
          <w:lang w:val="fr-FR"/>
        </w:rPr>
        <w:t xml:space="preserve">Le Secrétariat a travaillé en étroite collaboration avec la Banque mondiale, en particulier </w:t>
      </w:r>
      <w:r w:rsidRPr="00A91B2C">
        <w:rPr>
          <w:rFonts w:cs="Arial"/>
          <w:color w:val="000000" w:themeColor="text1"/>
          <w:lang w:val="fr-FR"/>
        </w:rPr>
        <w:t xml:space="preserve">dans le cadre du </w:t>
      </w:r>
      <w:r w:rsidRPr="00A91B2C">
        <w:rPr>
          <w:rFonts w:cs="Arial"/>
          <w:lang w:val="fr-FR"/>
        </w:rPr>
        <w:t xml:space="preserve">Comité directeur pour la mise en œuvre du programme intégré FEM-8 sur la conservation de la vie sauvage pour le développement (WCD IP). De plus amples informations </w:t>
      </w:r>
      <w:r w:rsidRPr="00A91B2C">
        <w:rPr>
          <w:rFonts w:eastAsia="Arial" w:cs="Arial"/>
          <w:lang w:val="fr-FR"/>
        </w:rPr>
        <w:t>sont contenues dans le document</w:t>
      </w:r>
      <w:r w:rsidRPr="00A91B2C">
        <w:rPr>
          <w:rFonts w:cs="Arial"/>
          <w:lang w:val="fr-FR"/>
        </w:rPr>
        <w:t xml:space="preserve"> </w:t>
      </w:r>
      <w:hyperlink r:id="rId22" w:history="1">
        <w:r w:rsidRPr="00A91B2C">
          <w:rPr>
            <w:rStyle w:val="Hyperlink"/>
            <w:rFonts w:eastAsia="Arial" w:cs="Arial"/>
            <w:lang w:val="fr-FR"/>
          </w:rPr>
          <w:t>UNEP/CMS/COP15/Doc.14.3</w:t>
        </w:r>
      </w:hyperlink>
      <w:r w:rsidRPr="00A91B2C">
        <w:rPr>
          <w:rFonts w:eastAsia="Arial" w:cs="Arial"/>
          <w:lang w:val="fr-FR"/>
        </w:rPr>
        <w:t xml:space="preserve"> </w:t>
      </w:r>
      <w:r w:rsidRPr="00A91B2C">
        <w:rPr>
          <w:rFonts w:eastAsia="Arial" w:cs="Arial"/>
          <w:i/>
          <w:iCs/>
          <w:lang w:val="fr-FR"/>
        </w:rPr>
        <w:t>Mobilisation des ressources</w:t>
      </w:r>
      <w:r w:rsidRPr="00A91B2C">
        <w:rPr>
          <w:rFonts w:eastAsia="Arial" w:cs="Arial"/>
          <w:lang w:val="fr-FR"/>
        </w:rPr>
        <w:t>.</w:t>
      </w:r>
    </w:p>
    <w:p w14:paraId="2E57226A" w14:textId="77777777" w:rsidR="005E4539" w:rsidRPr="00A91B2C" w:rsidRDefault="005E4539">
      <w:pPr>
        <w:pStyle w:val="ListParagraph"/>
        <w:spacing w:after="0" w:line="240" w:lineRule="auto"/>
        <w:contextualSpacing w:val="0"/>
        <w:rPr>
          <w:rFonts w:eastAsia="Calibri" w:cs="Arial"/>
          <w:lang w:val="fr-FR"/>
        </w:rPr>
      </w:pPr>
    </w:p>
    <w:p w14:paraId="5FD00C01" w14:textId="77777777" w:rsidR="005E4539" w:rsidRPr="00A91B2C" w:rsidRDefault="003C4062">
      <w:pPr>
        <w:shd w:val="clear" w:color="auto" w:fill="FFFFFF" w:themeFill="background1"/>
        <w:spacing w:after="0" w:line="240" w:lineRule="auto"/>
        <w:ind w:right="11"/>
        <w:jc w:val="both"/>
        <w:rPr>
          <w:rFonts w:cs="Arial"/>
          <w:lang w:val="fr-FR"/>
        </w:rPr>
      </w:pPr>
      <w:r w:rsidRPr="00A91B2C">
        <w:rPr>
          <w:rFonts w:cs="Arial"/>
          <w:i/>
          <w:iCs/>
          <w:lang w:val="fr-FR"/>
        </w:rPr>
        <w:t>Plateforme intergouvernementale scientifique et politique sur la biodiversité et les services écosystémiques</w:t>
      </w:r>
      <w:r w:rsidRPr="00A91B2C">
        <w:rPr>
          <w:rFonts w:cs="Arial"/>
          <w:lang w:val="fr-FR"/>
        </w:rPr>
        <w:t xml:space="preserve"> (</w:t>
      </w:r>
      <w:r w:rsidRPr="00A91B2C">
        <w:rPr>
          <w:rStyle w:val="Emphasis"/>
          <w:rFonts w:cs="Arial"/>
          <w:lang w:val="fr-FR"/>
        </w:rPr>
        <w:t>IPBES</w:t>
      </w:r>
      <w:r w:rsidRPr="00A91B2C">
        <w:rPr>
          <w:rFonts w:cs="Arial"/>
          <w:lang w:val="fr-FR"/>
        </w:rPr>
        <w:t>)</w:t>
      </w:r>
    </w:p>
    <w:p w14:paraId="4B6977DA" w14:textId="77777777" w:rsidR="005E4539" w:rsidRPr="00A91B2C" w:rsidRDefault="005E4539">
      <w:pPr>
        <w:pStyle w:val="ListParagraph"/>
        <w:spacing w:after="0" w:line="240" w:lineRule="auto"/>
        <w:contextualSpacing w:val="0"/>
        <w:rPr>
          <w:rFonts w:eastAsia="Calibri" w:cs="Arial"/>
          <w:lang w:val="fr-FR"/>
        </w:rPr>
      </w:pPr>
    </w:p>
    <w:p w14:paraId="2827B8D8" w14:textId="119271F2" w:rsidR="005E4539" w:rsidRPr="00A91B2C" w:rsidRDefault="003C4062">
      <w:pPr>
        <w:pStyle w:val="ListParagraph"/>
        <w:numPr>
          <w:ilvl w:val="0"/>
          <w:numId w:val="60"/>
        </w:numPr>
        <w:spacing w:after="0" w:line="240" w:lineRule="auto"/>
        <w:ind w:left="567" w:hanging="567"/>
        <w:contextualSpacing w:val="0"/>
        <w:jc w:val="both"/>
        <w:rPr>
          <w:rFonts w:eastAsia="Calibri" w:cs="Arial"/>
          <w:lang w:val="fr-FR"/>
        </w:rPr>
      </w:pPr>
      <w:r w:rsidRPr="00A91B2C">
        <w:rPr>
          <w:rFonts w:eastAsia="Arial" w:cs="Arial"/>
          <w:lang w:val="fr-FR"/>
        </w:rPr>
        <w:t>Le Secrétariat de la CMS a continué à s</w:t>
      </w:r>
      <w:r w:rsidR="007F23D6" w:rsidRPr="00A91B2C">
        <w:rPr>
          <w:rFonts w:eastAsia="Arial" w:cs="Arial"/>
          <w:lang w:val="fr-FR"/>
        </w:rPr>
        <w:t>’</w:t>
      </w:r>
      <w:r w:rsidRPr="00A91B2C">
        <w:rPr>
          <w:rFonts w:eastAsia="Arial" w:cs="Arial"/>
          <w:lang w:val="fr-FR"/>
        </w:rPr>
        <w:t>engager dans les processus de l</w:t>
      </w:r>
      <w:r w:rsidR="007F23D6" w:rsidRPr="00A91B2C">
        <w:rPr>
          <w:rFonts w:eastAsia="Arial" w:cs="Arial"/>
          <w:lang w:val="fr-FR"/>
        </w:rPr>
        <w:t>’</w:t>
      </w:r>
      <w:r w:rsidRPr="00A91B2C">
        <w:rPr>
          <w:rFonts w:eastAsia="Arial" w:cs="Arial"/>
          <w:lang w:val="fr-FR"/>
        </w:rPr>
        <w:t>IPBES</w:t>
      </w:r>
      <w:r w:rsidRPr="00A91B2C">
        <w:rPr>
          <w:rFonts w:eastAsia="Arial" w:cs="Arial"/>
          <w:color w:val="FF0000"/>
          <w:lang w:val="fr-FR"/>
        </w:rPr>
        <w:t xml:space="preserve"> </w:t>
      </w:r>
      <w:r w:rsidRPr="00A91B2C">
        <w:rPr>
          <w:rFonts w:eastAsia="Arial" w:cs="Arial"/>
          <w:color w:val="000000" w:themeColor="text1"/>
          <w:lang w:val="fr-FR"/>
        </w:rPr>
        <w:t xml:space="preserve">et à participer </w:t>
      </w:r>
      <w:r w:rsidRPr="00A91B2C">
        <w:rPr>
          <w:rFonts w:eastAsia="Arial" w:cs="Arial"/>
          <w:lang w:val="fr-FR"/>
        </w:rPr>
        <w:t xml:space="preserve">à ses réunions. Des informations supplémentaires sont contenues dans le document </w:t>
      </w:r>
      <w:hyperlink r:id="rId23" w:history="1">
        <w:r w:rsidRPr="00A91B2C">
          <w:rPr>
            <w:rStyle w:val="Hyperlink"/>
            <w:rFonts w:eastAsia="Arial" w:cs="Arial"/>
            <w:lang w:val="fr-FR"/>
          </w:rPr>
          <w:t>UNEP/CMS/COP15/Doc.18.2</w:t>
        </w:r>
      </w:hyperlink>
      <w:r w:rsidRPr="00A91B2C">
        <w:rPr>
          <w:lang w:val="fr-FR"/>
        </w:rPr>
        <w:t xml:space="preserve"> </w:t>
      </w:r>
      <w:r w:rsidRPr="00A91B2C">
        <w:rPr>
          <w:i/>
          <w:iCs/>
          <w:lang w:val="fr-FR"/>
        </w:rPr>
        <w:t>Coopération avec IPBES</w:t>
      </w:r>
      <w:r w:rsidRPr="00A91B2C">
        <w:rPr>
          <w:rFonts w:eastAsia="Arial" w:cs="Arial"/>
          <w:i/>
          <w:iCs/>
          <w:lang w:val="fr-FR"/>
        </w:rPr>
        <w:t>.</w:t>
      </w:r>
    </w:p>
    <w:p w14:paraId="16EAF75C" w14:textId="77777777" w:rsidR="005E4539" w:rsidRPr="00A91B2C" w:rsidRDefault="005E4539">
      <w:pPr>
        <w:pStyle w:val="ListParagraph"/>
        <w:spacing w:after="0" w:line="240" w:lineRule="auto"/>
        <w:ind w:left="0"/>
        <w:contextualSpacing w:val="0"/>
        <w:jc w:val="both"/>
        <w:rPr>
          <w:rFonts w:eastAsia="Calibri" w:cs="Arial"/>
          <w:lang w:val="fr-FR"/>
        </w:rPr>
      </w:pPr>
    </w:p>
    <w:p w14:paraId="4F204370" w14:textId="77777777" w:rsidR="005E4539" w:rsidRPr="00A91B2C" w:rsidRDefault="003C4062">
      <w:pPr>
        <w:shd w:val="clear" w:color="auto" w:fill="FFFFFF" w:themeFill="background1"/>
        <w:spacing w:after="0" w:line="240" w:lineRule="auto"/>
        <w:ind w:right="11"/>
        <w:jc w:val="both"/>
        <w:rPr>
          <w:rFonts w:cs="Arial"/>
          <w:i/>
          <w:iCs/>
          <w:lang w:val="fr-FR"/>
        </w:rPr>
      </w:pPr>
      <w:r w:rsidRPr="00A91B2C">
        <w:rPr>
          <w:rFonts w:cs="Arial"/>
          <w:i/>
          <w:iCs/>
          <w:lang w:val="fr-FR"/>
        </w:rPr>
        <w:t>Champions de haut niveau pour le climat (HLC)</w:t>
      </w:r>
    </w:p>
    <w:p w14:paraId="23C7F050" w14:textId="77777777" w:rsidR="005E4539" w:rsidRPr="00A91B2C" w:rsidRDefault="005E4539">
      <w:pPr>
        <w:spacing w:after="0" w:line="240" w:lineRule="auto"/>
        <w:jc w:val="both"/>
        <w:rPr>
          <w:rFonts w:cs="Arial"/>
          <w:b/>
          <w:lang w:val="fr-FR"/>
        </w:rPr>
      </w:pPr>
    </w:p>
    <w:p w14:paraId="485AF19F" w14:textId="77777777" w:rsidR="005E4539" w:rsidRPr="00A91B2C" w:rsidRDefault="003C4062">
      <w:pPr>
        <w:pStyle w:val="ListParagraph"/>
        <w:numPr>
          <w:ilvl w:val="0"/>
          <w:numId w:val="60"/>
        </w:numPr>
        <w:spacing w:after="0" w:line="240" w:lineRule="auto"/>
        <w:ind w:left="567" w:hanging="567"/>
        <w:contextualSpacing w:val="0"/>
        <w:jc w:val="both"/>
        <w:rPr>
          <w:rFonts w:cs="Arial"/>
          <w:b/>
          <w:lang w:val="fr-FR"/>
        </w:rPr>
      </w:pPr>
      <w:r w:rsidRPr="00A91B2C">
        <w:rPr>
          <w:rFonts w:eastAsia="Arial" w:cs="Arial"/>
          <w:lang w:val="fr-FR"/>
        </w:rPr>
        <w:t>Le Secrétariat de la CMS a poursuivi son engagement auprès des Champions de haut niveau pour le climat (HLC) de l</w:t>
      </w:r>
      <w:r w:rsidR="007F23D6" w:rsidRPr="00A91B2C">
        <w:rPr>
          <w:rFonts w:eastAsia="Arial" w:cs="Arial"/>
          <w:lang w:val="fr-FR"/>
        </w:rPr>
        <w:t>’</w:t>
      </w:r>
      <w:r w:rsidRPr="00A91B2C">
        <w:rPr>
          <w:rFonts w:eastAsia="Arial" w:cs="Arial"/>
          <w:lang w:val="fr-FR"/>
        </w:rPr>
        <w:t xml:space="preserve">ONU à travers les </w:t>
      </w:r>
      <w:proofErr w:type="spellStart"/>
      <w:r w:rsidRPr="00A91B2C">
        <w:rPr>
          <w:rFonts w:eastAsia="Arial" w:cs="Arial"/>
          <w:lang w:val="fr-FR"/>
        </w:rPr>
        <w:t>Ocean</w:t>
      </w:r>
      <w:proofErr w:type="spellEnd"/>
      <w:r w:rsidRPr="00A91B2C">
        <w:rPr>
          <w:rFonts w:eastAsia="Arial" w:cs="Arial"/>
          <w:lang w:val="fr-FR"/>
        </w:rPr>
        <w:t xml:space="preserve"> </w:t>
      </w:r>
      <w:proofErr w:type="spellStart"/>
      <w:r w:rsidRPr="00A91B2C">
        <w:rPr>
          <w:rFonts w:eastAsia="Arial" w:cs="Arial"/>
          <w:lang w:val="fr-FR"/>
        </w:rPr>
        <w:t>Breakthroughs</w:t>
      </w:r>
      <w:proofErr w:type="spellEnd"/>
      <w:r w:rsidRPr="00A91B2C">
        <w:rPr>
          <w:rFonts w:eastAsia="Arial" w:cs="Arial"/>
          <w:lang w:val="fr-FR"/>
        </w:rPr>
        <w:t> 2030, afin de promouvoir la conservation et la restauration des écosystèmes d</w:t>
      </w:r>
      <w:r w:rsidR="007F23D6" w:rsidRPr="00A91B2C">
        <w:rPr>
          <w:rFonts w:eastAsia="Arial" w:cs="Arial"/>
          <w:lang w:val="fr-FR"/>
        </w:rPr>
        <w:t>’</w:t>
      </w:r>
      <w:r w:rsidRPr="00A91B2C">
        <w:rPr>
          <w:rFonts w:eastAsia="Arial" w:cs="Arial"/>
          <w:lang w:val="fr-FR"/>
        </w:rPr>
        <w:t>herbiers marins, en mettant en avant leur importance pour les espèces migratrices, le carbone bleu et les écosystèmes côtiers résilients face au climat.</w:t>
      </w:r>
    </w:p>
    <w:p w14:paraId="0D1FAF34" w14:textId="77777777" w:rsidR="0043072C" w:rsidRDefault="0043072C">
      <w:pPr>
        <w:spacing w:after="0" w:line="240" w:lineRule="auto"/>
        <w:jc w:val="both"/>
        <w:rPr>
          <w:rFonts w:cs="Arial"/>
          <w:i/>
          <w:iCs/>
          <w:lang w:val="fr-FR"/>
        </w:rPr>
      </w:pPr>
    </w:p>
    <w:p w14:paraId="2CA10A4C" w14:textId="7BC69A70" w:rsidR="005E4539" w:rsidRPr="00A91B2C" w:rsidRDefault="003C4062">
      <w:pPr>
        <w:spacing w:after="0" w:line="240" w:lineRule="auto"/>
        <w:jc w:val="both"/>
        <w:rPr>
          <w:rFonts w:cs="Arial"/>
          <w:i/>
          <w:iCs/>
          <w:lang w:val="fr-FR"/>
        </w:rPr>
      </w:pPr>
      <w:r w:rsidRPr="00A91B2C">
        <w:rPr>
          <w:rFonts w:cs="Arial"/>
          <w:i/>
          <w:iCs/>
          <w:lang w:val="fr-FR"/>
        </w:rPr>
        <w:t>Organisation mondiale de la santé animale (OMSA)</w:t>
      </w:r>
    </w:p>
    <w:p w14:paraId="3914DC87" w14:textId="77777777" w:rsidR="005E4539" w:rsidRPr="00A91B2C" w:rsidRDefault="005E4539">
      <w:pPr>
        <w:spacing w:after="0" w:line="240" w:lineRule="auto"/>
        <w:jc w:val="both"/>
        <w:rPr>
          <w:rFonts w:cs="Arial"/>
          <w:i/>
          <w:iCs/>
          <w:lang w:val="fr-FR"/>
        </w:rPr>
      </w:pPr>
    </w:p>
    <w:p w14:paraId="705CF57E" w14:textId="77777777" w:rsidR="005E4539" w:rsidRPr="00A91B2C" w:rsidRDefault="003C4062">
      <w:pPr>
        <w:pStyle w:val="ListParagraph"/>
        <w:numPr>
          <w:ilvl w:val="0"/>
          <w:numId w:val="60"/>
        </w:numPr>
        <w:spacing w:after="0" w:line="240" w:lineRule="auto"/>
        <w:ind w:left="567" w:hanging="567"/>
        <w:jc w:val="both"/>
        <w:rPr>
          <w:rFonts w:cs="Arial"/>
          <w:lang w:val="fr-FR"/>
        </w:rPr>
      </w:pPr>
      <w:r w:rsidRPr="00A91B2C">
        <w:rPr>
          <w:rFonts w:cs="Arial"/>
          <w:lang w:val="fr-FR"/>
        </w:rPr>
        <w:t>Le Secrétariat travaille en étroite collaboration avec l</w:t>
      </w:r>
      <w:r w:rsidR="007F23D6" w:rsidRPr="00A91B2C">
        <w:rPr>
          <w:rFonts w:cs="Arial"/>
          <w:lang w:val="fr-FR"/>
        </w:rPr>
        <w:t>’</w:t>
      </w:r>
      <w:r w:rsidRPr="00A91B2C">
        <w:rPr>
          <w:rFonts w:cs="Arial"/>
          <w:lang w:val="fr-FR"/>
        </w:rPr>
        <w:t xml:space="preserve">OMSA, notamment dans </w:t>
      </w:r>
      <w:r w:rsidRPr="00A91B2C">
        <w:rPr>
          <w:rFonts w:cs="Arial"/>
          <w:color w:val="000000" w:themeColor="text1"/>
          <w:lang w:val="fr-FR"/>
        </w:rPr>
        <w:t xml:space="preserve">le cadre du Groupe de travail de la CMS sur les animaux migrateurs et la santé, et élabore actuellement </w:t>
      </w:r>
      <w:r w:rsidRPr="00A91B2C">
        <w:rPr>
          <w:rFonts w:cs="Arial"/>
          <w:lang w:val="fr-FR"/>
        </w:rPr>
        <w:t>une fiche d</w:t>
      </w:r>
      <w:r w:rsidR="007F23D6" w:rsidRPr="00A91B2C">
        <w:rPr>
          <w:rFonts w:cs="Arial"/>
          <w:lang w:val="fr-FR"/>
        </w:rPr>
        <w:t>’</w:t>
      </w:r>
      <w:r w:rsidRPr="00A91B2C">
        <w:rPr>
          <w:rFonts w:cs="Arial"/>
          <w:lang w:val="fr-FR"/>
        </w:rPr>
        <w:t>information conjointe sur l</w:t>
      </w:r>
      <w:r w:rsidR="007F23D6" w:rsidRPr="00A91B2C">
        <w:rPr>
          <w:rFonts w:cs="Arial"/>
          <w:lang w:val="fr-FR"/>
        </w:rPr>
        <w:t>’</w:t>
      </w:r>
      <w:r w:rsidRPr="00A91B2C">
        <w:rPr>
          <w:rFonts w:cs="Arial"/>
          <w:lang w:val="fr-FR"/>
        </w:rPr>
        <w:t>utilisation des médicaments anti-inflammatoires non stéroïdiens (AINS) à l’intention des agences vétérinaires et des praticiens.</w:t>
      </w:r>
    </w:p>
    <w:p w14:paraId="3942C36F" w14:textId="77777777" w:rsidR="005E4539" w:rsidRPr="00A91B2C" w:rsidRDefault="005E4539">
      <w:pPr>
        <w:spacing w:after="0" w:line="240" w:lineRule="auto"/>
        <w:jc w:val="both"/>
        <w:rPr>
          <w:rFonts w:cs="Arial"/>
          <w:lang w:val="fr-FR"/>
        </w:rPr>
      </w:pPr>
    </w:p>
    <w:p w14:paraId="51503916" w14:textId="77777777" w:rsidR="005E4539" w:rsidRPr="00A91B2C" w:rsidRDefault="003C4062">
      <w:pPr>
        <w:spacing w:after="0" w:line="240" w:lineRule="auto"/>
        <w:jc w:val="both"/>
        <w:rPr>
          <w:rFonts w:cs="Arial"/>
          <w:b/>
          <w:lang w:val="fr-FR"/>
        </w:rPr>
      </w:pPr>
      <w:r w:rsidRPr="00A91B2C">
        <w:rPr>
          <w:rFonts w:cs="Arial"/>
          <w:b/>
          <w:lang w:val="fr-FR"/>
        </w:rPr>
        <w:t>Renforcer la collaboration existante avec la société civile</w:t>
      </w:r>
    </w:p>
    <w:p w14:paraId="0DAAF0F0" w14:textId="77777777" w:rsidR="005E4539" w:rsidRPr="00A91B2C" w:rsidRDefault="005E4539">
      <w:pPr>
        <w:pStyle w:val="ListParagraph"/>
        <w:spacing w:after="0" w:line="240" w:lineRule="auto"/>
        <w:contextualSpacing w:val="0"/>
        <w:rPr>
          <w:rFonts w:eastAsia="Calibri" w:cs="Arial"/>
          <w:lang w:val="fr-FR"/>
        </w:rPr>
      </w:pPr>
    </w:p>
    <w:p w14:paraId="71E9E8E6" w14:textId="77777777" w:rsidR="005E4539" w:rsidRPr="00A91B2C" w:rsidRDefault="003C4062">
      <w:pPr>
        <w:pStyle w:val="ListParagraph"/>
        <w:numPr>
          <w:ilvl w:val="0"/>
          <w:numId w:val="60"/>
        </w:numPr>
        <w:spacing w:after="0" w:line="240" w:lineRule="auto"/>
        <w:ind w:left="567" w:hanging="567"/>
        <w:contextualSpacing w:val="0"/>
        <w:jc w:val="both"/>
        <w:rPr>
          <w:rFonts w:eastAsia="Calibri" w:cs="Arial"/>
          <w:lang w:val="fr-FR"/>
        </w:rPr>
      </w:pPr>
      <w:r w:rsidRPr="00A91B2C">
        <w:rPr>
          <w:rFonts w:cs="Arial"/>
          <w:lang w:val="fr-FR"/>
        </w:rPr>
        <w:t>Le Secrétariat a continué à bénéficier du soutien de nombreuses ONG dans la mise en œuvre de</w:t>
      </w:r>
      <w:r w:rsidRPr="00A91B2C">
        <w:rPr>
          <w:rFonts w:cs="Arial"/>
          <w:color w:val="FF0000"/>
          <w:lang w:val="fr-FR"/>
        </w:rPr>
        <w:t xml:space="preserve"> </w:t>
      </w:r>
      <w:r w:rsidRPr="00A91B2C">
        <w:rPr>
          <w:rFonts w:cs="Arial"/>
          <w:color w:val="000000" w:themeColor="text1"/>
          <w:lang w:val="fr-FR"/>
        </w:rPr>
        <w:t>mémorandums d</w:t>
      </w:r>
      <w:r w:rsidR="007F23D6" w:rsidRPr="00A91B2C">
        <w:rPr>
          <w:rFonts w:cs="Arial"/>
          <w:color w:val="000000" w:themeColor="text1"/>
          <w:lang w:val="fr-FR"/>
        </w:rPr>
        <w:t>’</w:t>
      </w:r>
      <w:r w:rsidRPr="00A91B2C">
        <w:rPr>
          <w:rFonts w:cs="Arial"/>
          <w:color w:val="000000" w:themeColor="text1"/>
          <w:lang w:val="fr-FR"/>
        </w:rPr>
        <w:t>accord et d</w:t>
      </w:r>
      <w:r w:rsidR="007F23D6" w:rsidRPr="00A91B2C">
        <w:rPr>
          <w:rFonts w:cs="Arial"/>
          <w:color w:val="000000" w:themeColor="text1"/>
          <w:lang w:val="fr-FR"/>
        </w:rPr>
        <w:t>’</w:t>
      </w:r>
      <w:r w:rsidRPr="00A91B2C">
        <w:rPr>
          <w:rFonts w:cs="Arial"/>
          <w:color w:val="000000" w:themeColor="text1"/>
          <w:lang w:val="fr-FR"/>
        </w:rPr>
        <w:t>initiatives pour des espèces spécifiques, ainsi que de leur contribution à divers processus, groupes de travail et groupes d</w:t>
      </w:r>
      <w:r w:rsidR="007F23D6" w:rsidRPr="00A91B2C">
        <w:rPr>
          <w:rFonts w:cs="Arial"/>
          <w:color w:val="000000" w:themeColor="text1"/>
          <w:lang w:val="fr-FR"/>
        </w:rPr>
        <w:t>’</w:t>
      </w:r>
      <w:r w:rsidRPr="00A91B2C">
        <w:rPr>
          <w:rFonts w:cs="Arial"/>
          <w:color w:val="000000" w:themeColor="text1"/>
          <w:lang w:val="fr-FR"/>
        </w:rPr>
        <w:t xml:space="preserve">étude. Les détails de ce travail figurent dans plusieurs autres documents de la COP15. </w:t>
      </w:r>
    </w:p>
    <w:p w14:paraId="3598A4DC" w14:textId="77777777" w:rsidR="005E4539" w:rsidRPr="00A91B2C" w:rsidRDefault="005E4539">
      <w:pPr>
        <w:spacing w:after="0" w:line="240" w:lineRule="auto"/>
        <w:jc w:val="both"/>
        <w:rPr>
          <w:rFonts w:cs="Arial"/>
          <w:i/>
          <w:highlight w:val="yellow"/>
          <w:lang w:val="fr-FR"/>
        </w:rPr>
      </w:pPr>
      <w:bookmarkStart w:id="4" w:name="_Hlk148093361"/>
    </w:p>
    <w:p w14:paraId="3BF95594" w14:textId="77777777" w:rsidR="005E4539" w:rsidRPr="00A91B2C" w:rsidRDefault="003C4062">
      <w:pPr>
        <w:spacing w:after="0" w:line="240" w:lineRule="auto"/>
        <w:jc w:val="both"/>
        <w:rPr>
          <w:rFonts w:cs="Arial"/>
          <w:i/>
          <w:lang w:val="fr-FR"/>
        </w:rPr>
      </w:pPr>
      <w:r w:rsidRPr="00A91B2C">
        <w:rPr>
          <w:rFonts w:cs="Arial"/>
          <w:i/>
          <w:lang w:val="fr-FR"/>
        </w:rPr>
        <w:t>Coopération en matière d</w:t>
      </w:r>
      <w:r w:rsidR="007F23D6" w:rsidRPr="00A91B2C">
        <w:rPr>
          <w:rFonts w:cs="Arial"/>
          <w:i/>
          <w:lang w:val="fr-FR"/>
        </w:rPr>
        <w:t>’</w:t>
      </w:r>
      <w:r w:rsidRPr="00A91B2C">
        <w:rPr>
          <w:rFonts w:cs="Arial"/>
          <w:i/>
          <w:lang w:val="fr-FR"/>
        </w:rPr>
        <w:t xml:space="preserve">activités de vulgarisation </w:t>
      </w:r>
    </w:p>
    <w:bookmarkEnd w:id="4"/>
    <w:p w14:paraId="6754D772" w14:textId="77777777" w:rsidR="005E4539" w:rsidRPr="00A91B2C" w:rsidRDefault="005E4539">
      <w:pPr>
        <w:spacing w:after="0" w:line="240" w:lineRule="auto"/>
        <w:jc w:val="both"/>
        <w:rPr>
          <w:rFonts w:eastAsia="Calibri" w:cs="Arial"/>
          <w:highlight w:val="yellow"/>
          <w:lang w:val="fr-FR"/>
        </w:rPr>
      </w:pPr>
    </w:p>
    <w:p w14:paraId="3CDA1199" w14:textId="77777777" w:rsidR="005E4539" w:rsidRPr="00A91B2C" w:rsidRDefault="003C4062">
      <w:pPr>
        <w:pStyle w:val="ListParagraph"/>
        <w:numPr>
          <w:ilvl w:val="0"/>
          <w:numId w:val="60"/>
        </w:numPr>
        <w:spacing w:after="0" w:line="240" w:lineRule="auto"/>
        <w:ind w:left="567" w:hanging="567"/>
        <w:contextualSpacing w:val="0"/>
        <w:jc w:val="both"/>
        <w:rPr>
          <w:rFonts w:eastAsia="Calibri" w:cs="Arial"/>
          <w:lang w:val="fr-FR"/>
        </w:rPr>
      </w:pPr>
      <w:r w:rsidRPr="00A91B2C">
        <w:rPr>
          <w:rFonts w:cs="Arial"/>
          <w:lang w:val="fr-FR"/>
        </w:rPr>
        <w:t>Depuis la COP14, le Secrétariat a continué à collaborer étroitement avec ses partenaires : le Partenariat pour la voie de migration Asie de l</w:t>
      </w:r>
      <w:r w:rsidR="007F23D6" w:rsidRPr="00A91B2C">
        <w:rPr>
          <w:rFonts w:cs="Arial"/>
          <w:lang w:val="fr-FR"/>
        </w:rPr>
        <w:t>’</w:t>
      </w:r>
      <w:r w:rsidRPr="00A91B2C">
        <w:rPr>
          <w:rFonts w:cs="Arial"/>
          <w:lang w:val="fr-FR"/>
        </w:rPr>
        <w:t>Est</w:t>
      </w:r>
      <w:r w:rsidR="007F23D6" w:rsidRPr="00A91B2C">
        <w:rPr>
          <w:rFonts w:cs="Arial"/>
          <w:lang w:val="fr-FR"/>
        </w:rPr>
        <w:t>-</w:t>
      </w:r>
      <w:r w:rsidRPr="00A91B2C">
        <w:rPr>
          <w:rFonts w:cs="Arial"/>
          <w:lang w:val="fr-FR"/>
        </w:rPr>
        <w:t>Australasie (EAAFP), Environnement for the Americas (EFTA) et l</w:t>
      </w:r>
      <w:r w:rsidR="007F23D6" w:rsidRPr="00A91B2C">
        <w:rPr>
          <w:rFonts w:cs="Arial"/>
          <w:lang w:val="fr-FR"/>
        </w:rPr>
        <w:t>’</w:t>
      </w:r>
      <w:r w:rsidRPr="00A91B2C">
        <w:rPr>
          <w:rFonts w:eastAsia="Calibri" w:cs="Arial"/>
          <w:lang w:val="fr-FR"/>
        </w:rPr>
        <w:t>AEWA (Accord sur la conservation des oiseaux d</w:t>
      </w:r>
      <w:r w:rsidR="007F23D6" w:rsidRPr="00A91B2C">
        <w:rPr>
          <w:rFonts w:eastAsia="Calibri" w:cs="Arial"/>
          <w:lang w:val="fr-FR"/>
        </w:rPr>
        <w:t>’</w:t>
      </w:r>
      <w:r w:rsidRPr="00A91B2C">
        <w:rPr>
          <w:rFonts w:eastAsia="Calibri" w:cs="Arial"/>
          <w:lang w:val="fr-FR"/>
        </w:rPr>
        <w:t>eau migrateurs d</w:t>
      </w:r>
      <w:r w:rsidR="007F23D6" w:rsidRPr="00A91B2C">
        <w:rPr>
          <w:rFonts w:eastAsia="Calibri" w:cs="Arial"/>
          <w:lang w:val="fr-FR"/>
        </w:rPr>
        <w:t>’</w:t>
      </w:r>
      <w:r w:rsidRPr="00A91B2C">
        <w:rPr>
          <w:rFonts w:eastAsia="Calibri" w:cs="Arial"/>
          <w:lang w:val="fr-FR"/>
        </w:rPr>
        <w:t>Afrique-Eurasie) pour organiser la Journée mondiale des oiseaux migrateurs, qui est désormais célébrée deux fois par an, les deuxièmes samedis de mai et d</w:t>
      </w:r>
      <w:r w:rsidR="007F23D6" w:rsidRPr="00A91B2C">
        <w:rPr>
          <w:rFonts w:eastAsia="Calibri" w:cs="Arial"/>
          <w:lang w:val="fr-FR"/>
        </w:rPr>
        <w:t>’</w:t>
      </w:r>
      <w:r w:rsidRPr="00A91B2C">
        <w:rPr>
          <w:rFonts w:eastAsia="Calibri" w:cs="Arial"/>
          <w:lang w:val="fr-FR"/>
        </w:rPr>
        <w:t xml:space="preserve">octobre. En 2024, le thème de la Journée mondiale des oiseaux migrateurs était </w:t>
      </w:r>
      <w:hyperlink r:id="rId24" w:history="1">
        <w:r w:rsidR="002A3F32" w:rsidRPr="00A91B2C">
          <w:rPr>
            <w:rStyle w:val="Hyperlink"/>
            <w:rFonts w:eastAsia="Calibri" w:cs="Arial"/>
            <w:lang w:val="fr-FR"/>
          </w:rPr>
          <w:t>« Protégeons</w:t>
        </w:r>
        <w:r w:rsidRPr="00A91B2C">
          <w:rPr>
            <w:rStyle w:val="Hyperlink"/>
            <w:rFonts w:eastAsia="Calibri" w:cs="Arial"/>
            <w:lang w:val="fr-FR"/>
          </w:rPr>
          <w:t xml:space="preserve"> les insectes, protége</w:t>
        </w:r>
        <w:r w:rsidR="002A3F32" w:rsidRPr="00A91B2C">
          <w:rPr>
            <w:rStyle w:val="Hyperlink"/>
            <w:rFonts w:eastAsia="Calibri" w:cs="Arial"/>
            <w:lang w:val="fr-FR"/>
          </w:rPr>
          <w:t>ons</w:t>
        </w:r>
        <w:r w:rsidRPr="00A91B2C">
          <w:rPr>
            <w:rStyle w:val="Hyperlink"/>
            <w:rFonts w:eastAsia="Calibri" w:cs="Arial"/>
            <w:lang w:val="fr-FR"/>
          </w:rPr>
          <w:t xml:space="preserve"> les oiseaux »</w:t>
        </w:r>
      </w:hyperlink>
      <w:r w:rsidRPr="00A91B2C">
        <w:rPr>
          <w:rFonts w:eastAsia="Calibri" w:cs="Arial"/>
          <w:lang w:val="fr-FR"/>
        </w:rPr>
        <w:t>, soulignant le rôle essentiel que jouent les insectes dans le cycle de vie de nombreux oiseaux migrateurs. En 2025, la Journée mondiale des oiseaux migrateurs s</w:t>
      </w:r>
      <w:r w:rsidR="007F23D6" w:rsidRPr="00A91B2C">
        <w:rPr>
          <w:rFonts w:eastAsia="Calibri" w:cs="Arial"/>
          <w:lang w:val="fr-FR"/>
        </w:rPr>
        <w:t>’</w:t>
      </w:r>
      <w:r w:rsidRPr="00A91B2C">
        <w:rPr>
          <w:rFonts w:eastAsia="Calibri" w:cs="Arial"/>
          <w:lang w:val="fr-FR"/>
        </w:rPr>
        <w:t>est attachée à souligner l</w:t>
      </w:r>
      <w:r w:rsidR="007F23D6" w:rsidRPr="00A91B2C">
        <w:rPr>
          <w:rFonts w:eastAsia="Calibri" w:cs="Arial"/>
          <w:lang w:val="fr-FR"/>
        </w:rPr>
        <w:t>’</w:t>
      </w:r>
      <w:r w:rsidRPr="00A91B2C">
        <w:rPr>
          <w:rFonts w:eastAsia="Calibri" w:cs="Arial"/>
          <w:lang w:val="fr-FR"/>
        </w:rPr>
        <w:t>importance de la conception et de la gestion d</w:t>
      </w:r>
      <w:r w:rsidR="007F23D6" w:rsidRPr="00A91B2C">
        <w:rPr>
          <w:rFonts w:eastAsia="Calibri" w:cs="Arial"/>
          <w:lang w:val="fr-FR"/>
        </w:rPr>
        <w:t>’</w:t>
      </w:r>
      <w:r w:rsidRPr="00A91B2C">
        <w:rPr>
          <w:rFonts w:eastAsia="Calibri" w:cs="Arial"/>
          <w:lang w:val="fr-FR"/>
        </w:rPr>
        <w:t>environnements urbains favorables aux oiseaux et aux humains sous le slogan « </w:t>
      </w:r>
      <w:hyperlink r:id="rId25" w:history="1">
        <w:r w:rsidRPr="00A91B2C">
          <w:rPr>
            <w:rStyle w:val="Hyperlink"/>
            <w:rFonts w:eastAsia="Calibri" w:cs="Arial"/>
            <w:lang w:val="fr-FR"/>
          </w:rPr>
          <w:t>Espaces partagés : créer des villes et des communautés accueillantes pour les oiseaux</w:t>
        </w:r>
      </w:hyperlink>
      <w:r w:rsidRPr="00A91B2C">
        <w:rPr>
          <w:rFonts w:eastAsia="Calibri" w:cs="Arial"/>
          <w:lang w:val="fr-FR"/>
        </w:rPr>
        <w:t xml:space="preserve"> ». </w:t>
      </w:r>
      <w:r w:rsidRPr="00A91B2C">
        <w:rPr>
          <w:lang w:val="fr-FR"/>
        </w:rPr>
        <w:t>Le 10 mai 2025, un événement a été célébré à Bonn en coopération avec ICLEI-Gouvernements locaux pour la durabilité et l</w:t>
      </w:r>
      <w:r w:rsidR="007F23D6" w:rsidRPr="00A91B2C">
        <w:rPr>
          <w:lang w:val="fr-FR"/>
        </w:rPr>
        <w:t>’</w:t>
      </w:r>
      <w:r w:rsidRPr="00A91B2C">
        <w:rPr>
          <w:lang w:val="fr-FR"/>
        </w:rPr>
        <w:t>Alliance mondiale des opérateurs du secteur de l’eau/ONU-Habitat pour attirer l</w:t>
      </w:r>
      <w:r w:rsidR="007F23D6" w:rsidRPr="00A91B2C">
        <w:rPr>
          <w:lang w:val="fr-FR"/>
        </w:rPr>
        <w:t>’</w:t>
      </w:r>
      <w:r w:rsidRPr="00A91B2C">
        <w:rPr>
          <w:lang w:val="fr-FR"/>
        </w:rPr>
        <w:t>attention sur l</w:t>
      </w:r>
      <w:r w:rsidR="007F23D6" w:rsidRPr="00A91B2C">
        <w:rPr>
          <w:lang w:val="fr-FR"/>
        </w:rPr>
        <w:t>’</w:t>
      </w:r>
      <w:r w:rsidRPr="00A91B2C">
        <w:rPr>
          <w:lang w:val="fr-FR"/>
        </w:rPr>
        <w:t xml:space="preserve">importance de rendre les zones urbaines plus accueillantes pour les </w:t>
      </w:r>
      <w:r w:rsidRPr="00A91B2C">
        <w:rPr>
          <w:lang w:val="fr-FR"/>
        </w:rPr>
        <w:lastRenderedPageBreak/>
        <w:t xml:space="preserve">oiseaux migrateurs. </w:t>
      </w:r>
      <w:r w:rsidRPr="00A91B2C">
        <w:rPr>
          <w:rFonts w:eastAsia="Calibri" w:cs="Arial"/>
          <w:lang w:val="fr-FR"/>
        </w:rPr>
        <w:t>En 2026, la Journée mondiale des oiseaux migrateurs mettra en avant le rôle essentiel de la science communautaire dans la conservation des oiseaux, avec le slogan « Chaque oiseau compte — Vos observations sont importantes ! ».</w:t>
      </w:r>
    </w:p>
    <w:p w14:paraId="14E1E49D" w14:textId="77777777" w:rsidR="005E4539" w:rsidRPr="00A91B2C" w:rsidRDefault="005E4539">
      <w:pPr>
        <w:spacing w:line="240" w:lineRule="auto"/>
        <w:contextualSpacing/>
        <w:rPr>
          <w:rFonts w:eastAsia="Calibri" w:cs="Arial"/>
          <w:highlight w:val="yellow"/>
          <w:lang w:val="fr-FR"/>
        </w:rPr>
      </w:pPr>
    </w:p>
    <w:p w14:paraId="390C2032" w14:textId="77777777" w:rsidR="005E4539" w:rsidRPr="00A91B2C" w:rsidRDefault="003C4062">
      <w:pPr>
        <w:suppressAutoHyphens/>
        <w:autoSpaceDN w:val="0"/>
        <w:spacing w:after="0" w:line="240" w:lineRule="auto"/>
        <w:contextualSpacing/>
        <w:textAlignment w:val="baseline"/>
        <w:rPr>
          <w:rFonts w:eastAsia="Calibri" w:cs="Arial"/>
          <w:u w:val="single"/>
          <w:lang w:val="fr-FR"/>
        </w:rPr>
      </w:pPr>
      <w:r w:rsidRPr="00A91B2C">
        <w:rPr>
          <w:rFonts w:eastAsia="Calibri" w:cs="Arial"/>
          <w:u w:val="single"/>
          <w:lang w:val="fr-FR"/>
        </w:rPr>
        <w:t xml:space="preserve">Mise en œuvre de la Décision 14.10 a) et b) — </w:t>
      </w:r>
      <w:r w:rsidRPr="00A91B2C">
        <w:rPr>
          <w:rStyle w:val="markedcontent"/>
          <w:rFonts w:cs="Arial"/>
          <w:i/>
          <w:iCs/>
          <w:u w:val="single"/>
          <w:lang w:val="fr-FR"/>
        </w:rPr>
        <w:t>Accréditation des organisations non gouvernementales (ONG)</w:t>
      </w:r>
    </w:p>
    <w:p w14:paraId="213BEABE" w14:textId="77777777" w:rsidR="005E4539" w:rsidRPr="00A91B2C" w:rsidRDefault="005E4539">
      <w:pPr>
        <w:widowControl w:val="0"/>
        <w:autoSpaceDE w:val="0"/>
        <w:autoSpaceDN w:val="0"/>
        <w:adjustRightInd w:val="0"/>
        <w:spacing w:after="0" w:line="240" w:lineRule="auto"/>
        <w:jc w:val="both"/>
        <w:rPr>
          <w:rFonts w:cs="Arial"/>
          <w:lang w:val="fr-FR"/>
        </w:rPr>
      </w:pPr>
    </w:p>
    <w:p w14:paraId="12A946EE" w14:textId="322F67C2" w:rsidR="005E4539" w:rsidRPr="00A91B2C" w:rsidRDefault="003C4062">
      <w:pPr>
        <w:pStyle w:val="ListParagraph"/>
        <w:numPr>
          <w:ilvl w:val="0"/>
          <w:numId w:val="60"/>
        </w:numPr>
        <w:spacing w:after="0" w:line="240" w:lineRule="auto"/>
        <w:ind w:left="567" w:hanging="567"/>
        <w:contextualSpacing w:val="0"/>
        <w:jc w:val="both"/>
        <w:rPr>
          <w:rStyle w:val="markedcontent"/>
          <w:rFonts w:cs="Arial"/>
          <w:lang w:val="fr-FR"/>
        </w:rPr>
      </w:pPr>
      <w:r w:rsidRPr="00A91B2C">
        <w:rPr>
          <w:rStyle w:val="markedcontent"/>
          <w:rFonts w:cs="Arial"/>
          <w:lang w:val="fr-FR"/>
        </w:rPr>
        <w:t>La décision 14.10 demandait au Secrétariat d</w:t>
      </w:r>
      <w:r w:rsidR="007F23D6" w:rsidRPr="00A91B2C">
        <w:rPr>
          <w:rStyle w:val="markedcontent"/>
          <w:rFonts w:cs="Arial"/>
          <w:lang w:val="fr-FR"/>
        </w:rPr>
        <w:t>’</w:t>
      </w:r>
      <w:r w:rsidRPr="00A91B2C">
        <w:rPr>
          <w:rStyle w:val="markedcontent"/>
          <w:rFonts w:cs="Arial"/>
          <w:lang w:val="fr-FR"/>
        </w:rPr>
        <w:t xml:space="preserve">établir un </w:t>
      </w:r>
      <w:r w:rsidRPr="00A91B2C">
        <w:rPr>
          <w:rStyle w:val="markedcontent"/>
          <w:rFonts w:cs="Arial"/>
          <w:color w:val="000000" w:themeColor="text1"/>
          <w:lang w:val="fr-FR"/>
        </w:rPr>
        <w:t>groupe de travail pour explorer les options d</w:t>
      </w:r>
      <w:r w:rsidR="007F23D6" w:rsidRPr="00A91B2C">
        <w:rPr>
          <w:rStyle w:val="markedcontent"/>
          <w:rFonts w:cs="Arial"/>
          <w:color w:val="000000" w:themeColor="text1"/>
          <w:lang w:val="fr-FR"/>
        </w:rPr>
        <w:t>’</w:t>
      </w:r>
      <w:r w:rsidRPr="00A91B2C">
        <w:rPr>
          <w:rStyle w:val="markedcontent"/>
          <w:rFonts w:cs="Arial"/>
          <w:color w:val="000000" w:themeColor="text1"/>
          <w:lang w:val="fr-FR"/>
        </w:rPr>
        <w:t xml:space="preserve">une accréditation spéciale pour les </w:t>
      </w:r>
      <w:r w:rsidRPr="00A91B2C">
        <w:rPr>
          <w:rStyle w:val="markedcontent"/>
          <w:rFonts w:cs="Arial"/>
          <w:lang w:val="fr-FR"/>
        </w:rPr>
        <w:t>ONG, étant donné le rôle important que de nombreuses ONG jouent dans la contribution aux travaux de la Convention. Bien qu</w:t>
      </w:r>
      <w:r w:rsidR="007F23D6" w:rsidRPr="00A91B2C">
        <w:rPr>
          <w:rStyle w:val="markedcontent"/>
          <w:rFonts w:cs="Arial"/>
          <w:lang w:val="fr-FR"/>
        </w:rPr>
        <w:t>’</w:t>
      </w:r>
      <w:r w:rsidRPr="00A91B2C">
        <w:rPr>
          <w:rStyle w:val="markedcontent"/>
          <w:rFonts w:cs="Arial"/>
          <w:lang w:val="fr-FR"/>
        </w:rPr>
        <w:t>il n</w:t>
      </w:r>
      <w:r w:rsidR="007F23D6" w:rsidRPr="00A91B2C">
        <w:rPr>
          <w:rStyle w:val="markedcontent"/>
          <w:rFonts w:cs="Arial"/>
          <w:lang w:val="fr-FR"/>
        </w:rPr>
        <w:t>’</w:t>
      </w:r>
      <w:r w:rsidRPr="00A91B2C">
        <w:rPr>
          <w:rStyle w:val="markedcontent"/>
          <w:rFonts w:cs="Arial"/>
          <w:lang w:val="fr-FR"/>
        </w:rPr>
        <w:t>ait pas été possible de convoquer un tel groupe de travail en raison de la courte période intersessions et de l</w:t>
      </w:r>
      <w:r w:rsidR="007F23D6" w:rsidRPr="00A91B2C">
        <w:rPr>
          <w:rStyle w:val="markedcontent"/>
          <w:rFonts w:cs="Arial"/>
          <w:lang w:val="fr-FR"/>
        </w:rPr>
        <w:t>’</w:t>
      </w:r>
      <w:r w:rsidRPr="00A91B2C">
        <w:rPr>
          <w:rStyle w:val="markedcontent"/>
          <w:rFonts w:cs="Arial"/>
          <w:lang w:val="fr-FR"/>
        </w:rPr>
        <w:t>absence de financement pour ces travaux, le Secrétariat a recueilli des informations sur les systèmes d</w:t>
      </w:r>
      <w:r w:rsidR="007F23D6" w:rsidRPr="00A91B2C">
        <w:rPr>
          <w:rStyle w:val="markedcontent"/>
          <w:rFonts w:cs="Arial"/>
          <w:lang w:val="fr-FR"/>
        </w:rPr>
        <w:t>’</w:t>
      </w:r>
      <w:r w:rsidRPr="00A91B2C">
        <w:rPr>
          <w:rStyle w:val="markedcontent"/>
          <w:rFonts w:cs="Arial"/>
          <w:lang w:val="fr-FR"/>
        </w:rPr>
        <w:t>accréditation des ONG au sein d</w:t>
      </w:r>
      <w:r w:rsidR="007F23D6" w:rsidRPr="00A91B2C">
        <w:rPr>
          <w:rStyle w:val="markedcontent"/>
          <w:rFonts w:cs="Arial"/>
          <w:lang w:val="fr-FR"/>
        </w:rPr>
        <w:t>’</w:t>
      </w:r>
      <w:r w:rsidRPr="00A91B2C">
        <w:rPr>
          <w:rStyle w:val="markedcontent"/>
          <w:rFonts w:cs="Arial"/>
          <w:lang w:val="fr-FR"/>
        </w:rPr>
        <w:t xml:space="preserve">autres organisations et AME, lesquelles sont compilées dans le document </w:t>
      </w:r>
      <w:hyperlink r:id="rId26" w:history="1">
        <w:r w:rsidRPr="00A91B2C">
          <w:rPr>
            <w:rStyle w:val="Hyperlink"/>
            <w:rFonts w:cs="Arial"/>
            <w:lang w:val="fr-FR"/>
          </w:rPr>
          <w:t>PNUE/CMS/COP15/Inf.18.1</w:t>
        </w:r>
      </w:hyperlink>
      <w:r w:rsidRPr="00A91B2C">
        <w:rPr>
          <w:rFonts w:cs="Arial"/>
          <w:lang w:val="fr-FR"/>
        </w:rPr>
        <w:t xml:space="preserve"> </w:t>
      </w:r>
      <w:r w:rsidRPr="00A91B2C">
        <w:rPr>
          <w:rStyle w:val="markedcontent"/>
          <w:rFonts w:cs="Arial"/>
          <w:i/>
          <w:iCs/>
          <w:lang w:val="fr-FR"/>
        </w:rPr>
        <w:t>Aperçu des systèmes d</w:t>
      </w:r>
      <w:r w:rsidR="007F23D6" w:rsidRPr="00A91B2C">
        <w:rPr>
          <w:rStyle w:val="markedcontent"/>
          <w:rFonts w:cs="Arial"/>
          <w:i/>
          <w:iCs/>
          <w:lang w:val="fr-FR"/>
        </w:rPr>
        <w:t>’</w:t>
      </w:r>
      <w:r w:rsidRPr="00A91B2C">
        <w:rPr>
          <w:rStyle w:val="markedcontent"/>
          <w:rFonts w:cs="Arial"/>
          <w:i/>
          <w:iCs/>
          <w:lang w:val="fr-FR"/>
        </w:rPr>
        <w:t>accréditation des ONG</w:t>
      </w:r>
      <w:r w:rsidRPr="00A91B2C">
        <w:rPr>
          <w:rStyle w:val="markedcontent"/>
          <w:rFonts w:cs="Arial"/>
          <w:lang w:val="fr-FR"/>
        </w:rPr>
        <w:t xml:space="preserve"> afin de soutenir toute décision relative à cette question.</w:t>
      </w:r>
    </w:p>
    <w:p w14:paraId="0312CC04" w14:textId="77777777" w:rsidR="005E4539" w:rsidRPr="00A91B2C" w:rsidRDefault="005E4539">
      <w:pPr>
        <w:pStyle w:val="ListParagraph"/>
        <w:spacing w:after="0" w:line="240" w:lineRule="auto"/>
        <w:ind w:left="567" w:hanging="567"/>
        <w:contextualSpacing w:val="0"/>
        <w:jc w:val="both"/>
        <w:rPr>
          <w:rStyle w:val="markedcontent"/>
          <w:rFonts w:cs="Arial"/>
          <w:lang w:val="fr-FR"/>
        </w:rPr>
      </w:pPr>
    </w:p>
    <w:p w14:paraId="032967BC" w14:textId="77777777" w:rsidR="005E4539" w:rsidRPr="00A91B2C" w:rsidRDefault="003C4062">
      <w:pPr>
        <w:pStyle w:val="ListParagraph"/>
        <w:numPr>
          <w:ilvl w:val="0"/>
          <w:numId w:val="60"/>
        </w:numPr>
        <w:spacing w:after="80" w:line="240" w:lineRule="auto"/>
        <w:ind w:left="567" w:hanging="567"/>
        <w:contextualSpacing w:val="0"/>
        <w:jc w:val="both"/>
        <w:rPr>
          <w:rFonts w:cs="Arial"/>
          <w:lang w:val="fr-FR"/>
        </w:rPr>
      </w:pPr>
      <w:r w:rsidRPr="00A91B2C">
        <w:rPr>
          <w:lang w:val="fr-FR"/>
        </w:rPr>
        <w:t>Sur la base des informations collectées, les ONG peuvent être accréditées pour</w:t>
      </w:r>
      <w:r w:rsidRPr="00A91B2C">
        <w:rPr>
          <w:rFonts w:cs="Arial"/>
          <w:lang w:val="fr-FR"/>
        </w:rPr>
        <w:t xml:space="preserve"> soutenir, informer et examiner la prise de décision intergouvernementale sans disposer de droit de vote :</w:t>
      </w:r>
    </w:p>
    <w:p w14:paraId="667D4634" w14:textId="77777777" w:rsidR="005E4539" w:rsidRPr="00A91B2C" w:rsidRDefault="003C4062">
      <w:pPr>
        <w:pStyle w:val="ListParagraph"/>
        <w:numPr>
          <w:ilvl w:val="0"/>
          <w:numId w:val="75"/>
        </w:numPr>
        <w:spacing w:after="80" w:line="240" w:lineRule="auto"/>
        <w:ind w:left="851" w:hanging="284"/>
        <w:contextualSpacing w:val="0"/>
        <w:jc w:val="both"/>
        <w:rPr>
          <w:lang w:val="fr-FR"/>
        </w:rPr>
      </w:pPr>
      <w:r w:rsidRPr="00A91B2C">
        <w:rPr>
          <w:lang w:val="fr-FR"/>
        </w:rPr>
        <w:t>Participer aux processus de gouvernance, y compris aux réunions des organes directeurs ;</w:t>
      </w:r>
    </w:p>
    <w:p w14:paraId="6EFB1E7C" w14:textId="77777777" w:rsidR="005E4539" w:rsidRPr="00A91B2C" w:rsidRDefault="003C4062">
      <w:pPr>
        <w:pStyle w:val="ListParagraph"/>
        <w:numPr>
          <w:ilvl w:val="0"/>
          <w:numId w:val="75"/>
        </w:numPr>
        <w:spacing w:after="80"/>
        <w:ind w:left="851" w:hanging="284"/>
        <w:jc w:val="both"/>
        <w:rPr>
          <w:lang w:val="fr-FR"/>
        </w:rPr>
      </w:pPr>
      <w:r w:rsidRPr="00A91B2C">
        <w:rPr>
          <w:lang w:val="fr-FR"/>
        </w:rPr>
        <w:t>Fournir une expertise scientifique, technique et politique, notamment des données et des évaluations scientifiques ;</w:t>
      </w:r>
    </w:p>
    <w:p w14:paraId="32CD7F4C" w14:textId="77777777" w:rsidR="005E4539" w:rsidRPr="00A91B2C" w:rsidRDefault="003C4062">
      <w:pPr>
        <w:pStyle w:val="ListParagraph"/>
        <w:numPr>
          <w:ilvl w:val="0"/>
          <w:numId w:val="75"/>
        </w:numPr>
        <w:spacing w:after="80" w:line="240" w:lineRule="auto"/>
        <w:ind w:left="851" w:hanging="284"/>
        <w:contextualSpacing w:val="0"/>
        <w:jc w:val="both"/>
        <w:rPr>
          <w:rFonts w:eastAsia="Calibri" w:cs="Arial"/>
          <w:lang w:val="fr-FR"/>
        </w:rPr>
      </w:pPr>
      <w:r w:rsidRPr="00A91B2C">
        <w:rPr>
          <w:rFonts w:eastAsia="Calibri" w:cs="Arial"/>
          <w:lang w:val="fr-FR"/>
        </w:rPr>
        <w:t>Renforcer la transparence et la responsabilité en surveillant, par exemple, le respect des dispositions et les lacunes dans la mise en œuvre ;</w:t>
      </w:r>
    </w:p>
    <w:p w14:paraId="10995104" w14:textId="77777777" w:rsidR="005E4539" w:rsidRPr="00A91B2C" w:rsidRDefault="003C4062">
      <w:pPr>
        <w:pStyle w:val="ListParagraph"/>
        <w:numPr>
          <w:ilvl w:val="0"/>
          <w:numId w:val="75"/>
        </w:numPr>
        <w:spacing w:after="80" w:line="240" w:lineRule="auto"/>
        <w:ind w:left="851" w:hanging="284"/>
        <w:contextualSpacing w:val="0"/>
        <w:jc w:val="both"/>
        <w:rPr>
          <w:rFonts w:eastAsia="Calibri" w:cs="Arial"/>
          <w:lang w:val="fr-FR"/>
        </w:rPr>
      </w:pPr>
      <w:r w:rsidRPr="00A91B2C">
        <w:rPr>
          <w:rFonts w:eastAsia="Calibri" w:cs="Arial"/>
          <w:lang w:val="fr-FR"/>
        </w:rPr>
        <w:t>Faciliter l</w:t>
      </w:r>
      <w:r w:rsidR="007F23D6" w:rsidRPr="00A91B2C">
        <w:rPr>
          <w:rFonts w:eastAsia="Calibri" w:cs="Arial"/>
          <w:lang w:val="fr-FR"/>
        </w:rPr>
        <w:t>’</w:t>
      </w:r>
      <w:r w:rsidRPr="00A91B2C">
        <w:rPr>
          <w:rFonts w:eastAsia="Calibri" w:cs="Arial"/>
          <w:lang w:val="fr-FR"/>
        </w:rPr>
        <w:t>engagement et la sensibilisation des parties prenantes en organisant des événements parallèles et des expositions, en diffusant les résultats des réunions auprès du public et en établissant des liens entre les gouvernements, la science, la société civile et les communautés ;</w:t>
      </w:r>
    </w:p>
    <w:p w14:paraId="64C5C817" w14:textId="77777777" w:rsidR="005E4539" w:rsidRPr="00A91B2C" w:rsidRDefault="003C4062">
      <w:pPr>
        <w:pStyle w:val="ListParagraph"/>
        <w:numPr>
          <w:ilvl w:val="0"/>
          <w:numId w:val="75"/>
        </w:numPr>
        <w:spacing w:after="0" w:line="240" w:lineRule="auto"/>
        <w:ind w:left="851" w:hanging="284"/>
        <w:contextualSpacing w:val="0"/>
        <w:jc w:val="both"/>
        <w:rPr>
          <w:rFonts w:eastAsia="Calibri" w:cs="Arial"/>
          <w:lang w:val="fr-FR"/>
        </w:rPr>
      </w:pPr>
      <w:r w:rsidRPr="00A91B2C">
        <w:rPr>
          <w:rFonts w:eastAsia="Calibri" w:cs="Arial"/>
          <w:lang w:val="fr-FR"/>
        </w:rPr>
        <w:t>Favoriser la mise en œuvre aux niveaux national et local en réalisant des projets sur le terrain.</w:t>
      </w:r>
    </w:p>
    <w:p w14:paraId="1299F8B1" w14:textId="77777777" w:rsidR="005E4539" w:rsidRPr="00A91B2C" w:rsidRDefault="005E4539">
      <w:pPr>
        <w:pStyle w:val="ListParagraph"/>
        <w:spacing w:after="0" w:line="240" w:lineRule="auto"/>
        <w:ind w:left="540" w:hanging="540"/>
        <w:contextualSpacing w:val="0"/>
        <w:jc w:val="both"/>
        <w:rPr>
          <w:rStyle w:val="markedcontent"/>
          <w:rFonts w:eastAsia="Calibri" w:cs="Arial"/>
          <w:lang w:val="fr-FR"/>
        </w:rPr>
      </w:pPr>
    </w:p>
    <w:p w14:paraId="37E66C14" w14:textId="77777777" w:rsidR="005E4539" w:rsidRPr="00A91B2C" w:rsidRDefault="003C4062">
      <w:pPr>
        <w:pStyle w:val="ListParagraph"/>
        <w:numPr>
          <w:ilvl w:val="0"/>
          <w:numId w:val="60"/>
        </w:numPr>
        <w:spacing w:after="0" w:line="240" w:lineRule="auto"/>
        <w:ind w:hanging="720"/>
        <w:contextualSpacing w:val="0"/>
        <w:jc w:val="both"/>
        <w:rPr>
          <w:rStyle w:val="markedcontent"/>
          <w:rFonts w:cs="Arial"/>
          <w:lang w:val="fr-FR"/>
        </w:rPr>
      </w:pPr>
      <w:r w:rsidRPr="00A91B2C">
        <w:rPr>
          <w:rStyle w:val="markedcontent"/>
          <w:rFonts w:cs="Arial"/>
          <w:lang w:val="fr-FR"/>
        </w:rPr>
        <w:t>Bien que la CMS ne dispose pas d</w:t>
      </w:r>
      <w:r w:rsidR="007F23D6" w:rsidRPr="00A91B2C">
        <w:rPr>
          <w:rStyle w:val="markedcontent"/>
          <w:rFonts w:cs="Arial"/>
          <w:lang w:val="fr-FR"/>
        </w:rPr>
        <w:t>’</w:t>
      </w:r>
      <w:r w:rsidRPr="00A91B2C">
        <w:rPr>
          <w:rStyle w:val="markedcontent"/>
          <w:rFonts w:cs="Arial"/>
          <w:lang w:val="fr-FR"/>
        </w:rPr>
        <w:t>un système formel d</w:t>
      </w:r>
      <w:r w:rsidR="007F23D6" w:rsidRPr="00A91B2C">
        <w:rPr>
          <w:rStyle w:val="markedcontent"/>
          <w:rFonts w:cs="Arial"/>
          <w:lang w:val="fr-FR"/>
        </w:rPr>
        <w:t>’</w:t>
      </w:r>
      <w:r w:rsidRPr="00A91B2C">
        <w:rPr>
          <w:rStyle w:val="markedcontent"/>
          <w:rFonts w:cs="Arial"/>
          <w:lang w:val="fr-FR"/>
        </w:rPr>
        <w:t>accréditation des ONG, elle offre une plateforme ouverte, inclusive et transparente qui permet aux ONG de s</w:t>
      </w:r>
      <w:r w:rsidR="007F23D6" w:rsidRPr="00A91B2C">
        <w:rPr>
          <w:rStyle w:val="markedcontent"/>
          <w:rFonts w:cs="Arial"/>
          <w:lang w:val="fr-FR"/>
        </w:rPr>
        <w:t>’</w:t>
      </w:r>
      <w:r w:rsidRPr="00A91B2C">
        <w:rPr>
          <w:rStyle w:val="markedcontent"/>
          <w:rFonts w:cs="Arial"/>
          <w:lang w:val="fr-FR"/>
        </w:rPr>
        <w:t>engager de manière significative et de participer aux processus de la Convention.</w:t>
      </w:r>
    </w:p>
    <w:p w14:paraId="1DCD0393" w14:textId="77777777" w:rsidR="005E4539" w:rsidRPr="00A91B2C" w:rsidRDefault="005E4539">
      <w:pPr>
        <w:pStyle w:val="ListParagraph"/>
        <w:spacing w:after="0" w:line="240" w:lineRule="auto"/>
        <w:ind w:left="540" w:hanging="540"/>
        <w:contextualSpacing w:val="0"/>
        <w:jc w:val="both"/>
        <w:rPr>
          <w:rStyle w:val="markedcontent"/>
          <w:rFonts w:cs="Arial"/>
          <w:lang w:val="fr-FR"/>
        </w:rPr>
      </w:pPr>
    </w:p>
    <w:p w14:paraId="5D0EDCBE" w14:textId="77777777" w:rsidR="005E4539" w:rsidRPr="00A91B2C" w:rsidRDefault="003C4062">
      <w:pPr>
        <w:pStyle w:val="ListParagraph"/>
        <w:numPr>
          <w:ilvl w:val="0"/>
          <w:numId w:val="60"/>
        </w:numPr>
        <w:spacing w:after="0" w:line="240" w:lineRule="auto"/>
        <w:ind w:hanging="720"/>
        <w:contextualSpacing w:val="0"/>
        <w:jc w:val="both"/>
        <w:rPr>
          <w:rStyle w:val="markedcontent"/>
          <w:rFonts w:cs="Arial"/>
          <w:lang w:val="fr-FR"/>
        </w:rPr>
      </w:pPr>
      <w:r w:rsidRPr="00A91B2C">
        <w:rPr>
          <w:rStyle w:val="markedcontent"/>
          <w:rFonts w:cs="Arial"/>
          <w:lang w:val="fr-FR"/>
        </w:rPr>
        <w:t xml:space="preserve">La participation des ONG aux réunions de la Conférence des Parties est déterminée par les dispositions de la Convention (Art. VII) et son règlement intérieur : le seul critère est que leur expertise </w:t>
      </w:r>
      <w:r w:rsidRPr="00A91B2C">
        <w:rPr>
          <w:rStyle w:val="markedcontent"/>
          <w:lang w:val="fr-FR"/>
        </w:rPr>
        <w:t>corresponde aux objectifs de la CMS.</w:t>
      </w:r>
      <w:r w:rsidRPr="00A91B2C">
        <w:rPr>
          <w:rStyle w:val="markedcontent"/>
          <w:rFonts w:cs="Arial"/>
          <w:lang w:val="fr-FR"/>
        </w:rPr>
        <w:t xml:space="preserve"> Ces dispositions, qui s</w:t>
      </w:r>
      <w:r w:rsidR="007F23D6" w:rsidRPr="00A91B2C">
        <w:rPr>
          <w:rStyle w:val="markedcontent"/>
          <w:rFonts w:cs="Arial"/>
          <w:lang w:val="fr-FR"/>
        </w:rPr>
        <w:t>’</w:t>
      </w:r>
      <w:r w:rsidRPr="00A91B2C">
        <w:rPr>
          <w:rStyle w:val="markedcontent"/>
          <w:rFonts w:cs="Arial"/>
          <w:lang w:val="fr-FR"/>
        </w:rPr>
        <w:t>appliquent à toutes les réunions de la Convention et de ses instruments, ont toujours permis aux ONG d</w:t>
      </w:r>
      <w:r w:rsidR="007F23D6" w:rsidRPr="00A91B2C">
        <w:rPr>
          <w:rStyle w:val="markedcontent"/>
          <w:rFonts w:cs="Arial"/>
          <w:lang w:val="fr-FR"/>
        </w:rPr>
        <w:t>’</w:t>
      </w:r>
      <w:r w:rsidRPr="00A91B2C">
        <w:rPr>
          <w:rStyle w:val="markedcontent"/>
          <w:rFonts w:cs="Arial"/>
          <w:lang w:val="fr-FR"/>
        </w:rPr>
        <w:t>assister aux réunions, de s</w:t>
      </w:r>
      <w:r w:rsidR="007F23D6" w:rsidRPr="00A91B2C">
        <w:rPr>
          <w:rStyle w:val="markedcontent"/>
          <w:rFonts w:cs="Arial"/>
          <w:lang w:val="fr-FR"/>
        </w:rPr>
        <w:t>’</w:t>
      </w:r>
      <w:r w:rsidRPr="00A91B2C">
        <w:rPr>
          <w:rStyle w:val="markedcontent"/>
          <w:rFonts w:cs="Arial"/>
          <w:lang w:val="fr-FR"/>
        </w:rPr>
        <w:t>engager de manière constructive avec les Parties et le Secrétariat, de faire des déclarations et d</w:t>
      </w:r>
      <w:r w:rsidR="007F23D6" w:rsidRPr="00A91B2C">
        <w:rPr>
          <w:rStyle w:val="markedcontent"/>
          <w:rFonts w:cs="Arial"/>
          <w:lang w:val="fr-FR"/>
        </w:rPr>
        <w:t>’</w:t>
      </w:r>
      <w:r w:rsidRPr="00A91B2C">
        <w:rPr>
          <w:rStyle w:val="markedcontent"/>
          <w:rFonts w:cs="Arial"/>
          <w:lang w:val="fr-FR"/>
        </w:rPr>
        <w:t xml:space="preserve">organiser des événements. </w:t>
      </w:r>
    </w:p>
    <w:p w14:paraId="1E3743A9" w14:textId="77777777" w:rsidR="005E4539" w:rsidRPr="00A91B2C" w:rsidRDefault="005E4539">
      <w:pPr>
        <w:pStyle w:val="ListParagraph"/>
        <w:ind w:hanging="720"/>
        <w:rPr>
          <w:rStyle w:val="markedcontent"/>
          <w:rFonts w:cs="Arial"/>
          <w:lang w:val="fr-FR"/>
        </w:rPr>
      </w:pPr>
    </w:p>
    <w:p w14:paraId="492B6DAE" w14:textId="77777777" w:rsidR="005E4539" w:rsidRPr="00A91B2C" w:rsidRDefault="003C4062">
      <w:pPr>
        <w:pStyle w:val="ListParagraph"/>
        <w:numPr>
          <w:ilvl w:val="0"/>
          <w:numId w:val="60"/>
        </w:numPr>
        <w:spacing w:after="0" w:line="240" w:lineRule="auto"/>
        <w:ind w:hanging="720"/>
        <w:contextualSpacing w:val="0"/>
        <w:jc w:val="both"/>
        <w:rPr>
          <w:rStyle w:val="markedcontent"/>
          <w:lang w:val="fr-FR"/>
        </w:rPr>
      </w:pPr>
      <w:r w:rsidRPr="00A91B2C">
        <w:rPr>
          <w:rStyle w:val="markedcontent"/>
          <w:rFonts w:cs="Arial"/>
          <w:lang w:val="fr-FR"/>
        </w:rPr>
        <w:t>Les ONG participent également aux groupes de travail du Conseil scientifique. Elles sont partenaires de nombreuses initiatives et appuient la mise en œuvre d</w:t>
      </w:r>
      <w:r w:rsidR="007F23D6" w:rsidRPr="00A91B2C">
        <w:rPr>
          <w:rStyle w:val="markedcontent"/>
          <w:rFonts w:cs="Arial"/>
          <w:lang w:val="fr-FR"/>
        </w:rPr>
        <w:t>’</w:t>
      </w:r>
      <w:r w:rsidRPr="00A91B2C">
        <w:rPr>
          <w:rStyle w:val="markedcontent"/>
          <w:rFonts w:cs="Arial"/>
          <w:lang w:val="fr-FR"/>
        </w:rPr>
        <w:t>activités sur le terrain, pour lesquelles elles font l</w:t>
      </w:r>
      <w:r w:rsidR="007F23D6" w:rsidRPr="00A91B2C">
        <w:rPr>
          <w:rStyle w:val="markedcontent"/>
          <w:rFonts w:cs="Arial"/>
          <w:lang w:val="fr-FR"/>
        </w:rPr>
        <w:t>’</w:t>
      </w:r>
      <w:r w:rsidRPr="00A91B2C">
        <w:rPr>
          <w:rStyle w:val="markedcontent"/>
          <w:rFonts w:cs="Arial"/>
          <w:lang w:val="fr-FR"/>
        </w:rPr>
        <w:t>objet d</w:t>
      </w:r>
      <w:r w:rsidR="007F23D6" w:rsidRPr="00A91B2C">
        <w:rPr>
          <w:rStyle w:val="markedcontent"/>
          <w:rFonts w:cs="Arial"/>
          <w:lang w:val="fr-FR"/>
        </w:rPr>
        <w:t>’</w:t>
      </w:r>
      <w:r w:rsidRPr="00A91B2C">
        <w:rPr>
          <w:rStyle w:val="markedcontent"/>
          <w:rFonts w:cs="Arial"/>
          <w:lang w:val="fr-FR"/>
        </w:rPr>
        <w:t>une vérification approfondie avant de recevoir des subventions. Les ONG peuvent également soumettre des cas au mécanisme d’examen visant à assurer la conformité à long terme des Parties avec la Convention en portant à l’attention du Secrétariat les questions de non-application pour examen par le Comité permanent.</w:t>
      </w:r>
    </w:p>
    <w:p w14:paraId="221B8A66" w14:textId="77777777" w:rsidR="005E4539" w:rsidRPr="00A91B2C" w:rsidRDefault="005E4539">
      <w:pPr>
        <w:pStyle w:val="ListParagraph"/>
        <w:ind w:hanging="720"/>
        <w:rPr>
          <w:rStyle w:val="markedcontent"/>
          <w:rFonts w:cs="Arial"/>
          <w:lang w:val="fr-FR"/>
        </w:rPr>
      </w:pPr>
    </w:p>
    <w:p w14:paraId="15992AE6" w14:textId="77777777" w:rsidR="005E4539" w:rsidRPr="00A91B2C" w:rsidRDefault="003C4062">
      <w:pPr>
        <w:pStyle w:val="ListParagraph"/>
        <w:numPr>
          <w:ilvl w:val="0"/>
          <w:numId w:val="60"/>
        </w:numPr>
        <w:spacing w:after="0" w:line="240" w:lineRule="auto"/>
        <w:ind w:hanging="720"/>
        <w:contextualSpacing w:val="0"/>
        <w:jc w:val="both"/>
        <w:rPr>
          <w:rStyle w:val="markedcontent"/>
          <w:rFonts w:cs="Arial"/>
          <w:lang w:val="fr-FR"/>
        </w:rPr>
      </w:pPr>
      <w:r w:rsidRPr="00A91B2C">
        <w:rPr>
          <w:rStyle w:val="markedcontent"/>
          <w:rFonts w:cs="Arial"/>
          <w:lang w:val="fr-FR"/>
        </w:rPr>
        <w:lastRenderedPageBreak/>
        <w:t>Tout au long de l</w:t>
      </w:r>
      <w:r w:rsidR="007F23D6" w:rsidRPr="00A91B2C">
        <w:rPr>
          <w:rStyle w:val="markedcontent"/>
          <w:rFonts w:cs="Arial"/>
          <w:lang w:val="fr-FR"/>
        </w:rPr>
        <w:t>’</w:t>
      </w:r>
      <w:r w:rsidRPr="00A91B2C">
        <w:rPr>
          <w:rStyle w:val="markedcontent"/>
          <w:rFonts w:cs="Arial"/>
          <w:lang w:val="fr-FR"/>
        </w:rPr>
        <w:t>histoire de la Convention, ces approches ont fonctionné efficacement et il n</w:t>
      </w:r>
      <w:r w:rsidR="007F23D6" w:rsidRPr="00A91B2C">
        <w:rPr>
          <w:rStyle w:val="markedcontent"/>
          <w:rFonts w:cs="Arial"/>
          <w:lang w:val="fr-FR"/>
        </w:rPr>
        <w:t>’</w:t>
      </w:r>
      <w:r w:rsidRPr="00A91B2C">
        <w:rPr>
          <w:rStyle w:val="markedcontent"/>
          <w:rFonts w:cs="Arial"/>
          <w:lang w:val="fr-FR"/>
        </w:rPr>
        <w:t>y a jamais eu d</w:t>
      </w:r>
      <w:r w:rsidR="007F23D6" w:rsidRPr="00A91B2C">
        <w:rPr>
          <w:rStyle w:val="markedcontent"/>
          <w:rFonts w:cs="Arial"/>
          <w:lang w:val="fr-FR"/>
        </w:rPr>
        <w:t>’</w:t>
      </w:r>
      <w:r w:rsidRPr="00A91B2C">
        <w:rPr>
          <w:rStyle w:val="markedcontent"/>
          <w:rFonts w:cs="Arial"/>
          <w:lang w:val="fr-FR"/>
        </w:rPr>
        <w:t>obstacle significatif à la participation des ONG qui justifierait un mécanisme d</w:t>
      </w:r>
      <w:r w:rsidR="007F23D6" w:rsidRPr="00A91B2C">
        <w:rPr>
          <w:rStyle w:val="markedcontent"/>
          <w:rFonts w:cs="Arial"/>
          <w:lang w:val="fr-FR"/>
        </w:rPr>
        <w:t>’</w:t>
      </w:r>
      <w:r w:rsidRPr="00A91B2C">
        <w:rPr>
          <w:rStyle w:val="markedcontent"/>
          <w:rFonts w:cs="Arial"/>
          <w:lang w:val="fr-FR"/>
        </w:rPr>
        <w:t xml:space="preserve">accréditation supplémentaire. </w:t>
      </w:r>
    </w:p>
    <w:p w14:paraId="300F63BE" w14:textId="77777777" w:rsidR="005E4539" w:rsidRPr="00A91B2C" w:rsidRDefault="005E4539">
      <w:pPr>
        <w:spacing w:after="0" w:line="240" w:lineRule="auto"/>
        <w:ind w:hanging="720"/>
        <w:jc w:val="both"/>
        <w:rPr>
          <w:rStyle w:val="markedcontent"/>
          <w:rFonts w:cs="Arial"/>
          <w:lang w:val="fr-FR"/>
        </w:rPr>
      </w:pPr>
    </w:p>
    <w:p w14:paraId="59722D9D" w14:textId="77777777" w:rsidR="005E4539" w:rsidRPr="00A91B2C" w:rsidRDefault="003C4062">
      <w:pPr>
        <w:pStyle w:val="ListParagraph"/>
        <w:numPr>
          <w:ilvl w:val="0"/>
          <w:numId w:val="60"/>
        </w:numPr>
        <w:spacing w:after="0" w:line="240" w:lineRule="auto"/>
        <w:ind w:hanging="720"/>
        <w:contextualSpacing w:val="0"/>
        <w:jc w:val="both"/>
        <w:rPr>
          <w:rStyle w:val="markedcontent"/>
          <w:rFonts w:cs="Arial"/>
          <w:lang w:val="fr-FR"/>
        </w:rPr>
      </w:pPr>
      <w:r w:rsidRPr="00A91B2C">
        <w:rPr>
          <w:rStyle w:val="markedcontent"/>
          <w:rFonts w:cs="Arial"/>
          <w:lang w:val="fr-FR"/>
        </w:rPr>
        <w:t>Le cadre existant garantit la transparence tout en préservant l</w:t>
      </w:r>
      <w:r w:rsidR="007F23D6" w:rsidRPr="00A91B2C">
        <w:rPr>
          <w:rStyle w:val="markedcontent"/>
          <w:rFonts w:cs="Arial"/>
          <w:lang w:val="fr-FR"/>
        </w:rPr>
        <w:t>’</w:t>
      </w:r>
      <w:r w:rsidRPr="00A91B2C">
        <w:rPr>
          <w:rStyle w:val="markedcontent"/>
          <w:rFonts w:cs="Arial"/>
          <w:lang w:val="fr-FR"/>
        </w:rPr>
        <w:t>intégrité des procédures, et il a permis une collaboration productive entre les Parties, le Secrétariat et la société civile. L</w:t>
      </w:r>
      <w:r w:rsidR="007F23D6" w:rsidRPr="00A91B2C">
        <w:rPr>
          <w:rStyle w:val="markedcontent"/>
          <w:rFonts w:cs="Arial"/>
          <w:lang w:val="fr-FR"/>
        </w:rPr>
        <w:t>’</w:t>
      </w:r>
      <w:r w:rsidRPr="00A91B2C">
        <w:rPr>
          <w:rStyle w:val="markedcontent"/>
          <w:rFonts w:cs="Arial"/>
          <w:lang w:val="fr-FR"/>
        </w:rPr>
        <w:t>introduction d</w:t>
      </w:r>
      <w:r w:rsidR="007F23D6" w:rsidRPr="00A91B2C">
        <w:rPr>
          <w:rStyle w:val="markedcontent"/>
          <w:rFonts w:cs="Arial"/>
          <w:lang w:val="fr-FR"/>
        </w:rPr>
        <w:t>’</w:t>
      </w:r>
      <w:r w:rsidRPr="00A91B2C">
        <w:rPr>
          <w:rStyle w:val="markedcontent"/>
          <w:rFonts w:cs="Arial"/>
          <w:lang w:val="fr-FR"/>
        </w:rPr>
        <w:t>un système d</w:t>
      </w:r>
      <w:r w:rsidR="007F23D6" w:rsidRPr="00A91B2C">
        <w:rPr>
          <w:rStyle w:val="markedcontent"/>
          <w:rFonts w:cs="Arial"/>
          <w:lang w:val="fr-FR"/>
        </w:rPr>
        <w:t>’</w:t>
      </w:r>
      <w:r w:rsidRPr="00A91B2C">
        <w:rPr>
          <w:rStyle w:val="markedcontent"/>
          <w:rFonts w:cs="Arial"/>
          <w:lang w:val="fr-FR"/>
        </w:rPr>
        <w:t>accréditation des ONG pourrait créer des charges administratives inutiles et risquerait de limiter le caractère inclusif de la Convention, sans pour autant remédier à des lacunes avérées. Les dispositions actuelles de la Convention devraient suffire à soutenir l</w:t>
      </w:r>
      <w:r w:rsidR="007F23D6" w:rsidRPr="00A91B2C">
        <w:rPr>
          <w:rStyle w:val="markedcontent"/>
          <w:rFonts w:cs="Arial"/>
          <w:lang w:val="fr-FR"/>
        </w:rPr>
        <w:t>’</w:t>
      </w:r>
      <w:r w:rsidRPr="00A91B2C">
        <w:rPr>
          <w:rStyle w:val="markedcontent"/>
          <w:rFonts w:cs="Arial"/>
          <w:lang w:val="fr-FR"/>
        </w:rPr>
        <w:t>engagement efficace des ONG ; aucun système d</w:t>
      </w:r>
      <w:r w:rsidR="007F23D6" w:rsidRPr="00A91B2C">
        <w:rPr>
          <w:rStyle w:val="markedcontent"/>
          <w:rFonts w:cs="Arial"/>
          <w:lang w:val="fr-FR"/>
        </w:rPr>
        <w:t>’</w:t>
      </w:r>
      <w:r w:rsidRPr="00A91B2C">
        <w:rPr>
          <w:rStyle w:val="markedcontent"/>
          <w:rFonts w:cs="Arial"/>
          <w:lang w:val="fr-FR"/>
        </w:rPr>
        <w:t xml:space="preserve">accréditation distinct ne semble nécessaire. </w:t>
      </w:r>
    </w:p>
    <w:p w14:paraId="0C4CC5B7" w14:textId="77777777" w:rsidR="005E4539" w:rsidRPr="00A91B2C" w:rsidRDefault="005E4539">
      <w:pPr>
        <w:pStyle w:val="ListParagraph"/>
        <w:spacing w:after="0" w:line="240" w:lineRule="auto"/>
        <w:ind w:left="540"/>
        <w:contextualSpacing w:val="0"/>
        <w:jc w:val="both"/>
        <w:rPr>
          <w:rStyle w:val="markedcontent"/>
          <w:rFonts w:cs="Arial"/>
          <w:highlight w:val="yellow"/>
          <w:lang w:val="fr-FR"/>
        </w:rPr>
      </w:pPr>
    </w:p>
    <w:p w14:paraId="7849C39C" w14:textId="77777777" w:rsidR="005E4539" w:rsidRPr="00A91B2C" w:rsidRDefault="003C4062">
      <w:pPr>
        <w:suppressAutoHyphens/>
        <w:autoSpaceDN w:val="0"/>
        <w:spacing w:after="0" w:line="240" w:lineRule="auto"/>
        <w:jc w:val="both"/>
        <w:textAlignment w:val="baseline"/>
        <w:rPr>
          <w:rFonts w:eastAsia="Calibri" w:cs="Arial"/>
          <w:u w:val="single"/>
          <w:lang w:val="fr-FR"/>
        </w:rPr>
      </w:pPr>
      <w:r w:rsidRPr="00A91B2C">
        <w:rPr>
          <w:rFonts w:eastAsia="Calibri" w:cs="Arial"/>
          <w:u w:val="single"/>
          <w:lang w:val="fr-FR"/>
        </w:rPr>
        <w:t xml:space="preserve">Mise en œuvre des décisions 14.9 et 14.10 c) — </w:t>
      </w:r>
      <w:r w:rsidRPr="00A91B2C">
        <w:rPr>
          <w:rStyle w:val="markedcontent"/>
          <w:i/>
          <w:iCs/>
          <w:u w:val="single"/>
          <w:lang w:val="fr-FR"/>
        </w:rPr>
        <w:t>Participation des peuples autochtones, des groupes de jeunes et des communautés locales aux processus de la CMS</w:t>
      </w:r>
    </w:p>
    <w:p w14:paraId="40E23879" w14:textId="77777777" w:rsidR="005E4539" w:rsidRPr="00A91B2C" w:rsidRDefault="005E4539">
      <w:pPr>
        <w:pStyle w:val="ListParagraph"/>
        <w:spacing w:after="0" w:line="240" w:lineRule="auto"/>
        <w:ind w:left="540" w:hanging="540"/>
        <w:contextualSpacing w:val="0"/>
        <w:jc w:val="both"/>
        <w:rPr>
          <w:rStyle w:val="markedcontent"/>
          <w:rFonts w:cs="Arial"/>
          <w:highlight w:val="yellow"/>
          <w:lang w:val="fr-FR"/>
        </w:rPr>
      </w:pPr>
    </w:p>
    <w:p w14:paraId="419D5D16" w14:textId="5E38FCD2" w:rsidR="005E4539" w:rsidRPr="00A91B2C" w:rsidRDefault="003C4062">
      <w:pPr>
        <w:pStyle w:val="ListParagraph"/>
        <w:numPr>
          <w:ilvl w:val="0"/>
          <w:numId w:val="60"/>
        </w:numPr>
        <w:suppressAutoHyphens/>
        <w:autoSpaceDN w:val="0"/>
        <w:spacing w:after="0" w:line="240" w:lineRule="auto"/>
        <w:ind w:hanging="540"/>
        <w:contextualSpacing w:val="0"/>
        <w:jc w:val="both"/>
        <w:textAlignment w:val="baseline"/>
        <w:rPr>
          <w:lang w:val="fr-FR"/>
        </w:rPr>
      </w:pPr>
      <w:r w:rsidRPr="00A91B2C">
        <w:rPr>
          <w:rStyle w:val="markedcontent"/>
          <w:rFonts w:cs="Arial"/>
          <w:lang w:val="fr-FR"/>
        </w:rPr>
        <w:t xml:space="preserve">La décision 14.9, ainsi que la décision 14.10 c) et les paragraphes 3 et 8 de la </w:t>
      </w:r>
      <w:r w:rsidRPr="00A91B2C">
        <w:rPr>
          <w:rStyle w:val="markedcontent"/>
          <w:lang w:val="fr-FR"/>
        </w:rPr>
        <w:t xml:space="preserve">Résolution 11.10 (Rev.COP14) </w:t>
      </w:r>
      <w:r w:rsidRPr="00A91B2C">
        <w:rPr>
          <w:rStyle w:val="markedcontent"/>
          <w:rFonts w:cs="Arial"/>
          <w:lang w:val="fr-FR"/>
        </w:rPr>
        <w:t>visent à promouvoir des moyens permettant de faciliter la participation et l</w:t>
      </w:r>
      <w:r w:rsidR="007F23D6" w:rsidRPr="00A91B2C">
        <w:rPr>
          <w:rStyle w:val="markedcontent"/>
          <w:rFonts w:cs="Arial"/>
          <w:lang w:val="fr-FR"/>
        </w:rPr>
        <w:t>’</w:t>
      </w:r>
      <w:r w:rsidRPr="00A91B2C">
        <w:rPr>
          <w:rStyle w:val="markedcontent"/>
          <w:rFonts w:cs="Arial"/>
          <w:lang w:val="fr-FR"/>
        </w:rPr>
        <w:t xml:space="preserve">engagement des peuples autochtones et des communautés locales (PACL) et des groupes de jeunes. Le document </w:t>
      </w:r>
      <w:hyperlink r:id="rId27" w:history="1">
        <w:r w:rsidRPr="00A91B2C">
          <w:rPr>
            <w:rStyle w:val="Hyperlink"/>
            <w:lang w:val="fr-FR"/>
          </w:rPr>
          <w:t>UNEP/CMS/COP15/Doc.28.14</w:t>
        </w:r>
      </w:hyperlink>
      <w:r w:rsidRPr="00A91B2C">
        <w:rPr>
          <w:lang w:val="fr-FR"/>
        </w:rPr>
        <w:t xml:space="preserve"> </w:t>
      </w:r>
      <w:r w:rsidRPr="00A91B2C">
        <w:rPr>
          <w:i/>
          <w:iCs/>
          <w:lang w:val="fr-FR"/>
        </w:rPr>
        <w:t xml:space="preserve">Systèmes de connaissances multiples </w:t>
      </w:r>
      <w:r w:rsidRPr="00A91B2C">
        <w:rPr>
          <w:lang w:val="fr-FR"/>
        </w:rPr>
        <w:t>aborde la question de l</w:t>
      </w:r>
      <w:r w:rsidR="007F23D6" w:rsidRPr="00A91B2C">
        <w:rPr>
          <w:lang w:val="fr-FR"/>
        </w:rPr>
        <w:t>’</w:t>
      </w:r>
      <w:r w:rsidRPr="00A91B2C">
        <w:rPr>
          <w:lang w:val="fr-FR"/>
        </w:rPr>
        <w:t xml:space="preserve">engagement des PACL et le document </w:t>
      </w:r>
      <w:hyperlink r:id="rId28" w:history="1">
        <w:r w:rsidRPr="00A91B2C">
          <w:rPr>
            <w:rStyle w:val="Hyperlink"/>
            <w:lang w:val="fr-FR"/>
          </w:rPr>
          <w:t>UNEP/CMS/COP15/Doc.28.4</w:t>
        </w:r>
      </w:hyperlink>
      <w:r w:rsidRPr="00A91B2C">
        <w:rPr>
          <w:lang w:val="fr-FR"/>
        </w:rPr>
        <w:t xml:space="preserve"> </w:t>
      </w:r>
      <w:r w:rsidRPr="00A91B2C">
        <w:rPr>
          <w:i/>
          <w:iCs/>
          <w:lang w:val="fr-FR"/>
        </w:rPr>
        <w:t>Communautés et moyens d</w:t>
      </w:r>
      <w:r w:rsidR="007F23D6" w:rsidRPr="00A91B2C">
        <w:rPr>
          <w:i/>
          <w:iCs/>
          <w:lang w:val="fr-FR"/>
        </w:rPr>
        <w:t>’</w:t>
      </w:r>
      <w:r w:rsidRPr="00A91B2C">
        <w:rPr>
          <w:i/>
          <w:iCs/>
          <w:lang w:val="fr-FR"/>
        </w:rPr>
        <w:t>existence</w:t>
      </w:r>
      <w:r w:rsidRPr="00A91B2C">
        <w:rPr>
          <w:lang w:val="fr-FR"/>
        </w:rPr>
        <w:t xml:space="preserve"> présente des principes directeurs et des approches communautaires afin de promouvoir la conservation des espèces inscrites aux Annexes de la CMS grâce à l</w:t>
      </w:r>
      <w:r w:rsidR="007F23D6" w:rsidRPr="00A91B2C">
        <w:rPr>
          <w:lang w:val="fr-FR"/>
        </w:rPr>
        <w:t>’</w:t>
      </w:r>
      <w:r w:rsidRPr="00A91B2C">
        <w:rPr>
          <w:lang w:val="fr-FR"/>
        </w:rPr>
        <w:t>engagement communautaire.</w:t>
      </w:r>
    </w:p>
    <w:p w14:paraId="4D08FABF" w14:textId="77777777" w:rsidR="005E4539" w:rsidRPr="00A91B2C" w:rsidRDefault="005E4539">
      <w:pPr>
        <w:pStyle w:val="ListParagraph"/>
        <w:suppressAutoHyphens/>
        <w:autoSpaceDN w:val="0"/>
        <w:spacing w:after="0" w:line="240" w:lineRule="auto"/>
        <w:ind w:left="567" w:hanging="540"/>
        <w:contextualSpacing w:val="0"/>
        <w:jc w:val="both"/>
        <w:textAlignment w:val="baseline"/>
        <w:rPr>
          <w:lang w:val="fr-FR"/>
        </w:rPr>
      </w:pPr>
    </w:p>
    <w:p w14:paraId="6C883E7C" w14:textId="77777777" w:rsidR="005E4539" w:rsidRPr="00A91B2C" w:rsidRDefault="003C4062">
      <w:pPr>
        <w:pStyle w:val="ListParagraph"/>
        <w:numPr>
          <w:ilvl w:val="0"/>
          <w:numId w:val="60"/>
        </w:numPr>
        <w:suppressAutoHyphens/>
        <w:autoSpaceDN w:val="0"/>
        <w:spacing w:after="0" w:line="240" w:lineRule="auto"/>
        <w:ind w:hanging="540"/>
        <w:contextualSpacing w:val="0"/>
        <w:jc w:val="both"/>
        <w:textAlignment w:val="baseline"/>
        <w:rPr>
          <w:lang w:val="fr-FR"/>
        </w:rPr>
      </w:pPr>
      <w:r w:rsidRPr="00A91B2C">
        <w:rPr>
          <w:lang w:val="fr-FR"/>
        </w:rPr>
        <w:t>Des initiatives de sensibilisation ont été menées auprès d</w:t>
      </w:r>
      <w:r w:rsidR="007F23D6" w:rsidRPr="00A91B2C">
        <w:rPr>
          <w:lang w:val="fr-FR"/>
        </w:rPr>
        <w:t>’</w:t>
      </w:r>
      <w:r w:rsidRPr="00A91B2C">
        <w:rPr>
          <w:lang w:val="fr-FR"/>
        </w:rPr>
        <w:t xml:space="preserve">organisations de jeunes, notamment le Grand groupe des enfants et des jeunes auprès du PNUE dans le cadre de la campagne de la Journée mondiale des oiseaux migrateurs, et dans le but de favoriser leur implication dans les réunions de la Conférence des Parties. </w:t>
      </w:r>
    </w:p>
    <w:p w14:paraId="41D217BA" w14:textId="77777777" w:rsidR="005E4539" w:rsidRPr="00A91B2C" w:rsidRDefault="005E4539">
      <w:pPr>
        <w:pStyle w:val="ListParagraph"/>
        <w:suppressAutoHyphens/>
        <w:autoSpaceDN w:val="0"/>
        <w:spacing w:after="0" w:line="240" w:lineRule="auto"/>
        <w:ind w:left="540" w:hanging="540"/>
        <w:contextualSpacing w:val="0"/>
        <w:jc w:val="both"/>
        <w:textAlignment w:val="baseline"/>
        <w:rPr>
          <w:lang w:val="fr-FR"/>
        </w:rPr>
      </w:pPr>
    </w:p>
    <w:p w14:paraId="33E51E00" w14:textId="77777777" w:rsidR="005E4539" w:rsidRPr="00A91B2C" w:rsidRDefault="003C4062">
      <w:pPr>
        <w:pStyle w:val="ListParagraph"/>
        <w:numPr>
          <w:ilvl w:val="0"/>
          <w:numId w:val="60"/>
        </w:numPr>
        <w:suppressAutoHyphens/>
        <w:autoSpaceDN w:val="0"/>
        <w:spacing w:after="0" w:line="240" w:lineRule="auto"/>
        <w:ind w:hanging="540"/>
        <w:contextualSpacing w:val="0"/>
        <w:jc w:val="both"/>
        <w:textAlignment w:val="baseline"/>
        <w:rPr>
          <w:lang w:val="fr-FR"/>
        </w:rPr>
      </w:pPr>
      <w:r w:rsidRPr="00A91B2C">
        <w:rPr>
          <w:lang w:val="fr-FR"/>
        </w:rPr>
        <w:t>La Convention sur la diversité biologique (CDB) a mis en place des mécanismes solides pour garantir la participation effective des PACL ainsi que des groupes de jeunes. Afin d</w:t>
      </w:r>
      <w:r w:rsidR="007F23D6" w:rsidRPr="00A91B2C">
        <w:rPr>
          <w:lang w:val="fr-FR"/>
        </w:rPr>
        <w:t>’</w:t>
      </w:r>
      <w:r w:rsidRPr="00A91B2C">
        <w:rPr>
          <w:lang w:val="fr-FR"/>
        </w:rPr>
        <w:t>éviter la duplication des efforts et de promouvoir la cohérence, le Secrétariat de la CMS cherche à s</w:t>
      </w:r>
      <w:r w:rsidR="007F23D6" w:rsidRPr="00A91B2C">
        <w:rPr>
          <w:lang w:val="fr-FR"/>
        </w:rPr>
        <w:t>’</w:t>
      </w:r>
      <w:r w:rsidRPr="00A91B2C">
        <w:rPr>
          <w:lang w:val="fr-FR"/>
        </w:rPr>
        <w:t>appuyer sur ces mécanismes existants plutôt qu</w:t>
      </w:r>
      <w:r w:rsidR="007F23D6" w:rsidRPr="00A91B2C">
        <w:rPr>
          <w:lang w:val="fr-FR"/>
        </w:rPr>
        <w:t>’</w:t>
      </w:r>
      <w:r w:rsidRPr="00A91B2C">
        <w:rPr>
          <w:lang w:val="fr-FR"/>
        </w:rPr>
        <w:t xml:space="preserve">à élaborer des processus parallèles. </w:t>
      </w:r>
    </w:p>
    <w:p w14:paraId="77BCC142" w14:textId="77777777" w:rsidR="005E4539" w:rsidRPr="00A91B2C" w:rsidRDefault="005E4539">
      <w:pPr>
        <w:pStyle w:val="ListParagraph"/>
        <w:spacing w:after="0" w:line="240" w:lineRule="auto"/>
        <w:ind w:left="540" w:hanging="540"/>
        <w:contextualSpacing w:val="0"/>
        <w:jc w:val="both"/>
        <w:rPr>
          <w:rStyle w:val="markedcontent"/>
          <w:rFonts w:cs="Arial"/>
          <w:highlight w:val="yellow"/>
          <w:lang w:val="fr-FR"/>
        </w:rPr>
      </w:pPr>
    </w:p>
    <w:p w14:paraId="1F4F0A53" w14:textId="77777777" w:rsidR="005E4539" w:rsidRPr="00A91B2C" w:rsidRDefault="003C4062">
      <w:pPr>
        <w:suppressAutoHyphens/>
        <w:autoSpaceDN w:val="0"/>
        <w:spacing w:after="0" w:line="240" w:lineRule="auto"/>
        <w:jc w:val="both"/>
        <w:textAlignment w:val="baseline"/>
        <w:rPr>
          <w:rFonts w:eastAsia="Calibri" w:cs="Arial"/>
          <w:u w:val="single"/>
          <w:lang w:val="fr-FR"/>
        </w:rPr>
      </w:pPr>
      <w:r w:rsidRPr="00A91B2C">
        <w:rPr>
          <w:rFonts w:eastAsia="Calibri" w:cs="Arial"/>
          <w:u w:val="single"/>
          <w:lang w:val="fr-FR"/>
        </w:rPr>
        <w:t xml:space="preserve">Mise en œuvre de la décision 14.10 d) — </w:t>
      </w:r>
      <w:r w:rsidRPr="00A91B2C">
        <w:rPr>
          <w:rStyle w:val="markedcontent"/>
          <w:i/>
          <w:iCs/>
          <w:u w:val="single"/>
          <w:lang w:val="fr-FR"/>
        </w:rPr>
        <w:t>Examen des valeurs culturelles tangibles et intangibles associées aux espèces migratrices et à leur conservation</w:t>
      </w:r>
    </w:p>
    <w:p w14:paraId="364BC3AE" w14:textId="77777777" w:rsidR="005E4539" w:rsidRPr="00A91B2C" w:rsidRDefault="005E4539">
      <w:pPr>
        <w:pStyle w:val="ListParagraph"/>
        <w:spacing w:after="0" w:line="240" w:lineRule="auto"/>
        <w:contextualSpacing w:val="0"/>
        <w:rPr>
          <w:rFonts w:eastAsia="Calibri" w:cs="Arial"/>
          <w:highlight w:val="yellow"/>
          <w:lang w:val="fr-FR"/>
        </w:rPr>
      </w:pPr>
    </w:p>
    <w:p w14:paraId="139EC687" w14:textId="77777777" w:rsidR="005E4539" w:rsidRPr="00A91B2C" w:rsidRDefault="003C4062" w:rsidP="009F0393">
      <w:pPr>
        <w:pStyle w:val="ListParagraph"/>
        <w:numPr>
          <w:ilvl w:val="0"/>
          <w:numId w:val="60"/>
        </w:numPr>
        <w:spacing w:after="0"/>
        <w:jc w:val="both"/>
        <w:rPr>
          <w:rFonts w:cs="Arial"/>
          <w:b/>
          <w:bCs/>
          <w:lang w:val="fr-FR"/>
        </w:rPr>
      </w:pPr>
      <w:r w:rsidRPr="00A91B2C">
        <w:rPr>
          <w:rStyle w:val="markedcontent"/>
          <w:rFonts w:cs="Arial"/>
          <w:lang w:val="fr-FR"/>
        </w:rPr>
        <w:t>En raison du manque de ressources externes, le Secrétariat n</w:t>
      </w:r>
      <w:r w:rsidR="007F23D6" w:rsidRPr="00A91B2C">
        <w:rPr>
          <w:rStyle w:val="markedcontent"/>
          <w:rFonts w:cs="Arial"/>
          <w:lang w:val="fr-FR"/>
        </w:rPr>
        <w:t>’</w:t>
      </w:r>
      <w:r w:rsidRPr="00A91B2C">
        <w:rPr>
          <w:rStyle w:val="markedcontent"/>
          <w:rFonts w:cs="Arial"/>
          <w:lang w:val="fr-FR"/>
        </w:rPr>
        <w:t>a pas été en mesure d</w:t>
      </w:r>
      <w:r w:rsidR="007F23D6" w:rsidRPr="00A91B2C">
        <w:rPr>
          <w:rStyle w:val="markedcontent"/>
          <w:rFonts w:cs="Arial"/>
          <w:lang w:val="fr-FR"/>
        </w:rPr>
        <w:t>’</w:t>
      </w:r>
      <w:r w:rsidRPr="00A91B2C">
        <w:rPr>
          <w:rStyle w:val="markedcontent"/>
          <w:rFonts w:cs="Arial"/>
          <w:lang w:val="fr-FR"/>
        </w:rPr>
        <w:t>entreprendre cet examen. La Décision est donc incluse dans l</w:t>
      </w:r>
      <w:r w:rsidR="007F23D6" w:rsidRPr="00A91B2C">
        <w:rPr>
          <w:rStyle w:val="markedcontent"/>
          <w:rFonts w:cs="Arial"/>
          <w:lang w:val="fr-FR"/>
        </w:rPr>
        <w:t>’</w:t>
      </w:r>
      <w:r w:rsidRPr="00A91B2C">
        <w:rPr>
          <w:rStyle w:val="markedcontent"/>
          <w:rFonts w:cs="Arial"/>
          <w:lang w:val="fr-FR"/>
        </w:rPr>
        <w:t>Annexe du document pour examen par la COP15. Toutefois, il convient de noter que l</w:t>
      </w:r>
      <w:r w:rsidR="007F23D6" w:rsidRPr="00A91B2C">
        <w:rPr>
          <w:rStyle w:val="markedcontent"/>
          <w:rFonts w:cs="Arial"/>
          <w:lang w:val="fr-FR"/>
        </w:rPr>
        <w:t>’</w:t>
      </w:r>
      <w:r w:rsidRPr="00A91B2C">
        <w:rPr>
          <w:rStyle w:val="markedcontent"/>
          <w:rFonts w:cs="Arial"/>
          <w:lang w:val="fr-FR"/>
        </w:rPr>
        <w:t xml:space="preserve">IPBES a entrepris une </w:t>
      </w:r>
      <w:hyperlink r:id="rId29" w:history="1">
        <w:r w:rsidRPr="00A91B2C">
          <w:rPr>
            <w:rStyle w:val="Hyperlink"/>
            <w:rFonts w:cs="Arial"/>
            <w:i/>
            <w:iCs/>
            <w:lang w:val="fr-FR"/>
          </w:rPr>
          <w:t xml:space="preserve">évaluation </w:t>
        </w:r>
        <w:r w:rsidR="002A3F32" w:rsidRPr="00A91B2C">
          <w:rPr>
            <w:rStyle w:val="Hyperlink"/>
            <w:rFonts w:cs="Arial"/>
            <w:i/>
            <w:iCs/>
            <w:lang w:val="fr-FR"/>
          </w:rPr>
          <w:t>méthodologique des diverses conceptualisations des multiples valeurs de la nature et de ses bienfaits, y compris de la biodiversité et des fonctions et services écosystémique</w:t>
        </w:r>
        <w:r w:rsidRPr="00A91B2C">
          <w:rPr>
            <w:rStyle w:val="Hyperlink"/>
            <w:rFonts w:cs="Arial"/>
            <w:i/>
            <w:iCs/>
            <w:lang w:val="fr-FR"/>
          </w:rPr>
          <w:t>s</w:t>
        </w:r>
      </w:hyperlink>
      <w:r w:rsidRPr="00A91B2C">
        <w:rPr>
          <w:rFonts w:cs="Arial"/>
          <w:lang w:val="fr-FR"/>
        </w:rPr>
        <w:t>, qui a été approuvée en 2022</w:t>
      </w:r>
      <w:r w:rsidRPr="00A91B2C">
        <w:rPr>
          <w:rFonts w:cs="Arial"/>
          <w:b/>
          <w:bCs/>
          <w:lang w:val="fr-FR"/>
        </w:rPr>
        <w:t xml:space="preserve"> </w:t>
      </w:r>
      <w:r w:rsidRPr="00A91B2C">
        <w:rPr>
          <w:rFonts w:cs="Arial"/>
          <w:lang w:val="fr-FR"/>
        </w:rPr>
        <w:t>et qui couvrirait déjà largement les aspects de l</w:t>
      </w:r>
      <w:r w:rsidR="007F23D6" w:rsidRPr="00A91B2C">
        <w:rPr>
          <w:rFonts w:cs="Arial"/>
          <w:lang w:val="fr-FR"/>
        </w:rPr>
        <w:t>’</w:t>
      </w:r>
      <w:r w:rsidRPr="00A91B2C">
        <w:rPr>
          <w:rFonts w:cs="Arial"/>
          <w:lang w:val="fr-FR"/>
        </w:rPr>
        <w:t xml:space="preserve">examen mandaté par la décision 14.10 d).  </w:t>
      </w:r>
    </w:p>
    <w:p w14:paraId="4D32D420" w14:textId="77777777" w:rsidR="005E4539" w:rsidRPr="00A91B2C" w:rsidRDefault="005E4539">
      <w:pPr>
        <w:suppressAutoHyphens/>
        <w:autoSpaceDN w:val="0"/>
        <w:spacing w:after="0" w:line="240" w:lineRule="auto"/>
        <w:textAlignment w:val="baseline"/>
        <w:rPr>
          <w:rFonts w:eastAsia="Calibri" w:cs="Arial"/>
          <w:highlight w:val="yellow"/>
          <w:u w:val="single"/>
          <w:lang w:val="fr-FR"/>
        </w:rPr>
      </w:pPr>
    </w:p>
    <w:p w14:paraId="3200BA79" w14:textId="77777777" w:rsidR="005E4539" w:rsidRPr="00A91B2C" w:rsidRDefault="003C4062">
      <w:pPr>
        <w:suppressAutoHyphens/>
        <w:autoSpaceDN w:val="0"/>
        <w:spacing w:after="0" w:line="240" w:lineRule="auto"/>
        <w:textAlignment w:val="baseline"/>
        <w:rPr>
          <w:rFonts w:eastAsia="Calibri" w:cs="Arial"/>
          <w:u w:val="single"/>
          <w:lang w:val="fr-FR"/>
        </w:rPr>
      </w:pPr>
      <w:r w:rsidRPr="00A91B2C">
        <w:rPr>
          <w:rFonts w:eastAsia="Calibri" w:cs="Arial"/>
          <w:u w:val="single"/>
          <w:lang w:val="fr-FR"/>
        </w:rPr>
        <w:t>Politique et procédures de partenariat</w:t>
      </w:r>
    </w:p>
    <w:p w14:paraId="60FE8E8B" w14:textId="77777777" w:rsidR="005E4539" w:rsidRPr="00A91B2C" w:rsidRDefault="005E4539">
      <w:pPr>
        <w:suppressAutoHyphens/>
        <w:autoSpaceDN w:val="0"/>
        <w:spacing w:after="0" w:line="240" w:lineRule="auto"/>
        <w:textAlignment w:val="baseline"/>
        <w:rPr>
          <w:rFonts w:eastAsia="Calibri" w:cs="Arial"/>
          <w:u w:val="single"/>
          <w:lang w:val="fr-FR"/>
        </w:rPr>
      </w:pPr>
    </w:p>
    <w:p w14:paraId="20AF5B7D" w14:textId="77777777" w:rsidR="005E4539" w:rsidRPr="00A91B2C" w:rsidRDefault="003C4062">
      <w:pPr>
        <w:pStyle w:val="ListParagraph"/>
        <w:numPr>
          <w:ilvl w:val="0"/>
          <w:numId w:val="60"/>
        </w:numPr>
        <w:spacing w:after="0" w:line="240" w:lineRule="auto"/>
        <w:ind w:left="567" w:hanging="567"/>
        <w:contextualSpacing w:val="0"/>
        <w:jc w:val="both"/>
        <w:rPr>
          <w:lang w:val="fr-FR"/>
        </w:rPr>
      </w:pPr>
      <w:r w:rsidRPr="00A91B2C">
        <w:rPr>
          <w:rStyle w:val="markedcontent"/>
          <w:lang w:val="fr-FR"/>
        </w:rPr>
        <w:t xml:space="preserve">Le 29 juin 2024, le directeur </w:t>
      </w:r>
      <w:proofErr w:type="gramStart"/>
      <w:r w:rsidRPr="00A91B2C">
        <w:rPr>
          <w:rStyle w:val="markedcontent"/>
          <w:lang w:val="fr-FR"/>
        </w:rPr>
        <w:t>exécutif</w:t>
      </w:r>
      <w:proofErr w:type="gramEnd"/>
      <w:r w:rsidRPr="00A91B2C">
        <w:rPr>
          <w:rStyle w:val="markedcontent"/>
          <w:lang w:val="fr-FR"/>
        </w:rPr>
        <w:t xml:space="preserve"> du PNUE a promulgué une nouvelle politique de partenariat, entrée en vigueur le 29 septembre 2024. </w:t>
      </w:r>
      <w:r w:rsidRPr="00A91B2C">
        <w:rPr>
          <w:lang w:val="fr-FR"/>
        </w:rPr>
        <w:t>La nouvelle politique de partenariat s</w:t>
      </w:r>
      <w:r w:rsidR="007F23D6" w:rsidRPr="00A91B2C">
        <w:rPr>
          <w:lang w:val="fr-FR"/>
        </w:rPr>
        <w:t>’</w:t>
      </w:r>
      <w:r w:rsidRPr="00A91B2C">
        <w:rPr>
          <w:lang w:val="fr-FR"/>
        </w:rPr>
        <w:t>applique à toutes les catégories de partenaires et à toutes les modalités de partenariat, qu</w:t>
      </w:r>
      <w:r w:rsidR="007F23D6" w:rsidRPr="00A91B2C">
        <w:rPr>
          <w:lang w:val="fr-FR"/>
        </w:rPr>
        <w:t>’</w:t>
      </w:r>
      <w:r w:rsidRPr="00A91B2C">
        <w:rPr>
          <w:lang w:val="fr-FR"/>
        </w:rPr>
        <w:t>il s</w:t>
      </w:r>
      <w:r w:rsidR="007F23D6" w:rsidRPr="00A91B2C">
        <w:rPr>
          <w:lang w:val="fr-FR"/>
        </w:rPr>
        <w:t>’</w:t>
      </w:r>
      <w:r w:rsidRPr="00A91B2C">
        <w:rPr>
          <w:lang w:val="fr-FR"/>
        </w:rPr>
        <w:t xml:space="preserve">agisse des donateurs ou des partenaires mettant en œuvre des travaux sur le terrain, et ce, à toutes les étapes du processus de gestion des partenariats au sein du </w:t>
      </w:r>
      <w:r w:rsidRPr="00A91B2C">
        <w:rPr>
          <w:lang w:val="fr-FR"/>
        </w:rPr>
        <w:lastRenderedPageBreak/>
        <w:t>PNUE. La politique fixe les principes et oriente les processus, tandis que les procédures définissent les étapes pratiques pour mettre en œuvre la politique. L</w:t>
      </w:r>
      <w:r w:rsidR="007F23D6" w:rsidRPr="00A91B2C">
        <w:rPr>
          <w:lang w:val="fr-FR"/>
        </w:rPr>
        <w:t>’</w:t>
      </w:r>
      <w:r w:rsidRPr="00A91B2C">
        <w:rPr>
          <w:lang w:val="fr-FR"/>
        </w:rPr>
        <w:t xml:space="preserve">Unité des achats et des partenariats du PNUE de la Division des services internes a dispensé une formation préliminaire aux agents administratifs des secrétariats des AME administrés par le PNUE en septembre 2024 et continue de fournir des formations sur mesure en fonction des besoins. </w:t>
      </w:r>
    </w:p>
    <w:p w14:paraId="0255A0F5" w14:textId="77777777" w:rsidR="005E4539" w:rsidRPr="00A91B2C" w:rsidRDefault="005E4539">
      <w:pPr>
        <w:pStyle w:val="ListParagraph"/>
        <w:spacing w:after="0" w:line="240" w:lineRule="auto"/>
        <w:ind w:left="567" w:hanging="567"/>
        <w:contextualSpacing w:val="0"/>
        <w:jc w:val="both"/>
        <w:rPr>
          <w:lang w:val="fr-FR"/>
        </w:rPr>
      </w:pPr>
    </w:p>
    <w:p w14:paraId="2A0C829D" w14:textId="77777777" w:rsidR="005E4539" w:rsidRPr="00A91B2C" w:rsidRDefault="003C4062">
      <w:pPr>
        <w:pStyle w:val="ListParagraph"/>
        <w:numPr>
          <w:ilvl w:val="0"/>
          <w:numId w:val="60"/>
        </w:numPr>
        <w:spacing w:after="0" w:line="240" w:lineRule="auto"/>
        <w:ind w:left="567" w:hanging="567"/>
        <w:contextualSpacing w:val="0"/>
        <w:jc w:val="both"/>
        <w:rPr>
          <w:lang w:val="fr-FR"/>
        </w:rPr>
      </w:pPr>
      <w:r w:rsidRPr="00A91B2C">
        <w:rPr>
          <w:lang w:val="fr-FR"/>
        </w:rPr>
        <w:t>Bien que la nouvelle politique de partenariat ait été élaborée en consultation avec les secrétariats des AME administrés par le PNUE, certains de ses aspects imposent des exigences en ressources qui ne sont pas pratiques pour les secrétariats des AME tels que la CMS, qui fonctionnent avec des budgets relativement faibles, et peuvent compliquer et retarder considérablement leur travail de mise en œuvre de leurs mandats.    La nouvelle politique inclut une dérogation pour les AME : « Les secrétariats des AME administrés par le PNUE sont également soumis à cette politique de partenariat et à ses procédures. Cependant, étant donné que les secrétariats des AME tirent leur mandat pour établir des partenariats de leurs organes directeurs, cette politique de partenariat est applicable dans la mesure où il n’existe pas de décision spécifique des organes directeurs des AME mandatant un processus distinct. En tant qu</w:t>
      </w:r>
      <w:r w:rsidR="007F23D6" w:rsidRPr="00A91B2C">
        <w:rPr>
          <w:lang w:val="fr-FR"/>
        </w:rPr>
        <w:t>’</w:t>
      </w:r>
      <w:r w:rsidRPr="00A91B2C">
        <w:rPr>
          <w:lang w:val="fr-FR"/>
        </w:rPr>
        <w:t>entités administrées par le PNUE, les décisions de ces organes directeurs doivent être conformes aux règlements et règles des Nations Unies et, en cas de conflit, la présente politique de partenariat doit s</w:t>
      </w:r>
      <w:r w:rsidR="007F23D6" w:rsidRPr="00A91B2C">
        <w:rPr>
          <w:lang w:val="fr-FR"/>
        </w:rPr>
        <w:t>’</w:t>
      </w:r>
      <w:r w:rsidRPr="00A91B2C">
        <w:rPr>
          <w:lang w:val="fr-FR"/>
        </w:rPr>
        <w:t>appliquer. »</w:t>
      </w:r>
    </w:p>
    <w:p w14:paraId="3CFB8FF0" w14:textId="77777777" w:rsidR="005E4539" w:rsidRPr="00A91B2C" w:rsidRDefault="005E4539">
      <w:pPr>
        <w:pStyle w:val="ListParagraph"/>
        <w:ind w:left="567" w:hanging="567"/>
        <w:rPr>
          <w:rStyle w:val="markedcontent"/>
          <w:lang w:val="fr-FR"/>
        </w:rPr>
      </w:pPr>
    </w:p>
    <w:p w14:paraId="19CDBEEF" w14:textId="77777777" w:rsidR="005E4539" w:rsidRPr="00A91B2C" w:rsidRDefault="003C4062">
      <w:pPr>
        <w:pStyle w:val="ListParagraph"/>
        <w:numPr>
          <w:ilvl w:val="0"/>
          <w:numId w:val="60"/>
        </w:numPr>
        <w:spacing w:after="0" w:line="240" w:lineRule="auto"/>
        <w:ind w:left="567" w:hanging="567"/>
        <w:contextualSpacing w:val="0"/>
        <w:jc w:val="both"/>
        <w:rPr>
          <w:rStyle w:val="markedcontent"/>
          <w:lang w:val="fr-FR"/>
        </w:rPr>
      </w:pPr>
      <w:r w:rsidRPr="00A91B2C">
        <w:rPr>
          <w:rStyle w:val="markedcontent"/>
          <w:lang w:val="fr-FR"/>
        </w:rPr>
        <w:t>La mise en œuvre de la nouvelle politique a commencé par une période de transition d</w:t>
      </w:r>
      <w:r w:rsidR="007F23D6" w:rsidRPr="00A91B2C">
        <w:rPr>
          <w:rStyle w:val="markedcontent"/>
          <w:lang w:val="fr-FR"/>
        </w:rPr>
        <w:t>’</w:t>
      </w:r>
      <w:r w:rsidRPr="00A91B2C">
        <w:rPr>
          <w:rStyle w:val="markedcontent"/>
          <w:lang w:val="fr-FR"/>
        </w:rPr>
        <w:t>un an, qui est en cours et qui a inclus des enquêtes visant à recueillir des retours d</w:t>
      </w:r>
      <w:r w:rsidR="007F23D6" w:rsidRPr="00A91B2C">
        <w:rPr>
          <w:rStyle w:val="markedcontent"/>
          <w:lang w:val="fr-FR"/>
        </w:rPr>
        <w:t>’</w:t>
      </w:r>
      <w:r w:rsidRPr="00A91B2C">
        <w:rPr>
          <w:rStyle w:val="markedcontent"/>
          <w:lang w:val="fr-FR"/>
        </w:rPr>
        <w:t xml:space="preserve">information sur son déploiement et son optimisation. En conséquence, en octobre 2025, le PNUE a lancé les premières mesures simplifiées dans le cadre de la politique, et est en train de </w:t>
      </w:r>
      <w:r w:rsidRPr="00A91B2C">
        <w:rPr>
          <w:lang w:val="fr-FR"/>
        </w:rPr>
        <w:t>recueillir les commentaires des utilisateurs afin de préparer la prochaine phase d</w:t>
      </w:r>
      <w:r w:rsidR="007F23D6" w:rsidRPr="00A91B2C">
        <w:rPr>
          <w:lang w:val="fr-FR"/>
        </w:rPr>
        <w:t>’</w:t>
      </w:r>
      <w:r w:rsidRPr="00A91B2C">
        <w:rPr>
          <w:lang w:val="fr-FR"/>
        </w:rPr>
        <w:t>amélioration du processus</w:t>
      </w:r>
      <w:r w:rsidRPr="00A91B2C">
        <w:rPr>
          <w:rStyle w:val="markedcontent"/>
          <w:lang w:val="fr-FR"/>
        </w:rPr>
        <w:t xml:space="preserve">. Cela pourrait constituer une approche plus adaptée aux secrétariats des AME, tels que la CMS, mais une politique spécifique à cette dernière pourrait également être justifiée. </w:t>
      </w:r>
    </w:p>
    <w:p w14:paraId="05229B03" w14:textId="77777777" w:rsidR="005E4539" w:rsidRPr="00A91B2C" w:rsidRDefault="005E4539">
      <w:pPr>
        <w:suppressAutoHyphens/>
        <w:autoSpaceDN w:val="0"/>
        <w:spacing w:after="0" w:line="240" w:lineRule="auto"/>
        <w:textAlignment w:val="baseline"/>
        <w:rPr>
          <w:rFonts w:eastAsia="Calibri" w:cs="Arial"/>
          <w:highlight w:val="yellow"/>
          <w:u w:val="single"/>
          <w:lang w:val="fr-FR"/>
        </w:rPr>
      </w:pPr>
    </w:p>
    <w:p w14:paraId="1BA180CF" w14:textId="77777777" w:rsidR="005E4539" w:rsidRPr="00A91B2C" w:rsidRDefault="003C4062">
      <w:pPr>
        <w:suppressAutoHyphens/>
        <w:autoSpaceDN w:val="0"/>
        <w:spacing w:after="0" w:line="240" w:lineRule="auto"/>
        <w:textAlignment w:val="baseline"/>
        <w:rPr>
          <w:rFonts w:eastAsia="Calibri" w:cs="Arial"/>
          <w:u w:val="single"/>
          <w:lang w:val="fr-FR"/>
        </w:rPr>
      </w:pPr>
      <w:r w:rsidRPr="00A91B2C">
        <w:rPr>
          <w:rFonts w:eastAsia="Calibri" w:cs="Arial"/>
          <w:u w:val="single"/>
          <w:lang w:val="fr-FR"/>
        </w:rPr>
        <w:t>Discussion et analyse</w:t>
      </w:r>
    </w:p>
    <w:p w14:paraId="1DD739F3" w14:textId="77777777" w:rsidR="005E4539" w:rsidRPr="00A91B2C" w:rsidRDefault="005E4539">
      <w:pPr>
        <w:pStyle w:val="ListParagraph"/>
        <w:spacing w:after="0" w:line="240" w:lineRule="auto"/>
        <w:contextualSpacing w:val="0"/>
        <w:rPr>
          <w:rFonts w:eastAsia="Calibri" w:cs="Arial"/>
          <w:highlight w:val="yellow"/>
          <w:lang w:val="fr-FR"/>
        </w:rPr>
      </w:pPr>
    </w:p>
    <w:p w14:paraId="64D6F452" w14:textId="77777777" w:rsidR="005E4539" w:rsidRPr="00A91B2C" w:rsidRDefault="003C4062">
      <w:pPr>
        <w:pStyle w:val="ListParagraph"/>
        <w:numPr>
          <w:ilvl w:val="0"/>
          <w:numId w:val="60"/>
        </w:numPr>
        <w:spacing w:after="0" w:line="240" w:lineRule="auto"/>
        <w:ind w:left="567" w:hanging="567"/>
        <w:contextualSpacing w:val="0"/>
        <w:jc w:val="both"/>
        <w:rPr>
          <w:rFonts w:eastAsia="Calibri" w:cs="Arial"/>
          <w:lang w:val="fr-FR"/>
        </w:rPr>
      </w:pPr>
      <w:bookmarkStart w:id="5" w:name="_Hlk27397956"/>
      <w:r w:rsidRPr="00A91B2C">
        <w:rPr>
          <w:rFonts w:cs="Arial"/>
          <w:lang w:val="fr-FR"/>
        </w:rPr>
        <w:t>Le Secrétariat a investi des efforts considérables pour travailler avec d</w:t>
      </w:r>
      <w:r w:rsidR="007F23D6" w:rsidRPr="00A91B2C">
        <w:rPr>
          <w:rFonts w:cs="Arial"/>
          <w:lang w:val="fr-FR"/>
        </w:rPr>
        <w:t>’</w:t>
      </w:r>
      <w:r w:rsidRPr="00A91B2C">
        <w:rPr>
          <w:rFonts w:cs="Arial"/>
          <w:lang w:val="fr-FR"/>
        </w:rPr>
        <w:t xml:space="preserve">autres organisations et partenaires, et </w:t>
      </w:r>
      <w:r w:rsidRPr="00A91B2C">
        <w:rPr>
          <w:rFonts w:cs="Arial"/>
          <w:color w:val="000000" w:themeColor="text1"/>
          <w:lang w:val="fr-FR"/>
        </w:rPr>
        <w:t>apprécie la collaboration positive avec d</w:t>
      </w:r>
      <w:r w:rsidR="007F23D6" w:rsidRPr="00A91B2C">
        <w:rPr>
          <w:rFonts w:cs="Arial"/>
          <w:color w:val="000000" w:themeColor="text1"/>
          <w:lang w:val="fr-FR"/>
        </w:rPr>
        <w:t>’</w:t>
      </w:r>
      <w:r w:rsidRPr="00A91B2C">
        <w:rPr>
          <w:rFonts w:cs="Arial"/>
          <w:color w:val="000000" w:themeColor="text1"/>
          <w:lang w:val="fr-FR"/>
        </w:rPr>
        <w:t>autres conventions liées à la biodiversité, d</w:t>
      </w:r>
      <w:r w:rsidR="007F23D6" w:rsidRPr="00A91B2C">
        <w:rPr>
          <w:rFonts w:cs="Arial"/>
          <w:color w:val="000000" w:themeColor="text1"/>
          <w:lang w:val="fr-FR"/>
        </w:rPr>
        <w:t>’</w:t>
      </w:r>
      <w:r w:rsidRPr="00A91B2C">
        <w:rPr>
          <w:rFonts w:cs="Arial"/>
          <w:color w:val="000000" w:themeColor="text1"/>
          <w:lang w:val="fr-FR"/>
        </w:rPr>
        <w:t>autres entités de l</w:t>
      </w:r>
      <w:r w:rsidR="007F23D6" w:rsidRPr="00A91B2C">
        <w:rPr>
          <w:rFonts w:cs="Arial"/>
          <w:color w:val="000000" w:themeColor="text1"/>
          <w:lang w:val="fr-FR"/>
        </w:rPr>
        <w:t>’</w:t>
      </w:r>
      <w:r w:rsidRPr="00A91B2C">
        <w:rPr>
          <w:rFonts w:cs="Arial"/>
          <w:color w:val="000000" w:themeColor="text1"/>
          <w:lang w:val="fr-FR"/>
        </w:rPr>
        <w:t>ONU, des ONG et d</w:t>
      </w:r>
      <w:r w:rsidR="007F23D6" w:rsidRPr="00A91B2C">
        <w:rPr>
          <w:rFonts w:cs="Arial"/>
          <w:color w:val="000000" w:themeColor="text1"/>
          <w:lang w:val="fr-FR"/>
        </w:rPr>
        <w:t>’</w:t>
      </w:r>
      <w:r w:rsidRPr="00A91B2C">
        <w:rPr>
          <w:rFonts w:cs="Arial"/>
          <w:color w:val="000000" w:themeColor="text1"/>
          <w:lang w:val="fr-FR"/>
        </w:rPr>
        <w:t xml:space="preserve">autres parties prenantes pour faire avancer le travail de la CMS. </w:t>
      </w:r>
      <w:bookmarkEnd w:id="5"/>
      <w:r w:rsidRPr="00A91B2C">
        <w:rPr>
          <w:rFonts w:cs="Arial"/>
          <w:lang w:val="fr-FR"/>
        </w:rPr>
        <w:t>Sous réserve de la disponibilité des ressources, le Secrétariat continuera à s</w:t>
      </w:r>
      <w:r w:rsidR="007F23D6" w:rsidRPr="00A91B2C">
        <w:rPr>
          <w:rFonts w:cs="Arial"/>
          <w:lang w:val="fr-FR"/>
        </w:rPr>
        <w:t>’</w:t>
      </w:r>
      <w:r w:rsidRPr="00A91B2C">
        <w:rPr>
          <w:rFonts w:cs="Arial"/>
          <w:lang w:val="fr-FR"/>
        </w:rPr>
        <w:t xml:space="preserve">engager auprès de ces organisations clés pour faire progresser la mise en œuvre de la CMS. </w:t>
      </w:r>
    </w:p>
    <w:p w14:paraId="2567CDD9" w14:textId="77777777" w:rsidR="005E4539" w:rsidRPr="00A91B2C" w:rsidRDefault="005E4539">
      <w:pPr>
        <w:pStyle w:val="ListParagraph"/>
        <w:spacing w:after="0" w:line="240" w:lineRule="auto"/>
        <w:ind w:left="567" w:hanging="567"/>
        <w:contextualSpacing w:val="0"/>
        <w:jc w:val="both"/>
        <w:rPr>
          <w:rFonts w:eastAsia="Calibri" w:cs="Arial"/>
          <w:lang w:val="fr-FR"/>
        </w:rPr>
      </w:pPr>
    </w:p>
    <w:p w14:paraId="1A50D26E" w14:textId="77777777" w:rsidR="005E4539" w:rsidRPr="00A91B2C" w:rsidRDefault="003C4062">
      <w:pPr>
        <w:pStyle w:val="ListParagraph"/>
        <w:numPr>
          <w:ilvl w:val="0"/>
          <w:numId w:val="60"/>
        </w:numPr>
        <w:spacing w:after="0" w:line="240" w:lineRule="auto"/>
        <w:ind w:left="567" w:hanging="567"/>
        <w:contextualSpacing w:val="0"/>
        <w:jc w:val="both"/>
        <w:rPr>
          <w:rStyle w:val="markedcontent"/>
          <w:lang w:val="fr-FR"/>
        </w:rPr>
      </w:pPr>
      <w:r w:rsidRPr="00A91B2C">
        <w:rPr>
          <w:lang w:val="fr-FR"/>
        </w:rPr>
        <w:t>La politique de partenariat du PNUE s</w:t>
      </w:r>
      <w:r w:rsidR="007F23D6" w:rsidRPr="00A91B2C">
        <w:rPr>
          <w:lang w:val="fr-FR"/>
        </w:rPr>
        <w:t>’</w:t>
      </w:r>
      <w:r w:rsidRPr="00A91B2C">
        <w:rPr>
          <w:lang w:val="fr-FR"/>
        </w:rPr>
        <w:t>applique aux secrétariats des AME administrés par le PNUE, à moins que d</w:t>
      </w:r>
      <w:r w:rsidR="007F23D6" w:rsidRPr="00A91B2C">
        <w:rPr>
          <w:lang w:val="fr-FR"/>
        </w:rPr>
        <w:t>’</w:t>
      </w:r>
      <w:r w:rsidRPr="00A91B2C">
        <w:rPr>
          <w:lang w:val="fr-FR"/>
        </w:rPr>
        <w:t xml:space="preserve">autres processus ne soient mandatés par leurs organes directeurs. Le Secrétariat propose donc </w:t>
      </w:r>
      <w:r w:rsidRPr="00A91B2C">
        <w:rPr>
          <w:rStyle w:val="markedcontent"/>
          <w:lang w:val="fr-FR"/>
        </w:rPr>
        <w:t>que la COP donne pour mandat de</w:t>
      </w:r>
      <w:r w:rsidRPr="00A91B2C">
        <w:rPr>
          <w:lang w:val="fr-FR"/>
        </w:rPr>
        <w:t xml:space="preserve"> développer une politique de partenariat adaptée à la Convention et à ses instruments, si nécessaire, en fonction des résultats de l</w:t>
      </w:r>
      <w:r w:rsidR="007F23D6" w:rsidRPr="00A91B2C">
        <w:rPr>
          <w:lang w:val="fr-FR"/>
        </w:rPr>
        <w:t>’</w:t>
      </w:r>
      <w:r w:rsidRPr="00A91B2C">
        <w:rPr>
          <w:lang w:val="fr-FR"/>
        </w:rPr>
        <w:t>expérimentation de la politique simplifiée du PNUE. Cette politique devrait également prendre en considération les aspects pertinents de l</w:t>
      </w:r>
      <w:r w:rsidR="007F23D6" w:rsidRPr="00A91B2C">
        <w:rPr>
          <w:lang w:val="fr-FR"/>
        </w:rPr>
        <w:t>’</w:t>
      </w:r>
      <w:r w:rsidRPr="00A91B2C">
        <w:rPr>
          <w:lang w:val="fr-FR"/>
        </w:rPr>
        <w:t>accréditation des ONG et les intégrer.</w:t>
      </w:r>
    </w:p>
    <w:p w14:paraId="29A57C36" w14:textId="77777777" w:rsidR="005E4539" w:rsidRPr="00A91B2C" w:rsidRDefault="005E4539" w:rsidP="0043072C">
      <w:pPr>
        <w:pStyle w:val="ListParagraph"/>
        <w:spacing w:after="0" w:line="240" w:lineRule="auto"/>
        <w:contextualSpacing w:val="0"/>
        <w:rPr>
          <w:rFonts w:eastAsia="Calibri" w:cs="Arial"/>
          <w:lang w:val="fr-FR"/>
        </w:rPr>
      </w:pPr>
    </w:p>
    <w:p w14:paraId="4C9AEA93" w14:textId="77777777" w:rsidR="005E4539" w:rsidRPr="00A91B2C" w:rsidRDefault="003C4062">
      <w:pPr>
        <w:spacing w:after="0" w:line="240" w:lineRule="auto"/>
        <w:rPr>
          <w:rFonts w:cs="Arial"/>
          <w:u w:val="single"/>
          <w:lang w:val="fr-FR"/>
        </w:rPr>
      </w:pPr>
      <w:r w:rsidRPr="00A91B2C">
        <w:rPr>
          <w:rFonts w:cs="Arial"/>
          <w:u w:val="single"/>
          <w:lang w:val="fr-FR"/>
        </w:rPr>
        <w:t>Actions recommandées</w:t>
      </w:r>
    </w:p>
    <w:p w14:paraId="6E25E3C3" w14:textId="77777777" w:rsidR="005E4539" w:rsidRPr="00A91B2C" w:rsidRDefault="005E4539">
      <w:pPr>
        <w:spacing w:after="0" w:line="240" w:lineRule="auto"/>
        <w:rPr>
          <w:rFonts w:eastAsia="Calibri" w:cs="Arial"/>
          <w:lang w:val="fr-FR"/>
        </w:rPr>
      </w:pPr>
    </w:p>
    <w:p w14:paraId="3E9FB24A" w14:textId="77777777" w:rsidR="005E4539" w:rsidRPr="00A91B2C" w:rsidRDefault="003C4062">
      <w:pPr>
        <w:pStyle w:val="ListParagraph"/>
        <w:numPr>
          <w:ilvl w:val="0"/>
          <w:numId w:val="60"/>
        </w:numPr>
        <w:spacing w:after="0" w:line="240" w:lineRule="auto"/>
        <w:ind w:left="567" w:hanging="567"/>
        <w:contextualSpacing w:val="0"/>
        <w:jc w:val="both"/>
        <w:rPr>
          <w:rFonts w:eastAsia="Calibri" w:cs="Arial"/>
          <w:lang w:val="fr-FR"/>
        </w:rPr>
      </w:pPr>
      <w:r w:rsidRPr="00A91B2C">
        <w:rPr>
          <w:rFonts w:cs="Arial"/>
          <w:lang w:val="fr-FR"/>
        </w:rPr>
        <w:t>Il est recommandé à la Conférence des Parties :</w:t>
      </w:r>
    </w:p>
    <w:p w14:paraId="0F87A3DE" w14:textId="77777777" w:rsidR="005E4539" w:rsidRPr="00A91B2C" w:rsidRDefault="005E4539">
      <w:pPr>
        <w:autoSpaceDN w:val="0"/>
        <w:spacing w:after="0" w:line="240" w:lineRule="auto"/>
        <w:jc w:val="both"/>
        <w:rPr>
          <w:rFonts w:cs="Arial"/>
          <w:lang w:val="fr-FR"/>
        </w:rPr>
      </w:pPr>
    </w:p>
    <w:p w14:paraId="61A62D19" w14:textId="77777777" w:rsidR="005E4539" w:rsidRPr="00A91B2C" w:rsidRDefault="003C4062">
      <w:pPr>
        <w:numPr>
          <w:ilvl w:val="0"/>
          <w:numId w:val="6"/>
        </w:numPr>
        <w:autoSpaceDN w:val="0"/>
        <w:spacing w:after="0" w:line="240" w:lineRule="auto"/>
        <w:ind w:left="1134" w:hanging="567"/>
        <w:jc w:val="both"/>
        <w:rPr>
          <w:rFonts w:cs="Arial"/>
          <w:lang w:val="fr-FR"/>
        </w:rPr>
      </w:pPr>
      <w:r w:rsidRPr="00A91B2C">
        <w:rPr>
          <w:rFonts w:cs="Arial"/>
          <w:lang w:val="fr-FR"/>
        </w:rPr>
        <w:t>d</w:t>
      </w:r>
      <w:r w:rsidR="007F23D6" w:rsidRPr="00A91B2C">
        <w:rPr>
          <w:rFonts w:cs="Arial"/>
          <w:lang w:val="fr-FR"/>
        </w:rPr>
        <w:t>’</w:t>
      </w:r>
      <w:r w:rsidRPr="00A91B2C">
        <w:rPr>
          <w:rFonts w:cs="Arial"/>
          <w:lang w:val="fr-FR"/>
        </w:rPr>
        <w:t>adopter le projet de Décisions figurant à l</w:t>
      </w:r>
      <w:r w:rsidR="007F23D6" w:rsidRPr="00A91B2C">
        <w:rPr>
          <w:rFonts w:cs="Arial"/>
          <w:lang w:val="fr-FR"/>
        </w:rPr>
        <w:t>’</w:t>
      </w:r>
      <w:r w:rsidRPr="00A91B2C">
        <w:rPr>
          <w:rFonts w:cs="Arial"/>
          <w:lang w:val="fr-FR"/>
        </w:rPr>
        <w:t>Annexe du présent document ;</w:t>
      </w:r>
    </w:p>
    <w:p w14:paraId="3F1D13CA" w14:textId="77777777" w:rsidR="005E4539" w:rsidRPr="00A91B2C" w:rsidRDefault="005E4539">
      <w:pPr>
        <w:autoSpaceDN w:val="0"/>
        <w:spacing w:after="0" w:line="240" w:lineRule="auto"/>
        <w:ind w:left="1134"/>
        <w:jc w:val="both"/>
        <w:rPr>
          <w:rFonts w:cs="Arial"/>
          <w:lang w:val="fr-FR"/>
        </w:rPr>
      </w:pPr>
    </w:p>
    <w:p w14:paraId="598D01F3" w14:textId="77777777" w:rsidR="005E4539" w:rsidRPr="00A91B2C" w:rsidRDefault="003C4062">
      <w:pPr>
        <w:numPr>
          <w:ilvl w:val="0"/>
          <w:numId w:val="6"/>
        </w:numPr>
        <w:autoSpaceDN w:val="0"/>
        <w:spacing w:after="0" w:line="240" w:lineRule="auto"/>
        <w:ind w:left="1134" w:hanging="567"/>
        <w:jc w:val="both"/>
        <w:rPr>
          <w:rFonts w:cs="Arial"/>
          <w:lang w:val="fr-FR"/>
        </w:rPr>
      </w:pPr>
      <w:r w:rsidRPr="00A91B2C">
        <w:rPr>
          <w:rFonts w:cs="Arial"/>
          <w:lang w:val="fr-FR"/>
        </w:rPr>
        <w:t>d</w:t>
      </w:r>
      <w:r w:rsidR="007F23D6" w:rsidRPr="00A91B2C">
        <w:rPr>
          <w:rFonts w:cs="Arial"/>
          <w:lang w:val="fr-FR"/>
        </w:rPr>
        <w:t>’</w:t>
      </w:r>
      <w:r w:rsidRPr="00A91B2C">
        <w:rPr>
          <w:rFonts w:cs="Arial"/>
          <w:lang w:val="fr-FR"/>
        </w:rPr>
        <w:t>abroger les Décisions 14.8 à 14.10.</w:t>
      </w:r>
    </w:p>
    <w:p w14:paraId="1190B1C1" w14:textId="77777777" w:rsidR="005E4539" w:rsidRPr="00A91B2C" w:rsidRDefault="005E4539">
      <w:pPr>
        <w:autoSpaceDN w:val="0"/>
        <w:spacing w:after="0" w:line="240" w:lineRule="auto"/>
        <w:jc w:val="both"/>
        <w:rPr>
          <w:rFonts w:cs="Arial"/>
          <w:lang w:val="fr-FR"/>
        </w:rPr>
        <w:sectPr w:rsidR="005E4539" w:rsidRPr="00A91B2C">
          <w:headerReference w:type="even" r:id="rId30"/>
          <w:headerReference w:type="default" r:id="rId31"/>
          <w:footerReference w:type="even" r:id="rId32"/>
          <w:footerReference w:type="default" r:id="rId33"/>
          <w:headerReference w:type="first" r:id="rId34"/>
          <w:footerReference w:type="first" r:id="rId35"/>
          <w:pgSz w:w="11906" w:h="16838" w:code="9"/>
          <w:pgMar w:top="1440" w:right="1440" w:bottom="1440" w:left="1440" w:header="720" w:footer="720" w:gutter="0"/>
          <w:cols w:space="720"/>
          <w:titlePg/>
          <w:docGrid w:linePitch="360"/>
        </w:sectPr>
      </w:pPr>
    </w:p>
    <w:p w14:paraId="76FFF0DB" w14:textId="77777777" w:rsidR="005E4539" w:rsidRPr="00A91B2C" w:rsidRDefault="003C4062">
      <w:pPr>
        <w:spacing w:after="0" w:line="240" w:lineRule="auto"/>
        <w:jc w:val="right"/>
        <w:rPr>
          <w:rFonts w:cs="Arial"/>
          <w:b/>
          <w:bCs/>
          <w:lang w:val="fr-FR"/>
        </w:rPr>
      </w:pPr>
      <w:r w:rsidRPr="00A91B2C">
        <w:rPr>
          <w:rFonts w:cs="Arial"/>
          <w:b/>
          <w:bCs/>
          <w:lang w:val="fr-FR"/>
        </w:rPr>
        <w:lastRenderedPageBreak/>
        <w:t>ANNEXE</w:t>
      </w:r>
    </w:p>
    <w:p w14:paraId="53C80728" w14:textId="77777777" w:rsidR="005E4539" w:rsidRPr="00A91B2C" w:rsidRDefault="005E4539">
      <w:pPr>
        <w:spacing w:after="0" w:line="240" w:lineRule="auto"/>
        <w:jc w:val="right"/>
        <w:rPr>
          <w:rFonts w:cs="Arial"/>
          <w:b/>
          <w:bCs/>
          <w:lang w:val="fr-FR"/>
        </w:rPr>
      </w:pPr>
    </w:p>
    <w:p w14:paraId="3BC75E47" w14:textId="77777777" w:rsidR="005E4539" w:rsidRPr="00A91B2C" w:rsidRDefault="005E4539">
      <w:pPr>
        <w:spacing w:after="0" w:line="240" w:lineRule="auto"/>
        <w:jc w:val="right"/>
        <w:rPr>
          <w:rFonts w:cs="Arial"/>
          <w:b/>
          <w:bCs/>
          <w:lang w:val="fr-FR"/>
        </w:rPr>
      </w:pPr>
    </w:p>
    <w:p w14:paraId="6A788DFA" w14:textId="77777777" w:rsidR="005E4539" w:rsidRPr="00A91B2C" w:rsidRDefault="003C4062">
      <w:pPr>
        <w:spacing w:after="0" w:line="240" w:lineRule="auto"/>
        <w:jc w:val="center"/>
        <w:rPr>
          <w:rFonts w:cs="Arial"/>
          <w:lang w:val="fr-FR"/>
        </w:rPr>
      </w:pPr>
      <w:r w:rsidRPr="00A91B2C">
        <w:rPr>
          <w:rFonts w:cs="Arial"/>
          <w:lang w:val="fr-FR"/>
        </w:rPr>
        <w:t>PROJET DE DÉCISIONS</w:t>
      </w:r>
    </w:p>
    <w:p w14:paraId="2DEB94E6" w14:textId="77777777" w:rsidR="005E4539" w:rsidRPr="00A91B2C" w:rsidRDefault="005E4539">
      <w:pPr>
        <w:spacing w:after="0" w:line="240" w:lineRule="auto"/>
        <w:jc w:val="center"/>
        <w:rPr>
          <w:rFonts w:cs="Arial"/>
          <w:lang w:val="fr-FR"/>
        </w:rPr>
      </w:pPr>
    </w:p>
    <w:p w14:paraId="41BC16AB" w14:textId="77777777" w:rsidR="005E4539" w:rsidRPr="00A91B2C" w:rsidRDefault="003C4062">
      <w:pPr>
        <w:widowControl w:val="0"/>
        <w:tabs>
          <w:tab w:val="left" w:pos="8235"/>
        </w:tabs>
        <w:suppressAutoHyphens/>
        <w:autoSpaceDE w:val="0"/>
        <w:autoSpaceDN w:val="0"/>
        <w:spacing w:after="0" w:line="240" w:lineRule="auto"/>
        <w:jc w:val="center"/>
        <w:textAlignment w:val="baseline"/>
        <w:rPr>
          <w:rFonts w:cs="Arial"/>
          <w:b/>
          <w:bCs/>
          <w:lang w:val="fr-FR"/>
        </w:rPr>
      </w:pPr>
      <w:r w:rsidRPr="00A91B2C">
        <w:rPr>
          <w:rFonts w:cs="Arial"/>
          <w:b/>
          <w:bCs/>
          <w:lang w:val="fr-FR"/>
        </w:rPr>
        <w:t>VALEURS CULTURELLES TANGIBLES ET INTANGIBLES</w:t>
      </w:r>
    </w:p>
    <w:p w14:paraId="67BE732A" w14:textId="77777777" w:rsidR="005E4539" w:rsidRPr="00A91B2C" w:rsidRDefault="005E4539">
      <w:pPr>
        <w:widowControl w:val="0"/>
        <w:tabs>
          <w:tab w:val="left" w:pos="8235"/>
        </w:tabs>
        <w:suppressAutoHyphens/>
        <w:autoSpaceDE w:val="0"/>
        <w:autoSpaceDN w:val="0"/>
        <w:spacing w:after="0" w:line="240" w:lineRule="auto"/>
        <w:jc w:val="center"/>
        <w:textAlignment w:val="baseline"/>
        <w:rPr>
          <w:rFonts w:eastAsia="Times New Roman" w:cs="Arial"/>
          <w:b/>
          <w:bCs/>
          <w:lang w:val="fr-FR"/>
        </w:rPr>
      </w:pPr>
    </w:p>
    <w:p w14:paraId="1054F252" w14:textId="77777777" w:rsidR="005E4539" w:rsidRPr="00A91B2C" w:rsidRDefault="005E4539">
      <w:pPr>
        <w:pStyle w:val="paragraph"/>
        <w:spacing w:before="0" w:beforeAutospacing="0" w:after="0" w:afterAutospacing="0"/>
        <w:jc w:val="both"/>
        <w:textAlignment w:val="baseline"/>
        <w:rPr>
          <w:rStyle w:val="normaltextrun"/>
          <w:rFonts w:ascii="Arial" w:hAnsi="Arial" w:cs="Arial"/>
          <w:b/>
          <w:bCs/>
          <w:i/>
          <w:iCs/>
          <w:sz w:val="22"/>
          <w:szCs w:val="22"/>
          <w:lang w:val="fr-FR"/>
        </w:rPr>
      </w:pPr>
    </w:p>
    <w:p w14:paraId="25E0E206" w14:textId="77777777" w:rsidR="005E4539" w:rsidRPr="00A91B2C" w:rsidRDefault="003C4062">
      <w:pPr>
        <w:pStyle w:val="paragraph"/>
        <w:spacing w:before="0" w:beforeAutospacing="0" w:after="0" w:afterAutospacing="0"/>
        <w:jc w:val="both"/>
        <w:textAlignment w:val="baseline"/>
        <w:rPr>
          <w:rStyle w:val="normaltextrun"/>
          <w:rFonts w:ascii="Arial" w:hAnsi="Arial" w:cs="Arial"/>
          <w:b/>
          <w:bCs/>
          <w:i/>
          <w:iCs/>
          <w:sz w:val="22"/>
          <w:szCs w:val="22"/>
          <w:lang w:val="fr-FR"/>
        </w:rPr>
      </w:pPr>
      <w:r w:rsidRPr="00A91B2C">
        <w:rPr>
          <w:rStyle w:val="normaltextrun"/>
          <w:rFonts w:ascii="Arial" w:hAnsi="Arial" w:cs="Arial"/>
          <w:b/>
          <w:bCs/>
          <w:i/>
          <w:iCs/>
          <w:sz w:val="22"/>
          <w:szCs w:val="22"/>
          <w:lang w:val="fr-FR"/>
        </w:rPr>
        <w:t>À l</w:t>
      </w:r>
      <w:r w:rsidR="007F23D6" w:rsidRPr="00A91B2C">
        <w:rPr>
          <w:rStyle w:val="normaltextrun"/>
          <w:rFonts w:ascii="Arial" w:hAnsi="Arial" w:cs="Arial"/>
          <w:b/>
          <w:bCs/>
          <w:i/>
          <w:iCs/>
          <w:sz w:val="22"/>
          <w:szCs w:val="22"/>
          <w:lang w:val="fr-FR"/>
        </w:rPr>
        <w:t>’</w:t>
      </w:r>
      <w:r w:rsidRPr="00A91B2C">
        <w:rPr>
          <w:rStyle w:val="normaltextrun"/>
          <w:rFonts w:ascii="Arial" w:hAnsi="Arial" w:cs="Arial"/>
          <w:b/>
          <w:bCs/>
          <w:i/>
          <w:iCs/>
          <w:sz w:val="22"/>
          <w:szCs w:val="22"/>
          <w:lang w:val="fr-FR"/>
        </w:rPr>
        <w:t>adresse du Secrétariat</w:t>
      </w:r>
    </w:p>
    <w:p w14:paraId="3F4BB66E" w14:textId="77777777" w:rsidR="005E4539" w:rsidRPr="00A91B2C" w:rsidRDefault="005E4539">
      <w:pPr>
        <w:pStyle w:val="paragraph"/>
        <w:spacing w:before="0" w:beforeAutospacing="0" w:after="0" w:afterAutospacing="0"/>
        <w:jc w:val="both"/>
        <w:textAlignment w:val="baseline"/>
        <w:rPr>
          <w:rFonts w:ascii="Arial" w:eastAsia="Calibri" w:hAnsi="Arial" w:cs="Arial"/>
          <w:sz w:val="22"/>
          <w:szCs w:val="22"/>
          <w:lang w:val="fr-FR"/>
        </w:rPr>
      </w:pPr>
    </w:p>
    <w:p w14:paraId="56A260EB" w14:textId="77777777" w:rsidR="005E4539" w:rsidRPr="00A91B2C" w:rsidRDefault="003C4062">
      <w:pPr>
        <w:pStyle w:val="paragraph"/>
        <w:spacing w:before="0" w:beforeAutospacing="0" w:after="0" w:afterAutospacing="0"/>
        <w:ind w:left="851" w:hanging="851"/>
        <w:jc w:val="both"/>
        <w:textAlignment w:val="baseline"/>
        <w:rPr>
          <w:rFonts w:ascii="Arial" w:eastAsia="Calibri" w:hAnsi="Arial" w:cs="Arial"/>
          <w:sz w:val="22"/>
          <w:szCs w:val="22"/>
          <w:lang w:val="fr-FR"/>
        </w:rPr>
      </w:pPr>
      <w:r w:rsidRPr="00A91B2C">
        <w:rPr>
          <w:rFonts w:ascii="Arial" w:hAnsi="Arial" w:cs="Arial"/>
          <w:sz w:val="22"/>
          <w:szCs w:val="22"/>
          <w:lang w:val="fr-FR"/>
        </w:rPr>
        <w:t xml:space="preserve">14.AA </w:t>
      </w:r>
      <w:r w:rsidRPr="00A91B2C">
        <w:rPr>
          <w:rFonts w:ascii="Arial" w:hAnsi="Arial" w:cs="Arial"/>
          <w:sz w:val="22"/>
          <w:szCs w:val="22"/>
          <w:lang w:val="fr-FR"/>
        </w:rPr>
        <w:tab/>
        <w:t xml:space="preserve">Le Secrétariat, sous réserve de la disponibilité de ressources externes, </w:t>
      </w:r>
      <w:r w:rsidRPr="00A91B2C">
        <w:rPr>
          <w:rFonts w:ascii="Arial" w:eastAsia="Calibri" w:hAnsi="Arial" w:cs="Arial"/>
          <w:sz w:val="22"/>
          <w:szCs w:val="22"/>
          <w:lang w:val="fr-FR"/>
        </w:rPr>
        <w:t>en collaboration avec les Parties intéressées, l</w:t>
      </w:r>
      <w:r w:rsidR="007F23D6" w:rsidRPr="00A91B2C">
        <w:rPr>
          <w:rFonts w:ascii="Arial" w:eastAsia="Calibri" w:hAnsi="Arial" w:cs="Arial"/>
          <w:sz w:val="22"/>
          <w:szCs w:val="22"/>
          <w:lang w:val="fr-FR"/>
        </w:rPr>
        <w:t>’</w:t>
      </w:r>
      <w:r w:rsidRPr="00A91B2C">
        <w:rPr>
          <w:rFonts w:ascii="Arial" w:eastAsia="Calibri" w:hAnsi="Arial" w:cs="Arial"/>
          <w:sz w:val="22"/>
          <w:szCs w:val="22"/>
          <w:lang w:val="fr-FR"/>
        </w:rPr>
        <w:t>Organisation des Nations Unies pour l</w:t>
      </w:r>
      <w:r w:rsidR="007F23D6" w:rsidRPr="00A91B2C">
        <w:rPr>
          <w:rFonts w:ascii="Arial" w:eastAsia="Calibri" w:hAnsi="Arial" w:cs="Arial"/>
          <w:sz w:val="22"/>
          <w:szCs w:val="22"/>
          <w:lang w:val="fr-FR"/>
        </w:rPr>
        <w:t>’</w:t>
      </w:r>
      <w:r w:rsidRPr="00A91B2C">
        <w:rPr>
          <w:rFonts w:ascii="Arial" w:eastAsia="Calibri" w:hAnsi="Arial" w:cs="Arial"/>
          <w:sz w:val="22"/>
          <w:szCs w:val="22"/>
          <w:lang w:val="fr-FR"/>
        </w:rPr>
        <w:t>éducation, la science et la culture (UNESCO) et d</w:t>
      </w:r>
      <w:r w:rsidR="007F23D6" w:rsidRPr="00A91B2C">
        <w:rPr>
          <w:rFonts w:ascii="Arial" w:eastAsia="Calibri" w:hAnsi="Arial" w:cs="Arial"/>
          <w:sz w:val="22"/>
          <w:szCs w:val="22"/>
          <w:lang w:val="fr-FR"/>
        </w:rPr>
        <w:t>’</w:t>
      </w:r>
      <w:r w:rsidRPr="00A91B2C">
        <w:rPr>
          <w:rFonts w:ascii="Arial" w:eastAsia="Calibri" w:hAnsi="Arial" w:cs="Arial"/>
          <w:sz w:val="22"/>
          <w:szCs w:val="22"/>
          <w:lang w:val="fr-FR"/>
        </w:rPr>
        <w:t>autres organisations intergouvernementales et non gouvernementales pertinentes, entreprendra un examen concis des valeurs, des principes politiques et des opportunités concrètes existant en lien avec les valeurs culturelles tangibles et intangibles associées aux espèces migratrices et à leur conservation.</w:t>
      </w:r>
    </w:p>
    <w:p w14:paraId="2E6CF1BC" w14:textId="77777777" w:rsidR="005E4539" w:rsidRPr="00A91B2C" w:rsidRDefault="005E4539">
      <w:pPr>
        <w:pStyle w:val="paragraph"/>
        <w:spacing w:before="0" w:beforeAutospacing="0" w:after="0" w:afterAutospacing="0"/>
        <w:jc w:val="both"/>
        <w:textAlignment w:val="baseline"/>
        <w:rPr>
          <w:rFonts w:ascii="Arial" w:eastAsia="Calibri" w:hAnsi="Arial" w:cs="Arial"/>
          <w:sz w:val="22"/>
          <w:szCs w:val="22"/>
          <w:lang w:val="fr-FR"/>
        </w:rPr>
      </w:pPr>
    </w:p>
    <w:p w14:paraId="24829563" w14:textId="77777777" w:rsidR="005E4539" w:rsidRPr="00A91B2C" w:rsidRDefault="005E4539">
      <w:pPr>
        <w:pStyle w:val="paragraph"/>
        <w:spacing w:before="0" w:beforeAutospacing="0" w:after="0" w:afterAutospacing="0"/>
        <w:jc w:val="both"/>
        <w:textAlignment w:val="baseline"/>
        <w:rPr>
          <w:rFonts w:ascii="Arial" w:eastAsia="Calibri" w:hAnsi="Arial" w:cs="Arial"/>
          <w:sz w:val="22"/>
          <w:szCs w:val="22"/>
          <w:lang w:val="fr-FR"/>
        </w:rPr>
      </w:pPr>
    </w:p>
    <w:p w14:paraId="40A9B382" w14:textId="77777777" w:rsidR="005E4539" w:rsidRPr="00A91B2C" w:rsidRDefault="003C4062">
      <w:pPr>
        <w:widowControl w:val="0"/>
        <w:tabs>
          <w:tab w:val="left" w:pos="8235"/>
        </w:tabs>
        <w:suppressAutoHyphens/>
        <w:autoSpaceDE w:val="0"/>
        <w:autoSpaceDN w:val="0"/>
        <w:spacing w:after="0" w:line="240" w:lineRule="auto"/>
        <w:jc w:val="center"/>
        <w:textAlignment w:val="baseline"/>
        <w:rPr>
          <w:rFonts w:cs="Arial"/>
          <w:b/>
          <w:bCs/>
          <w:lang w:val="fr-FR"/>
        </w:rPr>
      </w:pPr>
      <w:r w:rsidRPr="00A91B2C">
        <w:rPr>
          <w:rFonts w:cs="Arial"/>
          <w:b/>
          <w:bCs/>
          <w:lang w:val="fr-FR"/>
        </w:rPr>
        <w:t>POLITIQUE DE PARTENARIAT</w:t>
      </w:r>
    </w:p>
    <w:p w14:paraId="49585313" w14:textId="77777777" w:rsidR="005E4539" w:rsidRPr="00A91B2C" w:rsidRDefault="005E4539">
      <w:pPr>
        <w:pStyle w:val="paragraph"/>
        <w:spacing w:before="0" w:beforeAutospacing="0" w:after="0" w:afterAutospacing="0"/>
        <w:jc w:val="both"/>
        <w:textAlignment w:val="baseline"/>
        <w:rPr>
          <w:rFonts w:ascii="Arial" w:eastAsia="Calibri" w:hAnsi="Arial" w:cs="Arial"/>
          <w:sz w:val="22"/>
          <w:szCs w:val="22"/>
          <w:lang w:val="fr-FR"/>
        </w:rPr>
      </w:pPr>
    </w:p>
    <w:p w14:paraId="5C77D95E" w14:textId="77777777" w:rsidR="005E4539" w:rsidRPr="00A91B2C" w:rsidRDefault="003C4062">
      <w:pPr>
        <w:pStyle w:val="paragraph"/>
        <w:spacing w:before="0" w:beforeAutospacing="0" w:after="0" w:afterAutospacing="0"/>
        <w:jc w:val="both"/>
        <w:textAlignment w:val="baseline"/>
        <w:rPr>
          <w:rStyle w:val="normaltextrun"/>
          <w:rFonts w:ascii="Arial" w:hAnsi="Arial" w:cs="Arial"/>
          <w:b/>
          <w:bCs/>
          <w:i/>
          <w:iCs/>
          <w:sz w:val="22"/>
          <w:szCs w:val="22"/>
          <w:lang w:val="fr-FR"/>
        </w:rPr>
      </w:pPr>
      <w:r w:rsidRPr="00A91B2C">
        <w:rPr>
          <w:rStyle w:val="normaltextrun"/>
          <w:rFonts w:ascii="Arial" w:hAnsi="Arial" w:cs="Arial"/>
          <w:b/>
          <w:bCs/>
          <w:i/>
          <w:iCs/>
          <w:sz w:val="22"/>
          <w:szCs w:val="22"/>
          <w:lang w:val="fr-FR"/>
        </w:rPr>
        <w:t>À l</w:t>
      </w:r>
      <w:r w:rsidR="007F23D6" w:rsidRPr="00A91B2C">
        <w:rPr>
          <w:rStyle w:val="normaltextrun"/>
          <w:rFonts w:ascii="Arial" w:hAnsi="Arial" w:cs="Arial"/>
          <w:b/>
          <w:bCs/>
          <w:i/>
          <w:iCs/>
          <w:sz w:val="22"/>
          <w:szCs w:val="22"/>
          <w:lang w:val="fr-FR"/>
        </w:rPr>
        <w:t>’</w:t>
      </w:r>
      <w:r w:rsidRPr="00A91B2C">
        <w:rPr>
          <w:rStyle w:val="normaltextrun"/>
          <w:rFonts w:ascii="Arial" w:hAnsi="Arial" w:cs="Arial"/>
          <w:b/>
          <w:bCs/>
          <w:i/>
          <w:iCs/>
          <w:sz w:val="22"/>
          <w:szCs w:val="22"/>
          <w:lang w:val="fr-FR"/>
        </w:rPr>
        <w:t>adresse du Secrétariat</w:t>
      </w:r>
    </w:p>
    <w:p w14:paraId="7CDAC057" w14:textId="77777777" w:rsidR="005E4539" w:rsidRPr="00A91B2C" w:rsidRDefault="005E4539">
      <w:pPr>
        <w:pStyle w:val="paragraph"/>
        <w:spacing w:before="0" w:beforeAutospacing="0" w:after="0" w:afterAutospacing="0"/>
        <w:jc w:val="both"/>
        <w:textAlignment w:val="baseline"/>
        <w:rPr>
          <w:rFonts w:ascii="Arial" w:eastAsia="Calibri" w:hAnsi="Arial" w:cs="Arial"/>
          <w:sz w:val="22"/>
          <w:szCs w:val="22"/>
          <w:lang w:val="fr-FR"/>
        </w:rPr>
      </w:pPr>
    </w:p>
    <w:p w14:paraId="6F11B799" w14:textId="77777777" w:rsidR="005E4539" w:rsidRPr="00A91B2C" w:rsidRDefault="003C4062">
      <w:pPr>
        <w:widowControl w:val="0"/>
        <w:suppressAutoHyphens/>
        <w:autoSpaceDE w:val="0"/>
        <w:spacing w:after="0" w:line="240" w:lineRule="auto"/>
        <w:ind w:left="851" w:hanging="851"/>
        <w:jc w:val="both"/>
        <w:rPr>
          <w:rFonts w:cs="Arial"/>
          <w:lang w:val="fr-FR"/>
        </w:rPr>
      </w:pPr>
      <w:r w:rsidRPr="00A91B2C">
        <w:rPr>
          <w:rStyle w:val="normaltextrun"/>
          <w:rFonts w:cs="Arial"/>
          <w:lang w:val="fr-FR"/>
        </w:rPr>
        <w:t>14.AA</w:t>
      </w:r>
      <w:r w:rsidRPr="00A91B2C">
        <w:rPr>
          <w:rStyle w:val="tabchar"/>
          <w:rFonts w:cs="Arial"/>
          <w:lang w:val="fr-FR"/>
        </w:rPr>
        <w:t xml:space="preserve"> </w:t>
      </w:r>
      <w:r w:rsidRPr="00A91B2C">
        <w:rPr>
          <w:rStyle w:val="tabchar"/>
          <w:rFonts w:cs="Arial"/>
          <w:lang w:val="fr-FR"/>
        </w:rPr>
        <w:tab/>
      </w:r>
      <w:r w:rsidRPr="00A91B2C">
        <w:rPr>
          <w:rFonts w:eastAsia="Times New Roman" w:cs="Arial"/>
          <w:lang w:val="fr-FR"/>
        </w:rPr>
        <w:t>Le Secrétariat,</w:t>
      </w:r>
      <w:r w:rsidRPr="00A91B2C">
        <w:rPr>
          <w:rFonts w:eastAsia="Calibri" w:cs="Arial"/>
          <w:lang w:val="fr-FR"/>
        </w:rPr>
        <w:t xml:space="preserve"> sous réserve de la disponibilité des ressources,</w:t>
      </w:r>
      <w:r w:rsidRPr="00A91B2C">
        <w:rPr>
          <w:rFonts w:eastAsia="Times New Roman" w:cs="Arial"/>
          <w:lang w:val="fr-FR"/>
        </w:rPr>
        <w:t xml:space="preserve"> </w:t>
      </w:r>
      <w:r w:rsidRPr="00A91B2C">
        <w:rPr>
          <w:rFonts w:cs="Arial"/>
          <w:lang w:val="fr-FR"/>
        </w:rPr>
        <w:t>élaborera une politique de partenariat adaptée à la Convention et à ses instruments, en fonction des résultats de l</w:t>
      </w:r>
      <w:r w:rsidR="007F23D6" w:rsidRPr="00A91B2C">
        <w:rPr>
          <w:rFonts w:cs="Arial"/>
          <w:lang w:val="fr-FR"/>
        </w:rPr>
        <w:t>’</w:t>
      </w:r>
      <w:r w:rsidRPr="00A91B2C">
        <w:rPr>
          <w:rFonts w:cs="Arial"/>
          <w:lang w:val="fr-FR"/>
        </w:rPr>
        <w:t>expérimentation de la politique simplifiée du PNUE.</w:t>
      </w:r>
    </w:p>
    <w:p w14:paraId="15BD5B4D" w14:textId="77777777" w:rsidR="005E4539" w:rsidRPr="00A91B2C" w:rsidRDefault="005E4539">
      <w:pPr>
        <w:pStyle w:val="paragraph"/>
        <w:spacing w:before="0" w:beforeAutospacing="0" w:after="0" w:afterAutospacing="0"/>
        <w:jc w:val="both"/>
        <w:textAlignment w:val="baseline"/>
        <w:rPr>
          <w:rFonts w:ascii="Arial" w:eastAsia="Calibri" w:hAnsi="Arial" w:cs="Arial"/>
          <w:sz w:val="22"/>
          <w:szCs w:val="22"/>
          <w:lang w:val="fr-FR"/>
        </w:rPr>
      </w:pPr>
    </w:p>
    <w:sectPr w:rsidR="005E4539" w:rsidRPr="00A91B2C">
      <w:headerReference w:type="even" r:id="rId36"/>
      <w:headerReference w:type="default" r:id="rId37"/>
      <w:footerReference w:type="even" r:id="rId38"/>
      <w:footerReference w:type="default" r:id="rId39"/>
      <w:headerReference w:type="first" r:id="rId4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351B" w14:textId="77777777" w:rsidR="002A1476" w:rsidRDefault="002A1476">
      <w:pPr>
        <w:spacing w:after="0" w:line="240" w:lineRule="auto"/>
        <w:rPr>
          <w:lang w:val="fr-FR"/>
        </w:rPr>
      </w:pPr>
      <w:r>
        <w:rPr>
          <w:lang w:val="fr-FR"/>
        </w:rPr>
        <w:separator/>
      </w:r>
    </w:p>
  </w:endnote>
  <w:endnote w:type="continuationSeparator" w:id="0">
    <w:p w14:paraId="13926E73" w14:textId="77777777" w:rsidR="002A1476" w:rsidRDefault="002A1476">
      <w:pPr>
        <w:spacing w:after="0" w:line="240" w:lineRule="auto"/>
        <w:rPr>
          <w:lang w:val="fr-FR"/>
        </w:rPr>
      </w:pPr>
      <w:r>
        <w:rPr>
          <w:lang w:val="fr-FR"/>
        </w:rPr>
        <w:continuationSeparator/>
      </w:r>
    </w:p>
  </w:endnote>
  <w:endnote w:type="continuationNotice" w:id="1">
    <w:p w14:paraId="70BBAA80" w14:textId="77777777" w:rsidR="002A1476" w:rsidRDefault="002A1476">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94606872"/>
      <w:docPartObj>
        <w:docPartGallery w:val="Page Numbers (Bottom of Page)"/>
        <w:docPartUnique/>
      </w:docPartObj>
    </w:sdtPr>
    <w:sdtEndPr>
      <w:rPr>
        <w:noProof/>
      </w:rPr>
    </w:sdtEndPr>
    <w:sdtContent>
      <w:p w14:paraId="5730E5ED" w14:textId="77777777" w:rsidR="003C4062" w:rsidRPr="00F1242B" w:rsidRDefault="003C4062" w:rsidP="00F86226">
        <w:pPr>
          <w:pStyle w:val="Footer"/>
          <w:jc w:val="center"/>
          <w:rPr>
            <w:sz w:val="18"/>
            <w:szCs w:val="18"/>
          </w:rPr>
        </w:pPr>
        <w:r w:rsidRPr="00F1242B">
          <w:rPr>
            <w:sz w:val="18"/>
            <w:szCs w:val="18"/>
          </w:rPr>
          <w:fldChar w:fldCharType="begin"/>
        </w:r>
        <w:r w:rsidRPr="00F1242B">
          <w:rPr>
            <w:sz w:val="18"/>
            <w:szCs w:val="18"/>
          </w:rPr>
          <w:instrText xml:space="preserve"> PAGE   \* MERGEFORMAT </w:instrText>
        </w:r>
        <w:r w:rsidRPr="00F1242B">
          <w:rPr>
            <w:sz w:val="18"/>
            <w:szCs w:val="18"/>
          </w:rPr>
          <w:fldChar w:fldCharType="separate"/>
        </w:r>
        <w:r w:rsidR="002A3F32">
          <w:rPr>
            <w:noProof/>
            <w:sz w:val="18"/>
            <w:szCs w:val="18"/>
          </w:rPr>
          <w:t>12</w:t>
        </w:r>
        <w:r w:rsidRPr="00F1242B">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11FFCAA2" w14:textId="77777777" w:rsidR="003C4062" w:rsidRPr="00F1242B" w:rsidRDefault="003C4062" w:rsidP="00101A22">
        <w:pPr>
          <w:pStyle w:val="Footer"/>
          <w:jc w:val="center"/>
          <w:rPr>
            <w:sz w:val="18"/>
            <w:szCs w:val="18"/>
          </w:rPr>
        </w:pPr>
        <w:r w:rsidRPr="00F1242B">
          <w:rPr>
            <w:sz w:val="18"/>
            <w:szCs w:val="18"/>
          </w:rPr>
          <w:fldChar w:fldCharType="begin"/>
        </w:r>
        <w:r w:rsidRPr="00F1242B">
          <w:rPr>
            <w:sz w:val="18"/>
            <w:szCs w:val="18"/>
          </w:rPr>
          <w:instrText xml:space="preserve"> PAGE   \* MERGEFORMAT </w:instrText>
        </w:r>
        <w:r w:rsidRPr="00F1242B">
          <w:rPr>
            <w:sz w:val="18"/>
            <w:szCs w:val="18"/>
          </w:rPr>
          <w:fldChar w:fldCharType="separate"/>
        </w:r>
        <w:r w:rsidR="002A3F32">
          <w:rPr>
            <w:noProof/>
            <w:sz w:val="18"/>
            <w:szCs w:val="18"/>
          </w:rPr>
          <w:t>11</w:t>
        </w:r>
        <w:r w:rsidRPr="00F1242B">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C0B5" w14:textId="77777777" w:rsidR="003C4062" w:rsidRPr="00F1242B" w:rsidRDefault="003C4062" w:rsidP="00101A22">
    <w:pPr>
      <w:pStyle w:val="Footer"/>
      <w:jc w:val="center"/>
      <w:rPr>
        <w:sz w:val="18"/>
        <w:szCs w:val="18"/>
      </w:rPr>
    </w:pPr>
    <w:r w:rsidRPr="00F1242B">
      <w:rPr>
        <w:sz w:val="18"/>
        <w:szCs w:val="18"/>
      </w:rPr>
      <w:fldChar w:fldCharType="begin"/>
    </w:r>
    <w:r w:rsidRPr="00F1242B">
      <w:rPr>
        <w:sz w:val="18"/>
        <w:szCs w:val="18"/>
      </w:rPr>
      <w:instrText xml:space="preserve"> PAGE   \* MERGEFORMAT </w:instrText>
    </w:r>
    <w:r w:rsidRPr="00F1242B">
      <w:rPr>
        <w:sz w:val="18"/>
        <w:szCs w:val="18"/>
      </w:rPr>
      <w:fldChar w:fldCharType="separate"/>
    </w:r>
    <w:r w:rsidR="002A3F32">
      <w:rPr>
        <w:noProof/>
        <w:sz w:val="18"/>
        <w:szCs w:val="18"/>
      </w:rPr>
      <w:t>13</w:t>
    </w:r>
    <w:r w:rsidRPr="00F1242B">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442EA451" w14:textId="77777777" w:rsidR="003C4062" w:rsidRPr="00F1242B" w:rsidRDefault="003C4062">
        <w:pPr>
          <w:pStyle w:val="Footer"/>
          <w:jc w:val="center"/>
          <w:rPr>
            <w:sz w:val="18"/>
            <w:szCs w:val="18"/>
          </w:rPr>
        </w:pPr>
        <w:r w:rsidRPr="00F1242B">
          <w:rPr>
            <w:sz w:val="18"/>
            <w:szCs w:val="18"/>
          </w:rPr>
          <w:fldChar w:fldCharType="begin"/>
        </w:r>
        <w:r w:rsidRPr="00F1242B">
          <w:rPr>
            <w:sz w:val="18"/>
            <w:szCs w:val="18"/>
          </w:rPr>
          <w:instrText xml:space="preserve"> PAGE   \* MERGEFORMAT </w:instrText>
        </w:r>
        <w:r w:rsidRPr="00F1242B">
          <w:rPr>
            <w:sz w:val="18"/>
            <w:szCs w:val="18"/>
          </w:rPr>
          <w:fldChar w:fldCharType="separate"/>
        </w:r>
        <w:r w:rsidRPr="00F1242B">
          <w:rPr>
            <w:noProof/>
            <w:sz w:val="18"/>
            <w:szCs w:val="18"/>
          </w:rPr>
          <w:t>2</w:t>
        </w:r>
        <w:r w:rsidRPr="00F1242B">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7CB94BE1" w14:textId="77777777" w:rsidR="003C4062" w:rsidRPr="00F1242B" w:rsidRDefault="003C4062" w:rsidP="0035024E">
        <w:pPr>
          <w:pStyle w:val="Footer"/>
          <w:jc w:val="center"/>
          <w:rPr>
            <w:sz w:val="18"/>
            <w:szCs w:val="18"/>
          </w:rPr>
        </w:pPr>
        <w:r w:rsidRPr="00F1242B">
          <w:rPr>
            <w:sz w:val="18"/>
            <w:szCs w:val="18"/>
          </w:rPr>
          <w:fldChar w:fldCharType="begin"/>
        </w:r>
        <w:r w:rsidRPr="00F1242B">
          <w:rPr>
            <w:sz w:val="18"/>
            <w:szCs w:val="18"/>
          </w:rPr>
          <w:instrText xml:space="preserve"> PAGE   \* MERGEFORMAT </w:instrText>
        </w:r>
        <w:r w:rsidRPr="00F1242B">
          <w:rPr>
            <w:sz w:val="18"/>
            <w:szCs w:val="18"/>
          </w:rPr>
          <w:fldChar w:fldCharType="separate"/>
        </w:r>
        <w:r w:rsidRPr="00F1242B">
          <w:rPr>
            <w:noProof/>
            <w:sz w:val="18"/>
            <w:szCs w:val="18"/>
          </w:rPr>
          <w:t>2</w:t>
        </w:r>
        <w:r w:rsidRPr="00F1242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31A1" w14:textId="77777777" w:rsidR="002A1476" w:rsidRDefault="002A1476">
      <w:pPr>
        <w:spacing w:after="0" w:line="240" w:lineRule="auto"/>
        <w:rPr>
          <w:lang w:val="fr-FR"/>
        </w:rPr>
      </w:pPr>
      <w:r>
        <w:rPr>
          <w:lang w:val="fr-FR"/>
        </w:rPr>
        <w:separator/>
      </w:r>
    </w:p>
  </w:footnote>
  <w:footnote w:type="continuationSeparator" w:id="0">
    <w:p w14:paraId="73F37D46" w14:textId="77777777" w:rsidR="002A1476" w:rsidRDefault="002A1476">
      <w:pPr>
        <w:spacing w:after="0" w:line="240" w:lineRule="auto"/>
        <w:rPr>
          <w:lang w:val="fr-FR"/>
        </w:rPr>
      </w:pPr>
      <w:r>
        <w:rPr>
          <w:lang w:val="fr-FR"/>
        </w:rPr>
        <w:continuationSeparator/>
      </w:r>
    </w:p>
  </w:footnote>
  <w:footnote w:type="continuationNotice" w:id="1">
    <w:p w14:paraId="7C0E507F" w14:textId="77777777" w:rsidR="002A1476" w:rsidRDefault="002A1476">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9A83" w14:textId="77777777" w:rsidR="003C4062" w:rsidRDefault="003C4062">
    <w:pPr>
      <w:pStyle w:val="Header"/>
      <w:pBdr>
        <w:bottom w:val="single" w:sz="4" w:space="1" w:color="auto"/>
      </w:pBdr>
      <w:rPr>
        <w:rFonts w:cs="Arial"/>
        <w:i/>
        <w:sz w:val="18"/>
        <w:szCs w:val="18"/>
        <w:lang w:val="de-DE"/>
      </w:rPr>
    </w:pPr>
    <w:r>
      <w:rPr>
        <w:rFonts w:cs="Arial"/>
        <w:i/>
        <w:sz w:val="18"/>
        <w:szCs w:val="18"/>
        <w:lang w:val="de-DE"/>
      </w:rPr>
      <w:t>UNEP/CMS/COP15/Doc.18.1</w:t>
    </w:r>
  </w:p>
  <w:p w14:paraId="159B3ED4" w14:textId="77777777" w:rsidR="003C4062" w:rsidRDefault="003C4062">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663F" w14:textId="77777777" w:rsidR="003C4062" w:rsidRDefault="003C4062">
    <w:pPr>
      <w:pStyle w:val="Header"/>
      <w:pBdr>
        <w:bottom w:val="single" w:sz="4" w:space="1" w:color="auto"/>
      </w:pBdr>
      <w:jc w:val="right"/>
      <w:rPr>
        <w:rFonts w:cs="Arial"/>
        <w:i/>
        <w:sz w:val="18"/>
        <w:szCs w:val="18"/>
        <w:lang w:val="de-DE"/>
      </w:rPr>
    </w:pPr>
    <w:r>
      <w:rPr>
        <w:rFonts w:cs="Arial"/>
        <w:i/>
        <w:sz w:val="18"/>
        <w:szCs w:val="18"/>
        <w:lang w:val="de-DE"/>
      </w:rPr>
      <w:t>UNEP/CMS/COP15/Doc.18.1</w:t>
    </w:r>
  </w:p>
  <w:p w14:paraId="05F370B5" w14:textId="77777777" w:rsidR="003C4062" w:rsidRDefault="003C4062">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9324" w14:textId="77777777" w:rsidR="00C0590C" w:rsidRPr="00FF59D5" w:rsidRDefault="00C0590C" w:rsidP="00C0590C">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6" w:name="_Hlk208560916"/>
    <w:bookmarkStart w:id="7" w:name="_Hlk208560917"/>
    <w:r>
      <w:rPr>
        <w:noProof/>
      </w:rPr>
      <w:drawing>
        <wp:anchor distT="0" distB="0" distL="114300" distR="114300" simplePos="0" relativeHeight="251661312" behindDoc="0" locked="0" layoutInCell="1" allowOverlap="1" wp14:anchorId="7761B93F" wp14:editId="7B0C98C0">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2D4CE920" wp14:editId="7A982F56">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3B5CF7B8" wp14:editId="789822E2">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6"/>
    <w:bookmarkEnd w:id="7"/>
  </w:p>
  <w:p w14:paraId="234003D7" w14:textId="77777777" w:rsidR="003C4062" w:rsidRDefault="003C40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7F17" w14:textId="77777777" w:rsidR="003C4062" w:rsidRPr="00F1242B" w:rsidRDefault="003C4062" w:rsidP="002E0DE9">
    <w:pPr>
      <w:pStyle w:val="Header"/>
      <w:pBdr>
        <w:bottom w:val="single" w:sz="4" w:space="1" w:color="auto"/>
      </w:pBdr>
      <w:rPr>
        <w:i/>
        <w:sz w:val="18"/>
        <w:szCs w:val="18"/>
      </w:rPr>
    </w:pPr>
    <w:r w:rsidRPr="00F1242B">
      <w:rPr>
        <w:rFonts w:eastAsia="Times New Roman" w:cs="Arial"/>
        <w:i/>
        <w:sz w:val="18"/>
        <w:szCs w:val="18"/>
        <w:lang w:val="en-GB"/>
      </w:rPr>
      <w:t>UNEP/CMS/COP15/Doc.14.3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F099" w14:textId="77777777" w:rsidR="003C4062" w:rsidRPr="00F1242B" w:rsidRDefault="003C4062" w:rsidP="0041034F">
    <w:pPr>
      <w:pStyle w:val="Header"/>
      <w:pBdr>
        <w:bottom w:val="single" w:sz="4" w:space="1" w:color="auto"/>
      </w:pBdr>
      <w:jc w:val="right"/>
      <w:rPr>
        <w:rFonts w:eastAsia="Times New Roman" w:cs="Arial"/>
        <w:i/>
        <w:sz w:val="18"/>
        <w:szCs w:val="18"/>
        <w:lang w:val="en-GB"/>
      </w:rPr>
    </w:pPr>
    <w:r w:rsidRPr="00F1242B">
      <w:rPr>
        <w:rFonts w:eastAsia="Times New Roman" w:cs="Arial"/>
        <w:i/>
        <w:sz w:val="18"/>
        <w:szCs w:val="18"/>
        <w:lang w:val="en-GB"/>
      </w:rPr>
      <w:t>UNEP/CMS/COP15/Doc.14.3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A768" w14:textId="218E7B75" w:rsidR="003C4062" w:rsidRPr="00F1242B" w:rsidRDefault="003C4062" w:rsidP="007504BE">
    <w:pPr>
      <w:pStyle w:val="Header"/>
      <w:pBdr>
        <w:bottom w:val="single" w:sz="4" w:space="1" w:color="auto"/>
      </w:pBdr>
      <w:jc w:val="right"/>
      <w:rPr>
        <w:rFonts w:cs="Arial"/>
        <w:i/>
        <w:sz w:val="18"/>
        <w:szCs w:val="18"/>
      </w:rPr>
    </w:pPr>
    <w:r w:rsidRPr="00F1242B">
      <w:rPr>
        <w:rFonts w:cs="Arial"/>
        <w:i/>
        <w:sz w:val="18"/>
        <w:szCs w:val="18"/>
      </w:rPr>
      <w:t>UNEP/CMS/COP15/Doc.18.1/</w:t>
    </w:r>
    <w:proofErr w:type="spellStart"/>
    <w:r w:rsidRPr="00F1242B">
      <w:rPr>
        <w:rFonts w:cs="Arial"/>
        <w:i/>
        <w:sz w:val="18"/>
        <w:szCs w:val="18"/>
      </w:rPr>
      <w:t>Annex</w:t>
    </w:r>
    <w:r w:rsidR="007504BE">
      <w:rPr>
        <w:rFonts w:cs="Arial"/>
        <w:i/>
        <w:sz w:val="18"/>
        <w:szCs w:val="18"/>
      </w:rPr>
      <w:t>e</w:t>
    </w:r>
    <w:proofErr w:type="spellEnd"/>
  </w:p>
  <w:p w14:paraId="02B5FA41" w14:textId="77777777" w:rsidR="003C4062" w:rsidRPr="00F1242B" w:rsidRDefault="003C4062" w:rsidP="00101A22">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C4B97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4E12D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2F639AA"/>
    <w:multiLevelType w:val="hybridMultilevel"/>
    <w:tmpl w:val="76948302"/>
    <w:lvl w:ilvl="0" w:tplc="20000001">
      <w:start w:val="1"/>
      <w:numFmt w:val="bullet"/>
      <w:lvlText w:val=""/>
      <w:lvlJc w:val="left"/>
      <w:pPr>
        <w:ind w:left="1080" w:hanging="72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9A4855"/>
    <w:multiLevelType w:val="multilevel"/>
    <w:tmpl w:val="57BE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D13FCC"/>
    <w:multiLevelType w:val="hybridMultilevel"/>
    <w:tmpl w:val="188AC5A6"/>
    <w:lvl w:ilvl="0" w:tplc="EB4A08C8">
      <w:start w:val="11"/>
      <w:numFmt w:val="decimal"/>
      <w:lvlText w:val="%1"/>
      <w:lvlJc w:val="left"/>
      <w:pPr>
        <w:ind w:left="927" w:hanging="360"/>
      </w:pPr>
      <w:rPr>
        <w:rFonts w:hint="default"/>
        <w:i w:val="0"/>
        <w:iCs/>
        <w:u w:val="none"/>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090A76BD"/>
    <w:multiLevelType w:val="hybridMultilevel"/>
    <w:tmpl w:val="BD6ED5D6"/>
    <w:lvl w:ilvl="0" w:tplc="0706E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1" w15:restartNumberingAfterBreak="0">
    <w:nsid w:val="0BF72B06"/>
    <w:multiLevelType w:val="hybridMultilevel"/>
    <w:tmpl w:val="EC1EE4A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0C9440DC"/>
    <w:multiLevelType w:val="hybridMultilevel"/>
    <w:tmpl w:val="BDAAD130"/>
    <w:lvl w:ilvl="0" w:tplc="A240F020">
      <w:start w:val="1"/>
      <w:numFmt w:val="bullet"/>
      <w:lvlText w:val=""/>
      <w:lvlJc w:val="left"/>
      <w:pPr>
        <w:ind w:left="1260" w:hanging="360"/>
      </w:pPr>
      <w:rPr>
        <w:rFonts w:ascii="Symbol" w:hAnsi="Symbol" w:hint="default"/>
      </w:rPr>
    </w:lvl>
    <w:lvl w:ilvl="1" w:tplc="AF6A1810">
      <w:numFmt w:val="bullet"/>
      <w:lvlText w:val=""/>
      <w:lvlJc w:val="left"/>
      <w:pPr>
        <w:ind w:left="1980" w:hanging="360"/>
      </w:pPr>
      <w:rPr>
        <w:rFonts w:ascii="Arial" w:eastAsia="Calibri" w:hAnsi="Arial" w:cs="Arial"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3" w15:restartNumberingAfterBreak="0">
    <w:nsid w:val="0E96389E"/>
    <w:multiLevelType w:val="multilevel"/>
    <w:tmpl w:val="7A7A1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18955B3"/>
    <w:multiLevelType w:val="hybridMultilevel"/>
    <w:tmpl w:val="4DA04486"/>
    <w:lvl w:ilvl="0" w:tplc="5BAE9D00">
      <w:start w:val="1"/>
      <w:numFmt w:val="decimal"/>
      <w:lvlText w:val="%1."/>
      <w:lvlJc w:val="left"/>
      <w:pPr>
        <w:ind w:left="720" w:hanging="360"/>
      </w:pPr>
      <w:rPr>
        <w:rFonts w:ascii="Arial" w:hAnsi="Arial" w:cs="Arial" w:hint="default"/>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317023B"/>
    <w:multiLevelType w:val="hybridMultilevel"/>
    <w:tmpl w:val="6F884784"/>
    <w:lvl w:ilvl="0" w:tplc="AB7EA0FC">
      <w:start w:val="1"/>
      <w:numFmt w:val="decimal"/>
      <w:lvlText w:val="%1."/>
      <w:lvlJc w:val="left"/>
      <w:pPr>
        <w:ind w:left="36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13A27142"/>
    <w:multiLevelType w:val="multilevel"/>
    <w:tmpl w:val="897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040C4F"/>
    <w:multiLevelType w:val="hybridMultilevel"/>
    <w:tmpl w:val="BA48E064"/>
    <w:lvl w:ilvl="0" w:tplc="A94081EC">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146D5CFD"/>
    <w:multiLevelType w:val="hybridMultilevel"/>
    <w:tmpl w:val="602AB17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0" w15:restartNumberingAfterBreak="0">
    <w:nsid w:val="1499656D"/>
    <w:multiLevelType w:val="hybridMultilevel"/>
    <w:tmpl w:val="B37877C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16654462"/>
    <w:multiLevelType w:val="multilevel"/>
    <w:tmpl w:val="625E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6E4657"/>
    <w:multiLevelType w:val="hybridMultilevel"/>
    <w:tmpl w:val="3B4C624A"/>
    <w:lvl w:ilvl="0" w:tplc="54AA8D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19D3BE3"/>
    <w:multiLevelType w:val="hybridMultilevel"/>
    <w:tmpl w:val="66D8075E"/>
    <w:lvl w:ilvl="0" w:tplc="676CFA98">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251B272A"/>
    <w:multiLevelType w:val="hybridMultilevel"/>
    <w:tmpl w:val="86AE6228"/>
    <w:lvl w:ilvl="0" w:tplc="361C3948">
      <w:start w:val="11"/>
      <w:numFmt w:val="decimal"/>
      <w:lvlText w:val="%1."/>
      <w:lvlJc w:val="left"/>
      <w:pPr>
        <w:ind w:left="720" w:hanging="360"/>
      </w:pPr>
      <w:rPr>
        <w:rFonts w:hint="default"/>
        <w:i w:val="0"/>
        <w:iCs/>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2AE00138"/>
    <w:multiLevelType w:val="hybridMultilevel"/>
    <w:tmpl w:val="C2282E1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2B4A77A0"/>
    <w:multiLevelType w:val="hybridMultilevel"/>
    <w:tmpl w:val="13F6230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2E8B57F3"/>
    <w:multiLevelType w:val="hybridMultilevel"/>
    <w:tmpl w:val="8DFA312C"/>
    <w:lvl w:ilvl="0" w:tplc="20000017">
      <w:start w:val="1"/>
      <w:numFmt w:val="lowerLetter"/>
      <w:lvlText w:val="%1)"/>
      <w:lvlJc w:val="left"/>
      <w:pPr>
        <w:ind w:left="1620" w:hanging="360"/>
      </w:p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30"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9259BB"/>
    <w:multiLevelType w:val="multilevel"/>
    <w:tmpl w:val="767CD594"/>
    <w:lvl w:ilvl="0">
      <w:start w:val="1"/>
      <w:numFmt w:val="lowerLetter"/>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33" w15:restartNumberingAfterBreak="0">
    <w:nsid w:val="3F3D387B"/>
    <w:multiLevelType w:val="hybridMultilevel"/>
    <w:tmpl w:val="630E6554"/>
    <w:lvl w:ilvl="0" w:tplc="B1E2A3EC">
      <w:start w:val="1"/>
      <w:numFmt w:val="lowerLetter"/>
      <w:lvlText w:val="%1)"/>
      <w:lvlJc w:val="left"/>
      <w:pPr>
        <w:ind w:left="1414" w:hanging="705"/>
      </w:pPr>
      <w:rPr>
        <w:rFonts w:ascii="Arial" w:eastAsia="Times New Roman" w:hAnsi="Arial" w:cs="Arial" w:hint="default"/>
        <w:strike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9303AD"/>
    <w:multiLevelType w:val="hybridMultilevel"/>
    <w:tmpl w:val="6E402F4A"/>
    <w:lvl w:ilvl="0" w:tplc="803CDD04">
      <w:start w:val="1"/>
      <w:numFmt w:val="lowerLetter"/>
      <w:lvlText w:val="%1)"/>
      <w:lvlJc w:val="left"/>
      <w:pPr>
        <w:ind w:left="1070" w:hanging="360"/>
      </w:pPr>
      <w:rPr>
        <w:strik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15:restartNumberingAfterBreak="0">
    <w:nsid w:val="415E018E"/>
    <w:multiLevelType w:val="hybridMultilevel"/>
    <w:tmpl w:val="8BC69E1C"/>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8" w15:restartNumberingAfterBreak="0">
    <w:nsid w:val="429B0789"/>
    <w:multiLevelType w:val="hybridMultilevel"/>
    <w:tmpl w:val="A07C5696"/>
    <w:lvl w:ilvl="0" w:tplc="D2E07A44">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42CA1320"/>
    <w:multiLevelType w:val="hybridMultilevel"/>
    <w:tmpl w:val="55981B4E"/>
    <w:lvl w:ilvl="0" w:tplc="EA52EF7E">
      <w:start w:val="3"/>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8AA5C34"/>
    <w:multiLevelType w:val="hybridMultilevel"/>
    <w:tmpl w:val="0C6289A2"/>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190994"/>
    <w:multiLevelType w:val="hybridMultilevel"/>
    <w:tmpl w:val="2BA83EBE"/>
    <w:lvl w:ilvl="0" w:tplc="52748CEC">
      <w:start w:val="1"/>
      <w:numFmt w:val="decimal"/>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E7351A1"/>
    <w:multiLevelType w:val="hybridMultilevel"/>
    <w:tmpl w:val="7264CD12"/>
    <w:lvl w:ilvl="0" w:tplc="6582A0FC">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47"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30772F1"/>
    <w:multiLevelType w:val="hybridMultilevel"/>
    <w:tmpl w:val="0C6289A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4D0791F"/>
    <w:multiLevelType w:val="hybridMultilevel"/>
    <w:tmpl w:val="2C307EF2"/>
    <w:lvl w:ilvl="0" w:tplc="54AA8D8E">
      <w:start w:val="1"/>
      <w:numFmt w:val="bullet"/>
      <w:lvlText w:val=""/>
      <w:lvlJc w:val="left"/>
      <w:pPr>
        <w:ind w:left="720" w:hanging="360"/>
      </w:pPr>
      <w:rPr>
        <w:rFonts w:ascii="Symbol" w:hAnsi="Symbol" w:hint="default"/>
      </w:rPr>
    </w:lvl>
    <w:lvl w:ilvl="1" w:tplc="54AA8D8E">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54E64867"/>
    <w:multiLevelType w:val="hybridMultilevel"/>
    <w:tmpl w:val="4108430E"/>
    <w:lvl w:ilvl="0" w:tplc="A240F02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6F77910"/>
    <w:multiLevelType w:val="hybridMultilevel"/>
    <w:tmpl w:val="6CBC083C"/>
    <w:lvl w:ilvl="0" w:tplc="54B2B7D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3" w15:restartNumberingAfterBreak="0">
    <w:nsid w:val="5713294D"/>
    <w:multiLevelType w:val="hybridMultilevel"/>
    <w:tmpl w:val="294C9102"/>
    <w:lvl w:ilvl="0" w:tplc="3E6E8C06">
      <w:start w:val="11"/>
      <w:numFmt w:val="decimal"/>
      <w:lvlText w:val="%1"/>
      <w:lvlJc w:val="left"/>
      <w:pPr>
        <w:ind w:left="720" w:hanging="360"/>
      </w:pPr>
      <w:rPr>
        <w:rFonts w:hint="default"/>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5744252B"/>
    <w:multiLevelType w:val="hybridMultilevel"/>
    <w:tmpl w:val="742A1200"/>
    <w:lvl w:ilvl="0" w:tplc="8BA00CB0">
      <w:start w:val="1"/>
      <w:numFmt w:val="decimal"/>
      <w:lvlText w:val="%1."/>
      <w:lvlJc w:val="left"/>
      <w:pPr>
        <w:ind w:left="9270" w:hanging="72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7AA53BD"/>
    <w:multiLevelType w:val="hybridMultilevel"/>
    <w:tmpl w:val="91061256"/>
    <w:lvl w:ilvl="0" w:tplc="0FE63F22">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56" w15:restartNumberingAfterBreak="0">
    <w:nsid w:val="585038B4"/>
    <w:multiLevelType w:val="hybridMultilevel"/>
    <w:tmpl w:val="8F8A298A"/>
    <w:lvl w:ilvl="0" w:tplc="F33845C4">
      <w:start w:val="3"/>
      <w:numFmt w:val="decimal"/>
      <w:lvlText w:val="%1."/>
      <w:lvlJc w:val="left"/>
      <w:pPr>
        <w:ind w:left="720" w:hanging="360"/>
      </w:pPr>
      <w:rPr>
        <w:rFonts w:hint="default"/>
        <w:b w:val="0"/>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7"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E7572E2"/>
    <w:multiLevelType w:val="hybridMultilevel"/>
    <w:tmpl w:val="3C1C5F06"/>
    <w:lvl w:ilvl="0" w:tplc="54B2B7D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1"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2D37ECB"/>
    <w:multiLevelType w:val="hybridMultilevel"/>
    <w:tmpl w:val="9FC848A8"/>
    <w:lvl w:ilvl="0" w:tplc="DD6C2FB6">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63"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5901DFD"/>
    <w:multiLevelType w:val="hybridMultilevel"/>
    <w:tmpl w:val="D3645F8E"/>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6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7"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6AE7625C"/>
    <w:multiLevelType w:val="hybridMultilevel"/>
    <w:tmpl w:val="43CAEC00"/>
    <w:lvl w:ilvl="0" w:tplc="54B2B7D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9" w15:restartNumberingAfterBreak="0">
    <w:nsid w:val="6B0310AF"/>
    <w:multiLevelType w:val="hybridMultilevel"/>
    <w:tmpl w:val="69C4E484"/>
    <w:lvl w:ilvl="0" w:tplc="7C3A19F6">
      <w:start w:val="1"/>
      <w:numFmt w:val="lowerLetter"/>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70" w15:restartNumberingAfterBreak="0">
    <w:nsid w:val="6CD86240"/>
    <w:multiLevelType w:val="hybridMultilevel"/>
    <w:tmpl w:val="0826D8C6"/>
    <w:lvl w:ilvl="0" w:tplc="0FE63F2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5"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9866DEC"/>
    <w:multiLevelType w:val="hybridMultilevel"/>
    <w:tmpl w:val="9CB0AC2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7"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8" w15:restartNumberingAfterBreak="0">
    <w:nsid w:val="7BCB5C2D"/>
    <w:multiLevelType w:val="hybridMultilevel"/>
    <w:tmpl w:val="09EE51A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9"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D4E5F74"/>
    <w:multiLevelType w:val="hybridMultilevel"/>
    <w:tmpl w:val="12300722"/>
    <w:lvl w:ilvl="0" w:tplc="80666FD0">
      <w:numFmt w:val="bullet"/>
      <w:lvlText w:val="−"/>
      <w:lvlJc w:val="left"/>
      <w:pPr>
        <w:ind w:left="927" w:hanging="360"/>
      </w:pPr>
      <w:rPr>
        <w:rFonts w:ascii="Arial" w:eastAsia="Times New Roman" w:hAnsi="Aria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81" w15:restartNumberingAfterBreak="0">
    <w:nsid w:val="7E1535AE"/>
    <w:multiLevelType w:val="hybridMultilevel"/>
    <w:tmpl w:val="1EAAB230"/>
    <w:lvl w:ilvl="0" w:tplc="0FE63F22">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2"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7784620">
    <w:abstractNumId w:val="41"/>
  </w:num>
  <w:num w:numId="2" w16cid:durableId="964628243">
    <w:abstractNumId w:val="74"/>
  </w:num>
  <w:num w:numId="3" w16cid:durableId="538208492">
    <w:abstractNumId w:val="4"/>
  </w:num>
  <w:num w:numId="4" w16cid:durableId="4593031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7564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039547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1097270">
    <w:abstractNumId w:val="30"/>
  </w:num>
  <w:num w:numId="8" w16cid:durableId="1167523846">
    <w:abstractNumId w:val="79"/>
  </w:num>
  <w:num w:numId="9" w16cid:durableId="1238711608">
    <w:abstractNumId w:val="47"/>
  </w:num>
  <w:num w:numId="10" w16cid:durableId="188417885">
    <w:abstractNumId w:val="6"/>
  </w:num>
  <w:num w:numId="11" w16cid:durableId="60519124">
    <w:abstractNumId w:val="18"/>
  </w:num>
  <w:num w:numId="12" w16cid:durableId="1904368809">
    <w:abstractNumId w:val="20"/>
  </w:num>
  <w:num w:numId="13" w16cid:durableId="744911600">
    <w:abstractNumId w:val="28"/>
  </w:num>
  <w:num w:numId="14" w16cid:durableId="675957014">
    <w:abstractNumId w:val="42"/>
  </w:num>
  <w:num w:numId="15" w16cid:durableId="90124061">
    <w:abstractNumId w:val="55"/>
  </w:num>
  <w:num w:numId="16" w16cid:durableId="697968172">
    <w:abstractNumId w:val="22"/>
  </w:num>
  <w:num w:numId="17" w16cid:durableId="327906328">
    <w:abstractNumId w:val="50"/>
  </w:num>
  <w:num w:numId="18" w16cid:durableId="1163816551">
    <w:abstractNumId w:val="32"/>
  </w:num>
  <w:num w:numId="19" w16cid:durableId="2474704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66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4749975">
    <w:abstractNumId w:val="16"/>
  </w:num>
  <w:num w:numId="22" w16cid:durableId="2085107784">
    <w:abstractNumId w:val="62"/>
  </w:num>
  <w:num w:numId="23" w16cid:durableId="19255337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7750046">
    <w:abstractNumId w:val="80"/>
  </w:num>
  <w:num w:numId="25" w16cid:durableId="78796767">
    <w:abstractNumId w:val="7"/>
  </w:num>
  <w:num w:numId="26" w16cid:durableId="1696686022">
    <w:abstractNumId w:val="5"/>
  </w:num>
  <w:num w:numId="27" w16cid:durableId="910120247">
    <w:abstractNumId w:val="8"/>
  </w:num>
  <w:num w:numId="28" w16cid:durableId="1871726344">
    <w:abstractNumId w:val="26"/>
  </w:num>
  <w:num w:numId="29" w16cid:durableId="91585710">
    <w:abstractNumId w:val="53"/>
  </w:num>
  <w:num w:numId="30" w16cid:durableId="459156647">
    <w:abstractNumId w:val="71"/>
  </w:num>
  <w:num w:numId="31" w16cid:durableId="678964602">
    <w:abstractNumId w:val="25"/>
  </w:num>
  <w:num w:numId="32" w16cid:durableId="1725906893">
    <w:abstractNumId w:val="46"/>
  </w:num>
  <w:num w:numId="33" w16cid:durableId="1159812186">
    <w:abstractNumId w:val="10"/>
  </w:num>
  <w:num w:numId="34" w16cid:durableId="626619745">
    <w:abstractNumId w:val="3"/>
  </w:num>
  <w:num w:numId="35" w16cid:durableId="1832791281">
    <w:abstractNumId w:val="65"/>
  </w:num>
  <w:num w:numId="36" w16cid:durableId="743724133">
    <w:abstractNumId w:val="67"/>
  </w:num>
  <w:num w:numId="37" w16cid:durableId="76831419">
    <w:abstractNumId w:val="14"/>
  </w:num>
  <w:num w:numId="38" w16cid:durableId="1778721022">
    <w:abstractNumId w:val="2"/>
  </w:num>
  <w:num w:numId="39" w16cid:durableId="632977785">
    <w:abstractNumId w:val="73"/>
  </w:num>
  <w:num w:numId="40" w16cid:durableId="1751391209">
    <w:abstractNumId w:val="72"/>
  </w:num>
  <w:num w:numId="41" w16cid:durableId="130288007">
    <w:abstractNumId w:val="58"/>
  </w:num>
  <w:num w:numId="42" w16cid:durableId="54865818">
    <w:abstractNumId w:val="59"/>
  </w:num>
  <w:num w:numId="43" w16cid:durableId="1555773176">
    <w:abstractNumId w:val="75"/>
  </w:num>
  <w:num w:numId="44" w16cid:durableId="1933976312">
    <w:abstractNumId w:val="44"/>
  </w:num>
  <w:num w:numId="45" w16cid:durableId="1532304673">
    <w:abstractNumId w:val="57"/>
  </w:num>
  <w:num w:numId="46" w16cid:durableId="100491475">
    <w:abstractNumId w:val="43"/>
  </w:num>
  <w:num w:numId="47" w16cid:durableId="1963924162">
    <w:abstractNumId w:val="48"/>
  </w:num>
  <w:num w:numId="48" w16cid:durableId="185680424">
    <w:abstractNumId w:val="63"/>
  </w:num>
  <w:num w:numId="49" w16cid:durableId="276569382">
    <w:abstractNumId w:val="23"/>
  </w:num>
  <w:num w:numId="50" w16cid:durableId="1342582978">
    <w:abstractNumId w:val="82"/>
  </w:num>
  <w:num w:numId="51" w16cid:durableId="2140145902">
    <w:abstractNumId w:val="31"/>
  </w:num>
  <w:num w:numId="52" w16cid:durableId="348600289">
    <w:abstractNumId w:val="61"/>
  </w:num>
  <w:num w:numId="53" w16cid:durableId="104810387">
    <w:abstractNumId w:val="34"/>
  </w:num>
  <w:num w:numId="54" w16cid:durableId="829835752">
    <w:abstractNumId w:val="81"/>
  </w:num>
  <w:num w:numId="55" w16cid:durableId="165144180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0374792">
    <w:abstractNumId w:val="38"/>
  </w:num>
  <w:num w:numId="57" w16cid:durableId="1803645826">
    <w:abstractNumId w:val="24"/>
  </w:num>
  <w:num w:numId="58" w16cid:durableId="1963614628">
    <w:abstractNumId w:val="35"/>
  </w:num>
  <w:num w:numId="59" w16cid:durableId="721095564">
    <w:abstractNumId w:val="70"/>
  </w:num>
  <w:num w:numId="60" w16cid:durableId="1515463535">
    <w:abstractNumId w:val="56"/>
  </w:num>
  <w:num w:numId="61" w16cid:durableId="1328433879">
    <w:abstractNumId w:val="68"/>
  </w:num>
  <w:num w:numId="62" w16cid:durableId="858784788">
    <w:abstractNumId w:val="60"/>
  </w:num>
  <w:num w:numId="63" w16cid:durableId="1110776663">
    <w:abstractNumId w:val="52"/>
  </w:num>
  <w:num w:numId="64" w16cid:durableId="1179198938">
    <w:abstractNumId w:val="27"/>
  </w:num>
  <w:num w:numId="65" w16cid:durableId="1423605451">
    <w:abstractNumId w:val="76"/>
  </w:num>
  <w:num w:numId="66" w16cid:durableId="1476139487">
    <w:abstractNumId w:val="78"/>
  </w:num>
  <w:num w:numId="67" w16cid:durableId="1392777569">
    <w:abstractNumId w:val="11"/>
  </w:num>
  <w:num w:numId="68" w16cid:durableId="857429798">
    <w:abstractNumId w:val="9"/>
  </w:num>
  <w:num w:numId="69" w16cid:durableId="27803432">
    <w:abstractNumId w:val="29"/>
  </w:num>
  <w:num w:numId="70" w16cid:durableId="1410157157">
    <w:abstractNumId w:val="40"/>
  </w:num>
  <w:num w:numId="71" w16cid:durableId="1671102787">
    <w:abstractNumId w:val="49"/>
  </w:num>
  <w:num w:numId="72" w16cid:durableId="1439642788">
    <w:abstractNumId w:val="17"/>
  </w:num>
  <w:num w:numId="73" w16cid:durableId="29764001">
    <w:abstractNumId w:val="64"/>
  </w:num>
  <w:num w:numId="74" w16cid:durableId="1071122015">
    <w:abstractNumId w:val="51"/>
  </w:num>
  <w:num w:numId="75" w16cid:durableId="858618691">
    <w:abstractNumId w:val="12"/>
  </w:num>
  <w:num w:numId="76" w16cid:durableId="1179585134">
    <w:abstractNumId w:val="21"/>
  </w:num>
  <w:num w:numId="77" w16cid:durableId="1863736744">
    <w:abstractNumId w:val="13"/>
  </w:num>
  <w:num w:numId="78" w16cid:durableId="1892380784">
    <w:abstractNumId w:val="39"/>
  </w:num>
  <w:num w:numId="79" w16cid:durableId="1770005408">
    <w:abstractNumId w:val="19"/>
  </w:num>
  <w:num w:numId="80" w16cid:durableId="1379356519">
    <w:abstractNumId w:val="37"/>
  </w:num>
  <w:num w:numId="81" w16cid:durableId="1192183637">
    <w:abstractNumId w:val="0"/>
  </w:num>
  <w:num w:numId="82" w16cid:durableId="1976521904">
    <w:abstractNumId w:val="1"/>
  </w:num>
  <w:num w:numId="83" w16cid:durableId="1631133795">
    <w:abstractNumId w:val="45"/>
  </w:num>
  <w:num w:numId="84" w16cid:durableId="136917172">
    <w:abstractNumId w:val="77"/>
  </w:num>
  <w:num w:numId="85" w16cid:durableId="1131745837">
    <w:abstractNumId w:val="6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F6A"/>
    <w:rsid w:val="000029AE"/>
    <w:rsid w:val="00005829"/>
    <w:rsid w:val="00012000"/>
    <w:rsid w:val="00012F3D"/>
    <w:rsid w:val="00013FB3"/>
    <w:rsid w:val="000145E0"/>
    <w:rsid w:val="00014DC7"/>
    <w:rsid w:val="00017B44"/>
    <w:rsid w:val="00020365"/>
    <w:rsid w:val="00020A07"/>
    <w:rsid w:val="00021578"/>
    <w:rsid w:val="00022D56"/>
    <w:rsid w:val="00024278"/>
    <w:rsid w:val="000247AC"/>
    <w:rsid w:val="00024A93"/>
    <w:rsid w:val="000251B5"/>
    <w:rsid w:val="00027E88"/>
    <w:rsid w:val="00032834"/>
    <w:rsid w:val="00035947"/>
    <w:rsid w:val="0003664B"/>
    <w:rsid w:val="00040FBF"/>
    <w:rsid w:val="00043898"/>
    <w:rsid w:val="000471EB"/>
    <w:rsid w:val="00050A87"/>
    <w:rsid w:val="00050C20"/>
    <w:rsid w:val="00051360"/>
    <w:rsid w:val="00051870"/>
    <w:rsid w:val="000527FF"/>
    <w:rsid w:val="00053670"/>
    <w:rsid w:val="000539AB"/>
    <w:rsid w:val="00055D7A"/>
    <w:rsid w:val="0005730A"/>
    <w:rsid w:val="0006101D"/>
    <w:rsid w:val="00061BAA"/>
    <w:rsid w:val="0006289C"/>
    <w:rsid w:val="000637E8"/>
    <w:rsid w:val="00063C40"/>
    <w:rsid w:val="00063E2B"/>
    <w:rsid w:val="00064D40"/>
    <w:rsid w:val="000652C7"/>
    <w:rsid w:val="0006596B"/>
    <w:rsid w:val="000661B2"/>
    <w:rsid w:val="00066DA6"/>
    <w:rsid w:val="000671C1"/>
    <w:rsid w:val="00067EBD"/>
    <w:rsid w:val="00070C42"/>
    <w:rsid w:val="00071E91"/>
    <w:rsid w:val="000744D9"/>
    <w:rsid w:val="000745A2"/>
    <w:rsid w:val="00074B6A"/>
    <w:rsid w:val="0008003A"/>
    <w:rsid w:val="00081045"/>
    <w:rsid w:val="00083531"/>
    <w:rsid w:val="00091E28"/>
    <w:rsid w:val="0009245E"/>
    <w:rsid w:val="00092641"/>
    <w:rsid w:val="00093E11"/>
    <w:rsid w:val="00094C3F"/>
    <w:rsid w:val="00096371"/>
    <w:rsid w:val="00096B30"/>
    <w:rsid w:val="000A1D7A"/>
    <w:rsid w:val="000A3578"/>
    <w:rsid w:val="000A39A3"/>
    <w:rsid w:val="000A5AA6"/>
    <w:rsid w:val="000A5B72"/>
    <w:rsid w:val="000A5F09"/>
    <w:rsid w:val="000A6366"/>
    <w:rsid w:val="000A7312"/>
    <w:rsid w:val="000B1E33"/>
    <w:rsid w:val="000B55C4"/>
    <w:rsid w:val="000B65B0"/>
    <w:rsid w:val="000B6C48"/>
    <w:rsid w:val="000B7824"/>
    <w:rsid w:val="000C315F"/>
    <w:rsid w:val="000C36B6"/>
    <w:rsid w:val="000C7AF9"/>
    <w:rsid w:val="000D30F7"/>
    <w:rsid w:val="000D582C"/>
    <w:rsid w:val="000D6B89"/>
    <w:rsid w:val="000D6F42"/>
    <w:rsid w:val="000E0231"/>
    <w:rsid w:val="000E0978"/>
    <w:rsid w:val="000E0DC9"/>
    <w:rsid w:val="000E143F"/>
    <w:rsid w:val="000F13BB"/>
    <w:rsid w:val="000F1871"/>
    <w:rsid w:val="000F2C0F"/>
    <w:rsid w:val="000F2F39"/>
    <w:rsid w:val="000F64F7"/>
    <w:rsid w:val="000F6E90"/>
    <w:rsid w:val="00101A22"/>
    <w:rsid w:val="00103C7C"/>
    <w:rsid w:val="00103DD7"/>
    <w:rsid w:val="00103DE9"/>
    <w:rsid w:val="00104C0D"/>
    <w:rsid w:val="00105FCB"/>
    <w:rsid w:val="00106731"/>
    <w:rsid w:val="001103F0"/>
    <w:rsid w:val="00110685"/>
    <w:rsid w:val="00111220"/>
    <w:rsid w:val="00116601"/>
    <w:rsid w:val="001166A3"/>
    <w:rsid w:val="00120619"/>
    <w:rsid w:val="00123C6D"/>
    <w:rsid w:val="00124BEB"/>
    <w:rsid w:val="00125C6D"/>
    <w:rsid w:val="00125E7E"/>
    <w:rsid w:val="00126FD4"/>
    <w:rsid w:val="00127276"/>
    <w:rsid w:val="00127399"/>
    <w:rsid w:val="001309BB"/>
    <w:rsid w:val="00131239"/>
    <w:rsid w:val="00133B57"/>
    <w:rsid w:val="001346CE"/>
    <w:rsid w:val="001365B5"/>
    <w:rsid w:val="001373E9"/>
    <w:rsid w:val="00137460"/>
    <w:rsid w:val="00137609"/>
    <w:rsid w:val="001404C7"/>
    <w:rsid w:val="001414BC"/>
    <w:rsid w:val="00141C59"/>
    <w:rsid w:val="00142F6D"/>
    <w:rsid w:val="00144AB8"/>
    <w:rsid w:val="001459E9"/>
    <w:rsid w:val="001474BB"/>
    <w:rsid w:val="00150D0B"/>
    <w:rsid w:val="00152307"/>
    <w:rsid w:val="00155B44"/>
    <w:rsid w:val="00155B9D"/>
    <w:rsid w:val="001566B8"/>
    <w:rsid w:val="00156D13"/>
    <w:rsid w:val="001574F6"/>
    <w:rsid w:val="00160C5E"/>
    <w:rsid w:val="001629D6"/>
    <w:rsid w:val="00163A3B"/>
    <w:rsid w:val="00165D92"/>
    <w:rsid w:val="00166821"/>
    <w:rsid w:val="00166FF3"/>
    <w:rsid w:val="00174D08"/>
    <w:rsid w:val="001757F7"/>
    <w:rsid w:val="00176295"/>
    <w:rsid w:val="00176E8E"/>
    <w:rsid w:val="00177179"/>
    <w:rsid w:val="0018003B"/>
    <w:rsid w:val="00180835"/>
    <w:rsid w:val="00180C69"/>
    <w:rsid w:val="001817DA"/>
    <w:rsid w:val="001819BC"/>
    <w:rsid w:val="0018221A"/>
    <w:rsid w:val="00182585"/>
    <w:rsid w:val="001837C8"/>
    <w:rsid w:val="00184004"/>
    <w:rsid w:val="00184287"/>
    <w:rsid w:val="001851AD"/>
    <w:rsid w:val="00190ADA"/>
    <w:rsid w:val="00190FEE"/>
    <w:rsid w:val="00196FFB"/>
    <w:rsid w:val="001A08B0"/>
    <w:rsid w:val="001A20ED"/>
    <w:rsid w:val="001A324F"/>
    <w:rsid w:val="001A34BF"/>
    <w:rsid w:val="001A4E00"/>
    <w:rsid w:val="001A5AD3"/>
    <w:rsid w:val="001A7AD0"/>
    <w:rsid w:val="001B1704"/>
    <w:rsid w:val="001B19EC"/>
    <w:rsid w:val="001B2CB8"/>
    <w:rsid w:val="001C2100"/>
    <w:rsid w:val="001C294A"/>
    <w:rsid w:val="001C2B06"/>
    <w:rsid w:val="001C49BB"/>
    <w:rsid w:val="001C4E50"/>
    <w:rsid w:val="001C57C0"/>
    <w:rsid w:val="001C59E2"/>
    <w:rsid w:val="001C6C56"/>
    <w:rsid w:val="001D0374"/>
    <w:rsid w:val="001D059D"/>
    <w:rsid w:val="001D2375"/>
    <w:rsid w:val="001D2BFC"/>
    <w:rsid w:val="001D33CB"/>
    <w:rsid w:val="001D4F69"/>
    <w:rsid w:val="001D75E6"/>
    <w:rsid w:val="001E0242"/>
    <w:rsid w:val="001E0B62"/>
    <w:rsid w:val="001E2215"/>
    <w:rsid w:val="001E27F9"/>
    <w:rsid w:val="001E3DAB"/>
    <w:rsid w:val="001E494F"/>
    <w:rsid w:val="001E65C3"/>
    <w:rsid w:val="001E74D8"/>
    <w:rsid w:val="001E7C08"/>
    <w:rsid w:val="001F0901"/>
    <w:rsid w:val="001F0E93"/>
    <w:rsid w:val="001F2C82"/>
    <w:rsid w:val="001F31B0"/>
    <w:rsid w:val="001F4C00"/>
    <w:rsid w:val="001F60A4"/>
    <w:rsid w:val="001F66F5"/>
    <w:rsid w:val="001F73CC"/>
    <w:rsid w:val="002005A0"/>
    <w:rsid w:val="00201DA3"/>
    <w:rsid w:val="00203743"/>
    <w:rsid w:val="00207519"/>
    <w:rsid w:val="002078BF"/>
    <w:rsid w:val="00211154"/>
    <w:rsid w:val="0021351E"/>
    <w:rsid w:val="0021399D"/>
    <w:rsid w:val="00215A0B"/>
    <w:rsid w:val="00216032"/>
    <w:rsid w:val="00216A02"/>
    <w:rsid w:val="00216D0E"/>
    <w:rsid w:val="00217737"/>
    <w:rsid w:val="00217C6B"/>
    <w:rsid w:val="002206D8"/>
    <w:rsid w:val="00222356"/>
    <w:rsid w:val="00222A69"/>
    <w:rsid w:val="002231B7"/>
    <w:rsid w:val="002235F8"/>
    <w:rsid w:val="00223F71"/>
    <w:rsid w:val="002248C2"/>
    <w:rsid w:val="00225ABD"/>
    <w:rsid w:val="00225B68"/>
    <w:rsid w:val="0022621E"/>
    <w:rsid w:val="002267FF"/>
    <w:rsid w:val="00230848"/>
    <w:rsid w:val="002326AB"/>
    <w:rsid w:val="002331C4"/>
    <w:rsid w:val="00233C49"/>
    <w:rsid w:val="00233CA5"/>
    <w:rsid w:val="0023485D"/>
    <w:rsid w:val="00235010"/>
    <w:rsid w:val="00235702"/>
    <w:rsid w:val="00236549"/>
    <w:rsid w:val="00236C6B"/>
    <w:rsid w:val="00237692"/>
    <w:rsid w:val="002409C0"/>
    <w:rsid w:val="00241EC7"/>
    <w:rsid w:val="00242C6B"/>
    <w:rsid w:val="0024377B"/>
    <w:rsid w:val="00244C76"/>
    <w:rsid w:val="0024500D"/>
    <w:rsid w:val="00246644"/>
    <w:rsid w:val="002476B8"/>
    <w:rsid w:val="00250098"/>
    <w:rsid w:val="00251959"/>
    <w:rsid w:val="0025244B"/>
    <w:rsid w:val="00257277"/>
    <w:rsid w:val="00260E5A"/>
    <w:rsid w:val="00263850"/>
    <w:rsid w:val="002648CD"/>
    <w:rsid w:val="0026771A"/>
    <w:rsid w:val="002715D6"/>
    <w:rsid w:val="00272589"/>
    <w:rsid w:val="00274471"/>
    <w:rsid w:val="00275ED8"/>
    <w:rsid w:val="00276339"/>
    <w:rsid w:val="002768E6"/>
    <w:rsid w:val="002801B9"/>
    <w:rsid w:val="0028157E"/>
    <w:rsid w:val="00283F90"/>
    <w:rsid w:val="00284272"/>
    <w:rsid w:val="00284794"/>
    <w:rsid w:val="00284880"/>
    <w:rsid w:val="00286442"/>
    <w:rsid w:val="00291364"/>
    <w:rsid w:val="002A0CD8"/>
    <w:rsid w:val="002A1476"/>
    <w:rsid w:val="002A2FE1"/>
    <w:rsid w:val="002A3F32"/>
    <w:rsid w:val="002A4D2D"/>
    <w:rsid w:val="002A65AA"/>
    <w:rsid w:val="002A71F2"/>
    <w:rsid w:val="002B0446"/>
    <w:rsid w:val="002B0663"/>
    <w:rsid w:val="002B17C4"/>
    <w:rsid w:val="002B2806"/>
    <w:rsid w:val="002B3FB0"/>
    <w:rsid w:val="002B5668"/>
    <w:rsid w:val="002B766F"/>
    <w:rsid w:val="002C06B9"/>
    <w:rsid w:val="002C0794"/>
    <w:rsid w:val="002C2B76"/>
    <w:rsid w:val="002C4E69"/>
    <w:rsid w:val="002C72FF"/>
    <w:rsid w:val="002C7417"/>
    <w:rsid w:val="002D03F3"/>
    <w:rsid w:val="002D0CBD"/>
    <w:rsid w:val="002D4A51"/>
    <w:rsid w:val="002D5CD1"/>
    <w:rsid w:val="002D7C17"/>
    <w:rsid w:val="002E0DE9"/>
    <w:rsid w:val="002E2488"/>
    <w:rsid w:val="002E6A7D"/>
    <w:rsid w:val="002F058D"/>
    <w:rsid w:val="002F1312"/>
    <w:rsid w:val="002F1ABA"/>
    <w:rsid w:val="002F2259"/>
    <w:rsid w:val="002F234C"/>
    <w:rsid w:val="002F2AA0"/>
    <w:rsid w:val="002F522D"/>
    <w:rsid w:val="002F5398"/>
    <w:rsid w:val="002F53E1"/>
    <w:rsid w:val="002F5511"/>
    <w:rsid w:val="002F5A55"/>
    <w:rsid w:val="00302906"/>
    <w:rsid w:val="00302D0D"/>
    <w:rsid w:val="00307042"/>
    <w:rsid w:val="00310083"/>
    <w:rsid w:val="0031046E"/>
    <w:rsid w:val="00310CB4"/>
    <w:rsid w:val="003123E4"/>
    <w:rsid w:val="00312DD2"/>
    <w:rsid w:val="0031319C"/>
    <w:rsid w:val="00314039"/>
    <w:rsid w:val="00315598"/>
    <w:rsid w:val="003175AA"/>
    <w:rsid w:val="00320F2A"/>
    <w:rsid w:val="0032266F"/>
    <w:rsid w:val="00322F5D"/>
    <w:rsid w:val="0032338A"/>
    <w:rsid w:val="00324B59"/>
    <w:rsid w:val="00326811"/>
    <w:rsid w:val="003271C2"/>
    <w:rsid w:val="00327666"/>
    <w:rsid w:val="00331D38"/>
    <w:rsid w:val="00332AD5"/>
    <w:rsid w:val="0033361A"/>
    <w:rsid w:val="00337E6E"/>
    <w:rsid w:val="003401BB"/>
    <w:rsid w:val="00340F16"/>
    <w:rsid w:val="00341E80"/>
    <w:rsid w:val="0034613C"/>
    <w:rsid w:val="00347DED"/>
    <w:rsid w:val="0035024E"/>
    <w:rsid w:val="00350A75"/>
    <w:rsid w:val="00350F1B"/>
    <w:rsid w:val="00351DC2"/>
    <w:rsid w:val="0035405F"/>
    <w:rsid w:val="003548F3"/>
    <w:rsid w:val="00355787"/>
    <w:rsid w:val="00357B15"/>
    <w:rsid w:val="00360B30"/>
    <w:rsid w:val="00360CD8"/>
    <w:rsid w:val="00362113"/>
    <w:rsid w:val="003648FC"/>
    <w:rsid w:val="00365BDD"/>
    <w:rsid w:val="00366572"/>
    <w:rsid w:val="003669FF"/>
    <w:rsid w:val="00366ECB"/>
    <w:rsid w:val="003725A3"/>
    <w:rsid w:val="00372C19"/>
    <w:rsid w:val="0037322F"/>
    <w:rsid w:val="00373D91"/>
    <w:rsid w:val="0037605B"/>
    <w:rsid w:val="003762FF"/>
    <w:rsid w:val="003771EE"/>
    <w:rsid w:val="0038023D"/>
    <w:rsid w:val="003808B8"/>
    <w:rsid w:val="0038138C"/>
    <w:rsid w:val="00382753"/>
    <w:rsid w:val="00383856"/>
    <w:rsid w:val="0038539B"/>
    <w:rsid w:val="00387016"/>
    <w:rsid w:val="00387639"/>
    <w:rsid w:val="003900A1"/>
    <w:rsid w:val="00392086"/>
    <w:rsid w:val="00393F12"/>
    <w:rsid w:val="0039450D"/>
    <w:rsid w:val="00396C79"/>
    <w:rsid w:val="00396C7B"/>
    <w:rsid w:val="0039705B"/>
    <w:rsid w:val="003A01DD"/>
    <w:rsid w:val="003A2651"/>
    <w:rsid w:val="003A2B27"/>
    <w:rsid w:val="003A2D84"/>
    <w:rsid w:val="003A3FF0"/>
    <w:rsid w:val="003A6887"/>
    <w:rsid w:val="003A6CF2"/>
    <w:rsid w:val="003A7014"/>
    <w:rsid w:val="003B5CE3"/>
    <w:rsid w:val="003B6FE1"/>
    <w:rsid w:val="003C0159"/>
    <w:rsid w:val="003C01D3"/>
    <w:rsid w:val="003C1437"/>
    <w:rsid w:val="003C1DE0"/>
    <w:rsid w:val="003C2465"/>
    <w:rsid w:val="003C3DB3"/>
    <w:rsid w:val="003C4062"/>
    <w:rsid w:val="003C434E"/>
    <w:rsid w:val="003C46DB"/>
    <w:rsid w:val="003C569E"/>
    <w:rsid w:val="003C7571"/>
    <w:rsid w:val="003C7C2C"/>
    <w:rsid w:val="003C7D4A"/>
    <w:rsid w:val="003D3B44"/>
    <w:rsid w:val="003D3EB8"/>
    <w:rsid w:val="003D4E0D"/>
    <w:rsid w:val="003D507D"/>
    <w:rsid w:val="003D5707"/>
    <w:rsid w:val="003D7CE8"/>
    <w:rsid w:val="003E04EC"/>
    <w:rsid w:val="003E17D1"/>
    <w:rsid w:val="003E5699"/>
    <w:rsid w:val="003E78F2"/>
    <w:rsid w:val="003F16AB"/>
    <w:rsid w:val="003F1D65"/>
    <w:rsid w:val="003F30E3"/>
    <w:rsid w:val="003F47EA"/>
    <w:rsid w:val="003F6D6A"/>
    <w:rsid w:val="003F70EE"/>
    <w:rsid w:val="004003D2"/>
    <w:rsid w:val="00400DC0"/>
    <w:rsid w:val="00402C14"/>
    <w:rsid w:val="00404FF2"/>
    <w:rsid w:val="0040663F"/>
    <w:rsid w:val="00407E39"/>
    <w:rsid w:val="0041034F"/>
    <w:rsid w:val="00411980"/>
    <w:rsid w:val="00413BF0"/>
    <w:rsid w:val="00414971"/>
    <w:rsid w:val="0042083B"/>
    <w:rsid w:val="00421AF1"/>
    <w:rsid w:val="00424AE1"/>
    <w:rsid w:val="00425F8A"/>
    <w:rsid w:val="004276E2"/>
    <w:rsid w:val="00427B1A"/>
    <w:rsid w:val="00427D34"/>
    <w:rsid w:val="0043072C"/>
    <w:rsid w:val="00430B2E"/>
    <w:rsid w:val="00430F5E"/>
    <w:rsid w:val="00431FE3"/>
    <w:rsid w:val="00432E92"/>
    <w:rsid w:val="004341FB"/>
    <w:rsid w:val="00434278"/>
    <w:rsid w:val="00434BDA"/>
    <w:rsid w:val="0043710A"/>
    <w:rsid w:val="00437574"/>
    <w:rsid w:val="00437A71"/>
    <w:rsid w:val="004400CF"/>
    <w:rsid w:val="00442EDD"/>
    <w:rsid w:val="00443325"/>
    <w:rsid w:val="00443A35"/>
    <w:rsid w:val="00444759"/>
    <w:rsid w:val="00445675"/>
    <w:rsid w:val="00445A01"/>
    <w:rsid w:val="00445ACB"/>
    <w:rsid w:val="0044762F"/>
    <w:rsid w:val="0045318B"/>
    <w:rsid w:val="004531F1"/>
    <w:rsid w:val="00454AB9"/>
    <w:rsid w:val="00455A8B"/>
    <w:rsid w:val="00457A20"/>
    <w:rsid w:val="00457FAA"/>
    <w:rsid w:val="004608C4"/>
    <w:rsid w:val="0046166C"/>
    <w:rsid w:val="00461E1D"/>
    <w:rsid w:val="004639CE"/>
    <w:rsid w:val="00464E7F"/>
    <w:rsid w:val="004666CB"/>
    <w:rsid w:val="00470E35"/>
    <w:rsid w:val="004714F5"/>
    <w:rsid w:val="00471FF7"/>
    <w:rsid w:val="004721D1"/>
    <w:rsid w:val="00472BCE"/>
    <w:rsid w:val="00472C18"/>
    <w:rsid w:val="00474258"/>
    <w:rsid w:val="004756D4"/>
    <w:rsid w:val="00475BFC"/>
    <w:rsid w:val="00475CFA"/>
    <w:rsid w:val="00477556"/>
    <w:rsid w:val="00477B5B"/>
    <w:rsid w:val="004800F5"/>
    <w:rsid w:val="004822FA"/>
    <w:rsid w:val="004846C8"/>
    <w:rsid w:val="00487620"/>
    <w:rsid w:val="0049007E"/>
    <w:rsid w:val="00491235"/>
    <w:rsid w:val="00491A59"/>
    <w:rsid w:val="00491B99"/>
    <w:rsid w:val="00495B71"/>
    <w:rsid w:val="004A00BD"/>
    <w:rsid w:val="004A0304"/>
    <w:rsid w:val="004A4E3B"/>
    <w:rsid w:val="004A6653"/>
    <w:rsid w:val="004A6AFF"/>
    <w:rsid w:val="004A6B38"/>
    <w:rsid w:val="004A6C25"/>
    <w:rsid w:val="004B2885"/>
    <w:rsid w:val="004B35EC"/>
    <w:rsid w:val="004B66CA"/>
    <w:rsid w:val="004B69C1"/>
    <w:rsid w:val="004C015B"/>
    <w:rsid w:val="004C0AD8"/>
    <w:rsid w:val="004C1FDD"/>
    <w:rsid w:val="004C23E9"/>
    <w:rsid w:val="004C3A26"/>
    <w:rsid w:val="004C7DD9"/>
    <w:rsid w:val="004D128E"/>
    <w:rsid w:val="004D12E2"/>
    <w:rsid w:val="004D2C03"/>
    <w:rsid w:val="004D7587"/>
    <w:rsid w:val="004E0B94"/>
    <w:rsid w:val="004E0E4F"/>
    <w:rsid w:val="004E16AF"/>
    <w:rsid w:val="004E1F14"/>
    <w:rsid w:val="004E2426"/>
    <w:rsid w:val="004E460A"/>
    <w:rsid w:val="004F1266"/>
    <w:rsid w:val="004F245F"/>
    <w:rsid w:val="004F3903"/>
    <w:rsid w:val="004F482E"/>
    <w:rsid w:val="004F4987"/>
    <w:rsid w:val="004F4EEA"/>
    <w:rsid w:val="004F55E9"/>
    <w:rsid w:val="004F6966"/>
    <w:rsid w:val="004F6A43"/>
    <w:rsid w:val="004F6AA8"/>
    <w:rsid w:val="004F6BCD"/>
    <w:rsid w:val="00500665"/>
    <w:rsid w:val="005026E6"/>
    <w:rsid w:val="005101B8"/>
    <w:rsid w:val="005110DB"/>
    <w:rsid w:val="005160C8"/>
    <w:rsid w:val="00516A25"/>
    <w:rsid w:val="00516EA1"/>
    <w:rsid w:val="00520AAC"/>
    <w:rsid w:val="005220AD"/>
    <w:rsid w:val="00522EE1"/>
    <w:rsid w:val="005245CA"/>
    <w:rsid w:val="00525088"/>
    <w:rsid w:val="00525752"/>
    <w:rsid w:val="00526D38"/>
    <w:rsid w:val="00527340"/>
    <w:rsid w:val="0053009E"/>
    <w:rsid w:val="00531670"/>
    <w:rsid w:val="00531B65"/>
    <w:rsid w:val="00531BD1"/>
    <w:rsid w:val="00532D9F"/>
    <w:rsid w:val="005330F7"/>
    <w:rsid w:val="00533811"/>
    <w:rsid w:val="00534134"/>
    <w:rsid w:val="00534EDF"/>
    <w:rsid w:val="00535359"/>
    <w:rsid w:val="00535F56"/>
    <w:rsid w:val="00536590"/>
    <w:rsid w:val="00537D11"/>
    <w:rsid w:val="005403F3"/>
    <w:rsid w:val="005420AC"/>
    <w:rsid w:val="00543FD2"/>
    <w:rsid w:val="005447E4"/>
    <w:rsid w:val="00544C45"/>
    <w:rsid w:val="005467F2"/>
    <w:rsid w:val="0054770E"/>
    <w:rsid w:val="00550B5D"/>
    <w:rsid w:val="00551CEE"/>
    <w:rsid w:val="00552559"/>
    <w:rsid w:val="00552ABE"/>
    <w:rsid w:val="00552F18"/>
    <w:rsid w:val="0055344C"/>
    <w:rsid w:val="00553D19"/>
    <w:rsid w:val="00554137"/>
    <w:rsid w:val="0055437D"/>
    <w:rsid w:val="005548AF"/>
    <w:rsid w:val="00554A88"/>
    <w:rsid w:val="005559EF"/>
    <w:rsid w:val="00555AAE"/>
    <w:rsid w:val="00556F74"/>
    <w:rsid w:val="005573DD"/>
    <w:rsid w:val="005576EF"/>
    <w:rsid w:val="00560F56"/>
    <w:rsid w:val="0056241B"/>
    <w:rsid w:val="00563598"/>
    <w:rsid w:val="0056361A"/>
    <w:rsid w:val="0056391C"/>
    <w:rsid w:val="005673B7"/>
    <w:rsid w:val="00567B50"/>
    <w:rsid w:val="00571EB0"/>
    <w:rsid w:val="00573B67"/>
    <w:rsid w:val="00575DC1"/>
    <w:rsid w:val="005773E4"/>
    <w:rsid w:val="0058014D"/>
    <w:rsid w:val="00581124"/>
    <w:rsid w:val="00581AC6"/>
    <w:rsid w:val="00583992"/>
    <w:rsid w:val="00584B89"/>
    <w:rsid w:val="00585E49"/>
    <w:rsid w:val="0059075E"/>
    <w:rsid w:val="00593734"/>
    <w:rsid w:val="00593F2A"/>
    <w:rsid w:val="00594151"/>
    <w:rsid w:val="00594BD2"/>
    <w:rsid w:val="00597EB1"/>
    <w:rsid w:val="00597F78"/>
    <w:rsid w:val="005A04C0"/>
    <w:rsid w:val="005A07AB"/>
    <w:rsid w:val="005A2A3E"/>
    <w:rsid w:val="005A3086"/>
    <w:rsid w:val="005A31F9"/>
    <w:rsid w:val="005A33F8"/>
    <w:rsid w:val="005A47AE"/>
    <w:rsid w:val="005A51BA"/>
    <w:rsid w:val="005A6A72"/>
    <w:rsid w:val="005B046D"/>
    <w:rsid w:val="005B070D"/>
    <w:rsid w:val="005B1A35"/>
    <w:rsid w:val="005B2386"/>
    <w:rsid w:val="005B23A6"/>
    <w:rsid w:val="005B4DBD"/>
    <w:rsid w:val="005B55A5"/>
    <w:rsid w:val="005B5844"/>
    <w:rsid w:val="005B7E6E"/>
    <w:rsid w:val="005C08A2"/>
    <w:rsid w:val="005C23B9"/>
    <w:rsid w:val="005C259E"/>
    <w:rsid w:val="005C26DE"/>
    <w:rsid w:val="005C28E8"/>
    <w:rsid w:val="005C4EBE"/>
    <w:rsid w:val="005C5625"/>
    <w:rsid w:val="005C5C48"/>
    <w:rsid w:val="005C634C"/>
    <w:rsid w:val="005C75A7"/>
    <w:rsid w:val="005C76A3"/>
    <w:rsid w:val="005C794F"/>
    <w:rsid w:val="005D0466"/>
    <w:rsid w:val="005D27E3"/>
    <w:rsid w:val="005D3BA5"/>
    <w:rsid w:val="005D3D4E"/>
    <w:rsid w:val="005D4717"/>
    <w:rsid w:val="005D5B36"/>
    <w:rsid w:val="005D75F0"/>
    <w:rsid w:val="005D7AC5"/>
    <w:rsid w:val="005E031D"/>
    <w:rsid w:val="005E12D3"/>
    <w:rsid w:val="005E4539"/>
    <w:rsid w:val="005E6D3C"/>
    <w:rsid w:val="005F3E24"/>
    <w:rsid w:val="005F4320"/>
    <w:rsid w:val="005F71DE"/>
    <w:rsid w:val="005F738C"/>
    <w:rsid w:val="005F7B50"/>
    <w:rsid w:val="005F7B68"/>
    <w:rsid w:val="006009F2"/>
    <w:rsid w:val="00601E7B"/>
    <w:rsid w:val="00602A71"/>
    <w:rsid w:val="0060449D"/>
    <w:rsid w:val="00605CFA"/>
    <w:rsid w:val="006065E5"/>
    <w:rsid w:val="00606FB0"/>
    <w:rsid w:val="00607889"/>
    <w:rsid w:val="00610891"/>
    <w:rsid w:val="0061122A"/>
    <w:rsid w:val="00611C3D"/>
    <w:rsid w:val="00617AEC"/>
    <w:rsid w:val="00621A3E"/>
    <w:rsid w:val="00623ED4"/>
    <w:rsid w:val="00624551"/>
    <w:rsid w:val="0062503B"/>
    <w:rsid w:val="0062517F"/>
    <w:rsid w:val="00630A15"/>
    <w:rsid w:val="00630FDF"/>
    <w:rsid w:val="00631CD4"/>
    <w:rsid w:val="00632DB1"/>
    <w:rsid w:val="00634959"/>
    <w:rsid w:val="00634D3A"/>
    <w:rsid w:val="00635EA2"/>
    <w:rsid w:val="00637B78"/>
    <w:rsid w:val="00640ED4"/>
    <w:rsid w:val="006450DF"/>
    <w:rsid w:val="0064723B"/>
    <w:rsid w:val="006475AE"/>
    <w:rsid w:val="00650735"/>
    <w:rsid w:val="0065175E"/>
    <w:rsid w:val="00651B9B"/>
    <w:rsid w:val="006523A1"/>
    <w:rsid w:val="006564D1"/>
    <w:rsid w:val="00657D5C"/>
    <w:rsid w:val="0066035D"/>
    <w:rsid w:val="0066179F"/>
    <w:rsid w:val="006627B8"/>
    <w:rsid w:val="00662CD2"/>
    <w:rsid w:val="00664CCE"/>
    <w:rsid w:val="006663A7"/>
    <w:rsid w:val="006670A7"/>
    <w:rsid w:val="006670D5"/>
    <w:rsid w:val="006704FB"/>
    <w:rsid w:val="006705ED"/>
    <w:rsid w:val="0067288F"/>
    <w:rsid w:val="006733F0"/>
    <w:rsid w:val="0067418D"/>
    <w:rsid w:val="006806A1"/>
    <w:rsid w:val="00681072"/>
    <w:rsid w:val="00681255"/>
    <w:rsid w:val="006813DC"/>
    <w:rsid w:val="00682891"/>
    <w:rsid w:val="00683F9B"/>
    <w:rsid w:val="00684767"/>
    <w:rsid w:val="006849E9"/>
    <w:rsid w:val="00685E45"/>
    <w:rsid w:val="006861F0"/>
    <w:rsid w:val="0068629D"/>
    <w:rsid w:val="006867A3"/>
    <w:rsid w:val="0069015B"/>
    <w:rsid w:val="00691385"/>
    <w:rsid w:val="006964C8"/>
    <w:rsid w:val="006A3BE7"/>
    <w:rsid w:val="006A451B"/>
    <w:rsid w:val="006A47F9"/>
    <w:rsid w:val="006A689A"/>
    <w:rsid w:val="006A6CEE"/>
    <w:rsid w:val="006A7DC4"/>
    <w:rsid w:val="006B4431"/>
    <w:rsid w:val="006B4CB0"/>
    <w:rsid w:val="006B53E2"/>
    <w:rsid w:val="006B56A2"/>
    <w:rsid w:val="006B6DEF"/>
    <w:rsid w:val="006C0316"/>
    <w:rsid w:val="006C075D"/>
    <w:rsid w:val="006C199B"/>
    <w:rsid w:val="006C3E45"/>
    <w:rsid w:val="006C4076"/>
    <w:rsid w:val="006C5853"/>
    <w:rsid w:val="006C6351"/>
    <w:rsid w:val="006D01B2"/>
    <w:rsid w:val="006D04B3"/>
    <w:rsid w:val="006D1890"/>
    <w:rsid w:val="006D2054"/>
    <w:rsid w:val="006D2D8D"/>
    <w:rsid w:val="006D376C"/>
    <w:rsid w:val="006D6142"/>
    <w:rsid w:val="006D627C"/>
    <w:rsid w:val="006D647F"/>
    <w:rsid w:val="006E03A9"/>
    <w:rsid w:val="006E0DFA"/>
    <w:rsid w:val="006E1348"/>
    <w:rsid w:val="006E478C"/>
    <w:rsid w:val="006E509A"/>
    <w:rsid w:val="006E6F38"/>
    <w:rsid w:val="006E7158"/>
    <w:rsid w:val="006F0EB0"/>
    <w:rsid w:val="006F2245"/>
    <w:rsid w:val="006F252A"/>
    <w:rsid w:val="006F43AC"/>
    <w:rsid w:val="006F6255"/>
    <w:rsid w:val="006F6493"/>
    <w:rsid w:val="006F6671"/>
    <w:rsid w:val="007003B5"/>
    <w:rsid w:val="00701D94"/>
    <w:rsid w:val="00704A73"/>
    <w:rsid w:val="00704E4A"/>
    <w:rsid w:val="0070614A"/>
    <w:rsid w:val="00706A61"/>
    <w:rsid w:val="007102C5"/>
    <w:rsid w:val="00711478"/>
    <w:rsid w:val="0071181A"/>
    <w:rsid w:val="0071309D"/>
    <w:rsid w:val="007163B0"/>
    <w:rsid w:val="00717334"/>
    <w:rsid w:val="00717D52"/>
    <w:rsid w:val="007212AA"/>
    <w:rsid w:val="0072169D"/>
    <w:rsid w:val="007259EC"/>
    <w:rsid w:val="00726712"/>
    <w:rsid w:val="00726CC8"/>
    <w:rsid w:val="007273BE"/>
    <w:rsid w:val="00727ED5"/>
    <w:rsid w:val="007320A6"/>
    <w:rsid w:val="0073233F"/>
    <w:rsid w:val="00732D5D"/>
    <w:rsid w:val="00735028"/>
    <w:rsid w:val="00735321"/>
    <w:rsid w:val="007405EB"/>
    <w:rsid w:val="0074076A"/>
    <w:rsid w:val="0074082F"/>
    <w:rsid w:val="00741091"/>
    <w:rsid w:val="00742446"/>
    <w:rsid w:val="00742B40"/>
    <w:rsid w:val="00743A7F"/>
    <w:rsid w:val="00744014"/>
    <w:rsid w:val="0074426D"/>
    <w:rsid w:val="007457AE"/>
    <w:rsid w:val="0074656E"/>
    <w:rsid w:val="007469CF"/>
    <w:rsid w:val="007504BE"/>
    <w:rsid w:val="00752BC4"/>
    <w:rsid w:val="00754181"/>
    <w:rsid w:val="00754639"/>
    <w:rsid w:val="00755ECC"/>
    <w:rsid w:val="00756199"/>
    <w:rsid w:val="00756202"/>
    <w:rsid w:val="0075693B"/>
    <w:rsid w:val="00756A72"/>
    <w:rsid w:val="007575F2"/>
    <w:rsid w:val="007607DF"/>
    <w:rsid w:val="007634F5"/>
    <w:rsid w:val="00763E0D"/>
    <w:rsid w:val="00764072"/>
    <w:rsid w:val="00764A61"/>
    <w:rsid w:val="00765B65"/>
    <w:rsid w:val="0076616F"/>
    <w:rsid w:val="00770ED6"/>
    <w:rsid w:val="007721B9"/>
    <w:rsid w:val="00773BD4"/>
    <w:rsid w:val="00776B1F"/>
    <w:rsid w:val="00780048"/>
    <w:rsid w:val="00782A86"/>
    <w:rsid w:val="00783599"/>
    <w:rsid w:val="00783B7C"/>
    <w:rsid w:val="00783FD3"/>
    <w:rsid w:val="0078451C"/>
    <w:rsid w:val="00784684"/>
    <w:rsid w:val="00785F48"/>
    <w:rsid w:val="007861B2"/>
    <w:rsid w:val="00786961"/>
    <w:rsid w:val="00787907"/>
    <w:rsid w:val="00787C45"/>
    <w:rsid w:val="00787E33"/>
    <w:rsid w:val="00791D88"/>
    <w:rsid w:val="00791F72"/>
    <w:rsid w:val="00792304"/>
    <w:rsid w:val="007924DB"/>
    <w:rsid w:val="00793FFC"/>
    <w:rsid w:val="007970D7"/>
    <w:rsid w:val="007A284B"/>
    <w:rsid w:val="007A326A"/>
    <w:rsid w:val="007A4914"/>
    <w:rsid w:val="007B0844"/>
    <w:rsid w:val="007B2FB3"/>
    <w:rsid w:val="007B7A46"/>
    <w:rsid w:val="007C41B9"/>
    <w:rsid w:val="007C59EC"/>
    <w:rsid w:val="007C62A9"/>
    <w:rsid w:val="007C66BB"/>
    <w:rsid w:val="007C6F89"/>
    <w:rsid w:val="007D08CD"/>
    <w:rsid w:val="007D232A"/>
    <w:rsid w:val="007D3E24"/>
    <w:rsid w:val="007D4AA1"/>
    <w:rsid w:val="007D5658"/>
    <w:rsid w:val="007D6FDE"/>
    <w:rsid w:val="007D71E0"/>
    <w:rsid w:val="007D76E0"/>
    <w:rsid w:val="007E0880"/>
    <w:rsid w:val="007E10DB"/>
    <w:rsid w:val="007E16F6"/>
    <w:rsid w:val="007E1E7C"/>
    <w:rsid w:val="007E4B1E"/>
    <w:rsid w:val="007E6923"/>
    <w:rsid w:val="007E697C"/>
    <w:rsid w:val="007E7070"/>
    <w:rsid w:val="007E70DF"/>
    <w:rsid w:val="007F0BA8"/>
    <w:rsid w:val="007F23D6"/>
    <w:rsid w:val="007F24FD"/>
    <w:rsid w:val="007F4E44"/>
    <w:rsid w:val="00800320"/>
    <w:rsid w:val="0080086C"/>
    <w:rsid w:val="00801BDB"/>
    <w:rsid w:val="008041B8"/>
    <w:rsid w:val="0080530E"/>
    <w:rsid w:val="0081063E"/>
    <w:rsid w:val="00811A40"/>
    <w:rsid w:val="0081570A"/>
    <w:rsid w:val="00815DE4"/>
    <w:rsid w:val="00816618"/>
    <w:rsid w:val="00820572"/>
    <w:rsid w:val="00821497"/>
    <w:rsid w:val="008216A2"/>
    <w:rsid w:val="00821B13"/>
    <w:rsid w:val="0082299A"/>
    <w:rsid w:val="00824416"/>
    <w:rsid w:val="00824425"/>
    <w:rsid w:val="008244E5"/>
    <w:rsid w:val="008249C6"/>
    <w:rsid w:val="00825CD4"/>
    <w:rsid w:val="008263CB"/>
    <w:rsid w:val="008271DA"/>
    <w:rsid w:val="0082768C"/>
    <w:rsid w:val="00833C22"/>
    <w:rsid w:val="00836E1D"/>
    <w:rsid w:val="0083743E"/>
    <w:rsid w:val="008378CB"/>
    <w:rsid w:val="008379DB"/>
    <w:rsid w:val="00837BC1"/>
    <w:rsid w:val="00837FF8"/>
    <w:rsid w:val="00841F18"/>
    <w:rsid w:val="00842B75"/>
    <w:rsid w:val="00842D06"/>
    <w:rsid w:val="00846D3A"/>
    <w:rsid w:val="00846E45"/>
    <w:rsid w:val="0085030C"/>
    <w:rsid w:val="0085161C"/>
    <w:rsid w:val="00851E50"/>
    <w:rsid w:val="0085362D"/>
    <w:rsid w:val="00854280"/>
    <w:rsid w:val="00857CC3"/>
    <w:rsid w:val="00857DC0"/>
    <w:rsid w:val="008619CA"/>
    <w:rsid w:val="008652A1"/>
    <w:rsid w:val="00865DE2"/>
    <w:rsid w:val="008664D5"/>
    <w:rsid w:val="00871567"/>
    <w:rsid w:val="00871E2C"/>
    <w:rsid w:val="00872EE7"/>
    <w:rsid w:val="00872FF8"/>
    <w:rsid w:val="008734C2"/>
    <w:rsid w:val="008742FC"/>
    <w:rsid w:val="00876562"/>
    <w:rsid w:val="00880727"/>
    <w:rsid w:val="00880A2E"/>
    <w:rsid w:val="00880BF0"/>
    <w:rsid w:val="00881325"/>
    <w:rsid w:val="00881A67"/>
    <w:rsid w:val="00881A71"/>
    <w:rsid w:val="00882A17"/>
    <w:rsid w:val="00884D51"/>
    <w:rsid w:val="008852CE"/>
    <w:rsid w:val="008858FE"/>
    <w:rsid w:val="008859EB"/>
    <w:rsid w:val="008876C1"/>
    <w:rsid w:val="00887EFA"/>
    <w:rsid w:val="00890F01"/>
    <w:rsid w:val="008915BF"/>
    <w:rsid w:val="0089206B"/>
    <w:rsid w:val="00892A6B"/>
    <w:rsid w:val="0089325A"/>
    <w:rsid w:val="0089329E"/>
    <w:rsid w:val="008940E0"/>
    <w:rsid w:val="00894529"/>
    <w:rsid w:val="00896338"/>
    <w:rsid w:val="00896628"/>
    <w:rsid w:val="00896B85"/>
    <w:rsid w:val="00897884"/>
    <w:rsid w:val="00897A98"/>
    <w:rsid w:val="00897E19"/>
    <w:rsid w:val="008A5AB8"/>
    <w:rsid w:val="008B0AC3"/>
    <w:rsid w:val="008B39A6"/>
    <w:rsid w:val="008B3A3B"/>
    <w:rsid w:val="008B6C5F"/>
    <w:rsid w:val="008C01EC"/>
    <w:rsid w:val="008C2887"/>
    <w:rsid w:val="008C306E"/>
    <w:rsid w:val="008C31B4"/>
    <w:rsid w:val="008C3A4A"/>
    <w:rsid w:val="008C3A93"/>
    <w:rsid w:val="008C47A2"/>
    <w:rsid w:val="008C4E93"/>
    <w:rsid w:val="008C4FC8"/>
    <w:rsid w:val="008C5642"/>
    <w:rsid w:val="008C5AF4"/>
    <w:rsid w:val="008C63F4"/>
    <w:rsid w:val="008D34EF"/>
    <w:rsid w:val="008D3C3F"/>
    <w:rsid w:val="008D48A4"/>
    <w:rsid w:val="008D4942"/>
    <w:rsid w:val="008D4AFB"/>
    <w:rsid w:val="008D7F9C"/>
    <w:rsid w:val="008E12E5"/>
    <w:rsid w:val="008E1694"/>
    <w:rsid w:val="008E399F"/>
    <w:rsid w:val="008E4072"/>
    <w:rsid w:val="008E5789"/>
    <w:rsid w:val="008E6292"/>
    <w:rsid w:val="008E6F5C"/>
    <w:rsid w:val="008E7441"/>
    <w:rsid w:val="008F00FD"/>
    <w:rsid w:val="008F2422"/>
    <w:rsid w:val="008F4981"/>
    <w:rsid w:val="008F5EAE"/>
    <w:rsid w:val="008F669C"/>
    <w:rsid w:val="008F6858"/>
    <w:rsid w:val="00901651"/>
    <w:rsid w:val="009026FD"/>
    <w:rsid w:val="00904810"/>
    <w:rsid w:val="009067D0"/>
    <w:rsid w:val="00907DBE"/>
    <w:rsid w:val="00912395"/>
    <w:rsid w:val="0091256B"/>
    <w:rsid w:val="0091419C"/>
    <w:rsid w:val="00915972"/>
    <w:rsid w:val="00915B32"/>
    <w:rsid w:val="00917C3A"/>
    <w:rsid w:val="00917E83"/>
    <w:rsid w:val="00921410"/>
    <w:rsid w:val="0092141A"/>
    <w:rsid w:val="0092170C"/>
    <w:rsid w:val="00924DD6"/>
    <w:rsid w:val="0092519C"/>
    <w:rsid w:val="0092727F"/>
    <w:rsid w:val="0092734F"/>
    <w:rsid w:val="00927B5A"/>
    <w:rsid w:val="00930391"/>
    <w:rsid w:val="009312CE"/>
    <w:rsid w:val="009332CC"/>
    <w:rsid w:val="00933B90"/>
    <w:rsid w:val="00934B44"/>
    <w:rsid w:val="00935AD9"/>
    <w:rsid w:val="00935DC3"/>
    <w:rsid w:val="0093635E"/>
    <w:rsid w:val="0093713A"/>
    <w:rsid w:val="0093717E"/>
    <w:rsid w:val="00940FAE"/>
    <w:rsid w:val="0094130A"/>
    <w:rsid w:val="00941B2D"/>
    <w:rsid w:val="00942E47"/>
    <w:rsid w:val="00944604"/>
    <w:rsid w:val="0094477A"/>
    <w:rsid w:val="00945202"/>
    <w:rsid w:val="00946EC5"/>
    <w:rsid w:val="009475FB"/>
    <w:rsid w:val="00947C52"/>
    <w:rsid w:val="009500B7"/>
    <w:rsid w:val="00950411"/>
    <w:rsid w:val="00952594"/>
    <w:rsid w:val="00952AB5"/>
    <w:rsid w:val="00955324"/>
    <w:rsid w:val="009569AE"/>
    <w:rsid w:val="00960CC5"/>
    <w:rsid w:val="00962615"/>
    <w:rsid w:val="0096344C"/>
    <w:rsid w:val="00965BA9"/>
    <w:rsid w:val="00965D35"/>
    <w:rsid w:val="00966925"/>
    <w:rsid w:val="0096709B"/>
    <w:rsid w:val="00970255"/>
    <w:rsid w:val="00972248"/>
    <w:rsid w:val="0097242B"/>
    <w:rsid w:val="0097269B"/>
    <w:rsid w:val="00973FAE"/>
    <w:rsid w:val="0097459D"/>
    <w:rsid w:val="009751FD"/>
    <w:rsid w:val="009757B1"/>
    <w:rsid w:val="009771A4"/>
    <w:rsid w:val="0098054C"/>
    <w:rsid w:val="00980805"/>
    <w:rsid w:val="009816AD"/>
    <w:rsid w:val="009822A5"/>
    <w:rsid w:val="00982C1E"/>
    <w:rsid w:val="0098324C"/>
    <w:rsid w:val="0098634B"/>
    <w:rsid w:val="009863CA"/>
    <w:rsid w:val="009864FC"/>
    <w:rsid w:val="00991748"/>
    <w:rsid w:val="00994AB5"/>
    <w:rsid w:val="00994C69"/>
    <w:rsid w:val="009962FC"/>
    <w:rsid w:val="009A08AE"/>
    <w:rsid w:val="009A1BB9"/>
    <w:rsid w:val="009A2337"/>
    <w:rsid w:val="009A40F4"/>
    <w:rsid w:val="009A4921"/>
    <w:rsid w:val="009A4FCA"/>
    <w:rsid w:val="009A51A9"/>
    <w:rsid w:val="009A6907"/>
    <w:rsid w:val="009A6B51"/>
    <w:rsid w:val="009B1F69"/>
    <w:rsid w:val="009B28A1"/>
    <w:rsid w:val="009B33F8"/>
    <w:rsid w:val="009B3CF3"/>
    <w:rsid w:val="009B45AB"/>
    <w:rsid w:val="009B50B0"/>
    <w:rsid w:val="009B566E"/>
    <w:rsid w:val="009B5F71"/>
    <w:rsid w:val="009C09A6"/>
    <w:rsid w:val="009C1EE2"/>
    <w:rsid w:val="009C3A98"/>
    <w:rsid w:val="009C4F0D"/>
    <w:rsid w:val="009C53A7"/>
    <w:rsid w:val="009C5506"/>
    <w:rsid w:val="009C66A1"/>
    <w:rsid w:val="009C7CA4"/>
    <w:rsid w:val="009D0CCA"/>
    <w:rsid w:val="009D11AC"/>
    <w:rsid w:val="009D6402"/>
    <w:rsid w:val="009D6685"/>
    <w:rsid w:val="009E39F5"/>
    <w:rsid w:val="009E7626"/>
    <w:rsid w:val="009F3389"/>
    <w:rsid w:val="009F3705"/>
    <w:rsid w:val="009F4374"/>
    <w:rsid w:val="009F6A2A"/>
    <w:rsid w:val="009F6C60"/>
    <w:rsid w:val="00A025D1"/>
    <w:rsid w:val="00A02E0C"/>
    <w:rsid w:val="00A056EF"/>
    <w:rsid w:val="00A05F9E"/>
    <w:rsid w:val="00A06BE0"/>
    <w:rsid w:val="00A13D4F"/>
    <w:rsid w:val="00A13E68"/>
    <w:rsid w:val="00A20113"/>
    <w:rsid w:val="00A20FAB"/>
    <w:rsid w:val="00A24CC4"/>
    <w:rsid w:val="00A253A1"/>
    <w:rsid w:val="00A261C6"/>
    <w:rsid w:val="00A26709"/>
    <w:rsid w:val="00A30BE1"/>
    <w:rsid w:val="00A30F2F"/>
    <w:rsid w:val="00A31B04"/>
    <w:rsid w:val="00A350E8"/>
    <w:rsid w:val="00A36723"/>
    <w:rsid w:val="00A3679E"/>
    <w:rsid w:val="00A37AD3"/>
    <w:rsid w:val="00A40292"/>
    <w:rsid w:val="00A4081B"/>
    <w:rsid w:val="00A446D1"/>
    <w:rsid w:val="00A44ED2"/>
    <w:rsid w:val="00A45996"/>
    <w:rsid w:val="00A47708"/>
    <w:rsid w:val="00A50905"/>
    <w:rsid w:val="00A5191B"/>
    <w:rsid w:val="00A51FF8"/>
    <w:rsid w:val="00A53278"/>
    <w:rsid w:val="00A53299"/>
    <w:rsid w:val="00A53FA7"/>
    <w:rsid w:val="00A5442D"/>
    <w:rsid w:val="00A5508C"/>
    <w:rsid w:val="00A55978"/>
    <w:rsid w:val="00A56F6E"/>
    <w:rsid w:val="00A570A6"/>
    <w:rsid w:val="00A62A1A"/>
    <w:rsid w:val="00A63129"/>
    <w:rsid w:val="00A6434D"/>
    <w:rsid w:val="00A65352"/>
    <w:rsid w:val="00A66E39"/>
    <w:rsid w:val="00A679ED"/>
    <w:rsid w:val="00A70C4D"/>
    <w:rsid w:val="00A71856"/>
    <w:rsid w:val="00A73858"/>
    <w:rsid w:val="00A73C00"/>
    <w:rsid w:val="00A748E1"/>
    <w:rsid w:val="00A77A4D"/>
    <w:rsid w:val="00A81929"/>
    <w:rsid w:val="00A82BD4"/>
    <w:rsid w:val="00A85D7D"/>
    <w:rsid w:val="00A86FFF"/>
    <w:rsid w:val="00A878E5"/>
    <w:rsid w:val="00A90630"/>
    <w:rsid w:val="00A90645"/>
    <w:rsid w:val="00A90B2A"/>
    <w:rsid w:val="00A91B2C"/>
    <w:rsid w:val="00A91E4B"/>
    <w:rsid w:val="00A928FD"/>
    <w:rsid w:val="00A92D6F"/>
    <w:rsid w:val="00A93363"/>
    <w:rsid w:val="00A937DE"/>
    <w:rsid w:val="00A93B1E"/>
    <w:rsid w:val="00A946B1"/>
    <w:rsid w:val="00A9476F"/>
    <w:rsid w:val="00A94897"/>
    <w:rsid w:val="00A95796"/>
    <w:rsid w:val="00A95932"/>
    <w:rsid w:val="00A96D63"/>
    <w:rsid w:val="00AA6F75"/>
    <w:rsid w:val="00AA76BF"/>
    <w:rsid w:val="00AB4BCE"/>
    <w:rsid w:val="00AB5EA0"/>
    <w:rsid w:val="00AB6C4B"/>
    <w:rsid w:val="00AC0AAE"/>
    <w:rsid w:val="00AC0B8E"/>
    <w:rsid w:val="00AC348F"/>
    <w:rsid w:val="00AC35BD"/>
    <w:rsid w:val="00AC5907"/>
    <w:rsid w:val="00AC5B8E"/>
    <w:rsid w:val="00AC6D6C"/>
    <w:rsid w:val="00AC75E9"/>
    <w:rsid w:val="00AD1B2E"/>
    <w:rsid w:val="00AD3381"/>
    <w:rsid w:val="00AD3ED8"/>
    <w:rsid w:val="00AD440B"/>
    <w:rsid w:val="00AD4420"/>
    <w:rsid w:val="00AD4F4C"/>
    <w:rsid w:val="00AD72FC"/>
    <w:rsid w:val="00AE1B91"/>
    <w:rsid w:val="00AE1B93"/>
    <w:rsid w:val="00AE39B7"/>
    <w:rsid w:val="00AE48DB"/>
    <w:rsid w:val="00AE6198"/>
    <w:rsid w:val="00AE63B7"/>
    <w:rsid w:val="00AF062A"/>
    <w:rsid w:val="00AF34FF"/>
    <w:rsid w:val="00AF4804"/>
    <w:rsid w:val="00AF63ED"/>
    <w:rsid w:val="00AF6661"/>
    <w:rsid w:val="00B002FE"/>
    <w:rsid w:val="00B0119A"/>
    <w:rsid w:val="00B02567"/>
    <w:rsid w:val="00B04606"/>
    <w:rsid w:val="00B0470E"/>
    <w:rsid w:val="00B063C0"/>
    <w:rsid w:val="00B0685D"/>
    <w:rsid w:val="00B07460"/>
    <w:rsid w:val="00B07F53"/>
    <w:rsid w:val="00B10632"/>
    <w:rsid w:val="00B1064F"/>
    <w:rsid w:val="00B12A30"/>
    <w:rsid w:val="00B1512D"/>
    <w:rsid w:val="00B15C24"/>
    <w:rsid w:val="00B17D86"/>
    <w:rsid w:val="00B2055E"/>
    <w:rsid w:val="00B20C64"/>
    <w:rsid w:val="00B20C83"/>
    <w:rsid w:val="00B20EB1"/>
    <w:rsid w:val="00B20ECB"/>
    <w:rsid w:val="00B27A80"/>
    <w:rsid w:val="00B3237B"/>
    <w:rsid w:val="00B3287F"/>
    <w:rsid w:val="00B33183"/>
    <w:rsid w:val="00B35348"/>
    <w:rsid w:val="00B3544F"/>
    <w:rsid w:val="00B3591B"/>
    <w:rsid w:val="00B3692D"/>
    <w:rsid w:val="00B41200"/>
    <w:rsid w:val="00B41A92"/>
    <w:rsid w:val="00B422A3"/>
    <w:rsid w:val="00B42F09"/>
    <w:rsid w:val="00B432A2"/>
    <w:rsid w:val="00B4546D"/>
    <w:rsid w:val="00B46B3B"/>
    <w:rsid w:val="00B50B97"/>
    <w:rsid w:val="00B51A11"/>
    <w:rsid w:val="00B525B8"/>
    <w:rsid w:val="00B53FF4"/>
    <w:rsid w:val="00B54FB9"/>
    <w:rsid w:val="00B5535A"/>
    <w:rsid w:val="00B55479"/>
    <w:rsid w:val="00B55A42"/>
    <w:rsid w:val="00B55EDF"/>
    <w:rsid w:val="00B5728E"/>
    <w:rsid w:val="00B60529"/>
    <w:rsid w:val="00B609A5"/>
    <w:rsid w:val="00B60A3C"/>
    <w:rsid w:val="00B61AC9"/>
    <w:rsid w:val="00B62019"/>
    <w:rsid w:val="00B62A17"/>
    <w:rsid w:val="00B6578F"/>
    <w:rsid w:val="00B665AB"/>
    <w:rsid w:val="00B706E6"/>
    <w:rsid w:val="00B716CD"/>
    <w:rsid w:val="00B71839"/>
    <w:rsid w:val="00B74776"/>
    <w:rsid w:val="00B747F0"/>
    <w:rsid w:val="00B74EDA"/>
    <w:rsid w:val="00B75169"/>
    <w:rsid w:val="00B776F6"/>
    <w:rsid w:val="00B80665"/>
    <w:rsid w:val="00B81CB2"/>
    <w:rsid w:val="00B83421"/>
    <w:rsid w:val="00B84304"/>
    <w:rsid w:val="00B86FD6"/>
    <w:rsid w:val="00B91F53"/>
    <w:rsid w:val="00B93B28"/>
    <w:rsid w:val="00B93EDE"/>
    <w:rsid w:val="00B960C2"/>
    <w:rsid w:val="00B97367"/>
    <w:rsid w:val="00BA126A"/>
    <w:rsid w:val="00BA16AA"/>
    <w:rsid w:val="00BA1F71"/>
    <w:rsid w:val="00BA3678"/>
    <w:rsid w:val="00BA4F00"/>
    <w:rsid w:val="00BB32EB"/>
    <w:rsid w:val="00BB35AE"/>
    <w:rsid w:val="00BB3972"/>
    <w:rsid w:val="00BB3FF1"/>
    <w:rsid w:val="00BB44D0"/>
    <w:rsid w:val="00BB4EEF"/>
    <w:rsid w:val="00BB5148"/>
    <w:rsid w:val="00BB53D6"/>
    <w:rsid w:val="00BB7AB7"/>
    <w:rsid w:val="00BB7B03"/>
    <w:rsid w:val="00BB7FAE"/>
    <w:rsid w:val="00BC0AC9"/>
    <w:rsid w:val="00BC0DDC"/>
    <w:rsid w:val="00BC0E83"/>
    <w:rsid w:val="00BC2B70"/>
    <w:rsid w:val="00BC2EE3"/>
    <w:rsid w:val="00BC54F3"/>
    <w:rsid w:val="00BC5907"/>
    <w:rsid w:val="00BC60DB"/>
    <w:rsid w:val="00BC6593"/>
    <w:rsid w:val="00BD13B9"/>
    <w:rsid w:val="00BD3E1B"/>
    <w:rsid w:val="00BD5E3B"/>
    <w:rsid w:val="00BD5EAB"/>
    <w:rsid w:val="00BD622B"/>
    <w:rsid w:val="00BD671B"/>
    <w:rsid w:val="00BD6E19"/>
    <w:rsid w:val="00BE075C"/>
    <w:rsid w:val="00BE0DFF"/>
    <w:rsid w:val="00BE0FCE"/>
    <w:rsid w:val="00BE2AE5"/>
    <w:rsid w:val="00BE3132"/>
    <w:rsid w:val="00BE41F6"/>
    <w:rsid w:val="00BE54DD"/>
    <w:rsid w:val="00BE5B49"/>
    <w:rsid w:val="00BF0FB0"/>
    <w:rsid w:val="00BF102E"/>
    <w:rsid w:val="00BF2F2D"/>
    <w:rsid w:val="00BF3AA4"/>
    <w:rsid w:val="00BF55B8"/>
    <w:rsid w:val="00BF5BC6"/>
    <w:rsid w:val="00BF72A3"/>
    <w:rsid w:val="00C00802"/>
    <w:rsid w:val="00C01015"/>
    <w:rsid w:val="00C01B0B"/>
    <w:rsid w:val="00C01E8A"/>
    <w:rsid w:val="00C01ED7"/>
    <w:rsid w:val="00C0212D"/>
    <w:rsid w:val="00C023B8"/>
    <w:rsid w:val="00C028DB"/>
    <w:rsid w:val="00C0385B"/>
    <w:rsid w:val="00C0590C"/>
    <w:rsid w:val="00C07461"/>
    <w:rsid w:val="00C07542"/>
    <w:rsid w:val="00C0773A"/>
    <w:rsid w:val="00C108C1"/>
    <w:rsid w:val="00C114D9"/>
    <w:rsid w:val="00C129E1"/>
    <w:rsid w:val="00C14D6B"/>
    <w:rsid w:val="00C15553"/>
    <w:rsid w:val="00C15778"/>
    <w:rsid w:val="00C1585A"/>
    <w:rsid w:val="00C15E61"/>
    <w:rsid w:val="00C165BC"/>
    <w:rsid w:val="00C16F6D"/>
    <w:rsid w:val="00C17860"/>
    <w:rsid w:val="00C2026C"/>
    <w:rsid w:val="00C206C0"/>
    <w:rsid w:val="00C21900"/>
    <w:rsid w:val="00C21F42"/>
    <w:rsid w:val="00C22028"/>
    <w:rsid w:val="00C235F9"/>
    <w:rsid w:val="00C24F7F"/>
    <w:rsid w:val="00C25110"/>
    <w:rsid w:val="00C300EF"/>
    <w:rsid w:val="00C32577"/>
    <w:rsid w:val="00C32E9F"/>
    <w:rsid w:val="00C340CF"/>
    <w:rsid w:val="00C34661"/>
    <w:rsid w:val="00C34F42"/>
    <w:rsid w:val="00C36993"/>
    <w:rsid w:val="00C376C9"/>
    <w:rsid w:val="00C40BE6"/>
    <w:rsid w:val="00C4169A"/>
    <w:rsid w:val="00C43066"/>
    <w:rsid w:val="00C43ED5"/>
    <w:rsid w:val="00C44264"/>
    <w:rsid w:val="00C44F43"/>
    <w:rsid w:val="00C46345"/>
    <w:rsid w:val="00C46ECF"/>
    <w:rsid w:val="00C51E7B"/>
    <w:rsid w:val="00C52E17"/>
    <w:rsid w:val="00C53252"/>
    <w:rsid w:val="00C57E54"/>
    <w:rsid w:val="00C612B5"/>
    <w:rsid w:val="00C61C70"/>
    <w:rsid w:val="00C623ED"/>
    <w:rsid w:val="00C6330E"/>
    <w:rsid w:val="00C71FFC"/>
    <w:rsid w:val="00C724C7"/>
    <w:rsid w:val="00C72538"/>
    <w:rsid w:val="00C72D9C"/>
    <w:rsid w:val="00C737F4"/>
    <w:rsid w:val="00C7409D"/>
    <w:rsid w:val="00C74576"/>
    <w:rsid w:val="00C76BAF"/>
    <w:rsid w:val="00C77052"/>
    <w:rsid w:val="00C77CE5"/>
    <w:rsid w:val="00C81D1B"/>
    <w:rsid w:val="00C843AE"/>
    <w:rsid w:val="00C85216"/>
    <w:rsid w:val="00C86710"/>
    <w:rsid w:val="00C947B1"/>
    <w:rsid w:val="00C9539C"/>
    <w:rsid w:val="00C95705"/>
    <w:rsid w:val="00C959CC"/>
    <w:rsid w:val="00C960DE"/>
    <w:rsid w:val="00C96654"/>
    <w:rsid w:val="00C974A1"/>
    <w:rsid w:val="00CA1C99"/>
    <w:rsid w:val="00CA29CC"/>
    <w:rsid w:val="00CA3089"/>
    <w:rsid w:val="00CA4662"/>
    <w:rsid w:val="00CA5F09"/>
    <w:rsid w:val="00CA6765"/>
    <w:rsid w:val="00CA69C6"/>
    <w:rsid w:val="00CB1239"/>
    <w:rsid w:val="00CB1A99"/>
    <w:rsid w:val="00CB62D2"/>
    <w:rsid w:val="00CB7095"/>
    <w:rsid w:val="00CB734F"/>
    <w:rsid w:val="00CB7C16"/>
    <w:rsid w:val="00CC0E6A"/>
    <w:rsid w:val="00CC20D1"/>
    <w:rsid w:val="00CC3E41"/>
    <w:rsid w:val="00CC63AF"/>
    <w:rsid w:val="00CC6A50"/>
    <w:rsid w:val="00CD27A9"/>
    <w:rsid w:val="00CD2C72"/>
    <w:rsid w:val="00CD2F8A"/>
    <w:rsid w:val="00CE0D93"/>
    <w:rsid w:val="00CE18EF"/>
    <w:rsid w:val="00CE21B4"/>
    <w:rsid w:val="00CE3A5D"/>
    <w:rsid w:val="00CE4783"/>
    <w:rsid w:val="00CE4DF7"/>
    <w:rsid w:val="00CE5458"/>
    <w:rsid w:val="00CE6B37"/>
    <w:rsid w:val="00CF1084"/>
    <w:rsid w:val="00CF2DFB"/>
    <w:rsid w:val="00CF2E48"/>
    <w:rsid w:val="00CF4777"/>
    <w:rsid w:val="00CF59D6"/>
    <w:rsid w:val="00CF5BEA"/>
    <w:rsid w:val="00CF5D3B"/>
    <w:rsid w:val="00CF7E08"/>
    <w:rsid w:val="00D03580"/>
    <w:rsid w:val="00D05A76"/>
    <w:rsid w:val="00D05E6A"/>
    <w:rsid w:val="00D07E33"/>
    <w:rsid w:val="00D1069C"/>
    <w:rsid w:val="00D13568"/>
    <w:rsid w:val="00D13E95"/>
    <w:rsid w:val="00D1567A"/>
    <w:rsid w:val="00D1726B"/>
    <w:rsid w:val="00D21F72"/>
    <w:rsid w:val="00D25FCD"/>
    <w:rsid w:val="00D26149"/>
    <w:rsid w:val="00D274CE"/>
    <w:rsid w:val="00D30861"/>
    <w:rsid w:val="00D31073"/>
    <w:rsid w:val="00D316ED"/>
    <w:rsid w:val="00D334C4"/>
    <w:rsid w:val="00D33E3B"/>
    <w:rsid w:val="00D34D61"/>
    <w:rsid w:val="00D34FA5"/>
    <w:rsid w:val="00D35AD0"/>
    <w:rsid w:val="00D35CB0"/>
    <w:rsid w:val="00D370B4"/>
    <w:rsid w:val="00D40160"/>
    <w:rsid w:val="00D40460"/>
    <w:rsid w:val="00D40C6F"/>
    <w:rsid w:val="00D41321"/>
    <w:rsid w:val="00D418E6"/>
    <w:rsid w:val="00D434ED"/>
    <w:rsid w:val="00D44214"/>
    <w:rsid w:val="00D44CB1"/>
    <w:rsid w:val="00D4691A"/>
    <w:rsid w:val="00D46BED"/>
    <w:rsid w:val="00D51107"/>
    <w:rsid w:val="00D5168D"/>
    <w:rsid w:val="00D526BE"/>
    <w:rsid w:val="00D53B8B"/>
    <w:rsid w:val="00D542E0"/>
    <w:rsid w:val="00D56B8F"/>
    <w:rsid w:val="00D57747"/>
    <w:rsid w:val="00D57FA8"/>
    <w:rsid w:val="00D61BE5"/>
    <w:rsid w:val="00D62D20"/>
    <w:rsid w:val="00D62FDB"/>
    <w:rsid w:val="00D66DB0"/>
    <w:rsid w:val="00D676A4"/>
    <w:rsid w:val="00D72E3B"/>
    <w:rsid w:val="00D755D0"/>
    <w:rsid w:val="00D8210B"/>
    <w:rsid w:val="00D83839"/>
    <w:rsid w:val="00D8677E"/>
    <w:rsid w:val="00D87E1B"/>
    <w:rsid w:val="00D90E1D"/>
    <w:rsid w:val="00D91746"/>
    <w:rsid w:val="00D9304D"/>
    <w:rsid w:val="00D93628"/>
    <w:rsid w:val="00D95AFA"/>
    <w:rsid w:val="00D95ED8"/>
    <w:rsid w:val="00D970B3"/>
    <w:rsid w:val="00D97416"/>
    <w:rsid w:val="00DA1480"/>
    <w:rsid w:val="00DA1E36"/>
    <w:rsid w:val="00DA44E5"/>
    <w:rsid w:val="00DA78A2"/>
    <w:rsid w:val="00DA796A"/>
    <w:rsid w:val="00DB29A2"/>
    <w:rsid w:val="00DB4D98"/>
    <w:rsid w:val="00DB60F4"/>
    <w:rsid w:val="00DC266F"/>
    <w:rsid w:val="00DC616C"/>
    <w:rsid w:val="00DC6964"/>
    <w:rsid w:val="00DC7584"/>
    <w:rsid w:val="00DC7603"/>
    <w:rsid w:val="00DD248C"/>
    <w:rsid w:val="00DD34D1"/>
    <w:rsid w:val="00DD4314"/>
    <w:rsid w:val="00DD4B4E"/>
    <w:rsid w:val="00DD57DD"/>
    <w:rsid w:val="00DD7234"/>
    <w:rsid w:val="00DE2992"/>
    <w:rsid w:val="00DE42EC"/>
    <w:rsid w:val="00DE44FF"/>
    <w:rsid w:val="00DE481B"/>
    <w:rsid w:val="00DE65F8"/>
    <w:rsid w:val="00DE72F9"/>
    <w:rsid w:val="00DF03DB"/>
    <w:rsid w:val="00DF0E70"/>
    <w:rsid w:val="00DF1E67"/>
    <w:rsid w:val="00DF3061"/>
    <w:rsid w:val="00DF40D6"/>
    <w:rsid w:val="00DF49F8"/>
    <w:rsid w:val="00DF65E0"/>
    <w:rsid w:val="00DF7B87"/>
    <w:rsid w:val="00E0030F"/>
    <w:rsid w:val="00E03040"/>
    <w:rsid w:val="00E05203"/>
    <w:rsid w:val="00E058CE"/>
    <w:rsid w:val="00E06780"/>
    <w:rsid w:val="00E07C77"/>
    <w:rsid w:val="00E10390"/>
    <w:rsid w:val="00E1346E"/>
    <w:rsid w:val="00E154CB"/>
    <w:rsid w:val="00E16980"/>
    <w:rsid w:val="00E212DC"/>
    <w:rsid w:val="00E241DD"/>
    <w:rsid w:val="00E24AC2"/>
    <w:rsid w:val="00E24B36"/>
    <w:rsid w:val="00E25448"/>
    <w:rsid w:val="00E2626C"/>
    <w:rsid w:val="00E27868"/>
    <w:rsid w:val="00E3048B"/>
    <w:rsid w:val="00E30733"/>
    <w:rsid w:val="00E309AC"/>
    <w:rsid w:val="00E31C21"/>
    <w:rsid w:val="00E326EA"/>
    <w:rsid w:val="00E35927"/>
    <w:rsid w:val="00E372DE"/>
    <w:rsid w:val="00E3752A"/>
    <w:rsid w:val="00E3761E"/>
    <w:rsid w:val="00E378F0"/>
    <w:rsid w:val="00E40C66"/>
    <w:rsid w:val="00E41341"/>
    <w:rsid w:val="00E4182C"/>
    <w:rsid w:val="00E419E4"/>
    <w:rsid w:val="00E422CA"/>
    <w:rsid w:val="00E42CC0"/>
    <w:rsid w:val="00E458AD"/>
    <w:rsid w:val="00E47151"/>
    <w:rsid w:val="00E479CA"/>
    <w:rsid w:val="00E5077C"/>
    <w:rsid w:val="00E5504D"/>
    <w:rsid w:val="00E550F8"/>
    <w:rsid w:val="00E553F6"/>
    <w:rsid w:val="00E5660F"/>
    <w:rsid w:val="00E56C45"/>
    <w:rsid w:val="00E616A3"/>
    <w:rsid w:val="00E62AEE"/>
    <w:rsid w:val="00E7025A"/>
    <w:rsid w:val="00E741E8"/>
    <w:rsid w:val="00E74801"/>
    <w:rsid w:val="00E758E9"/>
    <w:rsid w:val="00E76870"/>
    <w:rsid w:val="00E76D0B"/>
    <w:rsid w:val="00E77B65"/>
    <w:rsid w:val="00E77D35"/>
    <w:rsid w:val="00E77D51"/>
    <w:rsid w:val="00E80F53"/>
    <w:rsid w:val="00E81275"/>
    <w:rsid w:val="00E82F89"/>
    <w:rsid w:val="00E83074"/>
    <w:rsid w:val="00E83232"/>
    <w:rsid w:val="00E83497"/>
    <w:rsid w:val="00E870AA"/>
    <w:rsid w:val="00E872F7"/>
    <w:rsid w:val="00E9174C"/>
    <w:rsid w:val="00E91E3A"/>
    <w:rsid w:val="00E9263E"/>
    <w:rsid w:val="00E934C2"/>
    <w:rsid w:val="00E9363C"/>
    <w:rsid w:val="00E93CC4"/>
    <w:rsid w:val="00E97926"/>
    <w:rsid w:val="00E97D49"/>
    <w:rsid w:val="00EA0F77"/>
    <w:rsid w:val="00EA4201"/>
    <w:rsid w:val="00EA545B"/>
    <w:rsid w:val="00EB0A8B"/>
    <w:rsid w:val="00EB0C8C"/>
    <w:rsid w:val="00EB13AB"/>
    <w:rsid w:val="00EB1542"/>
    <w:rsid w:val="00EB3205"/>
    <w:rsid w:val="00EB3268"/>
    <w:rsid w:val="00EB45EA"/>
    <w:rsid w:val="00EB49FF"/>
    <w:rsid w:val="00EB5193"/>
    <w:rsid w:val="00EB5FA1"/>
    <w:rsid w:val="00EB63D5"/>
    <w:rsid w:val="00EB6CE2"/>
    <w:rsid w:val="00EB70E1"/>
    <w:rsid w:val="00EC3506"/>
    <w:rsid w:val="00EC3C44"/>
    <w:rsid w:val="00EC7E43"/>
    <w:rsid w:val="00EC7F04"/>
    <w:rsid w:val="00ED1543"/>
    <w:rsid w:val="00ED37DF"/>
    <w:rsid w:val="00ED3AEC"/>
    <w:rsid w:val="00ED3C2F"/>
    <w:rsid w:val="00ED4FE9"/>
    <w:rsid w:val="00EE191D"/>
    <w:rsid w:val="00EE2173"/>
    <w:rsid w:val="00EE37EF"/>
    <w:rsid w:val="00EE3986"/>
    <w:rsid w:val="00EE3D20"/>
    <w:rsid w:val="00EE5175"/>
    <w:rsid w:val="00EE6DAF"/>
    <w:rsid w:val="00EE7F36"/>
    <w:rsid w:val="00EF00CC"/>
    <w:rsid w:val="00EF0670"/>
    <w:rsid w:val="00EF07A4"/>
    <w:rsid w:val="00EF11B4"/>
    <w:rsid w:val="00EF68C4"/>
    <w:rsid w:val="00EF68EB"/>
    <w:rsid w:val="00F026B5"/>
    <w:rsid w:val="00F03D25"/>
    <w:rsid w:val="00F056A6"/>
    <w:rsid w:val="00F071CF"/>
    <w:rsid w:val="00F073A0"/>
    <w:rsid w:val="00F10135"/>
    <w:rsid w:val="00F10F50"/>
    <w:rsid w:val="00F1199B"/>
    <w:rsid w:val="00F1242B"/>
    <w:rsid w:val="00F13F9D"/>
    <w:rsid w:val="00F145DF"/>
    <w:rsid w:val="00F166B9"/>
    <w:rsid w:val="00F178B4"/>
    <w:rsid w:val="00F17945"/>
    <w:rsid w:val="00F1F9DC"/>
    <w:rsid w:val="00F2035C"/>
    <w:rsid w:val="00F20E34"/>
    <w:rsid w:val="00F231E8"/>
    <w:rsid w:val="00F26BA0"/>
    <w:rsid w:val="00F26E9B"/>
    <w:rsid w:val="00F27055"/>
    <w:rsid w:val="00F30B1E"/>
    <w:rsid w:val="00F3159C"/>
    <w:rsid w:val="00F31715"/>
    <w:rsid w:val="00F35823"/>
    <w:rsid w:val="00F37913"/>
    <w:rsid w:val="00F37C36"/>
    <w:rsid w:val="00F419B1"/>
    <w:rsid w:val="00F41D9A"/>
    <w:rsid w:val="00F42108"/>
    <w:rsid w:val="00F432EA"/>
    <w:rsid w:val="00F44029"/>
    <w:rsid w:val="00F44030"/>
    <w:rsid w:val="00F44ED0"/>
    <w:rsid w:val="00F4597E"/>
    <w:rsid w:val="00F468CD"/>
    <w:rsid w:val="00F50522"/>
    <w:rsid w:val="00F51307"/>
    <w:rsid w:val="00F51EB9"/>
    <w:rsid w:val="00F52DEF"/>
    <w:rsid w:val="00F53636"/>
    <w:rsid w:val="00F54975"/>
    <w:rsid w:val="00F55506"/>
    <w:rsid w:val="00F571F0"/>
    <w:rsid w:val="00F57BFC"/>
    <w:rsid w:val="00F60A76"/>
    <w:rsid w:val="00F60DFA"/>
    <w:rsid w:val="00F64CFD"/>
    <w:rsid w:val="00F67E81"/>
    <w:rsid w:val="00F702C7"/>
    <w:rsid w:val="00F70B20"/>
    <w:rsid w:val="00F7155B"/>
    <w:rsid w:val="00F71CE9"/>
    <w:rsid w:val="00F72423"/>
    <w:rsid w:val="00F72798"/>
    <w:rsid w:val="00F740B3"/>
    <w:rsid w:val="00F74BEB"/>
    <w:rsid w:val="00F74F81"/>
    <w:rsid w:val="00F75474"/>
    <w:rsid w:val="00F7574E"/>
    <w:rsid w:val="00F80038"/>
    <w:rsid w:val="00F80EE8"/>
    <w:rsid w:val="00F80F53"/>
    <w:rsid w:val="00F81DBF"/>
    <w:rsid w:val="00F82C03"/>
    <w:rsid w:val="00F8410A"/>
    <w:rsid w:val="00F8443B"/>
    <w:rsid w:val="00F85262"/>
    <w:rsid w:val="00F86226"/>
    <w:rsid w:val="00F91B2B"/>
    <w:rsid w:val="00F92572"/>
    <w:rsid w:val="00F94537"/>
    <w:rsid w:val="00F95D1B"/>
    <w:rsid w:val="00F95F1C"/>
    <w:rsid w:val="00F971E2"/>
    <w:rsid w:val="00F972FB"/>
    <w:rsid w:val="00FA0A22"/>
    <w:rsid w:val="00FA0BF3"/>
    <w:rsid w:val="00FA1293"/>
    <w:rsid w:val="00FA2571"/>
    <w:rsid w:val="00FA29AC"/>
    <w:rsid w:val="00FA2AEE"/>
    <w:rsid w:val="00FA2D35"/>
    <w:rsid w:val="00FA4DAC"/>
    <w:rsid w:val="00FA5582"/>
    <w:rsid w:val="00FA6116"/>
    <w:rsid w:val="00FA6788"/>
    <w:rsid w:val="00FA7FE9"/>
    <w:rsid w:val="00FB0F6C"/>
    <w:rsid w:val="00FB577D"/>
    <w:rsid w:val="00FB5E48"/>
    <w:rsid w:val="00FB67FF"/>
    <w:rsid w:val="00FB78EF"/>
    <w:rsid w:val="00FB79CB"/>
    <w:rsid w:val="00FB7DA3"/>
    <w:rsid w:val="00FC0EF6"/>
    <w:rsid w:val="00FC1D74"/>
    <w:rsid w:val="00FC4040"/>
    <w:rsid w:val="00FC4DE6"/>
    <w:rsid w:val="00FC53E9"/>
    <w:rsid w:val="00FC6C59"/>
    <w:rsid w:val="00FC76EC"/>
    <w:rsid w:val="00FC7B5A"/>
    <w:rsid w:val="00FD1A81"/>
    <w:rsid w:val="00FD28DB"/>
    <w:rsid w:val="00FD57F6"/>
    <w:rsid w:val="00FE13DA"/>
    <w:rsid w:val="00FE1982"/>
    <w:rsid w:val="00FE321E"/>
    <w:rsid w:val="00FE3440"/>
    <w:rsid w:val="00FE3C84"/>
    <w:rsid w:val="00FE4BB9"/>
    <w:rsid w:val="00FE547E"/>
    <w:rsid w:val="00FE7DDC"/>
    <w:rsid w:val="00FF0300"/>
    <w:rsid w:val="00FF5086"/>
    <w:rsid w:val="00FF6285"/>
    <w:rsid w:val="00FF75AF"/>
    <w:rsid w:val="0268D43C"/>
    <w:rsid w:val="027E4DC8"/>
    <w:rsid w:val="06E06376"/>
    <w:rsid w:val="076B708B"/>
    <w:rsid w:val="094B9867"/>
    <w:rsid w:val="0A58276E"/>
    <w:rsid w:val="0A6EB70E"/>
    <w:rsid w:val="0BF96AC6"/>
    <w:rsid w:val="0D018299"/>
    <w:rsid w:val="0D3A6705"/>
    <w:rsid w:val="0F652D5E"/>
    <w:rsid w:val="1021BB52"/>
    <w:rsid w:val="116B2741"/>
    <w:rsid w:val="11E95EC5"/>
    <w:rsid w:val="1465E11D"/>
    <w:rsid w:val="1690EC28"/>
    <w:rsid w:val="190399E8"/>
    <w:rsid w:val="19D2446A"/>
    <w:rsid w:val="1A28FF0E"/>
    <w:rsid w:val="1AB17857"/>
    <w:rsid w:val="1C0CD748"/>
    <w:rsid w:val="1C7E386C"/>
    <w:rsid w:val="1CADCA1C"/>
    <w:rsid w:val="1DDA0F53"/>
    <w:rsid w:val="20A7FE5A"/>
    <w:rsid w:val="22DD088C"/>
    <w:rsid w:val="2345A927"/>
    <w:rsid w:val="2402C2F0"/>
    <w:rsid w:val="2563BD80"/>
    <w:rsid w:val="25BC6AA9"/>
    <w:rsid w:val="263BD92F"/>
    <w:rsid w:val="263BF059"/>
    <w:rsid w:val="2744ECEA"/>
    <w:rsid w:val="27961BEF"/>
    <w:rsid w:val="2911917E"/>
    <w:rsid w:val="2EB60EF8"/>
    <w:rsid w:val="301597D3"/>
    <w:rsid w:val="30CC92D1"/>
    <w:rsid w:val="331F6230"/>
    <w:rsid w:val="341407A9"/>
    <w:rsid w:val="37580081"/>
    <w:rsid w:val="37589BB9"/>
    <w:rsid w:val="37A3AE85"/>
    <w:rsid w:val="38B97E05"/>
    <w:rsid w:val="38D2E696"/>
    <w:rsid w:val="39F90E17"/>
    <w:rsid w:val="3B5CB615"/>
    <w:rsid w:val="3D03869D"/>
    <w:rsid w:val="3DF1056C"/>
    <w:rsid w:val="3E89214F"/>
    <w:rsid w:val="3F76707B"/>
    <w:rsid w:val="40ABBD66"/>
    <w:rsid w:val="43D862AD"/>
    <w:rsid w:val="454EBC76"/>
    <w:rsid w:val="4946BE18"/>
    <w:rsid w:val="497361E9"/>
    <w:rsid w:val="4B9395A9"/>
    <w:rsid w:val="4DE18E31"/>
    <w:rsid w:val="507E77BD"/>
    <w:rsid w:val="508F956C"/>
    <w:rsid w:val="50CE7EFA"/>
    <w:rsid w:val="5182DC84"/>
    <w:rsid w:val="518D2096"/>
    <w:rsid w:val="524B5A4A"/>
    <w:rsid w:val="568B0308"/>
    <w:rsid w:val="593A5E0C"/>
    <w:rsid w:val="5A53CA0C"/>
    <w:rsid w:val="5BA41284"/>
    <w:rsid w:val="5BC888CE"/>
    <w:rsid w:val="5DBDF967"/>
    <w:rsid w:val="5E98E90F"/>
    <w:rsid w:val="5F2A1E65"/>
    <w:rsid w:val="5F7C6DE4"/>
    <w:rsid w:val="611CC30E"/>
    <w:rsid w:val="6636E6B1"/>
    <w:rsid w:val="69D99A9D"/>
    <w:rsid w:val="6B5ED3F0"/>
    <w:rsid w:val="6DF08380"/>
    <w:rsid w:val="7039985D"/>
    <w:rsid w:val="705A2997"/>
    <w:rsid w:val="71FA7717"/>
    <w:rsid w:val="722C38C8"/>
    <w:rsid w:val="733C8AAD"/>
    <w:rsid w:val="74F4812A"/>
    <w:rsid w:val="751C1545"/>
    <w:rsid w:val="753AFDB2"/>
    <w:rsid w:val="755076CA"/>
    <w:rsid w:val="75A47AE5"/>
    <w:rsid w:val="76786C11"/>
    <w:rsid w:val="76F28B29"/>
    <w:rsid w:val="795B2FA0"/>
    <w:rsid w:val="7A05CCD4"/>
    <w:rsid w:val="7A951FDF"/>
    <w:rsid w:val="7BEDBBF0"/>
    <w:rsid w:val="7CE9B6D7"/>
    <w:rsid w:val="7D4EB3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D6EE7"/>
  <w15:chartTrackingRefBased/>
  <w15:docId w15:val="{45CEC13A-E814-4234-A8D8-89A1C1DF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11A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semiHidden/>
    <w:unhideWhenUsed/>
    <w:qFormat/>
    <w:rsid w:val="009D11AC"/>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
    <w:rsid w:val="00C108C1"/>
    <w:rPr>
      <w:rFonts w:ascii="Times New Roman" w:eastAsia="Times New Roman" w:hAnsi="Times New Roman" w:cs="Times New Roman"/>
      <w:b/>
      <w:bCs/>
      <w:sz w:val="36"/>
      <w:szCs w:val="24"/>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
    <w:basedOn w:val="Normal"/>
    <w:link w:val="FootnoteTextChar"/>
    <w:uiPriority w:val="99"/>
    <w:unhideWhenUsed/>
    <w:qFormat/>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B2055E"/>
    <w:rPr>
      <w:rFonts w:ascii="Times New Roman" w:eastAsia="Times New Roman" w:hAnsi="Times New Roman" w:cs="Times New Roman"/>
      <w:sz w:val="20"/>
      <w:szCs w:val="20"/>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
    <w:link w:val="FootnotesymbolCarZchn"/>
    <w:unhideWhenUsed/>
    <w:qFormat/>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F35823"/>
  </w:style>
  <w:style w:type="character" w:customStyle="1" w:styleId="UnresolvedMention1">
    <w:name w:val="Unresolved Mention1"/>
    <w:basedOn w:val="DefaultParagraphFont"/>
    <w:uiPriority w:val="99"/>
    <w:semiHidden/>
    <w:unhideWhenUsed/>
    <w:rsid w:val="005D4717"/>
    <w:rPr>
      <w:color w:val="605E5C"/>
      <w:shd w:val="clear" w:color="auto" w:fill="E1DFDD"/>
    </w:rPr>
  </w:style>
  <w:style w:type="paragraph" w:styleId="Revision">
    <w:name w:val="Revision"/>
    <w:hidden/>
    <w:uiPriority w:val="99"/>
    <w:semiHidden/>
    <w:rsid w:val="005245CA"/>
    <w:pPr>
      <w:spacing w:after="0" w:line="240" w:lineRule="auto"/>
    </w:pPr>
  </w:style>
  <w:style w:type="character" w:styleId="FollowedHyperlink">
    <w:name w:val="FollowedHyperlink"/>
    <w:basedOn w:val="DefaultParagraphFont"/>
    <w:uiPriority w:val="99"/>
    <w:semiHidden/>
    <w:unhideWhenUsed/>
    <w:rsid w:val="004F6AA8"/>
    <w:rPr>
      <w:color w:val="954F72" w:themeColor="followedHyperlink"/>
      <w:u w:val="single"/>
    </w:rPr>
  </w:style>
  <w:style w:type="paragraph" w:customStyle="1" w:styleId="paragraph">
    <w:name w:val="paragraph"/>
    <w:basedOn w:val="Normal"/>
    <w:rsid w:val="00410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034F"/>
  </w:style>
  <w:style w:type="character" w:customStyle="1" w:styleId="eop">
    <w:name w:val="eop"/>
    <w:basedOn w:val="DefaultParagraphFont"/>
    <w:rsid w:val="0041034F"/>
  </w:style>
  <w:style w:type="character" w:styleId="Strong">
    <w:name w:val="Strong"/>
    <w:basedOn w:val="DefaultParagraphFont"/>
    <w:uiPriority w:val="22"/>
    <w:qFormat/>
    <w:rsid w:val="0041034F"/>
    <w:rPr>
      <w:b/>
      <w:bCs/>
    </w:rPr>
  </w:style>
  <w:style w:type="character" w:customStyle="1" w:styleId="ui-provider">
    <w:name w:val="ui-provider"/>
    <w:basedOn w:val="DefaultParagraphFont"/>
    <w:rsid w:val="0041034F"/>
  </w:style>
  <w:style w:type="character" w:customStyle="1" w:styleId="x1lliihq">
    <w:name w:val="x1lliihq"/>
    <w:basedOn w:val="DefaultParagraphFont"/>
    <w:rsid w:val="0041034F"/>
  </w:style>
  <w:style w:type="character" w:customStyle="1" w:styleId="QuickFormat1">
    <w:name w:val="QuickFormat1"/>
    <w:rsid w:val="0041034F"/>
    <w:rPr>
      <w:sz w:val="23"/>
      <w:szCs w:val="23"/>
      <w:lang w:val="en-GB"/>
    </w:rPr>
  </w:style>
  <w:style w:type="character" w:customStyle="1" w:styleId="st1">
    <w:name w:val="st1"/>
    <w:uiPriority w:val="99"/>
    <w:rsid w:val="0041034F"/>
  </w:style>
  <w:style w:type="paragraph" w:styleId="NormalWeb">
    <w:name w:val="Normal (Web)"/>
    <w:basedOn w:val="Normal"/>
    <w:uiPriority w:val="99"/>
    <w:semiHidden/>
    <w:unhideWhenUsed/>
    <w:rsid w:val="00013FB3"/>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ention1">
    <w:name w:val="Mention1"/>
    <w:basedOn w:val="DefaultParagraphFont"/>
    <w:uiPriority w:val="99"/>
    <w:unhideWhenUsed/>
    <w:rsid w:val="00BA126A"/>
    <w:rPr>
      <w:color w:val="2B579A"/>
      <w:shd w:val="clear" w:color="auto" w:fill="E1DFDD"/>
    </w:rPr>
  </w:style>
  <w:style w:type="character" w:customStyle="1" w:styleId="Heading1Char">
    <w:name w:val="Heading 1 Char"/>
    <w:basedOn w:val="DefaultParagraphFont"/>
    <w:link w:val="Heading1"/>
    <w:uiPriority w:val="9"/>
    <w:rsid w:val="009D11AC"/>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semiHidden/>
    <w:rsid w:val="009D11AC"/>
    <w:rPr>
      <w:rFonts w:asciiTheme="majorHAnsi" w:eastAsiaTheme="majorEastAsia" w:hAnsiTheme="majorHAnsi" w:cstheme="majorBidi"/>
      <w:color w:val="1F3763" w:themeColor="accent1" w:themeShade="7F"/>
      <w:sz w:val="24"/>
      <w:szCs w:val="24"/>
      <w:lang w:val="en-GB"/>
    </w:rPr>
  </w:style>
  <w:style w:type="paragraph" w:customStyle="1" w:styleId="Firstnumbering">
    <w:name w:val="First numbering"/>
    <w:basedOn w:val="ListParagraph"/>
    <w:link w:val="FirstnumberingChar"/>
    <w:qFormat/>
    <w:rsid w:val="009D11AC"/>
    <w:pPr>
      <w:numPr>
        <w:numId w:val="30"/>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9D11AC"/>
    <w:rPr>
      <w:lang w:val="en-GB"/>
    </w:rPr>
  </w:style>
  <w:style w:type="paragraph" w:customStyle="1" w:styleId="Secondnumbering">
    <w:name w:val="Second numbering"/>
    <w:basedOn w:val="Firstnumbering"/>
    <w:link w:val="SecondnumberingChar"/>
    <w:qFormat/>
    <w:rsid w:val="009D11AC"/>
    <w:pPr>
      <w:numPr>
        <w:numId w:val="31"/>
      </w:numPr>
      <w:ind w:left="1134" w:hanging="283"/>
    </w:pPr>
  </w:style>
  <w:style w:type="character" w:customStyle="1" w:styleId="SecondnumberingChar">
    <w:name w:val="Second numbering Char"/>
    <w:basedOn w:val="FirstnumberingChar"/>
    <w:link w:val="Secondnumbering"/>
    <w:rsid w:val="009D11AC"/>
    <w:rPr>
      <w:lang w:val="en-GB"/>
    </w:rPr>
  </w:style>
  <w:style w:type="paragraph" w:customStyle="1" w:styleId="Thirdnumberingi">
    <w:name w:val="Third numbering i)"/>
    <w:basedOn w:val="Secondnumbering"/>
    <w:link w:val="ThirdnumberingiChar"/>
    <w:qFormat/>
    <w:rsid w:val="009D11AC"/>
    <w:pPr>
      <w:numPr>
        <w:numId w:val="32"/>
      </w:numPr>
      <w:ind w:left="1701" w:hanging="283"/>
    </w:pPr>
  </w:style>
  <w:style w:type="character" w:customStyle="1" w:styleId="ThirdnumberingiChar">
    <w:name w:val="Third numbering i) Char"/>
    <w:basedOn w:val="SecondnumberingChar"/>
    <w:link w:val="Thirdnumberingi"/>
    <w:rsid w:val="009D11AC"/>
    <w:rPr>
      <w:lang w:val="en-GB"/>
    </w:rPr>
  </w:style>
  <w:style w:type="paragraph" w:customStyle="1" w:styleId="FourthnumberingA">
    <w:name w:val="Fourth numbering A."/>
    <w:basedOn w:val="Thirdnumberingi"/>
    <w:link w:val="FourthnumberingAChar"/>
    <w:qFormat/>
    <w:rsid w:val="009D11AC"/>
    <w:pPr>
      <w:numPr>
        <w:numId w:val="33"/>
      </w:numPr>
      <w:ind w:left="2268" w:hanging="283"/>
    </w:pPr>
  </w:style>
  <w:style w:type="character" w:customStyle="1" w:styleId="FourthnumberingAChar">
    <w:name w:val="Fourth numbering A. Char"/>
    <w:basedOn w:val="ThirdnumberingiChar"/>
    <w:link w:val="FourthnumberingA"/>
    <w:rsid w:val="009D11AC"/>
    <w:rPr>
      <w:lang w:val="en-GB"/>
    </w:rPr>
  </w:style>
  <w:style w:type="paragraph" w:customStyle="1" w:styleId="Title1">
    <w:name w:val="Title1"/>
    <w:basedOn w:val="Normal"/>
    <w:link w:val="TITLEChar"/>
    <w:qFormat/>
    <w:rsid w:val="009D11A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9D11AC"/>
    <w:rPr>
      <w:rFonts w:eastAsia="Times New Roman" w:cs="Arial"/>
      <w:b/>
      <w:caps/>
      <w:lang w:val="en-GB"/>
    </w:rPr>
  </w:style>
  <w:style w:type="paragraph" w:styleId="EndnoteText">
    <w:name w:val="endnote text"/>
    <w:basedOn w:val="Normal"/>
    <w:link w:val="EndnoteTextChar"/>
    <w:uiPriority w:val="99"/>
    <w:semiHidden/>
    <w:unhideWhenUsed/>
    <w:rsid w:val="009D11AC"/>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9D11AC"/>
    <w:rPr>
      <w:sz w:val="20"/>
      <w:szCs w:val="20"/>
      <w:lang w:val="en-GB"/>
    </w:rPr>
  </w:style>
  <w:style w:type="character" w:styleId="EndnoteReference">
    <w:name w:val="endnote reference"/>
    <w:basedOn w:val="DefaultParagraphFont"/>
    <w:uiPriority w:val="99"/>
    <w:semiHidden/>
    <w:unhideWhenUsed/>
    <w:rsid w:val="009D11AC"/>
    <w:rPr>
      <w:vertAlign w:val="superscript"/>
    </w:rPr>
  </w:style>
  <w:style w:type="paragraph" w:styleId="PlainText">
    <w:name w:val="Plain Text"/>
    <w:basedOn w:val="Normal"/>
    <w:link w:val="PlainTextChar"/>
    <w:uiPriority w:val="99"/>
    <w:unhideWhenUsed/>
    <w:rsid w:val="009D11AC"/>
    <w:pPr>
      <w:spacing w:after="0" w:line="240" w:lineRule="auto"/>
    </w:pPr>
    <w:rPr>
      <w:rFonts w:cs="Consolas"/>
      <w:sz w:val="20"/>
      <w:szCs w:val="21"/>
      <w:lang w:val="en-GB"/>
    </w:rPr>
  </w:style>
  <w:style w:type="character" w:customStyle="1" w:styleId="PlainTextChar">
    <w:name w:val="Plain Text Char"/>
    <w:basedOn w:val="DefaultParagraphFont"/>
    <w:link w:val="PlainText"/>
    <w:uiPriority w:val="99"/>
    <w:rsid w:val="009D11AC"/>
    <w:rPr>
      <w:rFonts w:cs="Consolas"/>
      <w:sz w:val="20"/>
      <w:szCs w:val="21"/>
      <w:lang w:val="en-GB"/>
    </w:rPr>
  </w:style>
  <w:style w:type="character" w:styleId="Emphasis">
    <w:name w:val="Emphasis"/>
    <w:basedOn w:val="DefaultParagraphFont"/>
    <w:uiPriority w:val="20"/>
    <w:qFormat/>
    <w:rsid w:val="009D11AC"/>
    <w:rPr>
      <w:i/>
      <w:i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9D11AC"/>
    <w:pPr>
      <w:spacing w:line="240" w:lineRule="exact"/>
      <w:jc w:val="both"/>
    </w:pPr>
    <w:rPr>
      <w:rFonts w:ascii="Times New Roman" w:hAnsi="Times New Roman" w:cs="Times New Roman"/>
    </w:rPr>
  </w:style>
  <w:style w:type="paragraph" w:customStyle="1" w:styleId="Normal1">
    <w:name w:val="Normal1"/>
    <w:rsid w:val="009D11AC"/>
    <w:pPr>
      <w:spacing w:after="0" w:line="240" w:lineRule="auto"/>
    </w:pPr>
    <w:rPr>
      <w:rFonts w:ascii="Times New Roman" w:eastAsia="Times New Roman" w:hAnsi="Times New Roman" w:cs="Times New Roman"/>
      <w:sz w:val="24"/>
      <w:szCs w:val="24"/>
      <w:lang w:val="en-GB" w:eastAsia="it-IT"/>
    </w:rPr>
  </w:style>
  <w:style w:type="character" w:customStyle="1" w:styleId="markedcontent">
    <w:name w:val="markedcontent"/>
    <w:basedOn w:val="DefaultParagraphFont"/>
    <w:rsid w:val="009D11AC"/>
  </w:style>
  <w:style w:type="character" w:customStyle="1" w:styleId="highlight">
    <w:name w:val="highlight"/>
    <w:basedOn w:val="DefaultParagraphFont"/>
    <w:rsid w:val="009D11AC"/>
  </w:style>
  <w:style w:type="character" w:customStyle="1" w:styleId="tabchar">
    <w:name w:val="tabchar"/>
    <w:basedOn w:val="DefaultParagraphFont"/>
    <w:rsid w:val="009D11AC"/>
  </w:style>
  <w:style w:type="character" w:customStyle="1" w:styleId="UnresolvedMention10">
    <w:name w:val="Unresolved Mention1"/>
    <w:basedOn w:val="DefaultParagraphFont"/>
    <w:uiPriority w:val="99"/>
    <w:semiHidden/>
    <w:unhideWhenUsed/>
    <w:rsid w:val="009D11AC"/>
    <w:rPr>
      <w:color w:val="605E5C"/>
      <w:shd w:val="clear" w:color="auto" w:fill="E1DFDD"/>
    </w:rPr>
  </w:style>
  <w:style w:type="character" w:customStyle="1" w:styleId="UnresolvedMention2">
    <w:name w:val="Unresolved Mention2"/>
    <w:basedOn w:val="DefaultParagraphFont"/>
    <w:uiPriority w:val="99"/>
    <w:semiHidden/>
    <w:unhideWhenUsed/>
    <w:rsid w:val="009D11AC"/>
    <w:rPr>
      <w:color w:val="605E5C"/>
      <w:shd w:val="clear" w:color="auto" w:fill="E1DFDD"/>
    </w:rPr>
  </w:style>
  <w:style w:type="paragraph" w:customStyle="1" w:styleId="pf0">
    <w:name w:val="pf0"/>
    <w:basedOn w:val="Normal"/>
    <w:rsid w:val="009D11AC"/>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cf01">
    <w:name w:val="cf01"/>
    <w:basedOn w:val="DefaultParagraphFont"/>
    <w:rsid w:val="009D11AC"/>
    <w:rPr>
      <w:rFonts w:ascii="Segoe UI" w:hAnsi="Segoe UI" w:cs="Segoe UI" w:hint="default"/>
      <w:sz w:val="18"/>
      <w:szCs w:val="18"/>
    </w:rPr>
  </w:style>
  <w:style w:type="character" w:customStyle="1" w:styleId="cf11">
    <w:name w:val="cf11"/>
    <w:basedOn w:val="DefaultParagraphFont"/>
    <w:rsid w:val="009D11AC"/>
    <w:rPr>
      <w:rFonts w:ascii="Segoe UI" w:hAnsi="Segoe UI" w:cs="Segoe UI" w:hint="default"/>
      <w:i/>
      <w:iCs/>
      <w:sz w:val="18"/>
      <w:szCs w:val="18"/>
    </w:rPr>
  </w:style>
  <w:style w:type="paragraph" w:customStyle="1" w:styleId="xmsonormal">
    <w:name w:val="x_msonormal"/>
    <w:basedOn w:val="Normal"/>
    <w:rsid w:val="009D11AC"/>
    <w:pPr>
      <w:spacing w:after="0" w:line="240" w:lineRule="auto"/>
    </w:pPr>
    <w:rPr>
      <w:rFonts w:ascii="Calibri" w:hAnsi="Calibri" w:cs="Calibri"/>
      <w:lang w:val="en-GB"/>
    </w:rPr>
  </w:style>
  <w:style w:type="character" w:customStyle="1" w:styleId="ms-1">
    <w:name w:val="ms-1"/>
    <w:basedOn w:val="DefaultParagraphFont"/>
    <w:rsid w:val="00C843AE"/>
  </w:style>
  <w:style w:type="character" w:customStyle="1" w:styleId="max-w-15ch">
    <w:name w:val="max-w-[15ch]"/>
    <w:basedOn w:val="DefaultParagraphFont"/>
    <w:rsid w:val="00C843AE"/>
  </w:style>
  <w:style w:type="character" w:styleId="UnresolvedMention">
    <w:name w:val="Unresolved Mention"/>
    <w:basedOn w:val="DefaultParagraphFont"/>
    <w:uiPriority w:val="99"/>
    <w:semiHidden/>
    <w:unhideWhenUsed/>
    <w:rsid w:val="00732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blg/" TargetMode="External"/><Relationship Id="rId18" Type="http://schemas.openxmlformats.org/officeDocument/2006/relationships/hyperlink" Target="https://www.cms.int/fr/node/46384" TargetMode="External"/><Relationship Id="rId26" Type="http://schemas.openxmlformats.org/officeDocument/2006/relationships/hyperlink" Target="https://www.cms.int/fr/system/403" TargetMode="External"/><Relationship Id="rId39" Type="http://schemas.openxmlformats.org/officeDocument/2006/relationships/footer" Target="footer5.xml"/><Relationship Id="rId21" Type="http://schemas.openxmlformats.org/officeDocument/2006/relationships/hyperlink" Target="https://www.cms.int/fr/node/46382" TargetMode="Externa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fr/node/46382" TargetMode="External"/><Relationship Id="rId20" Type="http://schemas.openxmlformats.org/officeDocument/2006/relationships/hyperlink" Target="https://www.cms.int/fr/node/46343" TargetMode="External"/><Relationship Id="rId29" Type="http://schemas.openxmlformats.org/officeDocument/2006/relationships/hyperlink" Target="https://www.ipbes.net/fr/node/4030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fr/news/rapport-de-l%E2%80%99onu-le-d%C3%A9clin-des-populations-d%E2%80%99insectes-menace-les-oiseaux-migrateurs"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cms.int/fr/node/46379" TargetMode="External"/><Relationship Id="rId23" Type="http://schemas.openxmlformats.org/officeDocument/2006/relationships/hyperlink" Target="https://www.cms.int/fr/node/46364" TargetMode="External"/><Relationship Id="rId28" Type="http://schemas.openxmlformats.org/officeDocument/2006/relationships/hyperlink" Target="https://www.cms.int/fr/node/46337"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cms.int/fr/node/46443"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ode/46924" TargetMode="External"/><Relationship Id="rId22" Type="http://schemas.openxmlformats.org/officeDocument/2006/relationships/hyperlink" Target="https://www.cms.int/fr/system/403" TargetMode="External"/><Relationship Id="rId27" Type="http://schemas.openxmlformats.org/officeDocument/2006/relationships/hyperlink" Target="https://www.cms.int/sites/default/files/document/2025-11/cms_cop15_doc.28.14_multiple-systems-knowledge_e.pdf"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fr/node/42115" TargetMode="External"/><Relationship Id="rId17" Type="http://schemas.openxmlformats.org/officeDocument/2006/relationships/hyperlink" Target="https://www.unccd.int/resources/reports/glo-thematic-report-ecological-connectivity-and-land-restoration" TargetMode="External"/><Relationship Id="rId25" Type="http://schemas.openxmlformats.org/officeDocument/2006/relationships/hyperlink" Target="https://www.cms.int/fr/news/la-journ%C3%A9e-mondiale-des-oiseaux-migrateurs-2025-pour-th%C3%A8me-%C2%AB-espaces-partag%C3%A9s-cr%C3%A9er-des-villes" TargetMode="External"/><Relationship Id="rId33" Type="http://schemas.openxmlformats.org/officeDocument/2006/relationships/footer" Target="footer2.xml"/><Relationship Id="rId38"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E9B0D-C715-4BB4-8EDD-E0509726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D8203696-8B60-40E5-AB10-948865A2B209}">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11</Pages>
  <Words>5015</Words>
  <Characters>28040</Characters>
  <Application>Microsoft Office Word</Application>
  <DocSecurity>0</DocSecurity>
  <Lines>623</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32886</CharactersWithSpaces>
  <SharedDoc>false</SharedDoc>
  <HLinks>
    <vt:vector size="78" baseType="variant">
      <vt:variant>
        <vt:i4>7405618</vt:i4>
      </vt:variant>
      <vt:variant>
        <vt:i4>36</vt:i4>
      </vt:variant>
      <vt:variant>
        <vt:i4>0</vt:i4>
      </vt:variant>
      <vt:variant>
        <vt:i4>5</vt:i4>
      </vt:variant>
      <vt:variant>
        <vt:lpwstr>https://eur02.safelinks.protection.outlook.com/?url=https%3A%2F%2Fwww.cms.int%2Fnews%2F%25E2%2580%259Cshared-spaces-creating-bird-friendly-cities-and-communities%25E2%2580%259D-theme-world-migratory-bird-day&amp;data=05%7C02%7Claura.cerasi%40un.org%7C2a7af46d7444493f702608de3e2a7dca%7C0f9e35db544f4f60bdcc5ea416e6dc70%7C0%7C0%7C639016549385106121%7CUnknown%7CTWFpbGZsb3d8eyJFbXB0eU1hcGkiOnRydWUsIlYiOiIwLjAuMDAwMCIsIlAiOiJXaW4zMiIsIkFOIjoiTWFpbCIsIldUIjoyfQ%3D%3D%7C0%7C%7C%7C&amp;sdata=BbjBm%2BleEPrZf3ufZ44hFCVcYPgH34Vg989LVhA4M8o%3D&amp;reserved=0</vt:lpwstr>
      </vt:variant>
      <vt:variant>
        <vt:lpwstr/>
      </vt:variant>
      <vt:variant>
        <vt:i4>2490401</vt:i4>
      </vt:variant>
      <vt:variant>
        <vt:i4>33</vt:i4>
      </vt:variant>
      <vt:variant>
        <vt:i4>0</vt:i4>
      </vt:variant>
      <vt:variant>
        <vt:i4>5</vt:i4>
      </vt:variant>
      <vt:variant>
        <vt:lpwstr>https://eur02.safelinks.protection.outlook.com/?url=https%3A%2F%2Fwww.cms.int%2Fnews%2Fun-report-insect-population-decline-threatens-migratory-birds&amp;data=05%7C02%7Claura.cerasi%40un.org%7C2a7af46d7444493f702608de3e2a7dca%7C0f9e35db544f4f60bdcc5ea416e6dc70%7C0%7C0%7C639016549385087268%7CUnknown%7CTWFpbGZsb3d8eyJFbXB0eU1hcGkiOnRydWUsIlYiOiIwLjAuMDAwMCIsIlAiOiJXaW4zMiIsIkFOIjoiTWFpbCIsIldUIjoyfQ%3D%3D%7C0%7C%7C%7C&amp;sdata=ILRr7ohdt31CUNOwCItpXPoIhXEZxczTWUU4V2dDMLQ%3D&amp;reserved=0</vt:lpwstr>
      </vt:variant>
      <vt:variant>
        <vt:lpwstr/>
      </vt:variant>
      <vt:variant>
        <vt:i4>3538984</vt:i4>
      </vt:variant>
      <vt:variant>
        <vt:i4>30</vt:i4>
      </vt:variant>
      <vt:variant>
        <vt:i4>0</vt:i4>
      </vt:variant>
      <vt:variant>
        <vt:i4>5</vt:i4>
      </vt:variant>
      <vt:variant>
        <vt:lpwstr>https://www.cms.int/document/cooperation-ipbes</vt:lpwstr>
      </vt:variant>
      <vt:variant>
        <vt:lpwstr/>
      </vt:variant>
      <vt:variant>
        <vt:i4>2949234</vt:i4>
      </vt:variant>
      <vt:variant>
        <vt:i4>27</vt:i4>
      </vt:variant>
      <vt:variant>
        <vt:i4>0</vt:i4>
      </vt:variant>
      <vt:variant>
        <vt:i4>5</vt:i4>
      </vt:variant>
      <vt:variant>
        <vt:lpwstr>https://www.cms.int/document/jaguar</vt:lpwstr>
      </vt:variant>
      <vt:variant>
        <vt:lpwstr/>
      </vt:variant>
      <vt:variant>
        <vt:i4>2228260</vt:i4>
      </vt:variant>
      <vt:variant>
        <vt:i4>24</vt:i4>
      </vt:variant>
      <vt:variant>
        <vt:i4>0</vt:i4>
      </vt:variant>
      <vt:variant>
        <vt:i4>5</vt:i4>
      </vt:variant>
      <vt:variant>
        <vt:lpwstr>https://www.cms.int/document/bycatch-and-other-fisheries-induced-mortality</vt:lpwstr>
      </vt:variant>
      <vt:variant>
        <vt:lpwstr/>
      </vt:variant>
      <vt:variant>
        <vt:i4>1966147</vt:i4>
      </vt:variant>
      <vt:variant>
        <vt:i4>21</vt:i4>
      </vt:variant>
      <vt:variant>
        <vt:i4>0</vt:i4>
      </vt:variant>
      <vt:variant>
        <vt:i4>5</vt:i4>
      </vt:variant>
      <vt:variant>
        <vt:lpwstr>https://www.cms.int/document/281-illegal-and-unsustainable-taking-species</vt:lpwstr>
      </vt:variant>
      <vt:variant>
        <vt:lpwstr/>
      </vt:variant>
      <vt:variant>
        <vt:i4>2752562</vt:i4>
      </vt:variant>
      <vt:variant>
        <vt:i4>18</vt:i4>
      </vt:variant>
      <vt:variant>
        <vt:i4>0</vt:i4>
      </vt:variant>
      <vt:variant>
        <vt:i4>5</vt:i4>
      </vt:variant>
      <vt:variant>
        <vt:lpwstr>https://www.cms.int/document/ecological-connectivity-0</vt:lpwstr>
      </vt:variant>
      <vt:variant>
        <vt:lpwstr/>
      </vt:variant>
      <vt:variant>
        <vt:i4>6094851</vt:i4>
      </vt:variant>
      <vt:variant>
        <vt:i4>15</vt:i4>
      </vt:variant>
      <vt:variant>
        <vt:i4>0</vt:i4>
      </vt:variant>
      <vt:variant>
        <vt:i4>5</vt:i4>
      </vt:variant>
      <vt:variant>
        <vt:lpwstr>https://www.unccd.int/resources/reports/glo-thematic-report-ecological-connectivity-and-land-restoration</vt:lpwstr>
      </vt:variant>
      <vt:variant>
        <vt:lpwstr/>
      </vt:variant>
      <vt:variant>
        <vt:i4>2949234</vt:i4>
      </vt:variant>
      <vt:variant>
        <vt:i4>12</vt:i4>
      </vt:variant>
      <vt:variant>
        <vt:i4>0</vt:i4>
      </vt:variant>
      <vt:variant>
        <vt:i4>5</vt:i4>
      </vt:variant>
      <vt:variant>
        <vt:lpwstr>https://www.cms.int/document/jaguar</vt:lpwstr>
      </vt:variant>
      <vt:variant>
        <vt:lpwstr/>
      </vt:variant>
      <vt:variant>
        <vt:i4>4980822</vt:i4>
      </vt:variant>
      <vt:variant>
        <vt:i4>9</vt:i4>
      </vt:variant>
      <vt:variant>
        <vt:i4>0</vt:i4>
      </vt:variant>
      <vt:variant>
        <vt:i4>5</vt:i4>
      </vt:variant>
      <vt:variant>
        <vt:lpwstr>https://www.cms.int/document/joint-cites-cms-african-carnivores-initiative-8</vt:lpwstr>
      </vt:variant>
      <vt:variant>
        <vt:lpwstr/>
      </vt:variant>
      <vt:variant>
        <vt:i4>393311</vt:i4>
      </vt:variant>
      <vt:variant>
        <vt:i4>6</vt:i4>
      </vt:variant>
      <vt:variant>
        <vt:i4>0</vt:i4>
      </vt:variant>
      <vt:variant>
        <vt:i4>5</vt:i4>
      </vt:variant>
      <vt:variant>
        <vt:lpwstr>https://www.cbd.int/blg/</vt:lpwstr>
      </vt:variant>
      <vt:variant>
        <vt:lpwstr/>
      </vt:variant>
      <vt:variant>
        <vt:i4>6881321</vt:i4>
      </vt:variant>
      <vt:variant>
        <vt:i4>3</vt:i4>
      </vt:variant>
      <vt:variant>
        <vt:i4>0</vt:i4>
      </vt:variant>
      <vt:variant>
        <vt:i4>5</vt:i4>
      </vt:variant>
      <vt:variant>
        <vt:lpwstr>https://www.cms.int/sites/default/files/document/2025-11/cms_cop15_doc.28.14_multiple-systems-knowledge_e.pdf</vt:lpwstr>
      </vt:variant>
      <vt:variant>
        <vt:lpwstr/>
      </vt:variant>
      <vt:variant>
        <vt:i4>2687038</vt:i4>
      </vt:variant>
      <vt:variant>
        <vt:i4>0</vt:i4>
      </vt:variant>
      <vt:variant>
        <vt:i4>0</vt:i4>
      </vt:variant>
      <vt:variant>
        <vt:i4>5</vt:i4>
      </vt:variant>
      <vt:variant>
        <vt:lpwstr>https://www.cms.int/document/synergies-and-partnerships-13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16</cp:revision>
  <dcterms:created xsi:type="dcterms:W3CDTF">2026-01-12T13:07:00Z</dcterms:created>
  <dcterms:modified xsi:type="dcterms:W3CDTF">2026-01-12T13:17:00Z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