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B64545" w:rsidRPr="00B64545" w14:paraId="4E8E7001" w14:textId="77777777" w:rsidTr="00F05961">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5DFDABF4" w14:textId="77777777" w:rsidR="00B64545" w:rsidRPr="00EC2A58" w:rsidRDefault="00B64545" w:rsidP="00F05961">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bookmarkStart w:id="1" w:name="_Hlk218602697"/>
            <w:r w:rsidRPr="00EC2A58">
              <w:rPr>
                <w:rFonts w:eastAsia="Times New Roman" w:cs="Arial"/>
                <w:noProof/>
              </w:rPr>
              <w:drawing>
                <wp:inline distT="0" distB="0" distL="0" distR="0" wp14:anchorId="3D92328E" wp14:editId="2CAA58B0">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67BA9FBB" w14:textId="77777777" w:rsidR="00B64545" w:rsidRPr="00EC2A58" w:rsidRDefault="00B64545" w:rsidP="00F05961">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7D8EBEF1" w14:textId="77777777" w:rsidR="00B64545" w:rsidRPr="00EC2A58" w:rsidRDefault="00B64545" w:rsidP="00F05961">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684026F9" w14:textId="77777777" w:rsidR="00B64545" w:rsidRPr="00EC2A58" w:rsidRDefault="00B64545" w:rsidP="00F0596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00240F61" w14:textId="77777777" w:rsidR="00B64545" w:rsidRPr="00EC2A58" w:rsidRDefault="00B64545" w:rsidP="00F0596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026EA574" w14:textId="77777777" w:rsidR="00B64545" w:rsidRPr="00EC2A58" w:rsidRDefault="00B64545" w:rsidP="00F0596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69CE02DF" w14:textId="6DF23FAB" w:rsidR="00B64545" w:rsidRPr="00AF3AEC" w:rsidRDefault="00B64545" w:rsidP="00F0596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7C74BF">
              <w:rPr>
                <w:rFonts w:eastAsia="Arial" w:cs="Arial"/>
                <w:lang w:val="fr-FR"/>
              </w:rPr>
              <w:t>14.3</w:t>
            </w:r>
          </w:p>
          <w:p w14:paraId="1F5101EA" w14:textId="1922BC49" w:rsidR="00B64545" w:rsidRPr="00AF3AEC" w:rsidRDefault="00A80B9F" w:rsidP="00F0596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19</w:t>
            </w:r>
            <w:r w:rsidR="00D613C3">
              <w:rPr>
                <w:rFonts w:eastAsia="Arial" w:cs="Arial"/>
                <w:lang w:val="fr-FR"/>
              </w:rPr>
              <w:t xml:space="preserve"> janvier 2026</w:t>
            </w:r>
          </w:p>
          <w:p w14:paraId="01C32A8E" w14:textId="77777777" w:rsidR="00B64545" w:rsidRPr="00FC4F18" w:rsidRDefault="00B64545" w:rsidP="00F05961">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7443412" w14:textId="77777777" w:rsidR="00B64545" w:rsidRPr="00FC4F18" w:rsidRDefault="00B64545" w:rsidP="00F05961">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6BC28F" w14:textId="77777777" w:rsidR="00B64545" w:rsidRPr="00EC2A58" w:rsidRDefault="00B64545" w:rsidP="00B64545">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2" w:name="_Hlk208560946"/>
      <w:bookmarkEnd w:id="0"/>
    </w:p>
    <w:p w14:paraId="4613CCE1" w14:textId="77777777" w:rsidR="00B64545" w:rsidRPr="00EC2A58" w:rsidRDefault="00B64545" w:rsidP="00B64545">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00A7A0EB" w14:textId="77777777" w:rsidR="00B64545" w:rsidRPr="00EC2A58" w:rsidRDefault="00B64545" w:rsidP="00B6454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39D50E4B" w14:textId="39D44F5E" w:rsidR="00B64545" w:rsidRPr="00EC2A58" w:rsidRDefault="00B64545" w:rsidP="00B64545">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C8268E">
        <w:rPr>
          <w:rFonts w:eastAsia="Arial" w:cs="Arial"/>
          <w:iCs/>
          <w:lang w:val="fr-FR"/>
        </w:rPr>
        <w:t>14.3</w:t>
      </w:r>
      <w:r w:rsidRPr="00EC2A58">
        <w:rPr>
          <w:rFonts w:eastAsia="Arial" w:cs="Arial"/>
          <w:iCs/>
          <w:lang w:val="fr-FR"/>
        </w:rPr>
        <w:t xml:space="preserve"> de l’ordre du jour</w:t>
      </w:r>
    </w:p>
    <w:bookmarkEnd w:id="2"/>
    <w:p w14:paraId="1D108713" w14:textId="77777777" w:rsidR="00670BDB" w:rsidRPr="003C60ED" w:rsidRDefault="00670BDB">
      <w:pPr>
        <w:widowControl w:val="0"/>
        <w:suppressAutoHyphens/>
        <w:autoSpaceDE w:val="0"/>
        <w:autoSpaceDN w:val="0"/>
        <w:spacing w:after="0" w:line="240" w:lineRule="auto"/>
        <w:jc w:val="both"/>
        <w:textAlignment w:val="baseline"/>
        <w:rPr>
          <w:rFonts w:eastAsia="Times New Roman" w:cs="Arial"/>
          <w:lang w:val="fr-FR"/>
        </w:rPr>
      </w:pPr>
    </w:p>
    <w:p w14:paraId="1E1AB62D" w14:textId="77777777" w:rsidR="00670BDB" w:rsidRPr="003C60ED" w:rsidRDefault="00670BDB">
      <w:pPr>
        <w:widowControl w:val="0"/>
        <w:suppressAutoHyphens/>
        <w:autoSpaceDE w:val="0"/>
        <w:autoSpaceDN w:val="0"/>
        <w:spacing w:after="0" w:line="240" w:lineRule="auto"/>
        <w:jc w:val="both"/>
        <w:textAlignment w:val="baseline"/>
        <w:rPr>
          <w:rFonts w:eastAsia="Times New Roman" w:cs="Arial"/>
          <w:lang w:val="fr-FR"/>
        </w:rPr>
      </w:pPr>
    </w:p>
    <w:p w14:paraId="01CBA0C3" w14:textId="77777777" w:rsidR="00670BDB" w:rsidRPr="003C60ED" w:rsidRDefault="009D4DE7">
      <w:pPr>
        <w:widowControl w:val="0"/>
        <w:suppressAutoHyphens/>
        <w:autoSpaceDE w:val="0"/>
        <w:autoSpaceDN w:val="0"/>
        <w:spacing w:after="120" w:line="240" w:lineRule="auto"/>
        <w:jc w:val="center"/>
        <w:textAlignment w:val="baseline"/>
        <w:rPr>
          <w:rFonts w:eastAsia="Times New Roman" w:cs="Arial"/>
          <w:b/>
          <w:bCs/>
          <w:lang w:val="fr-FR"/>
        </w:rPr>
      </w:pPr>
      <w:r w:rsidRPr="003C60ED">
        <w:rPr>
          <w:rFonts w:eastAsia="Times New Roman" w:cs="Arial"/>
          <w:b/>
          <w:bCs/>
          <w:lang w:val="fr-FR"/>
        </w:rPr>
        <w:t>MOBILISATION DES RESSOURCES</w:t>
      </w:r>
    </w:p>
    <w:p w14:paraId="7BE30618" w14:textId="77777777" w:rsidR="00670BDB" w:rsidRPr="003C60ED" w:rsidRDefault="009D4DE7">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3C60ED">
        <w:rPr>
          <w:rFonts w:eastAsia="Times New Roman" w:cs="Arial"/>
          <w:i/>
          <w:lang w:val="fr-FR"/>
        </w:rPr>
        <w:t>(Préparé par le Secrétariat)</w:t>
      </w:r>
    </w:p>
    <w:p w14:paraId="4F6DBBD5" w14:textId="77777777" w:rsidR="00670BDB" w:rsidRPr="003C60ED" w:rsidRDefault="00670BDB">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3FCBC78D" w14:textId="77777777" w:rsidR="00670BDB" w:rsidRPr="003C60ED" w:rsidRDefault="00670BDB">
      <w:pPr>
        <w:widowControl w:val="0"/>
        <w:suppressAutoHyphens/>
        <w:autoSpaceDE w:val="0"/>
        <w:autoSpaceDN w:val="0"/>
        <w:spacing w:after="0" w:line="240" w:lineRule="auto"/>
        <w:jc w:val="both"/>
        <w:textAlignment w:val="baseline"/>
        <w:rPr>
          <w:rFonts w:eastAsia="Times New Roman" w:cs="Arial"/>
          <w:sz w:val="21"/>
          <w:szCs w:val="21"/>
          <w:lang w:val="fr-FR"/>
        </w:rPr>
      </w:pPr>
    </w:p>
    <w:p w14:paraId="07B338A7" w14:textId="77777777" w:rsidR="00670BDB" w:rsidRPr="003C60ED" w:rsidRDefault="00670BDB">
      <w:pPr>
        <w:widowControl w:val="0"/>
        <w:suppressAutoHyphens/>
        <w:autoSpaceDE w:val="0"/>
        <w:autoSpaceDN w:val="0"/>
        <w:spacing w:after="0" w:line="240" w:lineRule="auto"/>
        <w:jc w:val="both"/>
        <w:textAlignment w:val="baseline"/>
        <w:rPr>
          <w:rFonts w:eastAsia="Times New Roman" w:cs="Arial"/>
          <w:sz w:val="21"/>
          <w:szCs w:val="21"/>
          <w:lang w:val="fr-FR"/>
        </w:rPr>
      </w:pPr>
    </w:p>
    <w:p w14:paraId="01911CA3" w14:textId="77777777" w:rsidR="00670BDB" w:rsidRPr="003C60ED" w:rsidRDefault="00670BDB">
      <w:pPr>
        <w:widowControl w:val="0"/>
        <w:suppressAutoHyphens/>
        <w:autoSpaceDE w:val="0"/>
        <w:autoSpaceDN w:val="0"/>
        <w:spacing w:after="0" w:line="240" w:lineRule="auto"/>
        <w:jc w:val="both"/>
        <w:textAlignment w:val="baseline"/>
        <w:rPr>
          <w:rFonts w:eastAsia="Times New Roman" w:cs="Arial"/>
          <w:sz w:val="21"/>
          <w:szCs w:val="21"/>
          <w:lang w:val="fr-FR"/>
        </w:rPr>
      </w:pPr>
    </w:p>
    <w:p w14:paraId="37045502" w14:textId="77777777" w:rsidR="00670BDB" w:rsidRPr="003C60ED" w:rsidRDefault="00670BDB">
      <w:pPr>
        <w:widowControl w:val="0"/>
        <w:suppressAutoHyphens/>
        <w:autoSpaceDE w:val="0"/>
        <w:autoSpaceDN w:val="0"/>
        <w:spacing w:after="0" w:line="240" w:lineRule="auto"/>
        <w:jc w:val="both"/>
        <w:textAlignment w:val="baseline"/>
        <w:rPr>
          <w:rFonts w:eastAsia="Times New Roman" w:cs="Arial"/>
          <w:sz w:val="21"/>
          <w:szCs w:val="21"/>
          <w:lang w:val="fr-FR"/>
        </w:rPr>
      </w:pPr>
    </w:p>
    <w:p w14:paraId="3C3E059F" w14:textId="77777777" w:rsidR="00670BDB" w:rsidRPr="003C60ED" w:rsidRDefault="00670BDB">
      <w:pPr>
        <w:widowControl w:val="0"/>
        <w:suppressAutoHyphens/>
        <w:autoSpaceDE w:val="0"/>
        <w:autoSpaceDN w:val="0"/>
        <w:spacing w:after="0" w:line="240" w:lineRule="auto"/>
        <w:jc w:val="both"/>
        <w:textAlignment w:val="baseline"/>
        <w:rPr>
          <w:rFonts w:eastAsia="Times New Roman" w:cs="Arial"/>
          <w:sz w:val="21"/>
          <w:szCs w:val="21"/>
          <w:lang w:val="fr-FR"/>
        </w:rPr>
      </w:pPr>
    </w:p>
    <w:p w14:paraId="326A662D" w14:textId="77777777" w:rsidR="00670BDB" w:rsidRPr="003C60ED" w:rsidRDefault="00670BDB">
      <w:pPr>
        <w:widowControl w:val="0"/>
        <w:suppressAutoHyphens/>
        <w:autoSpaceDE w:val="0"/>
        <w:autoSpaceDN w:val="0"/>
        <w:spacing w:after="0" w:line="240" w:lineRule="auto"/>
        <w:jc w:val="both"/>
        <w:textAlignment w:val="baseline"/>
        <w:rPr>
          <w:rFonts w:eastAsia="Times New Roman" w:cs="Arial"/>
          <w:sz w:val="21"/>
          <w:szCs w:val="21"/>
          <w:lang w:val="fr-FR"/>
        </w:rPr>
      </w:pPr>
    </w:p>
    <w:p w14:paraId="36DE95C7" w14:textId="77777777" w:rsidR="00670BDB" w:rsidRPr="003C60ED" w:rsidRDefault="00670BDB">
      <w:pPr>
        <w:widowControl w:val="0"/>
        <w:suppressAutoHyphens/>
        <w:autoSpaceDE w:val="0"/>
        <w:autoSpaceDN w:val="0"/>
        <w:spacing w:after="0" w:line="240" w:lineRule="auto"/>
        <w:jc w:val="both"/>
        <w:textAlignment w:val="baseline"/>
        <w:rPr>
          <w:rFonts w:eastAsia="Times New Roman" w:cs="Arial"/>
          <w:sz w:val="21"/>
          <w:szCs w:val="21"/>
          <w:lang w:val="fr-FR"/>
        </w:rPr>
      </w:pPr>
    </w:p>
    <w:p w14:paraId="1424CD6F" w14:textId="77777777" w:rsidR="00670BDB" w:rsidRPr="003C60ED" w:rsidRDefault="00670BDB">
      <w:pPr>
        <w:widowControl w:val="0"/>
        <w:suppressAutoHyphens/>
        <w:autoSpaceDE w:val="0"/>
        <w:autoSpaceDN w:val="0"/>
        <w:spacing w:after="0" w:line="240" w:lineRule="auto"/>
        <w:jc w:val="both"/>
        <w:textAlignment w:val="baseline"/>
        <w:rPr>
          <w:rFonts w:eastAsia="Times New Roman" w:cs="Arial"/>
          <w:sz w:val="21"/>
          <w:szCs w:val="21"/>
          <w:lang w:val="fr-FR"/>
        </w:rPr>
      </w:pPr>
    </w:p>
    <w:p w14:paraId="62E9E281" w14:textId="77777777" w:rsidR="00670BDB" w:rsidRPr="003C60ED" w:rsidRDefault="00670BDB">
      <w:pPr>
        <w:widowControl w:val="0"/>
        <w:suppressAutoHyphens/>
        <w:autoSpaceDE w:val="0"/>
        <w:autoSpaceDN w:val="0"/>
        <w:spacing w:after="0" w:line="240" w:lineRule="auto"/>
        <w:jc w:val="both"/>
        <w:textAlignment w:val="baseline"/>
        <w:rPr>
          <w:rFonts w:eastAsia="Times New Roman" w:cs="Arial"/>
          <w:sz w:val="21"/>
          <w:szCs w:val="21"/>
          <w:lang w:val="fr-FR"/>
        </w:rPr>
      </w:pPr>
    </w:p>
    <w:p w14:paraId="41A35E22" w14:textId="77777777" w:rsidR="00670BDB" w:rsidRPr="003C60ED" w:rsidRDefault="00670BDB">
      <w:pPr>
        <w:widowControl w:val="0"/>
        <w:suppressAutoHyphens/>
        <w:autoSpaceDE w:val="0"/>
        <w:autoSpaceDN w:val="0"/>
        <w:spacing w:after="0" w:line="240" w:lineRule="auto"/>
        <w:jc w:val="both"/>
        <w:textAlignment w:val="baseline"/>
        <w:rPr>
          <w:rFonts w:eastAsia="Times New Roman" w:cs="Arial"/>
          <w:sz w:val="21"/>
          <w:szCs w:val="21"/>
          <w:lang w:val="fr-FR"/>
        </w:rPr>
      </w:pPr>
    </w:p>
    <w:p w14:paraId="335F0E14" w14:textId="77777777" w:rsidR="00670BDB" w:rsidRPr="003C60ED" w:rsidRDefault="00670BDB">
      <w:pPr>
        <w:widowControl w:val="0"/>
        <w:suppressAutoHyphens/>
        <w:autoSpaceDE w:val="0"/>
        <w:autoSpaceDN w:val="0"/>
        <w:spacing w:after="0" w:line="240" w:lineRule="auto"/>
        <w:jc w:val="both"/>
        <w:textAlignment w:val="baseline"/>
        <w:rPr>
          <w:rFonts w:eastAsia="Times New Roman" w:cs="Arial"/>
          <w:sz w:val="21"/>
          <w:szCs w:val="21"/>
          <w:lang w:val="fr-FR"/>
        </w:rPr>
      </w:pPr>
    </w:p>
    <w:p w14:paraId="60ABD2EE" w14:textId="77777777" w:rsidR="00670BDB" w:rsidRPr="003C60ED" w:rsidRDefault="00670BDB">
      <w:pPr>
        <w:widowControl w:val="0"/>
        <w:suppressAutoHyphens/>
        <w:autoSpaceDE w:val="0"/>
        <w:autoSpaceDN w:val="0"/>
        <w:spacing w:after="0" w:line="240" w:lineRule="auto"/>
        <w:jc w:val="both"/>
        <w:textAlignment w:val="baseline"/>
        <w:rPr>
          <w:rFonts w:eastAsia="Times New Roman" w:cs="Arial"/>
          <w:sz w:val="21"/>
          <w:szCs w:val="21"/>
          <w:lang w:val="fr-FR"/>
        </w:rPr>
      </w:pPr>
    </w:p>
    <w:p w14:paraId="3AC7E11C" w14:textId="77777777" w:rsidR="00670BDB" w:rsidRPr="003C60ED" w:rsidRDefault="00670BDB">
      <w:pPr>
        <w:widowControl w:val="0"/>
        <w:suppressAutoHyphens/>
        <w:autoSpaceDE w:val="0"/>
        <w:autoSpaceDN w:val="0"/>
        <w:spacing w:after="0" w:line="240" w:lineRule="auto"/>
        <w:jc w:val="both"/>
        <w:textAlignment w:val="baseline"/>
        <w:rPr>
          <w:rFonts w:eastAsia="Times New Roman" w:cs="Arial"/>
          <w:sz w:val="21"/>
          <w:szCs w:val="21"/>
          <w:lang w:val="fr-FR"/>
        </w:rPr>
      </w:pPr>
    </w:p>
    <w:p w14:paraId="2113B130" w14:textId="5717B891" w:rsidR="00670BDB" w:rsidRPr="003C60ED" w:rsidRDefault="00B759A4">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fr-FR"/>
        </w:rPr>
      </w:pPr>
      <w:r>
        <w:rPr>
          <w:rFonts w:eastAsia="Times New Roman" w:cs="Arial"/>
          <w:noProof/>
          <w:sz w:val="21"/>
          <w:szCs w:val="21"/>
          <w:lang w:val="fr-FR"/>
        </w:rPr>
        <mc:AlternateContent>
          <mc:Choice Requires="wps">
            <w:drawing>
              <wp:anchor distT="0" distB="0" distL="114300" distR="114300" simplePos="0" relativeHeight="251658240" behindDoc="1" locked="0" layoutInCell="1" allowOverlap="1" wp14:anchorId="691AA770" wp14:editId="393C3DB2">
                <wp:simplePos x="0" y="0"/>
                <wp:positionH relativeFrom="margin">
                  <wp:posOffset>892175</wp:posOffset>
                </wp:positionH>
                <wp:positionV relativeFrom="margin">
                  <wp:posOffset>2886075</wp:posOffset>
                </wp:positionV>
                <wp:extent cx="4304665" cy="3371850"/>
                <wp:effectExtent l="0" t="0" r="635" b="0"/>
                <wp:wrapSquare wrapText="bothSides"/>
                <wp:docPr id="14610397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4665" cy="3371850"/>
                        </a:xfrm>
                        <a:prstGeom prst="rect">
                          <a:avLst/>
                        </a:prstGeom>
                        <a:solidFill>
                          <a:srgbClr val="FFFFFF"/>
                        </a:solidFill>
                        <a:ln w="3172">
                          <a:solidFill>
                            <a:srgbClr val="000000"/>
                          </a:solidFill>
                          <a:prstDash val="solid"/>
                        </a:ln>
                      </wps:spPr>
                      <wps:txbx>
                        <w:txbxContent>
                          <w:p w14:paraId="577AA64E" w14:textId="77777777" w:rsidR="00083F27" w:rsidRPr="00083F27" w:rsidRDefault="00083F27" w:rsidP="00083F27">
                            <w:pPr>
                              <w:shd w:val="clear" w:color="auto" w:fill="FFFFFF"/>
                              <w:spacing w:after="0" w:line="235" w:lineRule="atLeast"/>
                              <w:jc w:val="both"/>
                              <w:rPr>
                                <w:rFonts w:eastAsia="Times New Roman" w:cs="Arial"/>
                                <w:color w:val="222222"/>
                                <w:lang w:val="fr-FR" w:eastAsia="fr-FR"/>
                              </w:rPr>
                            </w:pPr>
                            <w:r w:rsidRPr="00083F27">
                              <w:rPr>
                                <w:rFonts w:eastAsia="Times New Roman" w:cs="Arial"/>
                                <w:color w:val="222222"/>
                                <w:lang w:val="fr-FR" w:eastAsia="fr-FR"/>
                              </w:rPr>
                              <w:t>Résumé :</w:t>
                            </w:r>
                          </w:p>
                          <w:p w14:paraId="174ADB1A" w14:textId="77777777" w:rsidR="00083F27" w:rsidRPr="00083F27" w:rsidRDefault="00083F27" w:rsidP="00083F27">
                            <w:pPr>
                              <w:shd w:val="clear" w:color="auto" w:fill="FFFFFF"/>
                              <w:spacing w:after="0" w:line="235" w:lineRule="atLeast"/>
                              <w:jc w:val="both"/>
                              <w:rPr>
                                <w:rFonts w:eastAsia="Times New Roman" w:cs="Arial"/>
                                <w:color w:val="222222"/>
                                <w:lang w:val="fr-FR" w:eastAsia="fr-FR"/>
                              </w:rPr>
                            </w:pPr>
                            <w:r w:rsidRPr="00083F27">
                              <w:rPr>
                                <w:rFonts w:eastAsia="Times New Roman" w:cs="Arial"/>
                                <w:color w:val="222222"/>
                                <w:lang w:val="fr-FR" w:eastAsia="fr-FR"/>
                              </w:rPr>
                              <w:t> </w:t>
                            </w:r>
                          </w:p>
                          <w:p w14:paraId="2DC422FA" w14:textId="77777777" w:rsidR="00083F27" w:rsidRPr="00083F27" w:rsidRDefault="00083F27" w:rsidP="00083F27">
                            <w:pPr>
                              <w:shd w:val="clear" w:color="auto" w:fill="FFFFFF"/>
                              <w:spacing w:after="0" w:line="240" w:lineRule="auto"/>
                              <w:jc w:val="both"/>
                              <w:rPr>
                                <w:rFonts w:eastAsia="Times New Roman" w:cs="Arial"/>
                                <w:color w:val="222222"/>
                                <w:lang w:val="fr-FR" w:eastAsia="fr-FR"/>
                              </w:rPr>
                            </w:pPr>
                            <w:r w:rsidRPr="00083F27">
                              <w:rPr>
                                <w:rFonts w:eastAsia="Times New Roman" w:cs="Arial"/>
                                <w:color w:val="000000"/>
                                <w:lang w:val="fr-FR" w:eastAsia="fr-FR"/>
                              </w:rPr>
                              <w:t>Ce document présente </w:t>
                            </w:r>
                            <w:r w:rsidRPr="00083F27">
                              <w:rPr>
                                <w:rFonts w:eastAsia="Times New Roman" w:cs="Arial"/>
                                <w:color w:val="222222"/>
                                <w:lang w:val="fr-FR" w:eastAsia="fr-FR"/>
                              </w:rPr>
                              <w:t>les ressources </w:t>
                            </w:r>
                            <w:r w:rsidRPr="00083F27">
                              <w:rPr>
                                <w:rFonts w:eastAsia="Times New Roman" w:cs="Arial"/>
                                <w:color w:val="000000"/>
                                <w:lang w:val="fr-FR" w:eastAsia="fr-FR"/>
                              </w:rPr>
                              <w:t>mobilisées pour la mise en œuvre du Programme de travail pour la période intersessions 2024</w:t>
                            </w:r>
                            <w:r w:rsidRPr="00083F27">
                              <w:rPr>
                                <w:rFonts w:eastAsia="Times New Roman" w:cs="Arial"/>
                                <w:color w:val="000000"/>
                                <w:lang w:val="fr-FR" w:eastAsia="fr-FR"/>
                              </w:rPr>
                              <w:noBreakHyphen/>
                              <w:t>2026 depuis la 14</w:t>
                            </w:r>
                            <w:r w:rsidRPr="00083F27">
                              <w:rPr>
                                <w:rFonts w:eastAsia="Times New Roman" w:cs="Arial"/>
                                <w:color w:val="000000"/>
                                <w:vertAlign w:val="superscript"/>
                                <w:lang w:val="fr-FR" w:eastAsia="fr-FR"/>
                              </w:rPr>
                              <w:t>e</w:t>
                            </w:r>
                            <w:r w:rsidRPr="00083F27">
                              <w:rPr>
                                <w:rFonts w:eastAsia="Times New Roman" w:cs="Arial"/>
                                <w:color w:val="000000"/>
                                <w:lang w:val="fr-FR" w:eastAsia="fr-FR"/>
                              </w:rPr>
                              <w:t> réunion de la Conférence des Parties (COP14, 2024), à compter de janvier 2026.</w:t>
                            </w:r>
                          </w:p>
                          <w:p w14:paraId="587EA2F1" w14:textId="77777777" w:rsidR="00083F27" w:rsidRPr="00083F27" w:rsidRDefault="00083F27" w:rsidP="00083F27">
                            <w:pPr>
                              <w:shd w:val="clear" w:color="auto" w:fill="FFFFFF"/>
                              <w:spacing w:after="0" w:line="240" w:lineRule="auto"/>
                              <w:jc w:val="both"/>
                              <w:rPr>
                                <w:rFonts w:eastAsia="Times New Roman" w:cs="Arial"/>
                                <w:color w:val="222222"/>
                                <w:lang w:val="fr-FR" w:eastAsia="fr-FR"/>
                              </w:rPr>
                            </w:pPr>
                            <w:r w:rsidRPr="00083F27">
                              <w:rPr>
                                <w:rFonts w:eastAsia="Times New Roman" w:cs="Arial"/>
                                <w:color w:val="000000"/>
                                <w:lang w:val="fr-FR" w:eastAsia="fr-FR"/>
                              </w:rPr>
                              <w:t> </w:t>
                            </w:r>
                          </w:p>
                          <w:p w14:paraId="0D3DD464" w14:textId="77777777" w:rsidR="00083F27" w:rsidRPr="00083F27" w:rsidRDefault="00083F27" w:rsidP="00083F27">
                            <w:pPr>
                              <w:shd w:val="clear" w:color="auto" w:fill="FFFFFF"/>
                              <w:spacing w:after="0" w:line="240" w:lineRule="auto"/>
                              <w:jc w:val="both"/>
                              <w:rPr>
                                <w:rFonts w:eastAsia="Times New Roman" w:cs="Arial"/>
                                <w:color w:val="222222"/>
                                <w:lang w:val="fr-FR" w:eastAsia="fr-FR"/>
                              </w:rPr>
                            </w:pPr>
                            <w:r w:rsidRPr="00083F27">
                              <w:rPr>
                                <w:rFonts w:eastAsia="Times New Roman" w:cs="Arial"/>
                                <w:color w:val="222222"/>
                                <w:lang w:val="fr-FR" w:eastAsia="fr-FR"/>
                              </w:rPr>
                              <w:t>Il résume également les efforts supplémentaires visant à </w:t>
                            </w:r>
                            <w:r w:rsidRPr="00083F27">
                              <w:rPr>
                                <w:rFonts w:eastAsia="Times New Roman" w:cs="Arial"/>
                                <w:color w:val="000000"/>
                                <w:lang w:val="fr-FR" w:eastAsia="fr-FR"/>
                              </w:rPr>
                              <w:t>soutenir </w:t>
                            </w:r>
                            <w:r w:rsidRPr="00083F27">
                              <w:rPr>
                                <w:rFonts w:eastAsia="Times New Roman" w:cs="Arial"/>
                                <w:color w:val="222222"/>
                                <w:lang w:val="fr-FR" w:eastAsia="fr-FR"/>
                              </w:rPr>
                              <w:t>la mise en œuvre de la Convention et de ses instruments, ainsi que les besoins de financement pour la période intersessions entre la COP15 et la COP16.</w:t>
                            </w:r>
                          </w:p>
                          <w:p w14:paraId="1809B5D4" w14:textId="77777777" w:rsidR="00083F27" w:rsidRPr="00083F27" w:rsidRDefault="00083F27" w:rsidP="00083F27">
                            <w:pPr>
                              <w:shd w:val="clear" w:color="auto" w:fill="FFFFFF"/>
                              <w:spacing w:after="0" w:line="240" w:lineRule="auto"/>
                              <w:jc w:val="both"/>
                              <w:rPr>
                                <w:rFonts w:eastAsia="Times New Roman" w:cs="Arial"/>
                                <w:color w:val="222222"/>
                                <w:lang w:val="fr-FR" w:eastAsia="fr-FR"/>
                              </w:rPr>
                            </w:pPr>
                            <w:r w:rsidRPr="00083F27">
                              <w:rPr>
                                <w:rFonts w:eastAsia="Times New Roman" w:cs="Arial"/>
                                <w:color w:val="222222"/>
                                <w:lang w:val="fr-FR" w:eastAsia="fr-FR"/>
                              </w:rPr>
                              <w:t> </w:t>
                            </w:r>
                          </w:p>
                          <w:p w14:paraId="47915404" w14:textId="77777777" w:rsidR="00083F27" w:rsidRPr="00083F27" w:rsidRDefault="00083F27" w:rsidP="00083F27">
                            <w:pPr>
                              <w:shd w:val="clear" w:color="auto" w:fill="FFFFFF"/>
                              <w:spacing w:after="0" w:line="240" w:lineRule="auto"/>
                              <w:jc w:val="both"/>
                              <w:rPr>
                                <w:rFonts w:eastAsia="Times New Roman" w:cs="Arial"/>
                                <w:color w:val="222222"/>
                                <w:lang w:val="fr-FR" w:eastAsia="fr-FR"/>
                              </w:rPr>
                            </w:pPr>
                            <w:r w:rsidRPr="00083F27">
                              <w:rPr>
                                <w:rFonts w:eastAsia="Times New Roman" w:cs="Arial"/>
                                <w:color w:val="222222"/>
                                <w:lang w:val="fr-FR" w:eastAsia="fr-FR"/>
                              </w:rPr>
                              <w:t>Il propose ensuite des amendements à la Résolution 10.25 (Rev. COP14) </w:t>
                            </w:r>
                            <w:r w:rsidRPr="00083F27">
                              <w:rPr>
                                <w:rFonts w:eastAsia="Times New Roman" w:cs="Arial"/>
                                <w:i/>
                                <w:iCs/>
                                <w:color w:val="222222"/>
                                <w:lang w:val="fr-FR" w:eastAsia="fr-FR"/>
                              </w:rPr>
                              <w:t>Renforcement de l'engagement dans le fonds pour l'environnement mondial</w:t>
                            </w:r>
                            <w:r w:rsidRPr="00083F27">
                              <w:rPr>
                                <w:rFonts w:eastAsia="Times New Roman" w:cs="Arial"/>
                                <w:color w:val="000000"/>
                                <w:lang w:val="fr-FR" w:eastAsia="fr-FR"/>
                              </w:rPr>
                              <w:t> et l'adoption de nouvelles décisions.</w:t>
                            </w:r>
                          </w:p>
                          <w:p w14:paraId="2D50FAAA" w14:textId="77777777" w:rsidR="00083F27" w:rsidRPr="00083F27" w:rsidRDefault="00083F27" w:rsidP="00083F27">
                            <w:pPr>
                              <w:shd w:val="clear" w:color="auto" w:fill="FFFFFF"/>
                              <w:spacing w:after="0" w:line="240" w:lineRule="auto"/>
                              <w:jc w:val="both"/>
                              <w:rPr>
                                <w:rFonts w:eastAsia="Times New Roman" w:cs="Arial"/>
                                <w:color w:val="222222"/>
                                <w:lang w:val="fr-FR" w:eastAsia="fr-FR"/>
                              </w:rPr>
                            </w:pPr>
                            <w:r w:rsidRPr="00083F27">
                              <w:rPr>
                                <w:rFonts w:eastAsia="Times New Roman" w:cs="Arial"/>
                                <w:color w:val="222222"/>
                                <w:lang w:val="fr-FR" w:eastAsia="fr-FR"/>
                              </w:rPr>
                              <w:t> </w:t>
                            </w:r>
                          </w:p>
                          <w:p w14:paraId="16AD241A" w14:textId="77777777" w:rsidR="00083F27" w:rsidRPr="00083F27" w:rsidRDefault="00083F27" w:rsidP="00083F27">
                            <w:pPr>
                              <w:shd w:val="clear" w:color="auto" w:fill="FFFFFF"/>
                              <w:spacing w:after="0" w:line="240" w:lineRule="auto"/>
                              <w:jc w:val="both"/>
                              <w:rPr>
                                <w:rFonts w:eastAsia="Times New Roman" w:cs="Arial"/>
                                <w:color w:val="222222"/>
                                <w:lang w:val="fr-FR" w:eastAsia="fr-FR"/>
                              </w:rPr>
                            </w:pPr>
                            <w:r w:rsidRPr="00083F27">
                              <w:rPr>
                                <w:rFonts w:eastAsia="Times New Roman" w:cs="Arial"/>
                                <w:color w:val="222222"/>
                                <w:lang w:val="fr-FR" w:eastAsia="fr-FR"/>
                              </w:rPr>
                              <w:t>Les projets de décisions, s’ils sont adoptés, contribueraient à l’ensemble des cibles du Plan stratégique pour les espèces migratrices 2024</w:t>
                            </w:r>
                            <w:r w:rsidRPr="00083F27">
                              <w:rPr>
                                <w:rFonts w:eastAsia="Times New Roman" w:cs="Arial"/>
                                <w:color w:val="222222"/>
                                <w:lang w:val="fr-FR" w:eastAsia="fr-FR"/>
                              </w:rPr>
                              <w:noBreakHyphen/>
                              <w:t>2032, en particulier la Cible 4.3.</w:t>
                            </w:r>
                          </w:p>
                          <w:p w14:paraId="0B4EB2D8" w14:textId="77777777" w:rsidR="00670BDB" w:rsidRPr="00083F27" w:rsidRDefault="00670BDB" w:rsidP="00083F27">
                            <w:pPr>
                              <w:rPr>
                                <w:lang w:val="fr-FR"/>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margin">
                  <wp14:pctHeight>0</wp14:pctHeight>
                </wp14:sizeRelV>
              </wp:anchor>
            </w:drawing>
          </mc:Choice>
          <mc:Fallback>
            <w:pict>
              <v:shapetype w14:anchorId="691AA770" id="_x0000_t202" coordsize="21600,21600" o:spt="202" path="m,l,21600r21600,l21600,xe">
                <v:stroke joinstyle="miter"/>
                <v:path gradientshapeok="t" o:connecttype="rect"/>
              </v:shapetype>
              <v:shape id="Text Box 1" o:spid="_x0000_s1026" type="#_x0000_t202" style="position:absolute;left:0;text-align:left;margin-left:70.25pt;margin-top:227.25pt;width:338.95pt;height:26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" strokeweight=".08811mm">
                <v:path arrowok="t"/>
                <v:textbox>
                  <w:txbxContent>
                    <w:p w14:paraId="577AA64E" w14:textId="77777777" w:rsidR="00083F27" w:rsidRPr="00083F27" w:rsidRDefault="00083F27" w:rsidP="00083F27">
                      <w:pPr>
                        <w:shd w:val="clear" w:color="auto" w:fill="FFFFFF"/>
                        <w:spacing w:after="0" w:line="235" w:lineRule="atLeast"/>
                        <w:jc w:val="both"/>
                        <w:rPr>
                          <w:rFonts w:eastAsia="Times New Roman" w:cs="Arial"/>
                          <w:color w:val="222222"/>
                          <w:lang w:val="fr-FR" w:eastAsia="fr-FR"/>
                        </w:rPr>
                      </w:pPr>
                      <w:r w:rsidRPr="00083F27">
                        <w:rPr>
                          <w:rFonts w:eastAsia="Times New Roman" w:cs="Arial"/>
                          <w:color w:val="222222"/>
                          <w:lang w:val="fr-FR" w:eastAsia="fr-FR"/>
                        </w:rPr>
                        <w:t>Résumé :</w:t>
                      </w:r>
                    </w:p>
                    <w:p w14:paraId="174ADB1A" w14:textId="77777777" w:rsidR="00083F27" w:rsidRPr="00083F27" w:rsidRDefault="00083F27" w:rsidP="00083F27">
                      <w:pPr>
                        <w:shd w:val="clear" w:color="auto" w:fill="FFFFFF"/>
                        <w:spacing w:after="0" w:line="235" w:lineRule="atLeast"/>
                        <w:jc w:val="both"/>
                        <w:rPr>
                          <w:rFonts w:eastAsia="Times New Roman" w:cs="Arial"/>
                          <w:color w:val="222222"/>
                          <w:lang w:val="fr-FR" w:eastAsia="fr-FR"/>
                        </w:rPr>
                      </w:pPr>
                      <w:r w:rsidRPr="00083F27">
                        <w:rPr>
                          <w:rFonts w:eastAsia="Times New Roman" w:cs="Arial"/>
                          <w:color w:val="222222"/>
                          <w:lang w:val="fr-FR" w:eastAsia="fr-FR"/>
                        </w:rPr>
                        <w:t> </w:t>
                      </w:r>
                    </w:p>
                    <w:p w14:paraId="2DC422FA" w14:textId="77777777" w:rsidR="00083F27" w:rsidRPr="00083F27" w:rsidRDefault="00083F27" w:rsidP="00083F27">
                      <w:pPr>
                        <w:shd w:val="clear" w:color="auto" w:fill="FFFFFF"/>
                        <w:spacing w:after="0" w:line="240" w:lineRule="auto"/>
                        <w:jc w:val="both"/>
                        <w:rPr>
                          <w:rFonts w:eastAsia="Times New Roman" w:cs="Arial"/>
                          <w:color w:val="222222"/>
                          <w:lang w:val="fr-FR" w:eastAsia="fr-FR"/>
                        </w:rPr>
                      </w:pPr>
                      <w:r w:rsidRPr="00083F27">
                        <w:rPr>
                          <w:rFonts w:eastAsia="Times New Roman" w:cs="Arial"/>
                          <w:color w:val="000000"/>
                          <w:lang w:val="fr-FR" w:eastAsia="fr-FR"/>
                        </w:rPr>
                        <w:t>Ce document présente </w:t>
                      </w:r>
                      <w:r w:rsidRPr="00083F27">
                        <w:rPr>
                          <w:rFonts w:eastAsia="Times New Roman" w:cs="Arial"/>
                          <w:color w:val="222222"/>
                          <w:lang w:val="fr-FR" w:eastAsia="fr-FR"/>
                        </w:rPr>
                        <w:t>les ressources </w:t>
                      </w:r>
                      <w:r w:rsidRPr="00083F27">
                        <w:rPr>
                          <w:rFonts w:eastAsia="Times New Roman" w:cs="Arial"/>
                          <w:color w:val="000000"/>
                          <w:lang w:val="fr-FR" w:eastAsia="fr-FR"/>
                        </w:rPr>
                        <w:t>mobilisées pour la mise en œuvre du Programme de travail pour la période intersessions 2024</w:t>
                      </w:r>
                      <w:r w:rsidRPr="00083F27">
                        <w:rPr>
                          <w:rFonts w:eastAsia="Times New Roman" w:cs="Arial"/>
                          <w:color w:val="000000"/>
                          <w:lang w:val="fr-FR" w:eastAsia="fr-FR"/>
                        </w:rPr>
                        <w:noBreakHyphen/>
                        <w:t>2026 depuis la 14</w:t>
                      </w:r>
                      <w:r w:rsidRPr="00083F27">
                        <w:rPr>
                          <w:rFonts w:eastAsia="Times New Roman" w:cs="Arial"/>
                          <w:color w:val="000000"/>
                          <w:vertAlign w:val="superscript"/>
                          <w:lang w:val="fr-FR" w:eastAsia="fr-FR"/>
                        </w:rPr>
                        <w:t>e</w:t>
                      </w:r>
                      <w:r w:rsidRPr="00083F27">
                        <w:rPr>
                          <w:rFonts w:eastAsia="Times New Roman" w:cs="Arial"/>
                          <w:color w:val="000000"/>
                          <w:lang w:val="fr-FR" w:eastAsia="fr-FR"/>
                        </w:rPr>
                        <w:t> réunion de la Conférence des Parties (COP14, 2024), à compter de janvier 2026.</w:t>
                      </w:r>
                    </w:p>
                    <w:p w14:paraId="587EA2F1" w14:textId="77777777" w:rsidR="00083F27" w:rsidRPr="00083F27" w:rsidRDefault="00083F27" w:rsidP="00083F27">
                      <w:pPr>
                        <w:shd w:val="clear" w:color="auto" w:fill="FFFFFF"/>
                        <w:spacing w:after="0" w:line="240" w:lineRule="auto"/>
                        <w:jc w:val="both"/>
                        <w:rPr>
                          <w:rFonts w:eastAsia="Times New Roman" w:cs="Arial"/>
                          <w:color w:val="222222"/>
                          <w:lang w:val="fr-FR" w:eastAsia="fr-FR"/>
                        </w:rPr>
                      </w:pPr>
                      <w:r w:rsidRPr="00083F27">
                        <w:rPr>
                          <w:rFonts w:eastAsia="Times New Roman" w:cs="Arial"/>
                          <w:color w:val="000000"/>
                          <w:lang w:val="fr-FR" w:eastAsia="fr-FR"/>
                        </w:rPr>
                        <w:t> </w:t>
                      </w:r>
                    </w:p>
                    <w:p w14:paraId="0D3DD464" w14:textId="77777777" w:rsidR="00083F27" w:rsidRPr="00083F27" w:rsidRDefault="00083F27" w:rsidP="00083F27">
                      <w:pPr>
                        <w:shd w:val="clear" w:color="auto" w:fill="FFFFFF"/>
                        <w:spacing w:after="0" w:line="240" w:lineRule="auto"/>
                        <w:jc w:val="both"/>
                        <w:rPr>
                          <w:rFonts w:eastAsia="Times New Roman" w:cs="Arial"/>
                          <w:color w:val="222222"/>
                          <w:lang w:val="fr-FR" w:eastAsia="fr-FR"/>
                        </w:rPr>
                      </w:pPr>
                      <w:r w:rsidRPr="00083F27">
                        <w:rPr>
                          <w:rFonts w:eastAsia="Times New Roman" w:cs="Arial"/>
                          <w:color w:val="222222"/>
                          <w:lang w:val="fr-FR" w:eastAsia="fr-FR"/>
                        </w:rPr>
                        <w:t>Il résume également les efforts supplémentaires visant à </w:t>
                      </w:r>
                      <w:r w:rsidRPr="00083F27">
                        <w:rPr>
                          <w:rFonts w:eastAsia="Times New Roman" w:cs="Arial"/>
                          <w:color w:val="000000"/>
                          <w:lang w:val="fr-FR" w:eastAsia="fr-FR"/>
                        </w:rPr>
                        <w:t>soutenir </w:t>
                      </w:r>
                      <w:r w:rsidRPr="00083F27">
                        <w:rPr>
                          <w:rFonts w:eastAsia="Times New Roman" w:cs="Arial"/>
                          <w:color w:val="222222"/>
                          <w:lang w:val="fr-FR" w:eastAsia="fr-FR"/>
                        </w:rPr>
                        <w:t>la mise en œuvre de la Convention et de ses instruments, ainsi que les besoins de financement pour la période intersessions entre la COP15 et la COP16.</w:t>
                      </w:r>
                    </w:p>
                    <w:p w14:paraId="1809B5D4" w14:textId="77777777" w:rsidR="00083F27" w:rsidRPr="00083F27" w:rsidRDefault="00083F27" w:rsidP="00083F27">
                      <w:pPr>
                        <w:shd w:val="clear" w:color="auto" w:fill="FFFFFF"/>
                        <w:spacing w:after="0" w:line="240" w:lineRule="auto"/>
                        <w:jc w:val="both"/>
                        <w:rPr>
                          <w:rFonts w:eastAsia="Times New Roman" w:cs="Arial"/>
                          <w:color w:val="222222"/>
                          <w:lang w:val="fr-FR" w:eastAsia="fr-FR"/>
                        </w:rPr>
                      </w:pPr>
                      <w:r w:rsidRPr="00083F27">
                        <w:rPr>
                          <w:rFonts w:eastAsia="Times New Roman" w:cs="Arial"/>
                          <w:color w:val="222222"/>
                          <w:lang w:val="fr-FR" w:eastAsia="fr-FR"/>
                        </w:rPr>
                        <w:t> </w:t>
                      </w:r>
                    </w:p>
                    <w:p w14:paraId="47915404" w14:textId="77777777" w:rsidR="00083F27" w:rsidRPr="00083F27" w:rsidRDefault="00083F27" w:rsidP="00083F27">
                      <w:pPr>
                        <w:shd w:val="clear" w:color="auto" w:fill="FFFFFF"/>
                        <w:spacing w:after="0" w:line="240" w:lineRule="auto"/>
                        <w:jc w:val="both"/>
                        <w:rPr>
                          <w:rFonts w:eastAsia="Times New Roman" w:cs="Arial"/>
                          <w:color w:val="222222"/>
                          <w:lang w:val="fr-FR" w:eastAsia="fr-FR"/>
                        </w:rPr>
                      </w:pPr>
                      <w:r w:rsidRPr="00083F27">
                        <w:rPr>
                          <w:rFonts w:eastAsia="Times New Roman" w:cs="Arial"/>
                          <w:color w:val="222222"/>
                          <w:lang w:val="fr-FR" w:eastAsia="fr-FR"/>
                        </w:rPr>
                        <w:t>Il propose ensuite des amendements à la Résolution 10.25 (Rev. COP14) </w:t>
                      </w:r>
                      <w:r w:rsidRPr="00083F27">
                        <w:rPr>
                          <w:rFonts w:eastAsia="Times New Roman" w:cs="Arial"/>
                          <w:i/>
                          <w:iCs/>
                          <w:color w:val="222222"/>
                          <w:lang w:val="fr-FR" w:eastAsia="fr-FR"/>
                        </w:rPr>
                        <w:t>Renforcement de l'engagement dans le fonds pour l'environnement mondial</w:t>
                      </w:r>
                      <w:r w:rsidRPr="00083F27">
                        <w:rPr>
                          <w:rFonts w:eastAsia="Times New Roman" w:cs="Arial"/>
                          <w:color w:val="000000"/>
                          <w:lang w:val="fr-FR" w:eastAsia="fr-FR"/>
                        </w:rPr>
                        <w:t> et l'adoption de nouvelles décisions.</w:t>
                      </w:r>
                    </w:p>
                    <w:p w14:paraId="2D50FAAA" w14:textId="77777777" w:rsidR="00083F27" w:rsidRPr="00083F27" w:rsidRDefault="00083F27" w:rsidP="00083F27">
                      <w:pPr>
                        <w:shd w:val="clear" w:color="auto" w:fill="FFFFFF"/>
                        <w:spacing w:after="0" w:line="240" w:lineRule="auto"/>
                        <w:jc w:val="both"/>
                        <w:rPr>
                          <w:rFonts w:eastAsia="Times New Roman" w:cs="Arial"/>
                          <w:color w:val="222222"/>
                          <w:lang w:val="fr-FR" w:eastAsia="fr-FR"/>
                        </w:rPr>
                      </w:pPr>
                      <w:r w:rsidRPr="00083F27">
                        <w:rPr>
                          <w:rFonts w:eastAsia="Times New Roman" w:cs="Arial"/>
                          <w:color w:val="222222"/>
                          <w:lang w:val="fr-FR" w:eastAsia="fr-FR"/>
                        </w:rPr>
                        <w:t> </w:t>
                      </w:r>
                    </w:p>
                    <w:p w14:paraId="16AD241A" w14:textId="77777777" w:rsidR="00083F27" w:rsidRPr="00083F27" w:rsidRDefault="00083F27" w:rsidP="00083F27">
                      <w:pPr>
                        <w:shd w:val="clear" w:color="auto" w:fill="FFFFFF"/>
                        <w:spacing w:after="0" w:line="240" w:lineRule="auto"/>
                        <w:jc w:val="both"/>
                        <w:rPr>
                          <w:rFonts w:eastAsia="Times New Roman" w:cs="Arial"/>
                          <w:color w:val="222222"/>
                          <w:lang w:val="fr-FR" w:eastAsia="fr-FR"/>
                        </w:rPr>
                      </w:pPr>
                      <w:r w:rsidRPr="00083F27">
                        <w:rPr>
                          <w:rFonts w:eastAsia="Times New Roman" w:cs="Arial"/>
                          <w:color w:val="222222"/>
                          <w:lang w:val="fr-FR" w:eastAsia="fr-FR"/>
                        </w:rPr>
                        <w:t>Les projets de décisions, s’ils sont adoptés, contribueraient à l’ensemble des cibles du Plan stratégique pour les espèces migratrices 2024</w:t>
                      </w:r>
                      <w:r w:rsidRPr="00083F27">
                        <w:rPr>
                          <w:rFonts w:eastAsia="Times New Roman" w:cs="Arial"/>
                          <w:color w:val="222222"/>
                          <w:lang w:val="fr-FR" w:eastAsia="fr-FR"/>
                        </w:rPr>
                        <w:noBreakHyphen/>
                        <w:t>2032, en particulier la Cible 4.3.</w:t>
                      </w:r>
                    </w:p>
                    <w:p w14:paraId="0B4EB2D8" w14:textId="77777777" w:rsidR="00670BDB" w:rsidRPr="00083F27" w:rsidRDefault="00670BDB" w:rsidP="00083F27">
                      <w:pPr>
                        <w:rPr>
                          <w:lang w:val="fr-FR"/>
                        </w:rPr>
                      </w:pPr>
                    </w:p>
                  </w:txbxContent>
                </v:textbox>
                <w10:wrap type="square" anchorx="margin" anchory="margin"/>
              </v:shape>
            </w:pict>
          </mc:Fallback>
        </mc:AlternateContent>
      </w:r>
    </w:p>
    <w:p w14:paraId="0B8132E4" w14:textId="77777777" w:rsidR="00670BDB" w:rsidRPr="003C60ED" w:rsidRDefault="00670BDB">
      <w:pPr>
        <w:widowControl w:val="0"/>
        <w:suppressAutoHyphens/>
        <w:autoSpaceDE w:val="0"/>
        <w:autoSpaceDN w:val="0"/>
        <w:spacing w:after="0" w:line="240" w:lineRule="auto"/>
        <w:jc w:val="both"/>
        <w:textAlignment w:val="baseline"/>
        <w:rPr>
          <w:rFonts w:eastAsia="Times New Roman" w:cs="Arial"/>
          <w:lang w:val="fr-FR"/>
        </w:rPr>
      </w:pPr>
    </w:p>
    <w:p w14:paraId="768A0DFF" w14:textId="77777777" w:rsidR="00670BDB" w:rsidRPr="003C60ED" w:rsidRDefault="00670BDB">
      <w:pPr>
        <w:widowControl w:val="0"/>
        <w:suppressAutoHyphens/>
        <w:autoSpaceDE w:val="0"/>
        <w:autoSpaceDN w:val="0"/>
        <w:spacing w:after="0" w:line="240" w:lineRule="auto"/>
        <w:jc w:val="both"/>
        <w:textAlignment w:val="baseline"/>
        <w:rPr>
          <w:rFonts w:eastAsia="Times New Roman" w:cs="Arial"/>
          <w:lang w:val="fr-FR"/>
        </w:rPr>
      </w:pPr>
    </w:p>
    <w:p w14:paraId="2947E02E" w14:textId="77777777" w:rsidR="00670BDB" w:rsidRPr="003C60ED" w:rsidRDefault="00670BDB">
      <w:pPr>
        <w:spacing w:after="0" w:line="240" w:lineRule="auto"/>
        <w:jc w:val="both"/>
        <w:rPr>
          <w:lang w:val="fr-FR"/>
        </w:rPr>
      </w:pPr>
    </w:p>
    <w:p w14:paraId="457017F5" w14:textId="77777777" w:rsidR="00670BDB" w:rsidRPr="003C60ED" w:rsidRDefault="00670BDB">
      <w:pPr>
        <w:spacing w:after="0" w:line="240" w:lineRule="auto"/>
        <w:jc w:val="both"/>
        <w:rPr>
          <w:lang w:val="fr-FR"/>
        </w:rPr>
      </w:pPr>
    </w:p>
    <w:p w14:paraId="7853E446" w14:textId="77777777" w:rsidR="00670BDB" w:rsidRPr="003C60ED" w:rsidRDefault="00670BDB">
      <w:pPr>
        <w:spacing w:after="0" w:line="240" w:lineRule="auto"/>
        <w:jc w:val="both"/>
        <w:rPr>
          <w:lang w:val="fr-FR"/>
        </w:rPr>
      </w:pPr>
    </w:p>
    <w:p w14:paraId="45693C34" w14:textId="77777777" w:rsidR="00670BDB" w:rsidRPr="003C60ED" w:rsidRDefault="00670BDB">
      <w:pPr>
        <w:spacing w:after="0" w:line="240" w:lineRule="auto"/>
        <w:jc w:val="both"/>
        <w:rPr>
          <w:lang w:val="fr-FR"/>
        </w:rPr>
      </w:pPr>
    </w:p>
    <w:p w14:paraId="71376A95" w14:textId="77777777" w:rsidR="00670BDB" w:rsidRPr="003C60ED" w:rsidRDefault="00670BDB">
      <w:pPr>
        <w:spacing w:after="0" w:line="240" w:lineRule="auto"/>
        <w:jc w:val="both"/>
        <w:rPr>
          <w:lang w:val="fr-FR"/>
        </w:rPr>
      </w:pPr>
    </w:p>
    <w:p w14:paraId="7600D235" w14:textId="77777777" w:rsidR="00670BDB" w:rsidRPr="003C60ED" w:rsidRDefault="00670BDB">
      <w:pPr>
        <w:spacing w:after="0" w:line="240" w:lineRule="auto"/>
        <w:jc w:val="both"/>
        <w:rPr>
          <w:lang w:val="fr-FR"/>
        </w:rPr>
      </w:pPr>
    </w:p>
    <w:p w14:paraId="188D33AB" w14:textId="77777777" w:rsidR="00670BDB" w:rsidRPr="003C60ED" w:rsidRDefault="00670BDB">
      <w:pPr>
        <w:spacing w:after="0" w:line="240" w:lineRule="auto"/>
        <w:jc w:val="both"/>
        <w:rPr>
          <w:lang w:val="fr-FR"/>
        </w:rPr>
      </w:pPr>
    </w:p>
    <w:p w14:paraId="7C03D6B2" w14:textId="77777777" w:rsidR="00670BDB" w:rsidRPr="003C60ED" w:rsidRDefault="00670BDB">
      <w:pPr>
        <w:spacing w:after="0" w:line="240" w:lineRule="auto"/>
        <w:jc w:val="both"/>
        <w:rPr>
          <w:lang w:val="fr-FR"/>
        </w:rPr>
      </w:pPr>
    </w:p>
    <w:p w14:paraId="3A5077FB" w14:textId="77777777" w:rsidR="00670BDB" w:rsidRPr="003C60ED" w:rsidRDefault="00670BDB">
      <w:pPr>
        <w:spacing w:after="0" w:line="240" w:lineRule="auto"/>
        <w:jc w:val="both"/>
        <w:rPr>
          <w:lang w:val="fr-FR"/>
        </w:rPr>
      </w:pPr>
    </w:p>
    <w:p w14:paraId="3C17A1D7" w14:textId="77777777" w:rsidR="00670BDB" w:rsidRPr="003C60ED" w:rsidRDefault="00670BDB">
      <w:pPr>
        <w:spacing w:after="0" w:line="240" w:lineRule="auto"/>
        <w:jc w:val="both"/>
        <w:rPr>
          <w:lang w:val="fr-FR"/>
        </w:rPr>
      </w:pPr>
    </w:p>
    <w:p w14:paraId="71A87DC9" w14:textId="77777777" w:rsidR="00670BDB" w:rsidRPr="003C60ED" w:rsidRDefault="009D4DE7">
      <w:pPr>
        <w:jc w:val="both"/>
        <w:rPr>
          <w:lang w:val="fr-FR"/>
        </w:rPr>
      </w:pPr>
      <w:r w:rsidRPr="003C60ED">
        <w:rPr>
          <w:lang w:val="fr-FR"/>
        </w:rPr>
        <w:br w:type="page"/>
      </w:r>
    </w:p>
    <w:p w14:paraId="67EE6933" w14:textId="77777777" w:rsidR="00670BDB" w:rsidRPr="003C60ED" w:rsidRDefault="009D4DE7">
      <w:pPr>
        <w:widowControl w:val="0"/>
        <w:suppressAutoHyphens/>
        <w:autoSpaceDE w:val="0"/>
        <w:autoSpaceDN w:val="0"/>
        <w:spacing w:after="0" w:line="240" w:lineRule="auto"/>
        <w:jc w:val="center"/>
        <w:textAlignment w:val="baseline"/>
        <w:rPr>
          <w:rFonts w:eastAsia="Times New Roman" w:cs="Arial"/>
          <w:b/>
          <w:bCs/>
          <w:lang w:val="fr-FR"/>
        </w:rPr>
      </w:pPr>
      <w:r w:rsidRPr="003C60ED">
        <w:rPr>
          <w:rFonts w:eastAsia="Times New Roman" w:cs="Arial"/>
          <w:b/>
          <w:bCs/>
          <w:lang w:val="fr-FR"/>
        </w:rPr>
        <w:lastRenderedPageBreak/>
        <w:t>MOBILISATION DES RESSOURCES</w:t>
      </w:r>
    </w:p>
    <w:p w14:paraId="4046B9FF" w14:textId="77777777" w:rsidR="00670BDB" w:rsidRPr="003C60ED" w:rsidRDefault="00670BDB">
      <w:pPr>
        <w:widowControl w:val="0"/>
        <w:suppressAutoHyphens/>
        <w:autoSpaceDE w:val="0"/>
        <w:autoSpaceDN w:val="0"/>
        <w:spacing w:after="0" w:line="240" w:lineRule="auto"/>
        <w:jc w:val="center"/>
        <w:textAlignment w:val="baseline"/>
        <w:rPr>
          <w:rFonts w:eastAsia="Times New Roman" w:cs="Arial"/>
          <w:b/>
          <w:bCs/>
          <w:lang w:val="fr-FR"/>
        </w:rPr>
      </w:pPr>
    </w:p>
    <w:p w14:paraId="745A37C3" w14:textId="77777777" w:rsidR="00670BDB" w:rsidRPr="003C60ED" w:rsidRDefault="009D4DE7">
      <w:pPr>
        <w:spacing w:after="0" w:line="240" w:lineRule="auto"/>
        <w:rPr>
          <w:u w:val="single"/>
          <w:lang w:val="en-GB"/>
        </w:rPr>
      </w:pPr>
      <w:r w:rsidRPr="003C60ED">
        <w:rPr>
          <w:u w:val="single"/>
          <w:lang w:val="en-GB"/>
        </w:rPr>
        <w:t>Introduction</w:t>
      </w:r>
    </w:p>
    <w:p w14:paraId="441A22A9" w14:textId="77777777" w:rsidR="00670BDB" w:rsidRPr="003C60ED" w:rsidRDefault="00670BDB">
      <w:pPr>
        <w:spacing w:after="0" w:line="240" w:lineRule="auto"/>
        <w:rPr>
          <w:u w:val="single"/>
          <w:lang w:val="fr-FR"/>
        </w:rPr>
      </w:pPr>
    </w:p>
    <w:p w14:paraId="39B079BF" w14:textId="687D2BA1" w:rsidR="00670BDB" w:rsidRPr="003C60ED" w:rsidRDefault="009D4DE7">
      <w:pPr>
        <w:pStyle w:val="NormalWeb"/>
        <w:numPr>
          <w:ilvl w:val="0"/>
          <w:numId w:val="23"/>
        </w:numPr>
        <w:spacing w:before="0" w:beforeAutospacing="0" w:after="0" w:afterAutospacing="0"/>
        <w:ind w:left="567" w:hanging="567"/>
        <w:jc w:val="both"/>
        <w:rPr>
          <w:rFonts w:ascii="Arial" w:hAnsi="Arial" w:cs="Arial"/>
          <w:sz w:val="22"/>
          <w:szCs w:val="22"/>
          <w:lang w:val="fr-FR"/>
        </w:rPr>
      </w:pPr>
      <w:r w:rsidRPr="003C60ED">
        <w:rPr>
          <w:rFonts w:ascii="Arial" w:hAnsi="Arial" w:cs="Arial"/>
          <w:sz w:val="22"/>
          <w:szCs w:val="22"/>
          <w:lang w:val="fr-FR"/>
        </w:rPr>
        <w:t>La 14</w:t>
      </w:r>
      <w:r w:rsidRPr="003C60ED">
        <w:rPr>
          <w:rFonts w:ascii="Arial" w:hAnsi="Arial" w:cs="Arial"/>
          <w:sz w:val="22"/>
          <w:szCs w:val="22"/>
          <w:vertAlign w:val="superscript"/>
          <w:lang w:val="fr-FR"/>
        </w:rPr>
        <w:t>e</w:t>
      </w:r>
      <w:r w:rsidRPr="003C60ED">
        <w:rPr>
          <w:rFonts w:ascii="Arial" w:hAnsi="Arial" w:cs="Arial"/>
          <w:sz w:val="22"/>
          <w:szCs w:val="22"/>
          <w:lang w:val="fr-FR"/>
        </w:rPr>
        <w:t xml:space="preserve"> Session de la Conférence des Parties à la CMS (COP14) a adopté la </w:t>
      </w:r>
      <w:hyperlink r:id="rId12" w:history="1">
        <w:r w:rsidRPr="003C60ED">
          <w:rPr>
            <w:rStyle w:val="Hyperlink"/>
            <w:rFonts w:ascii="Arial" w:hAnsi="Arial" w:cs="Arial"/>
            <w:sz w:val="22"/>
            <w:szCs w:val="22"/>
            <w:lang w:val="fr-FR"/>
          </w:rPr>
          <w:t>Résolution 14.2</w:t>
        </w:r>
      </w:hyperlink>
      <w:r w:rsidRPr="003C60ED">
        <w:rPr>
          <w:rFonts w:ascii="Arial" w:hAnsi="Arial" w:cs="Arial"/>
          <w:sz w:val="22"/>
          <w:szCs w:val="22"/>
          <w:lang w:val="fr-FR"/>
        </w:rPr>
        <w:t xml:space="preserve"> </w:t>
      </w:r>
      <w:r w:rsidRPr="003C60ED">
        <w:rPr>
          <w:rFonts w:ascii="Arial" w:hAnsi="Arial" w:cs="Arial"/>
          <w:i/>
          <w:iCs/>
          <w:sz w:val="22"/>
          <w:szCs w:val="22"/>
          <w:lang w:val="fr-FR"/>
        </w:rPr>
        <w:t>Questions financières et administratives</w:t>
      </w:r>
      <w:r w:rsidRPr="003C60ED">
        <w:rPr>
          <w:rFonts w:ascii="Arial" w:hAnsi="Arial" w:cs="Arial"/>
          <w:sz w:val="22"/>
          <w:szCs w:val="22"/>
          <w:lang w:val="fr-FR"/>
        </w:rPr>
        <w:t>, y compris le budget pour la période intersessions 2024-2026</w:t>
      </w:r>
      <w:r w:rsidR="00A80B9F">
        <w:rPr>
          <w:rFonts w:ascii="Arial" w:hAnsi="Arial" w:cs="Arial"/>
          <w:sz w:val="22"/>
          <w:szCs w:val="22"/>
          <w:lang w:val="fr-FR"/>
        </w:rPr>
        <w:t xml:space="preserve"> </w:t>
      </w:r>
      <w:r w:rsidR="00A80B9F" w:rsidRPr="00A80B9F">
        <w:rPr>
          <w:rFonts w:ascii="Arial" w:hAnsi="Arial" w:cs="Arial"/>
          <w:sz w:val="22"/>
          <w:szCs w:val="22"/>
          <w:lang w:val="fr-FR"/>
        </w:rPr>
        <w:t>ainsi qu'un programme de travail provisoire figurant à l'annexe 6.</w:t>
      </w:r>
      <w:r w:rsidRPr="003C60ED">
        <w:rPr>
          <w:rFonts w:ascii="Arial" w:hAnsi="Arial" w:cs="Arial"/>
          <w:sz w:val="22"/>
          <w:szCs w:val="22"/>
          <w:lang w:val="fr-FR"/>
        </w:rPr>
        <w:t xml:space="preserve"> </w:t>
      </w:r>
    </w:p>
    <w:p w14:paraId="423B71BF" w14:textId="77777777" w:rsidR="00670BDB" w:rsidRPr="003C60ED" w:rsidRDefault="00670BDB">
      <w:pPr>
        <w:pStyle w:val="NormalWeb"/>
        <w:spacing w:before="0" w:beforeAutospacing="0" w:after="0" w:afterAutospacing="0"/>
        <w:ind w:left="567"/>
        <w:jc w:val="both"/>
        <w:rPr>
          <w:rFonts w:ascii="Arial" w:hAnsi="Arial" w:cs="Arial"/>
          <w:sz w:val="22"/>
          <w:szCs w:val="22"/>
          <w:lang w:val="fr-FR"/>
        </w:rPr>
      </w:pPr>
    </w:p>
    <w:p w14:paraId="7D8792A9" w14:textId="777AE860" w:rsidR="00670BDB" w:rsidRPr="00F744C6" w:rsidRDefault="009D4DE7">
      <w:pPr>
        <w:pStyle w:val="NormalWeb"/>
        <w:numPr>
          <w:ilvl w:val="0"/>
          <w:numId w:val="23"/>
        </w:numPr>
        <w:spacing w:before="0" w:beforeAutospacing="0" w:after="0" w:afterAutospacing="0"/>
        <w:ind w:left="567" w:hanging="567"/>
        <w:jc w:val="both"/>
        <w:rPr>
          <w:rFonts w:ascii="Arial" w:hAnsi="Arial" w:cs="Arial"/>
          <w:sz w:val="22"/>
          <w:szCs w:val="22"/>
          <w:lang w:val="fr-FR"/>
        </w:rPr>
      </w:pPr>
      <w:r w:rsidRPr="00F744C6">
        <w:rPr>
          <w:rFonts w:ascii="Arial" w:hAnsi="Arial" w:cs="Arial"/>
          <w:sz w:val="22"/>
          <w:szCs w:val="22"/>
          <w:lang w:val="fr-FR"/>
        </w:rPr>
        <w:t xml:space="preserve">Le 5 octobre 2024, le Comité permanent a adopté un </w:t>
      </w:r>
      <w:hyperlink r:id="rId13">
        <w:r w:rsidRPr="00F744C6">
          <w:rPr>
            <w:rStyle w:val="Hyperlink"/>
            <w:rFonts w:ascii="Arial" w:hAnsi="Arial" w:cs="Arial"/>
            <w:sz w:val="22"/>
            <w:szCs w:val="22"/>
            <w:lang w:val="fr-FR"/>
          </w:rPr>
          <w:t>Programme de travail pour la période intersessions entre la COP14 et la COP15</w:t>
        </w:r>
      </w:hyperlink>
      <w:r w:rsidRPr="00F744C6">
        <w:rPr>
          <w:rFonts w:ascii="Arial" w:hAnsi="Arial" w:cs="Arial"/>
          <w:sz w:val="22"/>
          <w:szCs w:val="22"/>
          <w:lang w:val="fr-FR"/>
        </w:rPr>
        <w:t xml:space="preserve"> (</w:t>
      </w:r>
      <w:proofErr w:type="spellStart"/>
      <w:r w:rsidRPr="00F744C6">
        <w:rPr>
          <w:rFonts w:ascii="Arial" w:hAnsi="Arial" w:cs="Arial"/>
          <w:sz w:val="22"/>
          <w:szCs w:val="22"/>
          <w:lang w:val="fr-FR"/>
        </w:rPr>
        <w:t>PdT</w:t>
      </w:r>
      <w:proofErr w:type="spellEnd"/>
      <w:r w:rsidRPr="00F744C6">
        <w:rPr>
          <w:rFonts w:ascii="Arial" w:hAnsi="Arial" w:cs="Arial"/>
          <w:sz w:val="22"/>
          <w:szCs w:val="22"/>
          <w:lang w:val="fr-FR"/>
        </w:rPr>
        <w:t xml:space="preserve">). </w:t>
      </w:r>
    </w:p>
    <w:p w14:paraId="55125B46" w14:textId="77777777" w:rsidR="00670BDB" w:rsidRPr="003C60ED" w:rsidRDefault="00670BDB">
      <w:pPr>
        <w:pStyle w:val="NormalWeb"/>
        <w:spacing w:before="0" w:beforeAutospacing="0" w:after="0" w:afterAutospacing="0"/>
        <w:jc w:val="both"/>
        <w:rPr>
          <w:rFonts w:ascii="Arial" w:hAnsi="Arial" w:cs="Arial"/>
          <w:sz w:val="22"/>
          <w:szCs w:val="22"/>
          <w:lang w:val="fr-FR"/>
        </w:rPr>
      </w:pPr>
    </w:p>
    <w:p w14:paraId="3C446C43" w14:textId="77777777" w:rsidR="00670BDB" w:rsidRPr="003C60ED" w:rsidRDefault="009D4DE7">
      <w:pPr>
        <w:numPr>
          <w:ilvl w:val="0"/>
          <w:numId w:val="23"/>
        </w:numPr>
        <w:suppressAutoHyphens/>
        <w:spacing w:after="0" w:line="240" w:lineRule="auto"/>
        <w:ind w:left="567" w:hanging="567"/>
        <w:jc w:val="both"/>
        <w:rPr>
          <w:rFonts w:eastAsia="Times New Roman" w:cs="Arial"/>
          <w:color w:val="000000"/>
          <w:kern w:val="2"/>
          <w:lang w:val="fr-FR"/>
        </w:rPr>
      </w:pPr>
      <w:r w:rsidRPr="003C60ED">
        <w:rPr>
          <w:rFonts w:eastAsia="Times New Roman" w:cs="Arial"/>
          <w:color w:val="000000"/>
          <w:kern w:val="2"/>
          <w:lang w:val="fr-FR"/>
        </w:rPr>
        <w:t xml:space="preserve">Le budget triennal couvre les frais de personnel, les coûts opérationnels et les réunions des organes directeurs, tandis que le </w:t>
      </w:r>
      <w:proofErr w:type="spellStart"/>
      <w:r w:rsidRPr="003C60ED">
        <w:rPr>
          <w:rFonts w:eastAsia="Times New Roman" w:cs="Arial"/>
          <w:color w:val="000000"/>
          <w:kern w:val="2"/>
          <w:lang w:val="fr-FR"/>
        </w:rPr>
        <w:t>PdT</w:t>
      </w:r>
      <w:proofErr w:type="spellEnd"/>
      <w:r w:rsidRPr="003C60ED">
        <w:rPr>
          <w:rFonts w:eastAsia="Times New Roman" w:cs="Arial"/>
          <w:color w:val="000000"/>
          <w:kern w:val="2"/>
          <w:lang w:val="fr-FR"/>
        </w:rPr>
        <w:t xml:space="preserve"> couvre les activités relevant des programmes, </w:t>
      </w:r>
      <w:r w:rsidRPr="003C60ED">
        <w:rPr>
          <w:rFonts w:eastAsia="Times New Roman" w:cs="Arial"/>
          <w:color w:val="000000" w:themeColor="text1"/>
          <w:kern w:val="2"/>
          <w:lang w:val="fr-FR"/>
        </w:rPr>
        <w:t>dont</w:t>
      </w:r>
      <w:r w:rsidRPr="003C60ED">
        <w:rPr>
          <w:rFonts w:eastAsia="Times New Roman" w:cs="Arial"/>
          <w:color w:val="000000"/>
          <w:kern w:val="2"/>
          <w:lang w:val="fr-FR"/>
        </w:rPr>
        <w:t xml:space="preserve"> la mise en œuvre repose principalement sur des contributions volontaires. Le </w:t>
      </w:r>
      <w:proofErr w:type="spellStart"/>
      <w:r w:rsidRPr="003C60ED">
        <w:rPr>
          <w:rFonts w:eastAsia="Times New Roman" w:cs="Arial"/>
          <w:color w:val="000000"/>
          <w:kern w:val="2"/>
          <w:lang w:val="fr-FR"/>
        </w:rPr>
        <w:t>PdT</w:t>
      </w:r>
      <w:proofErr w:type="spellEnd"/>
      <w:r w:rsidRPr="003C60ED">
        <w:rPr>
          <w:rFonts w:eastAsia="Times New Roman" w:cs="Arial"/>
          <w:color w:val="000000"/>
          <w:kern w:val="2"/>
          <w:lang w:val="fr-FR"/>
        </w:rPr>
        <w:t xml:space="preserve"> comprend des activités à réaliser par le Secrétariat, ainsi que de nombreuses tâches confiées au Comité permanent et/ou au Conseil scientifique, </w:t>
      </w:r>
      <w:r w:rsidRPr="003C60ED">
        <w:rPr>
          <w:rFonts w:eastAsia="Times New Roman" w:cs="Arial"/>
          <w:color w:val="000000" w:themeColor="text1"/>
          <w:kern w:val="2"/>
          <w:lang w:val="fr-FR"/>
        </w:rPr>
        <w:t>qui</w:t>
      </w:r>
      <w:r w:rsidRPr="003C60ED">
        <w:rPr>
          <w:rFonts w:eastAsia="Times New Roman" w:cs="Arial"/>
          <w:color w:val="000000"/>
          <w:kern w:val="2"/>
          <w:lang w:val="fr-FR"/>
        </w:rPr>
        <w:t xml:space="preserve"> nécessitent le soutien du Secrétariat.</w:t>
      </w:r>
    </w:p>
    <w:p w14:paraId="27FA2C65" w14:textId="77777777" w:rsidR="00670BDB" w:rsidRPr="003C60ED" w:rsidRDefault="00670BDB">
      <w:pPr>
        <w:suppressAutoHyphens/>
        <w:spacing w:after="0"/>
        <w:ind w:left="567"/>
        <w:jc w:val="both"/>
        <w:rPr>
          <w:rFonts w:eastAsia="Times New Roman" w:cs="Arial"/>
          <w:color w:val="000000"/>
          <w:kern w:val="2"/>
          <w:lang w:val="fr-FR"/>
        </w:rPr>
      </w:pPr>
    </w:p>
    <w:p w14:paraId="4385E14E" w14:textId="0F7B5D7F" w:rsidR="00670BDB" w:rsidRPr="003C60ED" w:rsidRDefault="009D4DE7">
      <w:pPr>
        <w:numPr>
          <w:ilvl w:val="0"/>
          <w:numId w:val="23"/>
        </w:numPr>
        <w:suppressAutoHyphens/>
        <w:spacing w:after="0" w:line="240" w:lineRule="auto"/>
        <w:ind w:left="567" w:hanging="567"/>
        <w:jc w:val="both"/>
        <w:rPr>
          <w:rFonts w:eastAsia="Times New Roman" w:cs="Arial"/>
          <w:color w:val="000000"/>
          <w:kern w:val="2"/>
          <w:lang w:val="fr-FR"/>
        </w:rPr>
      </w:pPr>
      <w:r w:rsidRPr="003C60ED">
        <w:rPr>
          <w:lang w:val="fr-FR"/>
        </w:rPr>
        <w:t xml:space="preserve">Au cours de la période intersessions, le Secrétariat a mobilisé d'importantes ressources pour mettre en œuvre une grande partie du </w:t>
      </w:r>
      <w:proofErr w:type="spellStart"/>
      <w:r w:rsidRPr="003C60ED">
        <w:rPr>
          <w:lang w:val="fr-FR"/>
        </w:rPr>
        <w:t>PdT</w:t>
      </w:r>
      <w:proofErr w:type="spellEnd"/>
      <w:r w:rsidRPr="003C60ED">
        <w:rPr>
          <w:lang w:val="fr-FR"/>
        </w:rPr>
        <w:t xml:space="preserve">, malgré un financement insuffisant pour certains éléments. </w:t>
      </w:r>
      <w:r w:rsidRPr="003C60ED">
        <w:rPr>
          <w:rFonts w:eastAsia="Times New Roman" w:cs="Arial"/>
          <w:color w:val="000000"/>
          <w:kern w:val="2"/>
          <w:lang w:val="fr-FR"/>
        </w:rPr>
        <w:t xml:space="preserve">Le présent document décrit le </w:t>
      </w:r>
      <w:r w:rsidRPr="003C60ED">
        <w:rPr>
          <w:rFonts w:eastAsia="Times New Roman" w:cs="Arial"/>
          <w:color w:val="000000" w:themeColor="text1"/>
          <w:kern w:val="2"/>
          <w:lang w:val="fr-FR"/>
        </w:rPr>
        <w:t>niveau des ressources</w:t>
      </w:r>
      <w:r w:rsidRPr="003C60ED">
        <w:rPr>
          <w:rFonts w:eastAsia="Times New Roman" w:cs="Arial"/>
          <w:color w:val="000000"/>
          <w:kern w:val="2"/>
          <w:lang w:val="fr-FR"/>
        </w:rPr>
        <w:t xml:space="preserve"> mobilisées depuis la COP14, tant financières qu'en nature, au mois de janvier 2026. Il convient de lire ce document conjointement avec le rapport d'avancement </w:t>
      </w:r>
      <w:hyperlink r:id="rId14" w:history="1">
        <w:r w:rsidRPr="003C60ED">
          <w:rPr>
            <w:rStyle w:val="Hyperlink"/>
            <w:rFonts w:eastAsia="Times New Roman" w:cs="Arial"/>
            <w:kern w:val="2"/>
            <w:lang w:val="fr-FR"/>
          </w:rPr>
          <w:t>UNEP/CMS/COP15/Doc.13</w:t>
        </w:r>
      </w:hyperlink>
      <w:r w:rsidRPr="003C60ED">
        <w:rPr>
          <w:rFonts w:eastAsia="Times New Roman" w:cs="Arial"/>
          <w:color w:val="000000"/>
          <w:kern w:val="2"/>
          <w:lang w:val="fr-FR"/>
        </w:rPr>
        <w:t xml:space="preserve"> </w:t>
      </w:r>
      <w:r w:rsidRPr="003C60ED">
        <w:rPr>
          <w:rFonts w:eastAsia="Times New Roman" w:cs="Arial"/>
          <w:i/>
          <w:iCs/>
          <w:color w:val="000000"/>
          <w:kern w:val="2"/>
          <w:lang w:val="fr-FR"/>
        </w:rPr>
        <w:t>Mise en œuvre du programme de travail</w:t>
      </w:r>
      <w:r w:rsidRPr="003C60ED">
        <w:rPr>
          <w:rFonts w:eastAsia="Times New Roman" w:cs="Arial"/>
          <w:color w:val="000000"/>
          <w:kern w:val="2"/>
          <w:lang w:val="fr-FR"/>
        </w:rPr>
        <w:t xml:space="preserve"> </w:t>
      </w:r>
      <w:r w:rsidRPr="003C60ED">
        <w:rPr>
          <w:rFonts w:eastAsia="Times New Roman" w:cs="Arial"/>
          <w:i/>
          <w:iCs/>
          <w:color w:val="000000"/>
          <w:kern w:val="2"/>
          <w:lang w:val="fr-FR"/>
        </w:rPr>
        <w:t>2024-2026</w:t>
      </w:r>
      <w:r w:rsidRPr="003C60ED">
        <w:rPr>
          <w:rFonts w:eastAsia="Times New Roman" w:cs="Arial"/>
          <w:color w:val="000000"/>
          <w:kern w:val="2"/>
          <w:lang w:val="fr-FR"/>
        </w:rPr>
        <w:t>.</w:t>
      </w:r>
    </w:p>
    <w:p w14:paraId="0BA43768" w14:textId="77777777" w:rsidR="00670BDB" w:rsidRPr="003C60ED" w:rsidRDefault="00670BDB">
      <w:pPr>
        <w:spacing w:after="0" w:line="240" w:lineRule="auto"/>
        <w:jc w:val="both"/>
        <w:rPr>
          <w:rFonts w:cs="Arial"/>
          <w:bCs/>
          <w:highlight w:val="yellow"/>
          <w:lang w:val="fr-FR"/>
        </w:rPr>
      </w:pPr>
    </w:p>
    <w:p w14:paraId="0EF45E37" w14:textId="35F2A077" w:rsidR="00670BDB" w:rsidRDefault="00F744C6">
      <w:pPr>
        <w:spacing w:after="0" w:line="240" w:lineRule="auto"/>
        <w:jc w:val="both"/>
        <w:rPr>
          <w:rFonts w:cs="Arial"/>
          <w:u w:val="single"/>
          <w:lang w:val="fr-FR"/>
        </w:rPr>
      </w:pPr>
      <w:r w:rsidRPr="00F744C6">
        <w:rPr>
          <w:rFonts w:cs="Arial"/>
          <w:u w:val="single"/>
          <w:lang w:val="fr-FR"/>
        </w:rPr>
        <w:t>Nuit des champions et autres engagements en marge de la COP14</w:t>
      </w:r>
    </w:p>
    <w:p w14:paraId="5E7B5AF6" w14:textId="77777777" w:rsidR="00F744C6" w:rsidRPr="003C60ED" w:rsidRDefault="00F744C6">
      <w:pPr>
        <w:spacing w:after="0" w:line="240" w:lineRule="auto"/>
        <w:jc w:val="both"/>
        <w:rPr>
          <w:rFonts w:cs="Arial"/>
          <w:b/>
          <w:highlight w:val="yellow"/>
          <w:lang w:val="fr-FR"/>
        </w:rPr>
      </w:pPr>
    </w:p>
    <w:p w14:paraId="4FCF1A14" w14:textId="77777777" w:rsidR="00670BDB" w:rsidRPr="003C60ED" w:rsidRDefault="009D4DE7">
      <w:pPr>
        <w:numPr>
          <w:ilvl w:val="0"/>
          <w:numId w:val="23"/>
        </w:numPr>
        <w:suppressAutoHyphens/>
        <w:spacing w:after="0" w:line="240" w:lineRule="auto"/>
        <w:ind w:left="567" w:hanging="567"/>
        <w:jc w:val="both"/>
        <w:rPr>
          <w:rFonts w:eastAsia="Times New Roman" w:cs="Arial"/>
          <w:kern w:val="2"/>
          <w:lang w:val="fr-FR"/>
        </w:rPr>
      </w:pPr>
      <w:r w:rsidRPr="003C60ED">
        <w:rPr>
          <w:rFonts w:eastAsia="Times New Roman" w:cs="Arial"/>
          <w:color w:val="000000"/>
          <w:kern w:val="2"/>
          <w:lang w:val="fr-FR"/>
        </w:rPr>
        <w:t xml:space="preserve">Lors d'un événement spécial organisé en marge de la COP14, plusieurs Parties ont annoncé des </w:t>
      </w:r>
      <w:r w:rsidRPr="003C60ED">
        <w:rPr>
          <w:rFonts w:eastAsia="Times New Roman" w:cs="Arial"/>
          <w:kern w:val="2"/>
          <w:lang w:val="fr-FR"/>
        </w:rPr>
        <w:t>engagements généreux dans le cadre du Programme des Champions des espèces migratrices et ont été mises à l'honneur lors de la Nuit des Champions :</w:t>
      </w:r>
    </w:p>
    <w:p w14:paraId="572850A6" w14:textId="77777777" w:rsidR="00670BDB" w:rsidRPr="003C60ED" w:rsidRDefault="009D4DE7">
      <w:pPr>
        <w:numPr>
          <w:ilvl w:val="0"/>
          <w:numId w:val="24"/>
        </w:numPr>
        <w:suppressAutoHyphens/>
        <w:spacing w:before="120" w:after="0" w:line="240" w:lineRule="auto"/>
        <w:ind w:left="924" w:hanging="357"/>
        <w:jc w:val="both"/>
        <w:rPr>
          <w:rFonts w:eastAsia="Times New Roman" w:cs="Arial"/>
          <w:color w:val="000000"/>
          <w:kern w:val="2"/>
          <w:lang w:val="fr-FR"/>
        </w:rPr>
      </w:pPr>
      <w:r w:rsidRPr="003C60ED">
        <w:rPr>
          <w:rFonts w:eastAsia="Times New Roman" w:cs="Arial"/>
          <w:kern w:val="2"/>
          <w:lang w:val="fr-FR"/>
        </w:rPr>
        <w:t xml:space="preserve">L'Environment Agency–Abu Dhabi, pour son action en faveur de la conservation des oiseaux de proie migrateurs en Afrique et en Asie, ainsi que pour la protection des dugongs et de leurs habitats pour la période 2024‑2027, et pour son rôle de longue date dans le co‑développement et le soutien à la mise en œuvre </w:t>
      </w:r>
      <w:r w:rsidRPr="003C60ED">
        <w:rPr>
          <w:rFonts w:eastAsia="Times New Roman" w:cs="Arial"/>
          <w:color w:val="000000"/>
          <w:kern w:val="2"/>
          <w:lang w:val="fr-FR"/>
        </w:rPr>
        <w:t>des Mémorandums d'entente (</w:t>
      </w:r>
      <w:proofErr w:type="spellStart"/>
      <w:r w:rsidRPr="003C60ED">
        <w:rPr>
          <w:rFonts w:eastAsia="Times New Roman" w:cs="Arial"/>
          <w:color w:val="000000"/>
          <w:kern w:val="2"/>
          <w:lang w:val="fr-FR"/>
        </w:rPr>
        <w:t>MdE</w:t>
      </w:r>
      <w:proofErr w:type="spellEnd"/>
      <w:r w:rsidRPr="003C60ED">
        <w:rPr>
          <w:rFonts w:eastAsia="Times New Roman" w:cs="Arial"/>
          <w:color w:val="000000"/>
          <w:kern w:val="2"/>
          <w:lang w:val="fr-FR"/>
        </w:rPr>
        <w:t>) sur les rapaces et sur les dugongs de la CMS ; </w:t>
      </w:r>
    </w:p>
    <w:p w14:paraId="40AAD2E9" w14:textId="77777777" w:rsidR="00670BDB" w:rsidRPr="003C60ED" w:rsidRDefault="009D4DE7">
      <w:pPr>
        <w:pStyle w:val="ListParagraph"/>
        <w:widowControl w:val="0"/>
        <w:numPr>
          <w:ilvl w:val="0"/>
          <w:numId w:val="24"/>
        </w:numPr>
        <w:suppressAutoHyphens/>
        <w:spacing w:before="120" w:after="0" w:line="240" w:lineRule="auto"/>
        <w:ind w:left="924" w:hanging="357"/>
        <w:contextualSpacing w:val="0"/>
        <w:jc w:val="both"/>
        <w:rPr>
          <w:rFonts w:cs="Arial"/>
          <w:color w:val="000000"/>
          <w:kern w:val="2"/>
          <w:lang w:val="fr-FR"/>
        </w:rPr>
      </w:pPr>
      <w:r w:rsidRPr="003C60ED">
        <w:rPr>
          <w:rFonts w:cs="Arial"/>
          <w:color w:val="000000" w:themeColor="text1"/>
          <w:kern w:val="2"/>
          <w:lang w:val="fr-FR"/>
        </w:rPr>
        <w:t xml:space="preserve">Le gouvernement de l'Ouzbékistan, </w:t>
      </w:r>
      <w:r w:rsidRPr="003C60ED">
        <w:rPr>
          <w:rFonts w:cs="Arial"/>
          <w:color w:val="000000"/>
          <w:kern w:val="2"/>
          <w:lang w:val="fr-FR"/>
        </w:rPr>
        <w:t xml:space="preserve">pour son soutien au tout récent Partenariat mondial pour la connectivité écologique (GPEC), favorisant la coopération internationale afin de coordonner les efforts de conservation et d'obtenir des résultats concrets pour la période 2024‑2026 ; </w:t>
      </w:r>
    </w:p>
    <w:p w14:paraId="746A0FFB" w14:textId="77777777" w:rsidR="00670BDB" w:rsidRPr="003C60ED" w:rsidRDefault="009D4DE7">
      <w:pPr>
        <w:pStyle w:val="ListParagraph"/>
        <w:widowControl w:val="0"/>
        <w:numPr>
          <w:ilvl w:val="0"/>
          <w:numId w:val="24"/>
        </w:numPr>
        <w:suppressAutoHyphens/>
        <w:spacing w:before="120" w:after="0" w:line="240" w:lineRule="auto"/>
        <w:ind w:left="924" w:hanging="357"/>
        <w:contextualSpacing w:val="0"/>
        <w:jc w:val="both"/>
        <w:rPr>
          <w:rFonts w:cs="Arial"/>
          <w:color w:val="000000"/>
          <w:kern w:val="2"/>
          <w:lang w:val="fr-FR"/>
        </w:rPr>
      </w:pPr>
      <w:r w:rsidRPr="003C60ED">
        <w:rPr>
          <w:rFonts w:cs="Arial"/>
          <w:color w:val="000000"/>
          <w:kern w:val="2"/>
          <w:lang w:val="fr-FR"/>
        </w:rPr>
        <w:t xml:space="preserve">La Commission européenne, pour son soutien à la lutte contre le braconnage, la capture et le commerce illégaux d'oiseaux en Méditerranée pour la période 2023‑2028, par le biais du </w:t>
      </w:r>
      <w:r w:rsidRPr="003C60ED">
        <w:rPr>
          <w:rFonts w:cs="Arial"/>
          <w:color w:val="000000" w:themeColor="text1"/>
          <w:kern w:val="2"/>
          <w:lang w:val="fr-FR"/>
        </w:rPr>
        <w:t xml:space="preserve">Groupe d'étude MIKT </w:t>
      </w:r>
      <w:r w:rsidRPr="003C60ED">
        <w:rPr>
          <w:rFonts w:cs="Arial"/>
          <w:color w:val="000000"/>
          <w:kern w:val="2"/>
          <w:lang w:val="fr-FR"/>
        </w:rPr>
        <w:t>;</w:t>
      </w:r>
    </w:p>
    <w:p w14:paraId="23F3FA22" w14:textId="77777777" w:rsidR="00670BDB" w:rsidRPr="003C60ED" w:rsidRDefault="009D4DE7">
      <w:pPr>
        <w:pStyle w:val="ListParagraph"/>
        <w:widowControl w:val="0"/>
        <w:numPr>
          <w:ilvl w:val="0"/>
          <w:numId w:val="24"/>
        </w:numPr>
        <w:suppressAutoHyphens/>
        <w:spacing w:before="120" w:after="0" w:line="240" w:lineRule="auto"/>
        <w:ind w:left="924" w:hanging="357"/>
        <w:contextualSpacing w:val="0"/>
        <w:jc w:val="both"/>
        <w:rPr>
          <w:rFonts w:cs="Arial"/>
          <w:color w:val="000000"/>
          <w:kern w:val="2"/>
          <w:lang w:val="fr-FR"/>
        </w:rPr>
      </w:pPr>
      <w:r w:rsidRPr="003C60ED">
        <w:rPr>
          <w:rFonts w:cs="Arial"/>
          <w:color w:val="000000"/>
          <w:kern w:val="2"/>
          <w:lang w:val="fr-FR"/>
        </w:rPr>
        <w:t>Le gouvernement de la République fédérale d'Allemagne, pour la conservation de la mégafaune sahélo-saharienne pour la période 2021‑2024 ;</w:t>
      </w:r>
    </w:p>
    <w:p w14:paraId="61CFBE32" w14:textId="77777777" w:rsidR="00670BDB" w:rsidRPr="003C60ED" w:rsidRDefault="009D4DE7">
      <w:pPr>
        <w:pStyle w:val="ListParagraph"/>
        <w:widowControl w:val="0"/>
        <w:numPr>
          <w:ilvl w:val="0"/>
          <w:numId w:val="24"/>
        </w:numPr>
        <w:suppressAutoHyphens/>
        <w:spacing w:before="120" w:after="0" w:line="240" w:lineRule="auto"/>
        <w:ind w:left="924" w:hanging="357"/>
        <w:contextualSpacing w:val="0"/>
        <w:jc w:val="both"/>
        <w:rPr>
          <w:rFonts w:cs="Arial"/>
          <w:color w:val="000000"/>
          <w:kern w:val="2"/>
          <w:lang w:val="fr-FR"/>
        </w:rPr>
      </w:pPr>
      <w:r w:rsidRPr="003C60ED">
        <w:rPr>
          <w:rFonts w:cs="Arial"/>
          <w:color w:val="000000"/>
          <w:kern w:val="2"/>
          <w:lang w:val="fr-FR"/>
        </w:rPr>
        <w:t>Le gouvernement de l'Inde, pour la conservation des oiseaux migrateurs dans la voie de migration d'Asie centrale et pour la création d'une nouvelle initiative dédiée visant à renforcer la coopération et à promouvoir les synergies dans la région ;</w:t>
      </w:r>
    </w:p>
    <w:p w14:paraId="79C067D1" w14:textId="77777777" w:rsidR="00670BDB" w:rsidRPr="003C60ED" w:rsidRDefault="009D4DE7">
      <w:pPr>
        <w:numPr>
          <w:ilvl w:val="0"/>
          <w:numId w:val="24"/>
        </w:numPr>
        <w:suppressAutoHyphens/>
        <w:spacing w:before="120" w:after="0" w:line="240" w:lineRule="auto"/>
        <w:ind w:left="924" w:hanging="357"/>
        <w:jc w:val="both"/>
        <w:rPr>
          <w:rFonts w:eastAsia="Times New Roman" w:cs="Arial"/>
          <w:color w:val="000000"/>
          <w:kern w:val="2"/>
          <w:lang w:val="fr-FR"/>
        </w:rPr>
      </w:pPr>
      <w:r w:rsidRPr="003C60ED">
        <w:rPr>
          <w:rFonts w:eastAsia="Times New Roman" w:cs="Arial"/>
          <w:color w:val="000000"/>
          <w:kern w:val="2"/>
          <w:lang w:val="fr-FR"/>
        </w:rPr>
        <w:t xml:space="preserve">Le gouvernement de la Principauté de Monaco, pour la mise en œuvre de la Convention pour la période 2024‑2026, en poursuivant notamment son soutien à l'agenda marin de la CMS, comme il l'a fait les années précédentes, ainsi que son appui </w:t>
      </w:r>
      <w:r w:rsidRPr="003C60ED">
        <w:rPr>
          <w:rFonts w:cs="Arial"/>
          <w:color w:val="000000"/>
          <w:kern w:val="2"/>
          <w:lang w:val="fr-FR"/>
        </w:rPr>
        <w:t>au GPEC ;</w:t>
      </w:r>
      <w:r w:rsidRPr="003C60ED">
        <w:rPr>
          <w:lang w:val="fr-FR"/>
        </w:rPr>
        <w:t xml:space="preserve"> </w:t>
      </w:r>
    </w:p>
    <w:p w14:paraId="655BAD17" w14:textId="77777777" w:rsidR="00670BDB" w:rsidRPr="003C60ED" w:rsidRDefault="009D4DE7">
      <w:pPr>
        <w:numPr>
          <w:ilvl w:val="0"/>
          <w:numId w:val="24"/>
        </w:numPr>
        <w:suppressAutoHyphens/>
        <w:spacing w:before="120" w:after="0" w:line="240" w:lineRule="auto"/>
        <w:ind w:left="924" w:hanging="357"/>
        <w:jc w:val="both"/>
        <w:rPr>
          <w:rFonts w:eastAsia="Times New Roman" w:cs="Arial"/>
          <w:color w:val="000000"/>
          <w:kern w:val="2"/>
          <w:lang w:val="fr-FR"/>
        </w:rPr>
      </w:pPr>
      <w:r w:rsidRPr="003C60ED">
        <w:rPr>
          <w:rFonts w:eastAsia="Times New Roman" w:cs="Arial"/>
          <w:color w:val="000000"/>
          <w:kern w:val="2"/>
          <w:lang w:val="fr-FR"/>
        </w:rPr>
        <w:lastRenderedPageBreak/>
        <w:t>Le gouvernement du Royaume-Uni, pour sa contribution à la lutte contre la capture illégale et non durable des espèces migratrices pour la période 2024‑2026 ;</w:t>
      </w:r>
    </w:p>
    <w:p w14:paraId="090C486A" w14:textId="77777777" w:rsidR="00670BDB" w:rsidRPr="003C60ED" w:rsidRDefault="009D4DE7">
      <w:pPr>
        <w:numPr>
          <w:ilvl w:val="0"/>
          <w:numId w:val="24"/>
        </w:numPr>
        <w:suppressAutoHyphens/>
        <w:spacing w:before="120" w:after="0" w:line="240" w:lineRule="auto"/>
        <w:ind w:left="924" w:hanging="357"/>
        <w:jc w:val="both"/>
        <w:rPr>
          <w:rFonts w:eastAsia="Times New Roman" w:cs="Arial"/>
          <w:color w:val="000000"/>
          <w:kern w:val="2"/>
          <w:lang w:val="fr-FR"/>
        </w:rPr>
      </w:pPr>
      <w:r w:rsidRPr="003C60ED">
        <w:rPr>
          <w:rFonts w:eastAsia="Times New Roman" w:cs="Arial"/>
          <w:color w:val="000000"/>
          <w:kern w:val="2"/>
          <w:lang w:val="fr-FR"/>
        </w:rPr>
        <w:t xml:space="preserve">Le National Center for </w:t>
      </w:r>
      <w:proofErr w:type="spellStart"/>
      <w:r w:rsidRPr="003C60ED">
        <w:rPr>
          <w:rFonts w:eastAsia="Times New Roman" w:cs="Arial"/>
          <w:color w:val="000000"/>
          <w:kern w:val="2"/>
          <w:lang w:val="fr-FR"/>
        </w:rPr>
        <w:t>Wildlife</w:t>
      </w:r>
      <w:proofErr w:type="spellEnd"/>
      <w:r w:rsidRPr="003C60ED">
        <w:rPr>
          <w:rFonts w:eastAsia="Times New Roman" w:cs="Arial"/>
          <w:color w:val="000000"/>
          <w:kern w:val="2"/>
          <w:lang w:val="fr-FR"/>
        </w:rPr>
        <w:t xml:space="preserve"> du Royaume d'Arabie saoudite, pour sa contribution à la lutte contre le braconnage, la capture et le commerce illégaux d'oiseaux migrateurs en Asie du Sud-Ouest pour la période 2024‑2026, ainsi que pour le lancement d'un groupe d'étude dédié à la coordination des efforts régionaux pour répondre à ce défi ; </w:t>
      </w:r>
    </w:p>
    <w:p w14:paraId="3742C40E" w14:textId="77777777" w:rsidR="00670BDB" w:rsidRDefault="009D4DE7">
      <w:pPr>
        <w:numPr>
          <w:ilvl w:val="0"/>
          <w:numId w:val="24"/>
        </w:numPr>
        <w:suppressAutoHyphens/>
        <w:spacing w:before="120" w:after="0" w:line="240" w:lineRule="auto"/>
        <w:ind w:left="924" w:hanging="357"/>
        <w:jc w:val="both"/>
        <w:rPr>
          <w:rFonts w:eastAsia="Times New Roman" w:cs="Arial"/>
          <w:color w:val="000000"/>
          <w:kern w:val="2"/>
          <w:lang w:val="fr-FR"/>
        </w:rPr>
      </w:pPr>
      <w:r w:rsidRPr="003C60ED">
        <w:rPr>
          <w:rFonts w:eastAsia="Times New Roman" w:cs="Arial"/>
          <w:color w:val="000000"/>
          <w:kern w:val="2"/>
          <w:lang w:val="fr-FR"/>
        </w:rPr>
        <w:t>L'Agence fédérale allemande pour la protection de la nature, pour la conservation des mammifères d'Asie centrale pour la période 2020‑2023.</w:t>
      </w:r>
    </w:p>
    <w:p w14:paraId="634CE930" w14:textId="14F47A80" w:rsidR="00F744C6" w:rsidRPr="003C60ED" w:rsidRDefault="00F744C6">
      <w:pPr>
        <w:numPr>
          <w:ilvl w:val="0"/>
          <w:numId w:val="24"/>
        </w:numPr>
        <w:suppressAutoHyphens/>
        <w:spacing w:before="120" w:after="0" w:line="240" w:lineRule="auto"/>
        <w:ind w:left="924" w:hanging="357"/>
        <w:jc w:val="both"/>
        <w:rPr>
          <w:rFonts w:eastAsia="Times New Roman" w:cs="Arial"/>
          <w:color w:val="000000"/>
          <w:kern w:val="2"/>
          <w:lang w:val="fr-FR"/>
        </w:rPr>
      </w:pPr>
      <w:r w:rsidRPr="00F744C6">
        <w:rPr>
          <w:rFonts w:eastAsia="Times New Roman" w:cs="Arial"/>
          <w:color w:val="000000"/>
          <w:kern w:val="2"/>
          <w:lang w:val="fr-FR"/>
        </w:rPr>
        <w:t>Lors du segment de haut niveau de la COP14, le gouvernement français s'est également engagé à soutenir le GPEC et l'Initiative mondiale sur la prise d'espèces migratrices.</w:t>
      </w:r>
    </w:p>
    <w:p w14:paraId="176813BF" w14:textId="77777777" w:rsidR="00670BDB" w:rsidRDefault="00670BDB" w:rsidP="00F744C6">
      <w:pPr>
        <w:suppressAutoHyphens/>
        <w:spacing w:after="0" w:line="240" w:lineRule="auto"/>
        <w:jc w:val="both"/>
        <w:rPr>
          <w:rFonts w:cs="Arial"/>
          <w:bCs/>
          <w:lang w:val="fr-FR"/>
        </w:rPr>
      </w:pPr>
    </w:p>
    <w:p w14:paraId="1EDA52D1" w14:textId="68F691DB" w:rsidR="00F744C6" w:rsidRPr="00F744C6" w:rsidRDefault="00F744C6" w:rsidP="00F744C6">
      <w:pPr>
        <w:suppressAutoHyphens/>
        <w:spacing w:after="0" w:line="240" w:lineRule="auto"/>
        <w:jc w:val="both"/>
        <w:rPr>
          <w:rFonts w:cs="Arial"/>
          <w:bCs/>
          <w:u w:val="single"/>
          <w:lang w:val="fr-FR"/>
        </w:rPr>
      </w:pPr>
      <w:r w:rsidRPr="00F744C6">
        <w:rPr>
          <w:rFonts w:cs="Arial"/>
          <w:bCs/>
          <w:u w:val="single"/>
          <w:lang w:val="fr-FR"/>
        </w:rPr>
        <w:t>Mesures prises pour mobiliser des ressources depuis la COP14</w:t>
      </w:r>
    </w:p>
    <w:p w14:paraId="1A678199" w14:textId="77777777" w:rsidR="00F744C6" w:rsidRPr="00F744C6" w:rsidRDefault="00F744C6" w:rsidP="00F744C6">
      <w:pPr>
        <w:suppressAutoHyphens/>
        <w:spacing w:after="0" w:line="240" w:lineRule="auto"/>
        <w:jc w:val="both"/>
        <w:rPr>
          <w:rFonts w:cs="Arial"/>
          <w:bCs/>
          <w:lang w:val="fr-FR"/>
        </w:rPr>
      </w:pPr>
    </w:p>
    <w:p w14:paraId="0ECA44E1" w14:textId="77777777" w:rsidR="00670BDB" w:rsidRDefault="009D4DE7">
      <w:pPr>
        <w:numPr>
          <w:ilvl w:val="0"/>
          <w:numId w:val="23"/>
        </w:numPr>
        <w:suppressAutoHyphens/>
        <w:spacing w:after="0" w:line="240" w:lineRule="auto"/>
        <w:ind w:left="567" w:hanging="567"/>
        <w:jc w:val="both"/>
        <w:rPr>
          <w:rFonts w:eastAsia="Times New Roman" w:cs="Arial"/>
          <w:color w:val="000000" w:themeColor="text1"/>
          <w:kern w:val="2"/>
          <w:lang w:val="fr-FR"/>
        </w:rPr>
      </w:pPr>
      <w:r w:rsidRPr="003C60ED">
        <w:rPr>
          <w:rFonts w:eastAsia="Times New Roman" w:cs="Arial"/>
          <w:color w:val="000000"/>
          <w:kern w:val="2"/>
          <w:lang w:val="fr-FR"/>
        </w:rPr>
        <w:t xml:space="preserve">Suite à son adoption, le </w:t>
      </w:r>
      <w:proofErr w:type="spellStart"/>
      <w:r w:rsidRPr="003C60ED">
        <w:rPr>
          <w:rFonts w:eastAsia="Times New Roman" w:cs="Arial"/>
          <w:color w:val="000000"/>
          <w:kern w:val="2"/>
          <w:lang w:val="fr-FR"/>
        </w:rPr>
        <w:t>PdT</w:t>
      </w:r>
      <w:proofErr w:type="spellEnd"/>
      <w:r w:rsidRPr="003C60ED">
        <w:rPr>
          <w:rFonts w:eastAsia="Times New Roman" w:cs="Arial"/>
          <w:color w:val="000000"/>
          <w:kern w:val="2"/>
          <w:lang w:val="fr-FR"/>
        </w:rPr>
        <w:t xml:space="preserve"> 2024-2026 a été envoyé à toutes les Parties à la CMS fin 2024 par le biais de la </w:t>
      </w:r>
      <w:hyperlink r:id="rId15" w:history="1">
        <w:r w:rsidRPr="003C60ED">
          <w:rPr>
            <w:rStyle w:val="Hyperlink"/>
            <w:rFonts w:cs="Arial"/>
            <w:kern w:val="2"/>
            <w:lang w:val="fr-FR"/>
          </w:rPr>
          <w:t>Notification 2024/024</w:t>
        </w:r>
      </w:hyperlink>
      <w:r w:rsidRPr="003C60ED">
        <w:rPr>
          <w:lang w:val="fr-FR"/>
        </w:rPr>
        <w:t xml:space="preserve">, </w:t>
      </w:r>
      <w:r w:rsidRPr="003C60ED">
        <w:rPr>
          <w:rFonts w:eastAsia="Times New Roman" w:cs="Arial"/>
          <w:color w:val="000000"/>
          <w:kern w:val="2"/>
          <w:lang w:val="fr-FR"/>
        </w:rPr>
        <w:t xml:space="preserve">accompagné d'un appel aux contributions volontaires. Ces appels généraux ont été assortis de demandes personnalisées adressées aux différentes Parties. En septembre 2025, le Secrétariat a publié la </w:t>
      </w:r>
      <w:hyperlink r:id="rId16" w:history="1">
        <w:r w:rsidRPr="003C60ED">
          <w:rPr>
            <w:rStyle w:val="Hyperlink"/>
            <w:rFonts w:eastAsia="Times New Roman" w:cs="Arial"/>
            <w:kern w:val="2"/>
            <w:lang w:val="fr-FR"/>
          </w:rPr>
          <w:t>Notification2025/23</w:t>
        </w:r>
      </w:hyperlink>
      <w:r w:rsidRPr="003C60ED">
        <w:rPr>
          <w:rFonts w:eastAsia="Times New Roman" w:cs="Arial"/>
          <w:color w:val="000000"/>
          <w:kern w:val="2"/>
          <w:lang w:val="fr-FR"/>
        </w:rPr>
        <w:t xml:space="preserve"> appelant à un soutien financier pour la COP15. Par ailleurs, conformément à la </w:t>
      </w:r>
      <w:hyperlink r:id="rId17" w:history="1">
        <w:r w:rsidRPr="003C60ED">
          <w:rPr>
            <w:rStyle w:val="Hyperlink"/>
            <w:rFonts w:cs="Arial"/>
            <w:kern w:val="2"/>
            <w:lang w:val="fr-FR"/>
          </w:rPr>
          <w:t>Résolution 14.2</w:t>
        </w:r>
      </w:hyperlink>
      <w:r w:rsidRPr="003C60ED">
        <w:rPr>
          <w:rFonts w:eastAsia="Times New Roman" w:cs="Arial"/>
          <w:color w:val="000000"/>
          <w:kern w:val="2"/>
          <w:lang w:val="fr-FR"/>
        </w:rPr>
        <w:t xml:space="preserve"> </w:t>
      </w:r>
      <w:r w:rsidRPr="003C60ED">
        <w:rPr>
          <w:rFonts w:eastAsia="Times New Roman" w:cs="Arial"/>
          <w:i/>
          <w:iCs/>
          <w:color w:val="000000"/>
          <w:kern w:val="2"/>
          <w:lang w:val="fr-FR"/>
        </w:rPr>
        <w:t>Questions financières et administratives</w:t>
      </w:r>
      <w:r w:rsidRPr="003C60ED">
        <w:rPr>
          <w:rFonts w:eastAsia="Times New Roman" w:cs="Arial"/>
          <w:color w:val="000000"/>
          <w:kern w:val="2"/>
          <w:lang w:val="fr-FR"/>
        </w:rPr>
        <w:t xml:space="preserve">, le Secrétariat a publié la </w:t>
      </w:r>
      <w:hyperlink r:id="rId18" w:history="1">
        <w:r w:rsidRPr="003C60ED">
          <w:rPr>
            <w:rStyle w:val="Hyperlink"/>
            <w:rFonts w:cs="Arial"/>
            <w:kern w:val="2"/>
            <w:lang w:val="fr-FR"/>
          </w:rPr>
          <w:t>Notification 2024/014</w:t>
        </w:r>
      </w:hyperlink>
      <w:r w:rsidRPr="003C60ED">
        <w:rPr>
          <w:lang w:val="fr-FR"/>
        </w:rPr>
        <w:t xml:space="preserve">, </w:t>
      </w:r>
      <w:r w:rsidRPr="003C60ED">
        <w:rPr>
          <w:rFonts w:eastAsia="Times New Roman" w:cs="Arial"/>
          <w:color w:val="000000"/>
          <w:kern w:val="2"/>
          <w:lang w:val="fr-FR"/>
        </w:rPr>
        <w:t xml:space="preserve">invitant les Parties à étudier la possibilité de financer des administrateurs auxiliaires (JPO) et/ou de </w:t>
      </w:r>
      <w:r w:rsidRPr="003C60ED">
        <w:rPr>
          <w:rFonts w:eastAsia="Times New Roman" w:cs="Arial"/>
          <w:color w:val="000000" w:themeColor="text1"/>
          <w:kern w:val="2"/>
          <w:lang w:val="fr-FR"/>
        </w:rPr>
        <w:t>mettre gratuitement à disposition du Secrétariat du personnel</w:t>
      </w:r>
      <w:r w:rsidRPr="003C60ED">
        <w:rPr>
          <w:rFonts w:eastAsia="Times New Roman" w:cs="Arial"/>
          <w:color w:val="000000"/>
          <w:kern w:val="2"/>
          <w:lang w:val="fr-FR"/>
        </w:rPr>
        <w:t xml:space="preserve"> ou des experts techniques afin de renforcer ses </w:t>
      </w:r>
      <w:r w:rsidRPr="003C60ED">
        <w:rPr>
          <w:rFonts w:eastAsia="Times New Roman" w:cs="Arial"/>
          <w:color w:val="000000" w:themeColor="text1"/>
          <w:kern w:val="2"/>
          <w:lang w:val="fr-FR"/>
        </w:rPr>
        <w:t>capacités. La notification a également porté à leur attention les propositions soumises au Programme des Nations Unies pour l'environnement (PNUE), qui coordonne le programme des JPO.</w:t>
      </w:r>
    </w:p>
    <w:p w14:paraId="3A27AD3D" w14:textId="77777777" w:rsidR="00F744C6" w:rsidRDefault="00F744C6" w:rsidP="00F744C6">
      <w:pPr>
        <w:suppressAutoHyphens/>
        <w:spacing w:after="0" w:line="240" w:lineRule="auto"/>
        <w:ind w:left="567"/>
        <w:jc w:val="both"/>
        <w:rPr>
          <w:rFonts w:eastAsia="Times New Roman" w:cs="Arial"/>
          <w:color w:val="000000" w:themeColor="text1"/>
          <w:kern w:val="2"/>
          <w:lang w:val="fr-FR"/>
        </w:rPr>
      </w:pPr>
    </w:p>
    <w:p w14:paraId="6038BA8C" w14:textId="512EE7FC" w:rsidR="00F744C6" w:rsidRPr="003C60ED" w:rsidRDefault="00F744C6">
      <w:pPr>
        <w:numPr>
          <w:ilvl w:val="0"/>
          <w:numId w:val="23"/>
        </w:numPr>
        <w:suppressAutoHyphens/>
        <w:spacing w:after="0" w:line="240" w:lineRule="auto"/>
        <w:ind w:left="567" w:hanging="567"/>
        <w:jc w:val="both"/>
        <w:rPr>
          <w:rFonts w:eastAsia="Times New Roman" w:cs="Arial"/>
          <w:color w:val="000000" w:themeColor="text1"/>
          <w:kern w:val="2"/>
          <w:lang w:val="fr-FR"/>
        </w:rPr>
      </w:pPr>
      <w:r w:rsidRPr="00F744C6">
        <w:rPr>
          <w:rFonts w:eastAsia="Times New Roman" w:cs="Arial"/>
          <w:color w:val="000000" w:themeColor="text1"/>
          <w:kern w:val="2"/>
          <w:lang w:val="fr-FR"/>
        </w:rPr>
        <w:t>Le Secrétariat a également donné suite aux nombreuses promesses de contributions reçues en marge de la COP14.</w:t>
      </w:r>
    </w:p>
    <w:p w14:paraId="00C131F3" w14:textId="77777777" w:rsidR="00670BDB" w:rsidRPr="003C60ED" w:rsidRDefault="00670BDB">
      <w:pPr>
        <w:suppressAutoHyphens/>
        <w:spacing w:after="0" w:line="240" w:lineRule="auto"/>
        <w:jc w:val="both"/>
        <w:rPr>
          <w:rFonts w:eastAsia="Times New Roman" w:cs="Arial"/>
          <w:b/>
          <w:bCs/>
          <w:color w:val="000000"/>
          <w:kern w:val="2"/>
          <w:lang w:val="fr-FR"/>
        </w:rPr>
      </w:pPr>
    </w:p>
    <w:p w14:paraId="0EA5F253" w14:textId="77777777" w:rsidR="00670BDB" w:rsidRPr="003C60ED" w:rsidRDefault="009D4DE7">
      <w:pPr>
        <w:suppressAutoHyphens/>
        <w:spacing w:after="0" w:line="240" w:lineRule="auto"/>
        <w:jc w:val="both"/>
        <w:rPr>
          <w:rFonts w:eastAsia="Times New Roman" w:cs="Arial"/>
          <w:b/>
          <w:bCs/>
          <w:color w:val="000000"/>
          <w:kern w:val="2"/>
          <w:lang w:val="fr-FR"/>
        </w:rPr>
      </w:pPr>
      <w:r w:rsidRPr="003C60ED">
        <w:rPr>
          <w:rFonts w:eastAsia="Times New Roman" w:cs="Arial"/>
          <w:b/>
          <w:bCs/>
          <w:color w:val="000000"/>
          <w:kern w:val="2"/>
          <w:lang w:val="fr-FR"/>
        </w:rPr>
        <w:t>Fonds reçus</w:t>
      </w:r>
    </w:p>
    <w:p w14:paraId="0F4E12BA" w14:textId="77777777" w:rsidR="00670BDB" w:rsidRPr="003C60ED" w:rsidRDefault="00670BDB">
      <w:pPr>
        <w:suppressAutoHyphens/>
        <w:spacing w:after="0" w:line="240" w:lineRule="auto"/>
        <w:jc w:val="both"/>
        <w:rPr>
          <w:rFonts w:eastAsia="Times New Roman" w:cs="Arial"/>
          <w:color w:val="000000"/>
          <w:kern w:val="2"/>
          <w:highlight w:val="yellow"/>
          <w:lang w:val="fr-FR"/>
        </w:rPr>
      </w:pPr>
    </w:p>
    <w:p w14:paraId="41312DDE" w14:textId="69F7945E" w:rsidR="00670BDB" w:rsidRPr="003C60ED" w:rsidRDefault="009D4DE7">
      <w:pPr>
        <w:numPr>
          <w:ilvl w:val="0"/>
          <w:numId w:val="23"/>
        </w:numPr>
        <w:suppressAutoHyphens/>
        <w:spacing w:after="0" w:line="240" w:lineRule="auto"/>
        <w:ind w:left="567" w:hanging="567"/>
        <w:jc w:val="both"/>
        <w:rPr>
          <w:rFonts w:eastAsia="Times New Roman" w:cs="Arial"/>
          <w:color w:val="000000"/>
          <w:kern w:val="2"/>
          <w:lang w:val="fr-FR"/>
        </w:rPr>
      </w:pPr>
      <w:r w:rsidRPr="003C60ED">
        <w:rPr>
          <w:rFonts w:eastAsia="Times New Roman" w:cs="Arial"/>
          <w:color w:val="000000"/>
          <w:kern w:val="2"/>
          <w:lang w:val="fr-FR"/>
        </w:rPr>
        <w:t xml:space="preserve">Le total des contributions volontaires reçues ou promises pendant et depuis la COP14 s'élève à environ </w:t>
      </w:r>
      <w:r w:rsidR="00F744C6">
        <w:rPr>
          <w:rFonts w:eastAsia="Times New Roman" w:cs="Arial"/>
          <w:color w:val="000000"/>
          <w:kern w:val="2"/>
          <w:lang w:val="fr-FR"/>
        </w:rPr>
        <w:t>6 968 743</w:t>
      </w:r>
      <w:r w:rsidRPr="003C60ED">
        <w:rPr>
          <w:rFonts w:eastAsia="Times New Roman" w:cs="Arial"/>
          <w:color w:val="000000"/>
          <w:kern w:val="2"/>
          <w:lang w:val="fr-FR"/>
        </w:rPr>
        <w:t xml:space="preserve"> € (dont 13 </w:t>
      </w:r>
      <w:r w:rsidR="00F744C6">
        <w:rPr>
          <w:rFonts w:eastAsia="Times New Roman" w:cs="Arial"/>
          <w:color w:val="000000"/>
          <w:kern w:val="2"/>
          <w:lang w:val="fr-FR"/>
        </w:rPr>
        <w:t>pour cent</w:t>
      </w:r>
      <w:r w:rsidRPr="003C60ED">
        <w:rPr>
          <w:rFonts w:eastAsia="Times New Roman" w:cs="Arial"/>
          <w:color w:val="000000"/>
          <w:kern w:val="2"/>
          <w:lang w:val="fr-FR"/>
        </w:rPr>
        <w:t xml:space="preserve"> pour les dépenses d'appui aux programmes (PSC) du PNUE). Une partie de ces ressources est affectée à des activités qui se poursuivront en 2026. </w:t>
      </w:r>
      <w:r w:rsidR="00F744C6" w:rsidRPr="00F744C6">
        <w:rPr>
          <w:rFonts w:eastAsia="Times New Roman" w:cs="Arial"/>
          <w:color w:val="000000"/>
          <w:kern w:val="2"/>
          <w:lang w:val="fr-FR"/>
        </w:rPr>
        <w:t xml:space="preserve">Les autres financements qui ont été promis font l'objet d'un suivi. </w:t>
      </w:r>
      <w:r w:rsidR="00F744C6">
        <w:rPr>
          <w:rFonts w:eastAsia="Times New Roman" w:cs="Arial"/>
          <w:color w:val="000000"/>
          <w:kern w:val="2"/>
          <w:lang w:val="fr-FR"/>
        </w:rPr>
        <w:t>Les donneurs sont :</w:t>
      </w:r>
      <w:r w:rsidRPr="003C60ED">
        <w:rPr>
          <w:rFonts w:eastAsia="Times New Roman" w:cs="Arial"/>
          <w:color w:val="000000"/>
          <w:kern w:val="2"/>
          <w:lang w:val="fr-FR"/>
        </w:rPr>
        <w:t xml:space="preserve"> les gouvernements de l'Australie, de la Flandre, de la France, de l'Allemagne, de l'Inde, de Monaco, de la Nouvelle-Zélande, de la Suisse, du Royaume-Uni et de l'Ouzbékistan, ainsi que par l'Union européenne et le Fonds de Kunming pour la biodiversité.</w:t>
      </w:r>
    </w:p>
    <w:p w14:paraId="16B97A00" w14:textId="77777777" w:rsidR="00670BDB" w:rsidRPr="003C60ED" w:rsidRDefault="00670BDB">
      <w:pPr>
        <w:suppressAutoHyphens/>
        <w:spacing w:after="0" w:line="240" w:lineRule="auto"/>
        <w:ind w:left="567"/>
        <w:jc w:val="both"/>
        <w:rPr>
          <w:rFonts w:eastAsia="Times New Roman" w:cs="Arial"/>
          <w:color w:val="000000"/>
          <w:kern w:val="2"/>
          <w:lang w:val="fr-FR"/>
        </w:rPr>
      </w:pPr>
    </w:p>
    <w:p w14:paraId="648A13C9" w14:textId="6BDC882D" w:rsidR="00670BDB" w:rsidRPr="003C60ED" w:rsidRDefault="00F744C6">
      <w:pPr>
        <w:numPr>
          <w:ilvl w:val="0"/>
          <w:numId w:val="23"/>
        </w:numPr>
        <w:suppressAutoHyphens/>
        <w:spacing w:after="0" w:line="240" w:lineRule="auto"/>
        <w:ind w:left="567" w:hanging="567"/>
        <w:jc w:val="both"/>
        <w:rPr>
          <w:rFonts w:eastAsia="Times New Roman" w:cs="Arial"/>
          <w:color w:val="000000"/>
          <w:kern w:val="2"/>
          <w:lang w:val="fr-FR"/>
        </w:rPr>
      </w:pPr>
      <w:r>
        <w:rPr>
          <w:rFonts w:eastAsia="Times New Roman" w:cs="Arial"/>
          <w:color w:val="000000"/>
          <w:kern w:val="2"/>
          <w:lang w:val="fr-FR"/>
        </w:rPr>
        <w:t>De plus, le</w:t>
      </w:r>
      <w:r w:rsidR="009D4DE7" w:rsidRPr="003C60ED">
        <w:rPr>
          <w:rFonts w:eastAsia="Times New Roman" w:cs="Arial"/>
          <w:color w:val="000000"/>
          <w:kern w:val="2"/>
          <w:lang w:val="fr-FR"/>
        </w:rPr>
        <w:t xml:space="preserve"> gouvernement indien</w:t>
      </w:r>
      <w:r>
        <w:rPr>
          <w:rFonts w:eastAsia="Times New Roman" w:cs="Arial"/>
          <w:color w:val="000000"/>
          <w:kern w:val="2"/>
          <w:lang w:val="fr-FR"/>
        </w:rPr>
        <w:t xml:space="preserve"> s’est engagé à verser plus de 3 000 000 dollars américains </w:t>
      </w:r>
      <w:r w:rsidR="009D4DE7" w:rsidRPr="003C60ED">
        <w:rPr>
          <w:rFonts w:eastAsia="Times New Roman" w:cs="Arial"/>
          <w:color w:val="000000"/>
          <w:kern w:val="2"/>
          <w:lang w:val="fr-FR"/>
        </w:rPr>
        <w:t xml:space="preserve">, destiné à soutenir la création d'un bureau de l'Unité de coordination de la CMS pour la voie de migration d'Asie centrale en Inde. </w:t>
      </w:r>
      <w:r w:rsidRPr="00F744C6">
        <w:rPr>
          <w:rFonts w:eastAsia="Times New Roman" w:cs="Arial"/>
          <w:color w:val="000000"/>
          <w:kern w:val="2"/>
          <w:lang w:val="fr-FR"/>
        </w:rPr>
        <w:t>Dans le cadre de son engagement,</w:t>
      </w:r>
      <w:r>
        <w:rPr>
          <w:rFonts w:eastAsia="Times New Roman" w:cs="Arial"/>
          <w:color w:val="000000"/>
          <w:kern w:val="2"/>
          <w:lang w:val="fr-FR"/>
        </w:rPr>
        <w:t xml:space="preserve"> l</w:t>
      </w:r>
      <w:r w:rsidR="009D4DE7" w:rsidRPr="003C60ED">
        <w:rPr>
          <w:rFonts w:eastAsia="Times New Roman" w:cs="Arial"/>
          <w:color w:val="000000"/>
          <w:kern w:val="2"/>
          <w:lang w:val="fr-FR"/>
        </w:rPr>
        <w:t xml:space="preserve">e gouvernement indien </w:t>
      </w:r>
      <w:r w:rsidR="005E2A38">
        <w:rPr>
          <w:rFonts w:eastAsia="Times New Roman" w:cs="Arial"/>
          <w:color w:val="000000"/>
          <w:kern w:val="2"/>
          <w:lang w:val="fr-FR"/>
        </w:rPr>
        <w:t xml:space="preserve">a </w:t>
      </w:r>
      <w:r>
        <w:rPr>
          <w:rFonts w:eastAsia="Times New Roman" w:cs="Arial"/>
          <w:color w:val="000000"/>
          <w:kern w:val="2"/>
          <w:lang w:val="fr-FR"/>
        </w:rPr>
        <w:t>également</w:t>
      </w:r>
      <w:r w:rsidR="005E2A38">
        <w:rPr>
          <w:rFonts w:eastAsia="Times New Roman" w:cs="Arial"/>
          <w:color w:val="000000"/>
          <w:kern w:val="2"/>
          <w:lang w:val="fr-FR"/>
        </w:rPr>
        <w:t xml:space="preserve"> promis de fournir </w:t>
      </w:r>
      <w:r w:rsidR="009D4DE7" w:rsidRPr="003C60ED">
        <w:rPr>
          <w:rFonts w:eastAsia="Times New Roman" w:cs="Arial"/>
          <w:color w:val="000000"/>
          <w:kern w:val="2"/>
          <w:lang w:val="fr-FR"/>
        </w:rPr>
        <w:t xml:space="preserve">les installations et équipements nécessaires au fonctionnement du bureau. </w:t>
      </w:r>
    </w:p>
    <w:p w14:paraId="2025F24B" w14:textId="77777777" w:rsidR="00670BDB" w:rsidRPr="003C60ED" w:rsidRDefault="00670BDB">
      <w:pPr>
        <w:suppressAutoHyphens/>
        <w:spacing w:after="0" w:line="240" w:lineRule="auto"/>
        <w:jc w:val="both"/>
        <w:rPr>
          <w:rFonts w:eastAsia="Times New Roman" w:cs="Arial"/>
          <w:color w:val="000000"/>
          <w:kern w:val="2"/>
          <w:lang w:val="fr-FR"/>
        </w:rPr>
      </w:pPr>
    </w:p>
    <w:p w14:paraId="6ACCECC7" w14:textId="77777777" w:rsidR="00670BDB" w:rsidRPr="003C60ED" w:rsidRDefault="009D4DE7">
      <w:pPr>
        <w:numPr>
          <w:ilvl w:val="0"/>
          <w:numId w:val="23"/>
        </w:numPr>
        <w:suppressAutoHyphens/>
        <w:spacing w:after="0" w:line="240" w:lineRule="auto"/>
        <w:ind w:left="567" w:hanging="567"/>
        <w:jc w:val="both"/>
        <w:rPr>
          <w:rFonts w:eastAsia="Times New Roman" w:cs="Arial"/>
          <w:color w:val="000000"/>
          <w:kern w:val="2"/>
          <w:lang w:val="fr-FR"/>
        </w:rPr>
      </w:pPr>
      <w:r w:rsidRPr="003C60ED">
        <w:rPr>
          <w:rFonts w:eastAsia="Times New Roman" w:cs="Arial"/>
          <w:color w:val="000000"/>
          <w:kern w:val="2"/>
          <w:lang w:val="fr-FR"/>
        </w:rPr>
        <w:t>En plus du montant total indiqué ci-dessus, l'Environment Agency–Abu Dhabi (EAD), agissant au nom du gouvernement des Émirats arabes unis, a fourni 3,68 millions de dollars américains pour l'accueil du Bureau de la CMS à Abou Dhabi pour la période 2024-2027. Le Bureau de la CMS à Abou Dhabi coordonne les Mémorandums d'entente (</w:t>
      </w:r>
      <w:proofErr w:type="spellStart"/>
      <w:r w:rsidRPr="003C60ED">
        <w:rPr>
          <w:rFonts w:eastAsia="Times New Roman" w:cs="Arial"/>
          <w:color w:val="000000"/>
          <w:kern w:val="2"/>
          <w:lang w:val="fr-FR"/>
        </w:rPr>
        <w:t>MdE</w:t>
      </w:r>
      <w:proofErr w:type="spellEnd"/>
      <w:r w:rsidRPr="003C60ED">
        <w:rPr>
          <w:rFonts w:eastAsia="Times New Roman" w:cs="Arial"/>
          <w:color w:val="000000"/>
          <w:kern w:val="2"/>
          <w:lang w:val="fr-FR"/>
        </w:rPr>
        <w:t xml:space="preserve">) relatifs aux rapaces et aux dugongs. En outre, l'EAD fournit un appui en nature, </w:t>
      </w:r>
      <w:r w:rsidRPr="003C60ED">
        <w:rPr>
          <w:rFonts w:eastAsia="Times New Roman" w:cs="Arial"/>
          <w:color w:val="000000"/>
          <w:kern w:val="2"/>
          <w:lang w:val="fr-FR"/>
        </w:rPr>
        <w:lastRenderedPageBreak/>
        <w:t>comprenant notamment les locaux du bureau, l'équipement informatique ainsi qu'un soutien opérationnel et d'autres formes d'appui pratique.</w:t>
      </w:r>
    </w:p>
    <w:p w14:paraId="2D10C541" w14:textId="77777777" w:rsidR="005E2A38" w:rsidRDefault="005E2A38">
      <w:pPr>
        <w:suppressAutoHyphens/>
        <w:spacing w:after="0" w:line="240" w:lineRule="auto"/>
        <w:jc w:val="both"/>
        <w:rPr>
          <w:rFonts w:eastAsia="Times New Roman" w:cs="Arial"/>
          <w:b/>
          <w:bCs/>
          <w:color w:val="000000"/>
          <w:kern w:val="2"/>
          <w:lang w:val="fr-FR"/>
        </w:rPr>
      </w:pPr>
    </w:p>
    <w:p w14:paraId="0B778CDB" w14:textId="50FDA0DB" w:rsidR="00670BDB" w:rsidRPr="003C60ED" w:rsidRDefault="009D4DE7">
      <w:pPr>
        <w:suppressAutoHyphens/>
        <w:spacing w:after="0" w:line="240" w:lineRule="auto"/>
        <w:jc w:val="both"/>
        <w:rPr>
          <w:rFonts w:eastAsia="Times New Roman" w:cs="Arial"/>
          <w:b/>
          <w:bCs/>
          <w:color w:val="000000"/>
          <w:kern w:val="2"/>
          <w:lang w:val="fr-FR"/>
        </w:rPr>
      </w:pPr>
      <w:r w:rsidRPr="003C60ED">
        <w:rPr>
          <w:rFonts w:eastAsia="Times New Roman" w:cs="Arial"/>
          <w:b/>
          <w:bCs/>
          <w:color w:val="000000"/>
          <w:kern w:val="2"/>
          <w:lang w:val="fr-FR"/>
        </w:rPr>
        <w:t>Contributions financières indirectes et contributions en nature</w:t>
      </w:r>
    </w:p>
    <w:p w14:paraId="046369F4" w14:textId="77777777" w:rsidR="00670BDB" w:rsidRPr="003C60ED" w:rsidRDefault="00670BDB">
      <w:pPr>
        <w:suppressAutoHyphens/>
        <w:spacing w:after="0" w:line="240" w:lineRule="auto"/>
        <w:jc w:val="both"/>
        <w:rPr>
          <w:rFonts w:eastAsia="Times New Roman" w:cs="Arial"/>
          <w:color w:val="000000"/>
          <w:kern w:val="2"/>
          <w:lang w:val="fr-FR"/>
        </w:rPr>
      </w:pPr>
    </w:p>
    <w:p w14:paraId="74E4788C" w14:textId="77777777" w:rsidR="00670BDB" w:rsidRPr="003C60ED" w:rsidRDefault="009D4DE7">
      <w:pPr>
        <w:numPr>
          <w:ilvl w:val="0"/>
          <w:numId w:val="23"/>
        </w:numPr>
        <w:suppressAutoHyphens/>
        <w:spacing w:after="0" w:line="240" w:lineRule="auto"/>
        <w:ind w:left="567" w:hanging="567"/>
        <w:jc w:val="both"/>
        <w:rPr>
          <w:rFonts w:eastAsia="Times New Roman" w:cs="Arial"/>
          <w:color w:val="000000"/>
          <w:kern w:val="2"/>
          <w:lang w:val="fr-FR"/>
        </w:rPr>
      </w:pPr>
      <w:bookmarkStart w:id="3" w:name="_Hlk147750108"/>
      <w:r w:rsidRPr="003C60ED">
        <w:rPr>
          <w:rFonts w:eastAsia="Times New Roman" w:cs="Arial"/>
          <w:color w:val="000000"/>
          <w:kern w:val="2"/>
          <w:lang w:val="fr-FR"/>
        </w:rPr>
        <w:t xml:space="preserve">D'autres contributions ont été apportées soit sous forme de soutien financier, fourni en dehors des circuits du Secrétariat et </w:t>
      </w:r>
      <w:bookmarkEnd w:id="3"/>
      <w:r w:rsidRPr="003C60ED">
        <w:rPr>
          <w:rFonts w:eastAsia="Times New Roman" w:cs="Arial"/>
          <w:color w:val="000000"/>
          <w:kern w:val="2"/>
          <w:lang w:val="fr-FR"/>
        </w:rPr>
        <w:t>contribuant directement à des activités en appui à ses travaux, soit sous forme d'appui en nature, notamment par la mise à disposition de personnel ou de services.</w:t>
      </w:r>
    </w:p>
    <w:p w14:paraId="7BF19AED" w14:textId="77777777" w:rsidR="00670BDB" w:rsidRPr="003C60ED" w:rsidRDefault="00670BDB">
      <w:pPr>
        <w:suppressAutoHyphens/>
        <w:spacing w:after="0" w:line="240" w:lineRule="auto"/>
        <w:jc w:val="both"/>
        <w:rPr>
          <w:rFonts w:eastAsia="Times New Roman" w:cs="Arial"/>
          <w:i/>
          <w:color w:val="000000"/>
          <w:kern w:val="2"/>
          <w:highlight w:val="yellow"/>
          <w:lang w:val="fr-FR"/>
        </w:rPr>
      </w:pPr>
    </w:p>
    <w:p w14:paraId="7ED170E7" w14:textId="5F31D47E" w:rsidR="00670BDB" w:rsidRPr="003C60ED" w:rsidRDefault="009D4DE7">
      <w:pPr>
        <w:suppressAutoHyphens/>
        <w:spacing w:after="0" w:line="240" w:lineRule="auto"/>
        <w:jc w:val="both"/>
        <w:rPr>
          <w:rFonts w:eastAsia="Times New Roman" w:cs="Arial"/>
          <w:i/>
          <w:color w:val="000000"/>
          <w:kern w:val="2"/>
          <w:lang w:val="fr-FR"/>
        </w:rPr>
      </w:pPr>
      <w:r w:rsidRPr="003C60ED">
        <w:rPr>
          <w:rFonts w:eastAsia="Times New Roman" w:cs="Arial"/>
          <w:i/>
          <w:color w:val="000000"/>
          <w:kern w:val="2"/>
          <w:lang w:val="fr-FR"/>
        </w:rPr>
        <w:t>Activités et services</w:t>
      </w:r>
    </w:p>
    <w:p w14:paraId="43E54308" w14:textId="77777777" w:rsidR="00670BDB" w:rsidRPr="003C60ED" w:rsidRDefault="00670BDB">
      <w:pPr>
        <w:suppressAutoHyphens/>
        <w:spacing w:after="0" w:line="240" w:lineRule="auto"/>
        <w:jc w:val="both"/>
        <w:rPr>
          <w:rFonts w:eastAsia="Times New Roman" w:cs="Arial"/>
          <w:i/>
          <w:color w:val="000000"/>
          <w:kern w:val="2"/>
          <w:highlight w:val="yellow"/>
          <w:lang w:val="fr-FR"/>
        </w:rPr>
      </w:pPr>
    </w:p>
    <w:p w14:paraId="4D496026" w14:textId="77777777" w:rsidR="00670BDB" w:rsidRPr="003C60ED" w:rsidRDefault="009D4DE7">
      <w:pPr>
        <w:numPr>
          <w:ilvl w:val="0"/>
          <w:numId w:val="23"/>
        </w:numPr>
        <w:suppressAutoHyphens/>
        <w:spacing w:after="80" w:line="240" w:lineRule="auto"/>
        <w:ind w:left="567" w:hanging="567"/>
        <w:jc w:val="both"/>
        <w:rPr>
          <w:rFonts w:eastAsia="Times New Roman" w:cs="Arial"/>
          <w:color w:val="000000"/>
          <w:kern w:val="2"/>
          <w:lang w:val="fr-FR"/>
        </w:rPr>
      </w:pPr>
      <w:r w:rsidRPr="003C60ED">
        <w:rPr>
          <w:rFonts w:eastAsia="Times New Roman" w:cs="Arial"/>
          <w:color w:val="000000"/>
          <w:kern w:val="2"/>
          <w:lang w:val="fr-FR"/>
        </w:rPr>
        <w:t>Outre l'accueil du Secrétariat de la CMS et d'autres secrétariats de la famille CMS basés à Bonn, ainsi que la prise en charge de l'ensemble des coûts liés aux locaux, le Ministère fédéral allemand de l'environnement, de l'action pour le climat, de la protection de la nature et de la sûreté nucléaire (BMUKN) a fourni des services d'interprétation pour les réunions suivantes tenues à Bonn :</w:t>
      </w:r>
    </w:p>
    <w:p w14:paraId="12FA6E45" w14:textId="77777777" w:rsidR="00670BDB" w:rsidRPr="003C60ED" w:rsidRDefault="009D4DE7">
      <w:pPr>
        <w:numPr>
          <w:ilvl w:val="0"/>
          <w:numId w:val="15"/>
        </w:numPr>
        <w:suppressAutoHyphens/>
        <w:spacing w:after="80" w:line="240" w:lineRule="auto"/>
        <w:ind w:left="993" w:hanging="426"/>
        <w:jc w:val="both"/>
        <w:rPr>
          <w:rFonts w:eastAsia="Times New Roman" w:cs="Arial"/>
          <w:color w:val="000000"/>
          <w:kern w:val="2"/>
          <w:lang w:val="fr-FR"/>
        </w:rPr>
      </w:pPr>
      <w:r w:rsidRPr="003C60ED">
        <w:rPr>
          <w:rFonts w:eastAsia="Times New Roman" w:cs="Arial"/>
          <w:color w:val="000000"/>
          <w:kern w:val="2"/>
          <w:lang w:val="fr-FR"/>
        </w:rPr>
        <w:t>7</w:t>
      </w:r>
      <w:r w:rsidRPr="003C60ED">
        <w:rPr>
          <w:rFonts w:eastAsia="Times New Roman" w:cs="Arial"/>
          <w:color w:val="000000"/>
          <w:kern w:val="2"/>
          <w:vertAlign w:val="superscript"/>
          <w:lang w:val="fr-FR"/>
        </w:rPr>
        <w:t>e</w:t>
      </w:r>
      <w:r w:rsidRPr="003C60ED">
        <w:rPr>
          <w:rFonts w:eastAsia="Times New Roman" w:cs="Arial"/>
          <w:color w:val="000000"/>
          <w:kern w:val="2"/>
          <w:lang w:val="fr-FR"/>
        </w:rPr>
        <w:t xml:space="preserve"> réunion du Comité de session du Conseil scientifique, du 17 au 20 septembre 2024 ;</w:t>
      </w:r>
    </w:p>
    <w:p w14:paraId="2C650617" w14:textId="77777777" w:rsidR="00670BDB" w:rsidRPr="003C60ED" w:rsidRDefault="009D4DE7">
      <w:pPr>
        <w:numPr>
          <w:ilvl w:val="0"/>
          <w:numId w:val="15"/>
        </w:numPr>
        <w:suppressAutoHyphens/>
        <w:spacing w:after="80" w:line="240" w:lineRule="auto"/>
        <w:ind w:left="993" w:hanging="426"/>
        <w:jc w:val="both"/>
        <w:rPr>
          <w:rFonts w:eastAsia="Times New Roman" w:cs="Arial"/>
          <w:color w:val="000000"/>
          <w:kern w:val="2"/>
          <w:lang w:val="fr-FR"/>
        </w:rPr>
      </w:pPr>
      <w:r w:rsidRPr="003C60ED">
        <w:rPr>
          <w:rFonts w:eastAsia="Times New Roman" w:cs="Arial"/>
          <w:color w:val="000000"/>
          <w:kern w:val="2"/>
          <w:lang w:val="fr-FR"/>
        </w:rPr>
        <w:t>56</w:t>
      </w:r>
      <w:r w:rsidRPr="003C60ED">
        <w:rPr>
          <w:rFonts w:eastAsia="Times New Roman" w:cs="Arial"/>
          <w:color w:val="000000"/>
          <w:kern w:val="2"/>
          <w:vertAlign w:val="superscript"/>
          <w:lang w:val="fr-FR"/>
        </w:rPr>
        <w:t>e</w:t>
      </w:r>
      <w:r w:rsidRPr="003C60ED">
        <w:rPr>
          <w:rFonts w:eastAsia="Times New Roman" w:cs="Arial"/>
          <w:color w:val="000000"/>
          <w:kern w:val="2"/>
          <w:lang w:val="fr-FR"/>
        </w:rPr>
        <w:t xml:space="preserve"> réunion du Comité permanent (</w:t>
      </w:r>
      <w:proofErr w:type="spellStart"/>
      <w:r w:rsidRPr="003C60ED">
        <w:rPr>
          <w:rFonts w:eastAsia="Times New Roman" w:cs="Arial"/>
          <w:color w:val="000000"/>
          <w:kern w:val="2"/>
          <w:lang w:val="fr-FR"/>
        </w:rPr>
        <w:t>StC</w:t>
      </w:r>
      <w:proofErr w:type="spellEnd"/>
      <w:r w:rsidRPr="003C60ED">
        <w:rPr>
          <w:rFonts w:eastAsia="Times New Roman" w:cs="Arial"/>
          <w:color w:val="000000"/>
          <w:kern w:val="2"/>
          <w:lang w:val="fr-FR"/>
        </w:rPr>
        <w:t>), du 25 au 27 mars 2025 ;</w:t>
      </w:r>
    </w:p>
    <w:p w14:paraId="3AA75C99" w14:textId="77777777" w:rsidR="00670BDB" w:rsidRPr="003C60ED" w:rsidRDefault="009D4DE7">
      <w:pPr>
        <w:numPr>
          <w:ilvl w:val="0"/>
          <w:numId w:val="15"/>
        </w:numPr>
        <w:suppressAutoHyphens/>
        <w:spacing w:after="0" w:line="240" w:lineRule="auto"/>
        <w:ind w:left="993" w:hanging="426"/>
        <w:jc w:val="both"/>
        <w:rPr>
          <w:rFonts w:eastAsia="Times New Roman" w:cs="Arial"/>
          <w:color w:val="000000"/>
          <w:kern w:val="2"/>
          <w:lang w:val="fr-FR"/>
        </w:rPr>
      </w:pPr>
      <w:r w:rsidRPr="003C60ED">
        <w:rPr>
          <w:rFonts w:eastAsia="Times New Roman" w:cs="Arial"/>
          <w:color w:val="000000"/>
          <w:kern w:val="2"/>
          <w:lang w:val="fr-FR"/>
        </w:rPr>
        <w:t>8</w:t>
      </w:r>
      <w:r w:rsidRPr="003C60ED">
        <w:rPr>
          <w:rFonts w:eastAsia="Times New Roman" w:cs="Arial"/>
          <w:color w:val="000000"/>
          <w:kern w:val="2"/>
          <w:vertAlign w:val="superscript"/>
          <w:lang w:val="fr-FR"/>
        </w:rPr>
        <w:t>e</w:t>
      </w:r>
      <w:r w:rsidRPr="003C60ED">
        <w:rPr>
          <w:rFonts w:eastAsia="Times New Roman" w:cs="Arial"/>
          <w:color w:val="000000"/>
          <w:kern w:val="2"/>
          <w:lang w:val="fr-FR"/>
        </w:rPr>
        <w:t xml:space="preserve"> réunion du Comité de session du Conseil scientifique, du 15 au 18 décembre 2025.</w:t>
      </w:r>
    </w:p>
    <w:p w14:paraId="419834EB" w14:textId="77777777" w:rsidR="00670BDB" w:rsidRPr="003C60ED" w:rsidRDefault="00670BDB">
      <w:pPr>
        <w:suppressAutoHyphens/>
        <w:spacing w:after="0" w:line="240" w:lineRule="auto"/>
        <w:jc w:val="both"/>
        <w:rPr>
          <w:rFonts w:eastAsia="Times New Roman" w:cs="Arial"/>
          <w:color w:val="000000"/>
          <w:kern w:val="2"/>
          <w:highlight w:val="yellow"/>
          <w:lang w:val="fr-FR"/>
        </w:rPr>
      </w:pPr>
    </w:p>
    <w:p w14:paraId="07330553" w14:textId="77777777" w:rsidR="00670BDB" w:rsidRPr="003C60ED" w:rsidRDefault="009D4DE7">
      <w:pPr>
        <w:numPr>
          <w:ilvl w:val="0"/>
          <w:numId w:val="23"/>
        </w:numPr>
        <w:suppressAutoHyphens/>
        <w:spacing w:after="0" w:line="240" w:lineRule="auto"/>
        <w:ind w:left="567" w:hanging="567"/>
        <w:jc w:val="both"/>
        <w:rPr>
          <w:rFonts w:eastAsia="Times New Roman" w:cs="Arial"/>
          <w:color w:val="000000"/>
          <w:kern w:val="2"/>
          <w:lang w:val="fr-FR"/>
        </w:rPr>
      </w:pPr>
      <w:r w:rsidRPr="003C60ED">
        <w:rPr>
          <w:rFonts w:eastAsia="Times New Roman" w:cs="Arial"/>
          <w:color w:val="000000"/>
          <w:kern w:val="2"/>
          <w:lang w:val="fr-FR"/>
        </w:rPr>
        <w:t xml:space="preserve">Le National Center for </w:t>
      </w:r>
      <w:proofErr w:type="spellStart"/>
      <w:r w:rsidRPr="003C60ED">
        <w:rPr>
          <w:rFonts w:eastAsia="Times New Roman" w:cs="Arial"/>
          <w:color w:val="000000"/>
          <w:kern w:val="2"/>
          <w:lang w:val="fr-FR"/>
        </w:rPr>
        <w:t>Wildlife</w:t>
      </w:r>
      <w:proofErr w:type="spellEnd"/>
      <w:r w:rsidRPr="003C60ED">
        <w:rPr>
          <w:rFonts w:eastAsia="Times New Roman" w:cs="Arial"/>
          <w:color w:val="000000"/>
          <w:kern w:val="2"/>
          <w:lang w:val="fr-FR"/>
        </w:rPr>
        <w:t xml:space="preserve"> (NCW) du Royaume d'Arabie saoudite s'est engagé à soutenir la création du Groupe d'étude sur le braconnage, la capture et le commerce illégaux d'oiseaux migrateurs en Asie du Sud-Ouest, ainsi que sa coordination et son fonctionnement pour une période initiale de trois ans. L'Arabie saoudite a également accueilli, en mai 2025, la 1</w:t>
      </w:r>
      <w:r w:rsidRPr="003C60ED">
        <w:rPr>
          <w:rFonts w:eastAsia="Times New Roman" w:cs="Arial"/>
          <w:color w:val="000000"/>
          <w:kern w:val="2"/>
          <w:vertAlign w:val="superscript"/>
          <w:lang w:val="fr-FR"/>
        </w:rPr>
        <w:t>re</w:t>
      </w:r>
      <w:r w:rsidRPr="003C60ED">
        <w:rPr>
          <w:rFonts w:eastAsia="Times New Roman" w:cs="Arial"/>
          <w:color w:val="000000"/>
          <w:kern w:val="2"/>
          <w:lang w:val="fr-FR"/>
        </w:rPr>
        <w:t xml:space="preserve"> réunion du Groupe d'étude intergouvernemental sur la capture illégale d'oiseaux migrateurs en Asie du Sud-Ouest, qui s'est tenue dans les locaux du NCW à Riyad.</w:t>
      </w:r>
    </w:p>
    <w:p w14:paraId="4B5FEE7C" w14:textId="77777777" w:rsidR="00670BDB" w:rsidRPr="003C60ED" w:rsidRDefault="00670BDB">
      <w:pPr>
        <w:suppressAutoHyphens/>
        <w:spacing w:after="0" w:line="240" w:lineRule="auto"/>
        <w:ind w:left="567"/>
        <w:jc w:val="both"/>
        <w:rPr>
          <w:rFonts w:eastAsia="Times New Roman" w:cs="Arial"/>
          <w:color w:val="000000"/>
          <w:kern w:val="2"/>
          <w:lang w:val="fr-FR"/>
        </w:rPr>
      </w:pPr>
    </w:p>
    <w:p w14:paraId="3A4CE0C4" w14:textId="77777777" w:rsidR="00670BDB" w:rsidRPr="003C60ED" w:rsidRDefault="009D4DE7">
      <w:pPr>
        <w:numPr>
          <w:ilvl w:val="0"/>
          <w:numId w:val="23"/>
        </w:numPr>
        <w:suppressAutoHyphens/>
        <w:spacing w:after="0" w:line="240" w:lineRule="auto"/>
        <w:ind w:left="567" w:hanging="567"/>
        <w:jc w:val="both"/>
        <w:rPr>
          <w:rFonts w:eastAsia="Times New Roman" w:cs="Arial"/>
          <w:color w:val="000000"/>
          <w:kern w:val="2"/>
          <w:lang w:val="fr-FR"/>
        </w:rPr>
      </w:pPr>
      <w:r w:rsidRPr="003C60ED">
        <w:rPr>
          <w:rFonts w:eastAsia="Times New Roman" w:cs="Arial"/>
          <w:color w:val="000000"/>
          <w:kern w:val="2"/>
          <w:lang w:val="fr-FR"/>
        </w:rPr>
        <w:t>Le Secrétariat a renouvelé son Programme de travail conjoint 2024‑2026 avec l'Agence fédérale allemande pour la protection de la nature (</w:t>
      </w:r>
      <w:proofErr w:type="spellStart"/>
      <w:r w:rsidRPr="003C60ED">
        <w:rPr>
          <w:rFonts w:eastAsia="Times New Roman" w:cs="Arial"/>
          <w:color w:val="000000"/>
          <w:kern w:val="2"/>
          <w:lang w:val="fr-FR"/>
        </w:rPr>
        <w:t>BfN</w:t>
      </w:r>
      <w:proofErr w:type="spellEnd"/>
      <w:r w:rsidRPr="003C60ED">
        <w:rPr>
          <w:rFonts w:eastAsia="Times New Roman" w:cs="Arial"/>
          <w:color w:val="000000"/>
          <w:kern w:val="2"/>
          <w:lang w:val="fr-FR"/>
        </w:rPr>
        <w:t>), financé par le Ministère fédéral de l'environnement, de la protection de la nature, de la sûreté nucléaire et de la protection des consommateurs (BMUKN), qui apporte son soutien à l'organisation de divers ateliers et activités, en particulier dans le cadre de l'Initiative pour les mammifères d'Asie centrale.</w:t>
      </w:r>
    </w:p>
    <w:p w14:paraId="32579140" w14:textId="77777777" w:rsidR="00670BDB" w:rsidRPr="003C60ED" w:rsidRDefault="00670BDB">
      <w:pPr>
        <w:pStyle w:val="ListParagraph"/>
        <w:spacing w:after="0" w:line="240" w:lineRule="auto"/>
        <w:rPr>
          <w:rFonts w:cs="Arial"/>
          <w:color w:val="000000"/>
          <w:kern w:val="2"/>
          <w:lang w:val="fr-FR"/>
        </w:rPr>
      </w:pPr>
    </w:p>
    <w:p w14:paraId="646C1A1E" w14:textId="11A02A9C" w:rsidR="00670BDB" w:rsidRPr="003C60ED" w:rsidRDefault="009D4DE7">
      <w:pPr>
        <w:numPr>
          <w:ilvl w:val="0"/>
          <w:numId w:val="23"/>
        </w:numPr>
        <w:suppressAutoHyphens/>
        <w:spacing w:after="0" w:line="240" w:lineRule="auto"/>
        <w:ind w:left="567" w:hanging="567"/>
        <w:jc w:val="both"/>
        <w:rPr>
          <w:rFonts w:eastAsia="Times New Roman" w:cs="Arial"/>
          <w:color w:val="000000"/>
          <w:kern w:val="2"/>
          <w:lang w:val="fr-FR"/>
        </w:rPr>
      </w:pPr>
      <w:r w:rsidRPr="003C60ED">
        <w:rPr>
          <w:rFonts w:eastAsia="Times New Roman" w:cs="Arial"/>
          <w:color w:val="000000"/>
          <w:kern w:val="2"/>
          <w:lang w:val="fr-FR"/>
        </w:rPr>
        <w:t xml:space="preserve">La </w:t>
      </w:r>
      <w:hyperlink r:id="rId19" w:history="1">
        <w:r w:rsidRPr="003C60ED">
          <w:rPr>
            <w:rFonts w:eastAsia="Times New Roman"/>
            <w:color w:val="000000"/>
            <w:lang w:val="fr-FR"/>
          </w:rPr>
          <w:t>7</w:t>
        </w:r>
        <w:r w:rsidRPr="003C60ED">
          <w:rPr>
            <w:rFonts w:eastAsia="Times New Roman"/>
            <w:color w:val="000000"/>
            <w:vertAlign w:val="superscript"/>
            <w:lang w:val="fr-FR"/>
          </w:rPr>
          <w:t>e</w:t>
        </w:r>
        <w:r w:rsidRPr="003C60ED">
          <w:rPr>
            <w:rFonts w:eastAsia="Times New Roman"/>
            <w:color w:val="000000"/>
            <w:lang w:val="fr-FR"/>
          </w:rPr>
          <w:t xml:space="preserve"> réunion</w:t>
        </w:r>
      </w:hyperlink>
      <w:r w:rsidRPr="003C60ED">
        <w:rPr>
          <w:rFonts w:eastAsia="Times New Roman" w:cs="Arial"/>
          <w:color w:val="000000"/>
          <w:kern w:val="2"/>
          <w:lang w:val="fr-FR"/>
        </w:rPr>
        <w:t xml:space="preserve"> du Groupe d'étude de l'énergie s'est tenue à Madrid du 24 au 26 avril 2024, s</w:t>
      </w:r>
      <w:r w:rsidR="005E2A38">
        <w:rPr>
          <w:rFonts w:eastAsia="Times New Roman" w:cs="Arial"/>
          <w:color w:val="000000"/>
          <w:kern w:val="2"/>
          <w:lang w:val="fr-FR"/>
        </w:rPr>
        <w:t>ous l’égide</w:t>
      </w:r>
      <w:r w:rsidRPr="003C60ED">
        <w:rPr>
          <w:rFonts w:eastAsia="Times New Roman" w:cs="Arial"/>
          <w:color w:val="000000"/>
          <w:kern w:val="2"/>
          <w:lang w:val="fr-FR"/>
        </w:rPr>
        <w:t xml:space="preserve"> du gouvernement espagnol.</w:t>
      </w:r>
    </w:p>
    <w:p w14:paraId="2232D0E2" w14:textId="77777777" w:rsidR="00670BDB" w:rsidRPr="003C60ED" w:rsidRDefault="00670BDB">
      <w:pPr>
        <w:suppressAutoHyphens/>
        <w:spacing w:after="0" w:line="240" w:lineRule="auto"/>
        <w:jc w:val="both"/>
        <w:rPr>
          <w:rFonts w:eastAsia="Times New Roman" w:cs="Arial"/>
          <w:color w:val="000000"/>
          <w:kern w:val="2"/>
          <w:lang w:val="fr-FR"/>
        </w:rPr>
      </w:pPr>
    </w:p>
    <w:p w14:paraId="12843BBB" w14:textId="77777777" w:rsidR="00670BDB" w:rsidRPr="003C60ED" w:rsidRDefault="009D4DE7">
      <w:pPr>
        <w:numPr>
          <w:ilvl w:val="0"/>
          <w:numId w:val="23"/>
        </w:numPr>
        <w:suppressAutoHyphens/>
        <w:spacing w:after="0" w:line="240" w:lineRule="auto"/>
        <w:ind w:left="567" w:hanging="567"/>
        <w:jc w:val="both"/>
        <w:rPr>
          <w:rFonts w:eastAsia="Times New Roman" w:cs="Arial"/>
          <w:color w:val="000000"/>
          <w:kern w:val="2"/>
          <w:lang w:val="fr-FR"/>
        </w:rPr>
      </w:pPr>
      <w:r w:rsidRPr="003C60ED">
        <w:rPr>
          <w:rFonts w:eastAsia="Times New Roman" w:cs="Arial"/>
          <w:color w:val="000000"/>
          <w:kern w:val="2"/>
          <w:lang w:val="fr-FR"/>
        </w:rPr>
        <w:t>La 3</w:t>
      </w:r>
      <w:r w:rsidRPr="003C60ED">
        <w:rPr>
          <w:rFonts w:eastAsia="Times New Roman" w:cs="Arial"/>
          <w:color w:val="000000"/>
          <w:kern w:val="2"/>
          <w:vertAlign w:val="superscript"/>
          <w:lang w:val="fr-FR"/>
        </w:rPr>
        <w:t>e</w:t>
      </w:r>
      <w:r w:rsidRPr="003C60ED">
        <w:rPr>
          <w:rFonts w:eastAsia="Times New Roman" w:cs="Arial"/>
          <w:color w:val="000000"/>
          <w:kern w:val="2"/>
          <w:lang w:val="fr-FR"/>
        </w:rPr>
        <w:t xml:space="preserve"> réunion des signataires du </w:t>
      </w:r>
      <w:proofErr w:type="spellStart"/>
      <w:r w:rsidRPr="003C60ED">
        <w:rPr>
          <w:rFonts w:eastAsia="Times New Roman" w:cs="Arial"/>
          <w:color w:val="000000"/>
          <w:kern w:val="2"/>
          <w:lang w:val="fr-FR"/>
        </w:rPr>
        <w:t>MdE</w:t>
      </w:r>
      <w:proofErr w:type="spellEnd"/>
      <w:r w:rsidRPr="003C60ED">
        <w:rPr>
          <w:rFonts w:eastAsia="Times New Roman" w:cs="Arial"/>
          <w:color w:val="000000"/>
          <w:kern w:val="2"/>
          <w:lang w:val="fr-FR"/>
        </w:rPr>
        <w:t xml:space="preserve"> sur le cerf de Boukhara et la réunion des États de l'aire de répartition concernant la mise en œuvre et la révision du Plan d'action par espèce international pour la conservation de l'Argali se sont tenues à Almaty en septembre 2024 dans le cadre du projet CAMCA, financé par l'Initiative internationale pour le climat (IKI) de l'Allemagne.</w:t>
      </w:r>
    </w:p>
    <w:p w14:paraId="75F42F4D" w14:textId="77777777" w:rsidR="00670BDB" w:rsidRPr="003C60ED" w:rsidRDefault="00670BDB">
      <w:pPr>
        <w:suppressAutoHyphens/>
        <w:spacing w:after="0" w:line="240" w:lineRule="auto"/>
        <w:jc w:val="both"/>
        <w:rPr>
          <w:rFonts w:eastAsia="Times New Roman" w:cs="Arial"/>
          <w:color w:val="000000"/>
          <w:kern w:val="2"/>
          <w:lang w:val="fr-FR"/>
        </w:rPr>
      </w:pPr>
    </w:p>
    <w:p w14:paraId="33C789EB" w14:textId="77777777" w:rsidR="00670BDB" w:rsidRPr="003C60ED" w:rsidRDefault="009D4DE7">
      <w:pPr>
        <w:numPr>
          <w:ilvl w:val="0"/>
          <w:numId w:val="23"/>
        </w:numPr>
        <w:suppressAutoHyphens/>
        <w:spacing w:after="0" w:line="240" w:lineRule="auto"/>
        <w:ind w:left="567" w:hanging="567"/>
        <w:jc w:val="both"/>
        <w:rPr>
          <w:rFonts w:eastAsia="Times New Roman" w:cs="Arial"/>
          <w:color w:val="000000"/>
          <w:kern w:val="2"/>
          <w:lang w:val="fr-FR"/>
        </w:rPr>
      </w:pPr>
      <w:r w:rsidRPr="003C60ED">
        <w:rPr>
          <w:rFonts w:eastAsia="Times New Roman" w:cs="Arial"/>
          <w:color w:val="000000"/>
          <w:kern w:val="2"/>
          <w:lang w:val="fr-FR"/>
        </w:rPr>
        <w:t>Le gouvernement du Brésil a accueilli la 3</w:t>
      </w:r>
      <w:r w:rsidRPr="003C60ED">
        <w:rPr>
          <w:rFonts w:eastAsia="Times New Roman" w:cs="Arial"/>
          <w:color w:val="000000"/>
          <w:kern w:val="2"/>
          <w:vertAlign w:val="superscript"/>
          <w:lang w:val="fr-FR"/>
        </w:rPr>
        <w:t>e</w:t>
      </w:r>
      <w:r w:rsidRPr="003C60ED">
        <w:rPr>
          <w:rFonts w:eastAsia="Times New Roman" w:cs="Arial"/>
          <w:color w:val="000000"/>
          <w:kern w:val="2"/>
          <w:lang w:val="fr-FR"/>
        </w:rPr>
        <w:t xml:space="preserve"> réunion du Mémorandum d'entente sur la conservation des espèces d'oiseaux de prairie migrateurs et de leurs habitats dans la partie australe du continent sud-américain, qui s'est tenue à Florianópolis les 3 et 4 décembre 2024, </w:t>
      </w:r>
      <w:r w:rsidRPr="003C60ED">
        <w:rPr>
          <w:rFonts w:eastAsia="Times New Roman" w:cs="Arial"/>
          <w:color w:val="000000" w:themeColor="text1"/>
          <w:kern w:val="2"/>
          <w:lang w:val="fr-FR"/>
        </w:rPr>
        <w:t xml:space="preserve">immédiatement avant </w:t>
      </w:r>
      <w:r w:rsidRPr="003C60ED">
        <w:rPr>
          <w:rFonts w:eastAsia="Times New Roman" w:cs="Arial"/>
          <w:color w:val="000000"/>
          <w:kern w:val="2"/>
          <w:lang w:val="fr-FR"/>
        </w:rPr>
        <w:t>la 2</w:t>
      </w:r>
      <w:r w:rsidRPr="003C60ED">
        <w:rPr>
          <w:rFonts w:eastAsia="Times New Roman" w:cs="Arial"/>
          <w:color w:val="000000"/>
          <w:kern w:val="2"/>
          <w:vertAlign w:val="superscript"/>
          <w:lang w:val="fr-FR"/>
        </w:rPr>
        <w:t>e</w:t>
      </w:r>
      <w:r w:rsidRPr="003C60ED">
        <w:rPr>
          <w:rFonts w:eastAsia="Times New Roman" w:cs="Arial"/>
          <w:color w:val="000000"/>
          <w:kern w:val="2"/>
          <w:lang w:val="fr-FR"/>
        </w:rPr>
        <w:t xml:space="preserve"> réunion du Groupe d'étude sur le cadre des voies de migration des Amériques. </w:t>
      </w:r>
    </w:p>
    <w:p w14:paraId="0902DA69" w14:textId="77777777" w:rsidR="00670BDB" w:rsidRPr="003C60ED" w:rsidRDefault="00670BDB">
      <w:pPr>
        <w:suppressAutoHyphens/>
        <w:spacing w:after="0" w:line="240" w:lineRule="auto"/>
        <w:ind w:left="567"/>
        <w:jc w:val="both"/>
        <w:rPr>
          <w:rFonts w:eastAsia="Times New Roman" w:cs="Arial"/>
          <w:color w:val="000000"/>
          <w:kern w:val="2"/>
          <w:lang w:val="fr-FR"/>
        </w:rPr>
      </w:pPr>
    </w:p>
    <w:p w14:paraId="4D81A00C" w14:textId="77777777" w:rsidR="00670BDB" w:rsidRPr="005E2A38" w:rsidRDefault="009D4DE7">
      <w:pPr>
        <w:numPr>
          <w:ilvl w:val="0"/>
          <w:numId w:val="23"/>
        </w:numPr>
        <w:suppressAutoHyphens/>
        <w:spacing w:after="0" w:line="240" w:lineRule="auto"/>
        <w:ind w:left="567" w:hanging="567"/>
        <w:jc w:val="both"/>
        <w:rPr>
          <w:rFonts w:eastAsia="Times New Roman" w:cs="Arial"/>
          <w:color w:val="000000"/>
          <w:kern w:val="2"/>
          <w:lang w:val="fr-FR"/>
        </w:rPr>
      </w:pPr>
      <w:r w:rsidRPr="003C60ED">
        <w:rPr>
          <w:rFonts w:eastAsia="Times New Roman" w:cs="Arial"/>
          <w:color w:val="000000"/>
          <w:kern w:val="2"/>
          <w:lang w:val="fr-FR"/>
        </w:rPr>
        <w:lastRenderedPageBreak/>
        <w:t xml:space="preserve">Les gouvernements de l'Uruguay et de l'Autriche ont respectivement repris la coordination du </w:t>
      </w:r>
      <w:proofErr w:type="spellStart"/>
      <w:r w:rsidRPr="003C60ED">
        <w:rPr>
          <w:rFonts w:eastAsia="Times New Roman" w:cs="Arial"/>
          <w:color w:val="000000"/>
          <w:kern w:val="2"/>
          <w:lang w:val="fr-FR"/>
        </w:rPr>
        <w:t>MdE</w:t>
      </w:r>
      <w:proofErr w:type="spellEnd"/>
      <w:r w:rsidRPr="003C60ED">
        <w:rPr>
          <w:rFonts w:eastAsia="Times New Roman" w:cs="Arial"/>
          <w:color w:val="000000"/>
          <w:kern w:val="2"/>
          <w:lang w:val="fr-FR"/>
        </w:rPr>
        <w:t xml:space="preserve"> sur la conservation des espèces d'oiseaux de prairie migrateurs et de leurs habitats dans la partie australe du continent sud-américain et </w:t>
      </w:r>
      <w:r w:rsidRPr="003C60ED">
        <w:rPr>
          <w:rFonts w:eastAsia="Calibri" w:cs="Arial"/>
          <w:lang w:val="fr-FR"/>
        </w:rPr>
        <w:t xml:space="preserve">du </w:t>
      </w:r>
      <w:proofErr w:type="spellStart"/>
      <w:r w:rsidRPr="003C60ED">
        <w:rPr>
          <w:rFonts w:eastAsia="Calibri" w:cs="Arial"/>
          <w:lang w:val="fr-FR"/>
        </w:rPr>
        <w:t>MdE</w:t>
      </w:r>
      <w:proofErr w:type="spellEnd"/>
      <w:r w:rsidRPr="003C60ED">
        <w:rPr>
          <w:rFonts w:eastAsia="Calibri" w:cs="Arial"/>
          <w:lang w:val="fr-FR"/>
        </w:rPr>
        <w:t xml:space="preserve"> sur la conservation et la gestion de la population centre-européenne de la Grande Outarde. </w:t>
      </w:r>
    </w:p>
    <w:p w14:paraId="45F0FDB9" w14:textId="77777777" w:rsidR="005E2A38" w:rsidRPr="003C60ED" w:rsidRDefault="005E2A38" w:rsidP="005E2A38">
      <w:pPr>
        <w:suppressAutoHyphens/>
        <w:spacing w:after="0" w:line="240" w:lineRule="auto"/>
        <w:ind w:left="567"/>
        <w:jc w:val="both"/>
        <w:rPr>
          <w:rFonts w:eastAsia="Times New Roman" w:cs="Arial"/>
          <w:color w:val="000000"/>
          <w:kern w:val="2"/>
          <w:lang w:val="fr-FR"/>
        </w:rPr>
      </w:pPr>
    </w:p>
    <w:p w14:paraId="09C92603" w14:textId="67C5147B" w:rsidR="00670BDB" w:rsidRPr="003C60ED" w:rsidRDefault="009D4DE7">
      <w:pPr>
        <w:numPr>
          <w:ilvl w:val="0"/>
          <w:numId w:val="23"/>
        </w:numPr>
        <w:suppressAutoHyphens/>
        <w:spacing w:after="0" w:line="240" w:lineRule="auto"/>
        <w:ind w:left="567" w:hanging="567"/>
        <w:jc w:val="both"/>
        <w:rPr>
          <w:rFonts w:eastAsia="Times New Roman" w:cs="Arial"/>
          <w:color w:val="000000"/>
          <w:kern w:val="2"/>
          <w:lang w:val="fr-FR"/>
        </w:rPr>
      </w:pPr>
      <w:r w:rsidRPr="003C60ED">
        <w:rPr>
          <w:rFonts w:eastAsia="Times New Roman" w:cs="Arial"/>
          <w:color w:val="000000"/>
          <w:kern w:val="2"/>
          <w:lang w:val="fr-FR"/>
        </w:rPr>
        <w:t>Le gouvernement britannique a organisé un atelier d'experts sur les espèces migratrices et le changement climatique du 11 au 13 février 2025 à Édimbourg</w:t>
      </w:r>
      <w:r w:rsidR="005E2A38">
        <w:rPr>
          <w:rFonts w:eastAsia="Times New Roman" w:cs="Arial"/>
          <w:color w:val="000000"/>
          <w:kern w:val="2"/>
          <w:lang w:val="fr-FR"/>
        </w:rPr>
        <w:t xml:space="preserve">, </w:t>
      </w:r>
      <w:r w:rsidR="005E2A38" w:rsidRPr="005E2A38">
        <w:rPr>
          <w:rFonts w:eastAsia="Times New Roman" w:cs="Arial"/>
          <w:color w:val="000000"/>
          <w:kern w:val="2"/>
          <w:lang w:val="fr-FR"/>
        </w:rPr>
        <w:t xml:space="preserve">et </w:t>
      </w:r>
      <w:r w:rsidR="005E2A38">
        <w:rPr>
          <w:rFonts w:eastAsia="Times New Roman" w:cs="Arial"/>
          <w:color w:val="000000"/>
          <w:kern w:val="2"/>
          <w:lang w:val="fr-FR"/>
        </w:rPr>
        <w:t xml:space="preserve">a </w:t>
      </w:r>
      <w:r w:rsidR="005E2A38" w:rsidRPr="005E2A38">
        <w:rPr>
          <w:rFonts w:eastAsia="Times New Roman" w:cs="Arial"/>
          <w:color w:val="000000"/>
          <w:kern w:val="2"/>
          <w:lang w:val="fr-FR"/>
        </w:rPr>
        <w:t xml:space="preserve">fourni une aide au </w:t>
      </w:r>
      <w:r w:rsidR="005E2A38">
        <w:rPr>
          <w:rFonts w:eastAsia="Times New Roman" w:cs="Arial"/>
          <w:color w:val="000000"/>
          <w:kern w:val="2"/>
          <w:lang w:val="fr-FR"/>
        </w:rPr>
        <w:t>voyage</w:t>
      </w:r>
      <w:r w:rsidRPr="003C60ED">
        <w:rPr>
          <w:rFonts w:eastAsia="Times New Roman" w:cs="Arial"/>
          <w:color w:val="000000"/>
          <w:kern w:val="2"/>
          <w:lang w:val="fr-FR"/>
        </w:rPr>
        <w:t>.</w:t>
      </w:r>
      <w:r w:rsidRPr="003C60ED">
        <w:rPr>
          <w:rFonts w:eastAsia="Arial" w:cs="Arial"/>
          <w:lang w:val="fr-FR"/>
        </w:rPr>
        <w:t xml:space="preserve"> Pour plus de détails, voir le document </w:t>
      </w:r>
      <w:hyperlink r:id="rId20" w:history="1">
        <w:r w:rsidRPr="003C60ED">
          <w:rPr>
            <w:rStyle w:val="Hyperlink"/>
            <w:rFonts w:eastAsia="Arial" w:cs="Arial"/>
            <w:lang w:val="fr-FR"/>
          </w:rPr>
          <w:t>UNEP/CMS/COP15/Doc.28.12</w:t>
        </w:r>
      </w:hyperlink>
      <w:r w:rsidRPr="003C60ED">
        <w:rPr>
          <w:rFonts w:eastAsia="Arial" w:cs="Arial"/>
          <w:lang w:val="fr-FR"/>
        </w:rPr>
        <w:t xml:space="preserve"> </w:t>
      </w:r>
      <w:r w:rsidRPr="003C60ED">
        <w:rPr>
          <w:rFonts w:eastAsia="Arial" w:cs="Arial"/>
          <w:i/>
          <w:iCs/>
          <w:lang w:val="fr-FR"/>
        </w:rPr>
        <w:t>Changement climatique</w:t>
      </w:r>
      <w:r w:rsidRPr="003C60ED">
        <w:rPr>
          <w:rFonts w:eastAsia="Arial" w:cs="Arial"/>
          <w:lang w:val="fr-FR"/>
        </w:rPr>
        <w:t xml:space="preserve">. </w:t>
      </w:r>
    </w:p>
    <w:p w14:paraId="04C40774" w14:textId="77777777" w:rsidR="00670BDB" w:rsidRPr="003C60ED" w:rsidRDefault="00670BDB" w:rsidP="002144C3">
      <w:pPr>
        <w:pStyle w:val="ListParagraph"/>
        <w:spacing w:after="0" w:line="240" w:lineRule="auto"/>
        <w:contextualSpacing w:val="0"/>
        <w:rPr>
          <w:rFonts w:eastAsia="Times New Roman" w:cs="Arial"/>
          <w:color w:val="000000"/>
          <w:kern w:val="2"/>
          <w:lang w:val="fr-FR"/>
        </w:rPr>
      </w:pPr>
    </w:p>
    <w:p w14:paraId="6F5E9B42" w14:textId="77777777" w:rsidR="00670BDB" w:rsidRDefault="009D4DE7">
      <w:pPr>
        <w:numPr>
          <w:ilvl w:val="0"/>
          <w:numId w:val="23"/>
        </w:numPr>
        <w:suppressAutoHyphens/>
        <w:spacing w:after="0" w:line="240" w:lineRule="auto"/>
        <w:ind w:left="567" w:hanging="567"/>
        <w:jc w:val="both"/>
        <w:rPr>
          <w:rFonts w:eastAsia="Times New Roman" w:cs="Arial"/>
          <w:color w:val="000000"/>
          <w:kern w:val="2"/>
          <w:lang w:val="fr-FR"/>
        </w:rPr>
      </w:pPr>
      <w:r w:rsidRPr="003C60ED">
        <w:rPr>
          <w:rFonts w:eastAsia="Times New Roman" w:cs="Arial"/>
          <w:color w:val="000000"/>
          <w:kern w:val="2"/>
          <w:lang w:val="fr-FR"/>
        </w:rPr>
        <w:t>Le gouvernement suédois a accueilli la 4</w:t>
      </w:r>
      <w:r w:rsidRPr="003C60ED">
        <w:rPr>
          <w:rFonts w:eastAsia="Times New Roman" w:cs="Arial"/>
          <w:color w:val="000000"/>
          <w:kern w:val="2"/>
          <w:vertAlign w:val="superscript"/>
          <w:lang w:val="fr-FR"/>
        </w:rPr>
        <w:t>e</w:t>
      </w:r>
      <w:r w:rsidRPr="003C60ED">
        <w:rPr>
          <w:rFonts w:eastAsia="Times New Roman" w:cs="Arial"/>
          <w:color w:val="000000"/>
          <w:kern w:val="2"/>
          <w:lang w:val="fr-FR"/>
        </w:rPr>
        <w:t xml:space="preserve"> réunion des États de l'aire de répartition de l'anguille européenne à Malmö les 14 et 15 octobre 2025, avec un soutien au déplacement fourni par la Commission de la mer des Sargasses. </w:t>
      </w:r>
    </w:p>
    <w:p w14:paraId="0C1F50E5" w14:textId="77777777" w:rsidR="00684EAD" w:rsidRPr="003C60ED" w:rsidRDefault="00684EAD" w:rsidP="00684EAD">
      <w:pPr>
        <w:suppressAutoHyphens/>
        <w:spacing w:after="0" w:line="240" w:lineRule="auto"/>
        <w:ind w:left="567"/>
        <w:jc w:val="both"/>
        <w:rPr>
          <w:rFonts w:eastAsia="Times New Roman" w:cs="Arial"/>
          <w:color w:val="000000"/>
          <w:kern w:val="2"/>
          <w:lang w:val="fr-FR"/>
        </w:rPr>
      </w:pPr>
    </w:p>
    <w:p w14:paraId="42ECBBDC" w14:textId="77777777" w:rsidR="00670BDB" w:rsidRPr="003C60ED" w:rsidRDefault="009D4DE7">
      <w:pPr>
        <w:numPr>
          <w:ilvl w:val="0"/>
          <w:numId w:val="23"/>
        </w:numPr>
        <w:suppressAutoHyphens/>
        <w:spacing w:after="0" w:line="240" w:lineRule="auto"/>
        <w:ind w:left="567" w:hanging="567"/>
        <w:jc w:val="both"/>
        <w:rPr>
          <w:rFonts w:eastAsia="Times New Roman" w:cs="Arial"/>
          <w:color w:val="000000"/>
          <w:kern w:val="2"/>
          <w:lang w:val="fr-FR"/>
        </w:rPr>
      </w:pPr>
      <w:r w:rsidRPr="003C60ED">
        <w:rPr>
          <w:rFonts w:eastAsia="Times New Roman" w:cs="Arial"/>
          <w:color w:val="000000"/>
          <w:kern w:val="2"/>
          <w:lang w:val="fr-FR"/>
        </w:rPr>
        <w:t>La 9</w:t>
      </w:r>
      <w:r w:rsidRPr="003C60ED">
        <w:rPr>
          <w:rFonts w:eastAsia="Times New Roman" w:cs="Arial"/>
          <w:color w:val="000000"/>
          <w:kern w:val="2"/>
          <w:vertAlign w:val="superscript"/>
          <w:lang w:val="fr-FR"/>
        </w:rPr>
        <w:t xml:space="preserve">e </w:t>
      </w:r>
      <w:r w:rsidRPr="003C60ED">
        <w:rPr>
          <w:rFonts w:eastAsia="Times New Roman" w:cs="Arial"/>
          <w:color w:val="000000"/>
          <w:kern w:val="2"/>
          <w:lang w:val="fr-FR"/>
        </w:rPr>
        <w:t xml:space="preserve">réunion du Groupe consultatif technique (TAG) du </w:t>
      </w:r>
      <w:proofErr w:type="spellStart"/>
      <w:r w:rsidRPr="003C60ED">
        <w:rPr>
          <w:rFonts w:eastAsia="Times New Roman" w:cs="Arial"/>
          <w:color w:val="000000"/>
          <w:kern w:val="2"/>
          <w:lang w:val="fr-FR"/>
        </w:rPr>
        <w:t>MdE</w:t>
      </w:r>
      <w:proofErr w:type="spellEnd"/>
      <w:r w:rsidRPr="003C60ED">
        <w:rPr>
          <w:rFonts w:eastAsia="Times New Roman" w:cs="Arial"/>
          <w:color w:val="000000"/>
          <w:kern w:val="2"/>
          <w:lang w:val="fr-FR"/>
        </w:rPr>
        <w:t xml:space="preserve"> sur les rapaces s'est tenue dans le Parc national de </w:t>
      </w:r>
      <w:proofErr w:type="spellStart"/>
      <w:r w:rsidRPr="003C60ED">
        <w:rPr>
          <w:rFonts w:eastAsia="Times New Roman" w:cs="Arial"/>
          <w:color w:val="000000"/>
          <w:kern w:val="2"/>
          <w:lang w:val="fr-FR"/>
        </w:rPr>
        <w:t>Monfragüe</w:t>
      </w:r>
      <w:proofErr w:type="spellEnd"/>
      <w:r w:rsidRPr="003C60ED">
        <w:rPr>
          <w:rFonts w:eastAsia="Times New Roman" w:cs="Arial"/>
          <w:color w:val="000000"/>
          <w:kern w:val="2"/>
          <w:lang w:val="fr-FR"/>
        </w:rPr>
        <w:t xml:space="preserve"> du 18 au 20 février 2025, organisée et soutenue par le gouvernement espagnol, qui a fourni à la fois le lieu et des contributions financières pour les activités liées à la réunion.</w:t>
      </w:r>
    </w:p>
    <w:p w14:paraId="0EEFB7FF" w14:textId="77777777" w:rsidR="00670BDB" w:rsidRPr="003C60ED" w:rsidRDefault="00670BDB">
      <w:pPr>
        <w:pStyle w:val="ListParagraph"/>
        <w:spacing w:after="0"/>
        <w:rPr>
          <w:rFonts w:eastAsia="Times New Roman" w:cs="Arial"/>
          <w:color w:val="000000"/>
          <w:kern w:val="2"/>
          <w:lang w:val="fr-FR"/>
        </w:rPr>
      </w:pPr>
    </w:p>
    <w:p w14:paraId="1D7279A5" w14:textId="77777777" w:rsidR="00670BDB" w:rsidRPr="003C60ED" w:rsidRDefault="009D4DE7">
      <w:pPr>
        <w:numPr>
          <w:ilvl w:val="0"/>
          <w:numId w:val="23"/>
        </w:numPr>
        <w:suppressAutoHyphens/>
        <w:spacing w:line="240" w:lineRule="auto"/>
        <w:ind w:left="567" w:hanging="567"/>
        <w:contextualSpacing/>
        <w:jc w:val="both"/>
        <w:rPr>
          <w:rFonts w:eastAsia="Times New Roman" w:cs="Arial"/>
          <w:color w:val="000000"/>
          <w:kern w:val="2"/>
          <w:lang w:val="fr-FR"/>
        </w:rPr>
      </w:pPr>
      <w:r w:rsidRPr="003C60ED">
        <w:rPr>
          <w:rFonts w:eastAsia="Times New Roman" w:cs="Arial"/>
          <w:color w:val="000000"/>
          <w:kern w:val="2"/>
          <w:lang w:val="fr-FR"/>
        </w:rPr>
        <w:t xml:space="preserve">Le gouvernement ougandais a accueilli un atelier pour initier le développement de la Stratégie nationale de conservation des rapaces, organisé par le </w:t>
      </w:r>
      <w:proofErr w:type="spellStart"/>
      <w:r w:rsidRPr="003C60ED">
        <w:rPr>
          <w:rFonts w:eastAsia="Times New Roman" w:cs="Arial"/>
          <w:color w:val="000000"/>
          <w:kern w:val="2"/>
          <w:lang w:val="fr-FR"/>
        </w:rPr>
        <w:t>MdE</w:t>
      </w:r>
      <w:proofErr w:type="spellEnd"/>
      <w:r w:rsidRPr="003C60ED">
        <w:rPr>
          <w:rFonts w:eastAsia="Times New Roman" w:cs="Arial"/>
          <w:color w:val="000000"/>
          <w:kern w:val="2"/>
          <w:lang w:val="fr-FR"/>
        </w:rPr>
        <w:t xml:space="preserve"> sur les rapaces.</w:t>
      </w:r>
    </w:p>
    <w:p w14:paraId="4BB177C5" w14:textId="77777777" w:rsidR="00670BDB" w:rsidRPr="003C60ED" w:rsidRDefault="00670BDB">
      <w:pPr>
        <w:suppressAutoHyphens/>
        <w:spacing w:after="0" w:line="240" w:lineRule="auto"/>
        <w:contextualSpacing/>
        <w:jc w:val="both"/>
        <w:rPr>
          <w:rFonts w:eastAsia="Times New Roman" w:cs="Arial"/>
          <w:color w:val="000000"/>
          <w:kern w:val="2"/>
          <w:lang w:val="fr-FR"/>
        </w:rPr>
      </w:pPr>
    </w:p>
    <w:p w14:paraId="724CAFAF" w14:textId="77777777" w:rsidR="00670BDB" w:rsidRPr="003C60ED" w:rsidRDefault="009D4DE7">
      <w:pPr>
        <w:numPr>
          <w:ilvl w:val="0"/>
          <w:numId w:val="23"/>
        </w:numPr>
        <w:suppressAutoHyphens/>
        <w:spacing w:after="0" w:line="240" w:lineRule="auto"/>
        <w:ind w:left="567" w:hanging="567"/>
        <w:contextualSpacing/>
        <w:jc w:val="both"/>
        <w:rPr>
          <w:rFonts w:eastAsia="Times New Roman" w:cs="Arial"/>
          <w:color w:val="000000"/>
          <w:kern w:val="2"/>
          <w:lang w:val="fr-FR"/>
        </w:rPr>
      </w:pPr>
      <w:r w:rsidRPr="003C60ED">
        <w:rPr>
          <w:rFonts w:eastAsia="Times New Roman" w:cs="Arial"/>
          <w:color w:val="000000"/>
          <w:kern w:val="2"/>
          <w:lang w:val="fr-FR"/>
        </w:rPr>
        <w:t>Un atelier d'experts pour le développement du Plan d'action mondial pour l'aigle des steppes s'est tenu à Astana, du 6 au 8 mai 2025, avec le soutien du gouvernement du Kazakhstan, de la Société royale pour la conservation des oiseaux (RSPB) et de l'Association pour la conservation de la biodiversité du Kazakhstan (ACBK).</w:t>
      </w:r>
    </w:p>
    <w:p w14:paraId="02FCB4BB" w14:textId="77777777" w:rsidR="00670BDB" w:rsidRPr="003C60ED" w:rsidRDefault="00670BDB">
      <w:pPr>
        <w:spacing w:after="0" w:line="240" w:lineRule="auto"/>
        <w:contextualSpacing/>
        <w:rPr>
          <w:rFonts w:eastAsia="Times New Roman" w:cs="Arial"/>
          <w:color w:val="000000"/>
          <w:kern w:val="2"/>
          <w:lang w:val="fr-FR"/>
        </w:rPr>
      </w:pPr>
    </w:p>
    <w:p w14:paraId="33AE09A1" w14:textId="77777777" w:rsidR="00670BDB" w:rsidRPr="003C60ED" w:rsidRDefault="009D4DE7">
      <w:pPr>
        <w:numPr>
          <w:ilvl w:val="0"/>
          <w:numId w:val="23"/>
        </w:numPr>
        <w:suppressAutoHyphens/>
        <w:spacing w:after="0" w:line="240" w:lineRule="auto"/>
        <w:ind w:left="567" w:hanging="567"/>
        <w:contextualSpacing/>
        <w:jc w:val="both"/>
        <w:rPr>
          <w:rFonts w:eastAsia="Times New Roman" w:cs="Arial"/>
          <w:color w:val="000000"/>
          <w:kern w:val="2"/>
          <w:lang w:val="fr-FR"/>
        </w:rPr>
      </w:pPr>
      <w:r w:rsidRPr="003C60ED">
        <w:rPr>
          <w:rFonts w:eastAsia="Times New Roman" w:cs="Arial"/>
          <w:color w:val="000000"/>
          <w:kern w:val="2"/>
          <w:lang w:val="fr-FR"/>
        </w:rPr>
        <w:t xml:space="preserve">L'Organe de coordination du programme relatif aux mers d'Asie orientale (COBSEA) a </w:t>
      </w:r>
      <w:proofErr w:type="spellStart"/>
      <w:r w:rsidRPr="003C60ED">
        <w:rPr>
          <w:rFonts w:eastAsia="Times New Roman" w:cs="Arial"/>
          <w:color w:val="000000"/>
          <w:kern w:val="2"/>
          <w:lang w:val="fr-FR"/>
        </w:rPr>
        <w:t>co-organisé</w:t>
      </w:r>
      <w:proofErr w:type="spellEnd"/>
      <w:r w:rsidRPr="003C60ED">
        <w:rPr>
          <w:rFonts w:eastAsia="Times New Roman" w:cs="Arial"/>
          <w:color w:val="000000"/>
          <w:kern w:val="2"/>
          <w:lang w:val="fr-FR"/>
        </w:rPr>
        <w:t xml:space="preserve"> avec le </w:t>
      </w:r>
      <w:proofErr w:type="spellStart"/>
      <w:r w:rsidRPr="003C60ED">
        <w:rPr>
          <w:rFonts w:eastAsia="Times New Roman" w:cs="Arial"/>
          <w:color w:val="000000"/>
          <w:kern w:val="2"/>
          <w:lang w:val="fr-FR"/>
        </w:rPr>
        <w:t>MdE</w:t>
      </w:r>
      <w:proofErr w:type="spellEnd"/>
      <w:r w:rsidRPr="003C60ED">
        <w:rPr>
          <w:rFonts w:eastAsia="Times New Roman" w:cs="Arial"/>
          <w:color w:val="000000"/>
          <w:kern w:val="2"/>
          <w:lang w:val="fr-FR"/>
        </w:rPr>
        <w:t xml:space="preserve"> sur les dugongs le Premier dialogue régional asiatique sur la conservation des herbiers marins et des dugongs, à Bangkok, les 1er et 2 février 2025.</w:t>
      </w:r>
    </w:p>
    <w:p w14:paraId="36B438F6" w14:textId="77777777" w:rsidR="00670BDB" w:rsidRPr="003C60ED" w:rsidRDefault="00670BDB">
      <w:pPr>
        <w:pStyle w:val="ListParagraph"/>
        <w:spacing w:after="0" w:line="240" w:lineRule="auto"/>
        <w:rPr>
          <w:rFonts w:eastAsia="Times New Roman" w:cs="Arial"/>
          <w:color w:val="000000"/>
          <w:kern w:val="2"/>
          <w:lang w:val="fr-FR"/>
        </w:rPr>
      </w:pPr>
    </w:p>
    <w:p w14:paraId="3AFA0D2F" w14:textId="77777777" w:rsidR="00670BDB" w:rsidRPr="003C60ED" w:rsidRDefault="009D4DE7">
      <w:pPr>
        <w:numPr>
          <w:ilvl w:val="0"/>
          <w:numId w:val="23"/>
        </w:numPr>
        <w:suppressAutoHyphens/>
        <w:spacing w:after="0" w:line="240" w:lineRule="auto"/>
        <w:ind w:left="567" w:hanging="567"/>
        <w:contextualSpacing/>
        <w:jc w:val="both"/>
        <w:rPr>
          <w:rFonts w:eastAsia="Times New Roman" w:cs="Arial"/>
          <w:color w:val="000000"/>
          <w:kern w:val="2"/>
          <w:lang w:val="fr-FR"/>
        </w:rPr>
      </w:pPr>
      <w:r w:rsidRPr="003C60ED">
        <w:rPr>
          <w:rFonts w:eastAsia="Times New Roman" w:cs="Arial"/>
          <w:color w:val="000000"/>
          <w:kern w:val="2"/>
          <w:lang w:val="fr-FR"/>
        </w:rPr>
        <w:t xml:space="preserve">Le Yas </w:t>
      </w:r>
      <w:proofErr w:type="spellStart"/>
      <w:r w:rsidRPr="003C60ED">
        <w:rPr>
          <w:rFonts w:eastAsia="Times New Roman" w:cs="Arial"/>
          <w:color w:val="000000"/>
          <w:kern w:val="2"/>
          <w:lang w:val="fr-FR"/>
        </w:rPr>
        <w:t>SeaWorld</w:t>
      </w:r>
      <w:proofErr w:type="spellEnd"/>
      <w:r w:rsidRPr="003C60ED">
        <w:rPr>
          <w:rFonts w:eastAsia="Times New Roman" w:cs="Arial"/>
          <w:color w:val="000000"/>
          <w:kern w:val="2"/>
          <w:lang w:val="fr-FR"/>
        </w:rPr>
        <w:t xml:space="preserve"> </w:t>
      </w:r>
      <w:proofErr w:type="spellStart"/>
      <w:r w:rsidRPr="003C60ED">
        <w:rPr>
          <w:rFonts w:eastAsia="Times New Roman" w:cs="Arial"/>
          <w:color w:val="000000"/>
          <w:kern w:val="2"/>
          <w:lang w:val="fr-FR"/>
        </w:rPr>
        <w:t>Research</w:t>
      </w:r>
      <w:proofErr w:type="spellEnd"/>
      <w:r w:rsidRPr="003C60ED">
        <w:rPr>
          <w:rFonts w:eastAsia="Times New Roman" w:cs="Arial"/>
          <w:color w:val="000000"/>
          <w:kern w:val="2"/>
          <w:lang w:val="fr-FR"/>
        </w:rPr>
        <w:t xml:space="preserve"> and Rescue Centre, en partenariat avec l'EAD et le </w:t>
      </w:r>
      <w:proofErr w:type="spellStart"/>
      <w:r w:rsidRPr="003C60ED">
        <w:rPr>
          <w:rFonts w:eastAsia="Times New Roman" w:cs="Arial"/>
          <w:color w:val="000000"/>
          <w:kern w:val="2"/>
          <w:lang w:val="fr-FR"/>
        </w:rPr>
        <w:t>MdE</w:t>
      </w:r>
      <w:proofErr w:type="spellEnd"/>
      <w:r w:rsidRPr="003C60ED">
        <w:rPr>
          <w:rFonts w:eastAsia="Times New Roman" w:cs="Arial"/>
          <w:color w:val="000000"/>
          <w:kern w:val="2"/>
          <w:lang w:val="fr-FR"/>
        </w:rPr>
        <w:t xml:space="preserve"> sur les dugongs, a accueilli le premier atelier scientifique régional arabe sur les herbiers marins, à Abou Dhabi, les 30 avril et 1er mai 2025.</w:t>
      </w:r>
    </w:p>
    <w:p w14:paraId="25D8996B" w14:textId="77777777" w:rsidR="00670BDB" w:rsidRPr="003C60ED" w:rsidRDefault="00670BDB">
      <w:pPr>
        <w:pStyle w:val="ListParagraph"/>
        <w:spacing w:after="0" w:line="240" w:lineRule="auto"/>
        <w:rPr>
          <w:rFonts w:eastAsia="Times New Roman" w:cs="Arial"/>
          <w:color w:val="000000"/>
          <w:kern w:val="2"/>
          <w:lang w:val="fr-FR"/>
        </w:rPr>
      </w:pPr>
    </w:p>
    <w:p w14:paraId="01827371" w14:textId="77777777" w:rsidR="00670BDB" w:rsidRPr="003C60ED" w:rsidRDefault="009D4DE7">
      <w:pPr>
        <w:numPr>
          <w:ilvl w:val="0"/>
          <w:numId w:val="23"/>
        </w:numPr>
        <w:suppressAutoHyphens/>
        <w:spacing w:after="0" w:line="240" w:lineRule="auto"/>
        <w:ind w:left="567" w:hanging="567"/>
        <w:contextualSpacing/>
        <w:jc w:val="both"/>
        <w:rPr>
          <w:rFonts w:eastAsia="Times New Roman" w:cs="Arial"/>
          <w:color w:val="000000"/>
          <w:kern w:val="2"/>
          <w:lang w:val="fr-FR"/>
        </w:rPr>
      </w:pPr>
      <w:r w:rsidRPr="003C60ED">
        <w:rPr>
          <w:rFonts w:eastAsia="Times New Roman" w:cs="Arial"/>
          <w:color w:val="000000"/>
          <w:kern w:val="2"/>
          <w:lang w:val="fr-FR"/>
        </w:rPr>
        <w:t xml:space="preserve">Le Yas </w:t>
      </w:r>
      <w:proofErr w:type="spellStart"/>
      <w:r w:rsidRPr="003C60ED">
        <w:rPr>
          <w:rFonts w:eastAsia="Times New Roman" w:cs="Arial"/>
          <w:color w:val="000000"/>
          <w:kern w:val="2"/>
          <w:lang w:val="fr-FR"/>
        </w:rPr>
        <w:t>SeaWorld</w:t>
      </w:r>
      <w:proofErr w:type="spellEnd"/>
      <w:r w:rsidRPr="003C60ED">
        <w:rPr>
          <w:rFonts w:eastAsia="Times New Roman" w:cs="Arial"/>
          <w:color w:val="000000"/>
          <w:kern w:val="2"/>
          <w:lang w:val="fr-FR"/>
        </w:rPr>
        <w:t xml:space="preserve"> </w:t>
      </w:r>
      <w:proofErr w:type="spellStart"/>
      <w:r w:rsidRPr="003C60ED">
        <w:rPr>
          <w:rFonts w:eastAsia="Times New Roman" w:cs="Arial"/>
          <w:color w:val="000000"/>
          <w:kern w:val="2"/>
          <w:lang w:val="fr-FR"/>
        </w:rPr>
        <w:t>Research</w:t>
      </w:r>
      <w:proofErr w:type="spellEnd"/>
      <w:r w:rsidRPr="003C60ED">
        <w:rPr>
          <w:rFonts w:eastAsia="Times New Roman" w:cs="Arial"/>
          <w:color w:val="000000"/>
          <w:kern w:val="2"/>
          <w:lang w:val="fr-FR"/>
        </w:rPr>
        <w:t xml:space="preserve"> and Rescue Centre a </w:t>
      </w:r>
      <w:proofErr w:type="spellStart"/>
      <w:r w:rsidRPr="003C60ED">
        <w:rPr>
          <w:rFonts w:eastAsia="Times New Roman" w:cs="Arial"/>
          <w:color w:val="000000"/>
          <w:kern w:val="2"/>
          <w:lang w:val="fr-FR"/>
        </w:rPr>
        <w:t>co-organisé</w:t>
      </w:r>
      <w:proofErr w:type="spellEnd"/>
      <w:r w:rsidRPr="003C60ED">
        <w:rPr>
          <w:rFonts w:eastAsia="Times New Roman" w:cs="Arial"/>
          <w:color w:val="000000"/>
          <w:kern w:val="2"/>
          <w:lang w:val="fr-FR"/>
        </w:rPr>
        <w:t xml:space="preserve"> avec le </w:t>
      </w:r>
      <w:proofErr w:type="spellStart"/>
      <w:r w:rsidRPr="003C60ED">
        <w:rPr>
          <w:rFonts w:eastAsia="Times New Roman" w:cs="Arial"/>
          <w:color w:val="000000"/>
          <w:kern w:val="2"/>
          <w:lang w:val="fr-FR"/>
        </w:rPr>
        <w:t>MdE</w:t>
      </w:r>
      <w:proofErr w:type="spellEnd"/>
      <w:r w:rsidRPr="003C60ED">
        <w:rPr>
          <w:rFonts w:eastAsia="Times New Roman" w:cs="Arial"/>
          <w:color w:val="000000"/>
          <w:kern w:val="2"/>
          <w:lang w:val="fr-FR"/>
        </w:rPr>
        <w:t xml:space="preserve"> sur les dugongs une session spéciale sur la conservation des dugongs et des écosystèmes d'herbiers marins dans la région de l'océan Indien occidental, lors du 13</w:t>
      </w:r>
      <w:r w:rsidRPr="003C60ED">
        <w:rPr>
          <w:rFonts w:eastAsia="Times New Roman" w:cs="Arial"/>
          <w:color w:val="000000"/>
          <w:kern w:val="2"/>
          <w:vertAlign w:val="superscript"/>
          <w:lang w:val="fr-FR"/>
        </w:rPr>
        <w:t>e</w:t>
      </w:r>
      <w:r w:rsidRPr="003C60ED">
        <w:rPr>
          <w:rFonts w:eastAsia="Times New Roman" w:cs="Arial"/>
          <w:color w:val="000000"/>
          <w:kern w:val="2"/>
          <w:lang w:val="fr-FR"/>
        </w:rPr>
        <w:t xml:space="preserve"> Symposium de la WIOMSA à Mombasa, le 2 octobre 2025.</w:t>
      </w:r>
    </w:p>
    <w:p w14:paraId="04937A2A" w14:textId="77777777" w:rsidR="00670BDB" w:rsidRPr="003C60ED" w:rsidRDefault="00670BDB">
      <w:pPr>
        <w:pStyle w:val="ListParagraph"/>
        <w:spacing w:after="0" w:line="240" w:lineRule="auto"/>
        <w:rPr>
          <w:rFonts w:eastAsia="Times New Roman" w:cs="Arial"/>
          <w:color w:val="000000"/>
          <w:kern w:val="2"/>
          <w:lang w:val="fr-FR"/>
        </w:rPr>
      </w:pPr>
    </w:p>
    <w:p w14:paraId="28C25502" w14:textId="77777777" w:rsidR="00670BDB" w:rsidRPr="003C60ED" w:rsidRDefault="009D4DE7">
      <w:pPr>
        <w:numPr>
          <w:ilvl w:val="0"/>
          <w:numId w:val="23"/>
        </w:numPr>
        <w:suppressAutoHyphens/>
        <w:spacing w:after="0" w:line="240" w:lineRule="auto"/>
        <w:ind w:left="567" w:hanging="567"/>
        <w:contextualSpacing/>
        <w:jc w:val="both"/>
        <w:rPr>
          <w:rFonts w:eastAsia="Times New Roman" w:cs="Arial"/>
          <w:color w:val="000000"/>
          <w:kern w:val="2"/>
          <w:lang w:val="fr-FR"/>
        </w:rPr>
      </w:pPr>
      <w:r w:rsidRPr="003C60ED">
        <w:rPr>
          <w:rFonts w:eastAsia="Times New Roman" w:cs="Arial"/>
          <w:color w:val="000000"/>
          <w:kern w:val="2"/>
          <w:lang w:val="fr-FR"/>
        </w:rPr>
        <w:t xml:space="preserve">La Fondation H.R.H. Princesse Sirivannavari Nariratana Rajakanya, en coopération avec le </w:t>
      </w:r>
      <w:proofErr w:type="spellStart"/>
      <w:r w:rsidRPr="003C60ED">
        <w:rPr>
          <w:rFonts w:eastAsia="Times New Roman" w:cs="Arial"/>
          <w:color w:val="000000"/>
          <w:kern w:val="2"/>
          <w:lang w:val="fr-FR"/>
        </w:rPr>
        <w:t>MdE</w:t>
      </w:r>
      <w:proofErr w:type="spellEnd"/>
      <w:r w:rsidRPr="003C60ED">
        <w:rPr>
          <w:rFonts w:eastAsia="Times New Roman" w:cs="Arial"/>
          <w:color w:val="000000"/>
          <w:kern w:val="2"/>
          <w:lang w:val="fr-FR"/>
        </w:rPr>
        <w:t xml:space="preserve"> sur les dugongs, a accueilli la 1</w:t>
      </w:r>
      <w:r w:rsidRPr="003C60ED">
        <w:rPr>
          <w:rFonts w:eastAsia="Times New Roman" w:cs="Arial"/>
          <w:color w:val="000000"/>
          <w:kern w:val="2"/>
          <w:vertAlign w:val="superscript"/>
          <w:lang w:val="fr-FR"/>
        </w:rPr>
        <w:t>re</w:t>
      </w:r>
      <w:r w:rsidRPr="003C60ED">
        <w:rPr>
          <w:rFonts w:eastAsia="Times New Roman" w:cs="Arial"/>
          <w:color w:val="000000"/>
          <w:kern w:val="2"/>
          <w:lang w:val="fr-FR"/>
        </w:rPr>
        <w:t xml:space="preserve"> Conférence internationale sur la conservation des récifs coralliens et de la vie marine : «</w:t>
      </w:r>
      <w:r w:rsidRPr="003C60ED">
        <w:rPr>
          <w:rFonts w:eastAsia="Times New Roman" w:cs="Arial"/>
          <w:i/>
          <w:iCs/>
          <w:color w:val="000000"/>
          <w:kern w:val="2"/>
          <w:lang w:val="fr-FR"/>
        </w:rPr>
        <w:t> Conservation des dugongs, de l'échouage aux soins en captivité</w:t>
      </w:r>
      <w:r w:rsidRPr="003C60ED">
        <w:rPr>
          <w:rFonts w:eastAsia="Times New Roman" w:cs="Arial"/>
          <w:color w:val="000000"/>
          <w:kern w:val="2"/>
          <w:lang w:val="fr-FR"/>
        </w:rPr>
        <w:t> », à Pattaya, Thaïlande, du 1er au 3 décembre 2025.</w:t>
      </w:r>
    </w:p>
    <w:p w14:paraId="4243F218" w14:textId="77777777" w:rsidR="00670BDB" w:rsidRPr="003C60ED" w:rsidRDefault="00670BDB">
      <w:pPr>
        <w:suppressAutoHyphens/>
        <w:spacing w:after="0" w:line="240" w:lineRule="auto"/>
        <w:ind w:left="567"/>
        <w:jc w:val="both"/>
        <w:rPr>
          <w:rFonts w:eastAsia="Times New Roman" w:cs="Arial"/>
          <w:color w:val="000000"/>
          <w:kern w:val="2"/>
          <w:lang w:val="fr-FR"/>
        </w:rPr>
      </w:pPr>
    </w:p>
    <w:p w14:paraId="43AB5E65" w14:textId="77777777" w:rsidR="00670BDB" w:rsidRPr="003C60ED" w:rsidRDefault="009D4DE7">
      <w:pPr>
        <w:numPr>
          <w:ilvl w:val="0"/>
          <w:numId w:val="23"/>
        </w:numPr>
        <w:suppressAutoHyphens/>
        <w:spacing w:after="0" w:line="240" w:lineRule="auto"/>
        <w:ind w:left="567" w:hanging="567"/>
        <w:jc w:val="both"/>
        <w:rPr>
          <w:rFonts w:eastAsia="Times New Roman" w:cs="Arial"/>
          <w:color w:val="000000"/>
          <w:kern w:val="2"/>
          <w:lang w:val="fr-FR"/>
        </w:rPr>
      </w:pPr>
      <w:r w:rsidRPr="003C60ED">
        <w:rPr>
          <w:rFonts w:eastAsia="Times New Roman" w:cs="Arial"/>
          <w:color w:val="000000"/>
          <w:kern w:val="2"/>
          <w:lang w:val="fr-FR"/>
        </w:rPr>
        <w:t>Les partenariats avec les organisations non gouvernementales (ONG) ont également été essentiels pour soutenir un certain nombre d'initiatives, notamment la coordination du Plan d'action pour les oiseaux terrestres migrateurs dans la région Afrique-Eurasie (AEMLAP) par la Station ornithologique suisse, ainsi que la mise en œuvre de plusieurs instruments de la CMS, tels que l'Initiative pour les mammifères d'Asie centrale et l'élaboration du Plan d'action mondial pour l'aigle des steppes.</w:t>
      </w:r>
    </w:p>
    <w:p w14:paraId="2051186B" w14:textId="2CC45A2B" w:rsidR="008B22A9" w:rsidRDefault="008B22A9">
      <w:pPr>
        <w:suppressAutoHyphens/>
        <w:spacing w:after="0" w:line="240" w:lineRule="auto"/>
        <w:jc w:val="both"/>
        <w:rPr>
          <w:rFonts w:eastAsia="Times New Roman" w:cs="Arial"/>
          <w:color w:val="000000"/>
          <w:kern w:val="2"/>
          <w:highlight w:val="yellow"/>
          <w:lang w:val="fr-FR"/>
        </w:rPr>
      </w:pPr>
      <w:r>
        <w:rPr>
          <w:rFonts w:eastAsia="Times New Roman" w:cs="Arial"/>
          <w:color w:val="000000"/>
          <w:kern w:val="2"/>
          <w:highlight w:val="yellow"/>
          <w:lang w:val="fr-FR"/>
        </w:rPr>
        <w:br w:type="page"/>
      </w:r>
    </w:p>
    <w:p w14:paraId="62227E89" w14:textId="77777777" w:rsidR="00670BDB" w:rsidRPr="003C60ED" w:rsidRDefault="009D4DE7">
      <w:pPr>
        <w:suppressAutoHyphens/>
        <w:spacing w:after="0" w:line="240" w:lineRule="auto"/>
        <w:jc w:val="both"/>
        <w:rPr>
          <w:rFonts w:eastAsia="Times New Roman" w:cs="Arial"/>
          <w:i/>
          <w:color w:val="000000"/>
          <w:kern w:val="2"/>
        </w:rPr>
      </w:pPr>
      <w:r w:rsidRPr="003C60ED">
        <w:rPr>
          <w:rFonts w:eastAsia="Times New Roman" w:cs="Arial"/>
          <w:i/>
          <w:color w:val="000000"/>
          <w:kern w:val="2"/>
        </w:rPr>
        <w:lastRenderedPageBreak/>
        <w:t>Personnel</w:t>
      </w:r>
    </w:p>
    <w:p w14:paraId="605D3A6A" w14:textId="77777777" w:rsidR="00670BDB" w:rsidRPr="003C60ED" w:rsidRDefault="00670BDB">
      <w:pPr>
        <w:suppressAutoHyphens/>
        <w:spacing w:after="0" w:line="240" w:lineRule="auto"/>
        <w:jc w:val="both"/>
        <w:rPr>
          <w:rFonts w:eastAsia="Times New Roman" w:cs="Arial"/>
          <w:i/>
          <w:color w:val="000000"/>
          <w:kern w:val="2"/>
          <w:lang w:val="fr-FR"/>
        </w:rPr>
      </w:pPr>
    </w:p>
    <w:p w14:paraId="7396DCE1" w14:textId="77777777" w:rsidR="00670BDB" w:rsidRPr="003C60ED" w:rsidRDefault="009D4DE7">
      <w:pPr>
        <w:numPr>
          <w:ilvl w:val="0"/>
          <w:numId w:val="23"/>
        </w:numPr>
        <w:spacing w:after="0" w:line="240" w:lineRule="auto"/>
        <w:ind w:left="567" w:hanging="567"/>
        <w:jc w:val="both"/>
        <w:rPr>
          <w:rFonts w:eastAsia="Arial" w:cs="Arial"/>
          <w:lang w:val="fr-FR"/>
        </w:rPr>
      </w:pPr>
      <w:r w:rsidRPr="003C60ED">
        <w:rPr>
          <w:rFonts w:eastAsia="Arial" w:cs="Arial"/>
          <w:lang w:val="fr-FR"/>
        </w:rPr>
        <w:t xml:space="preserve">Comme le Secrétariat n'a pas pu obtenir de financement pour l'élaboration d'un rapport intérimaire sur l'état des espèces migratrices dans le monde, conformément à la décision 14.24 d), le Centre mondial de surveillance pour la conservation du PNUE s'est proposé de le réaliser à titre gracieux. Le rapport figure dans le document </w:t>
      </w:r>
      <w:hyperlink r:id="rId21" w:history="1">
        <w:r w:rsidRPr="003C60ED">
          <w:rPr>
            <w:rStyle w:val="Hyperlink"/>
            <w:rFonts w:eastAsia="Arial" w:cs="Arial"/>
            <w:lang w:val="fr-FR"/>
          </w:rPr>
          <w:t>UNEP/CMS/COP15/Doc.20.2</w:t>
        </w:r>
      </w:hyperlink>
      <w:r w:rsidRPr="003C60ED">
        <w:rPr>
          <w:rFonts w:eastAsia="Arial" w:cs="Arial"/>
          <w:lang w:val="fr-FR"/>
        </w:rPr>
        <w:t>.</w:t>
      </w:r>
    </w:p>
    <w:p w14:paraId="7DA4A4E9" w14:textId="77777777" w:rsidR="00670BDB" w:rsidRPr="003C60ED" w:rsidRDefault="00670BDB">
      <w:pPr>
        <w:spacing w:after="0" w:line="240" w:lineRule="auto"/>
        <w:ind w:left="567"/>
        <w:jc w:val="both"/>
        <w:rPr>
          <w:rFonts w:eastAsia="Arial" w:cs="Arial"/>
          <w:lang w:val="fr-FR"/>
        </w:rPr>
      </w:pPr>
    </w:p>
    <w:p w14:paraId="3057848B" w14:textId="77777777" w:rsidR="00670BDB" w:rsidRPr="003C60ED" w:rsidRDefault="009D4DE7">
      <w:pPr>
        <w:numPr>
          <w:ilvl w:val="0"/>
          <w:numId w:val="23"/>
        </w:numPr>
        <w:spacing w:after="0" w:line="240" w:lineRule="auto"/>
        <w:ind w:left="567" w:hanging="567"/>
        <w:jc w:val="both"/>
        <w:rPr>
          <w:rFonts w:eastAsia="Arial" w:cs="Arial"/>
          <w:lang w:val="fr-FR"/>
        </w:rPr>
      </w:pPr>
      <w:r w:rsidRPr="003C60ED">
        <w:rPr>
          <w:rFonts w:eastAsia="Times New Roman" w:cs="Arial"/>
          <w:color w:val="000000" w:themeColor="text1"/>
          <w:lang w:val="fr-FR"/>
        </w:rPr>
        <w:t xml:space="preserve">En outre, le gouvernement du Royaume-Uni et le </w:t>
      </w:r>
      <w:r w:rsidRPr="003C60ED">
        <w:rPr>
          <w:rFonts w:eastAsia="Arial" w:cs="Arial"/>
          <w:lang w:val="fr-FR"/>
        </w:rPr>
        <w:t xml:space="preserve">Comité conjoint britannique pour la conservation de la nature (JNCC) ont apporté un soutien en nature pour la préparation des documents destinés à l'atelier d'experts sur le changement climatique et pour la compilation d'études de cas « One Health » pertinentes pour la CMS. </w:t>
      </w:r>
    </w:p>
    <w:p w14:paraId="288492C0" w14:textId="77777777" w:rsidR="00670BDB" w:rsidRPr="003C60ED" w:rsidRDefault="00670BDB">
      <w:pPr>
        <w:spacing w:after="0" w:line="240" w:lineRule="auto"/>
        <w:ind w:left="567"/>
        <w:jc w:val="both"/>
        <w:rPr>
          <w:rFonts w:eastAsia="Arial" w:cs="Arial"/>
          <w:lang w:val="fr-FR"/>
        </w:rPr>
      </w:pPr>
    </w:p>
    <w:p w14:paraId="00FEA9D1" w14:textId="77777777" w:rsidR="00670BDB" w:rsidRDefault="009D4DE7">
      <w:pPr>
        <w:numPr>
          <w:ilvl w:val="0"/>
          <w:numId w:val="23"/>
        </w:numPr>
        <w:suppressAutoHyphens/>
        <w:spacing w:after="0" w:line="240" w:lineRule="auto"/>
        <w:ind w:left="567" w:hanging="567"/>
        <w:jc w:val="both"/>
        <w:rPr>
          <w:rFonts w:eastAsia="Times New Roman" w:cs="Arial"/>
          <w:color w:val="000000"/>
          <w:kern w:val="2"/>
          <w:lang w:val="fr-FR"/>
        </w:rPr>
      </w:pPr>
      <w:r w:rsidRPr="003C60ED">
        <w:rPr>
          <w:rFonts w:eastAsia="Times New Roman" w:cs="Arial"/>
          <w:color w:val="000000"/>
          <w:kern w:val="2"/>
          <w:lang w:val="fr-FR"/>
        </w:rPr>
        <w:t>Grâce à son programme de stages, le Secrétariat a pu bénéficier de l'appui précieux d'étudiants universitaires ou de jeunes diplômés, qui ont assisté le personnel de la CMS dans ses activités quotidiennes. Ces jeunes effectuent leur travail pendant une période de trois à six mois à titre gratuit. Depuis la COP14, 33 stagiaires de différents pays ont aidé le Secrétariat à réaliser des tâches ou des projets qui contribuent aux activités scientifiques, techniques, politiques, administratives et de communication.</w:t>
      </w:r>
    </w:p>
    <w:p w14:paraId="5B261604" w14:textId="77777777" w:rsidR="008B22A9" w:rsidRPr="003C60ED" w:rsidRDefault="008B22A9" w:rsidP="008B22A9">
      <w:pPr>
        <w:suppressAutoHyphens/>
        <w:spacing w:after="0" w:line="240" w:lineRule="auto"/>
        <w:ind w:left="567"/>
        <w:jc w:val="both"/>
        <w:rPr>
          <w:rFonts w:eastAsia="Times New Roman" w:cs="Arial"/>
          <w:color w:val="000000"/>
          <w:kern w:val="2"/>
          <w:lang w:val="fr-FR"/>
        </w:rPr>
      </w:pPr>
    </w:p>
    <w:p w14:paraId="44C57724" w14:textId="77777777" w:rsidR="00670BDB" w:rsidRPr="003C60ED" w:rsidRDefault="009D4DE7">
      <w:pPr>
        <w:numPr>
          <w:ilvl w:val="0"/>
          <w:numId w:val="23"/>
        </w:numPr>
        <w:suppressAutoHyphens/>
        <w:spacing w:after="0" w:line="240" w:lineRule="auto"/>
        <w:ind w:left="567" w:hanging="567"/>
        <w:jc w:val="both"/>
        <w:rPr>
          <w:rFonts w:eastAsia="Times New Roman" w:cs="Arial"/>
          <w:color w:val="000000"/>
          <w:kern w:val="2"/>
          <w:lang w:val="fr-FR"/>
        </w:rPr>
      </w:pPr>
      <w:r w:rsidRPr="003C60ED">
        <w:rPr>
          <w:rFonts w:eastAsia="Times New Roman" w:cs="Arial"/>
          <w:color w:val="000000"/>
          <w:kern w:val="2"/>
          <w:lang w:val="fr-FR"/>
        </w:rPr>
        <w:t xml:space="preserve">Les synergies et le soutien mutuel entre les secrétariats de la famille CMS ont permis d'améliorer l'efficacité des programmes ainsi que celle des activités administratives. De même, le Secrétariat de la CMS et d'autres secrétariats d'accords multilatéraux sur l'environnement (AME) s'apportent souvent un soutien mutuel en matière de personnel pour leurs Conférences des Parties respectives, comme cela a été le cas entre les secrétariats de la CMS et de la CDB pour leurs COP respectives. </w:t>
      </w:r>
    </w:p>
    <w:p w14:paraId="66786D1B" w14:textId="77777777" w:rsidR="00670BDB" w:rsidRPr="003C60ED" w:rsidRDefault="00670BDB">
      <w:pPr>
        <w:suppressAutoHyphens/>
        <w:spacing w:after="0" w:line="240" w:lineRule="auto"/>
        <w:jc w:val="both"/>
        <w:rPr>
          <w:rFonts w:eastAsia="Times New Roman" w:cs="Arial"/>
          <w:color w:val="000000"/>
          <w:kern w:val="2"/>
          <w:lang w:val="fr-FR"/>
        </w:rPr>
      </w:pPr>
    </w:p>
    <w:p w14:paraId="34FE7F9F" w14:textId="77777777" w:rsidR="00670BDB" w:rsidRPr="003C60ED" w:rsidRDefault="009D4DE7">
      <w:pPr>
        <w:suppressAutoHyphens/>
        <w:spacing w:after="0" w:line="240" w:lineRule="auto"/>
        <w:jc w:val="both"/>
        <w:rPr>
          <w:rFonts w:eastAsia="Times New Roman" w:cs="Arial"/>
          <w:b/>
          <w:bCs/>
          <w:color w:val="000000"/>
          <w:kern w:val="2"/>
          <w:lang w:val="fr-FR"/>
        </w:rPr>
      </w:pPr>
      <w:r w:rsidRPr="003C60ED">
        <w:rPr>
          <w:rFonts w:eastAsia="Times New Roman" w:cs="Arial"/>
          <w:b/>
          <w:bCs/>
          <w:color w:val="000000"/>
          <w:kern w:val="2"/>
          <w:lang w:val="fr-FR"/>
        </w:rPr>
        <w:t xml:space="preserve">Propositions de subventions </w:t>
      </w:r>
    </w:p>
    <w:p w14:paraId="2272D64C" w14:textId="77777777" w:rsidR="00670BDB" w:rsidRPr="003C60ED" w:rsidRDefault="00670BDB">
      <w:pPr>
        <w:suppressAutoHyphens/>
        <w:spacing w:after="0" w:line="240" w:lineRule="auto"/>
        <w:jc w:val="both"/>
        <w:rPr>
          <w:rFonts w:eastAsia="Times New Roman" w:cs="Arial"/>
          <w:color w:val="000000"/>
          <w:kern w:val="2"/>
          <w:highlight w:val="yellow"/>
          <w:lang w:val="fr-FR"/>
        </w:rPr>
      </w:pPr>
    </w:p>
    <w:p w14:paraId="2A93EBCA" w14:textId="77777777" w:rsidR="00670BDB" w:rsidRPr="003C60ED" w:rsidRDefault="009D4DE7">
      <w:pPr>
        <w:numPr>
          <w:ilvl w:val="0"/>
          <w:numId w:val="23"/>
        </w:numPr>
        <w:suppressAutoHyphens/>
        <w:spacing w:after="0" w:line="240" w:lineRule="auto"/>
        <w:ind w:left="567" w:hanging="567"/>
        <w:jc w:val="both"/>
        <w:rPr>
          <w:rFonts w:eastAsia="Times New Roman" w:cs="Arial"/>
          <w:color w:val="000000"/>
          <w:kern w:val="2"/>
          <w:lang w:val="fr-FR"/>
        </w:rPr>
      </w:pPr>
      <w:r w:rsidRPr="003C60ED">
        <w:rPr>
          <w:rFonts w:eastAsia="Times New Roman" w:cs="Arial"/>
          <w:color w:val="000000"/>
          <w:kern w:val="2"/>
          <w:lang w:val="fr-FR"/>
        </w:rPr>
        <w:t xml:space="preserve">Le Secrétariat, en coopération avec ses principaux partenaires d'exécution, </w:t>
      </w:r>
      <w:r w:rsidRPr="003C60ED">
        <w:rPr>
          <w:rFonts w:eastAsia="Times New Roman" w:cs="Arial"/>
          <w:color w:val="000000" w:themeColor="text1"/>
          <w:kern w:val="2"/>
          <w:lang w:val="fr-FR"/>
        </w:rPr>
        <w:t>a rédigé</w:t>
      </w:r>
      <w:r w:rsidRPr="003C60ED">
        <w:rPr>
          <w:rFonts w:eastAsia="Times New Roman" w:cs="Arial"/>
          <w:color w:val="000000"/>
          <w:kern w:val="2"/>
          <w:lang w:val="fr-FR"/>
        </w:rPr>
        <w:t xml:space="preserve"> des demandes de subvention afin de faire avancer la mise en œuvre de son mandat et de soutenir les activités de conservation sur le terrain.</w:t>
      </w:r>
    </w:p>
    <w:p w14:paraId="07C9777B" w14:textId="77777777" w:rsidR="00670BDB" w:rsidRPr="003C60ED" w:rsidRDefault="00670BDB">
      <w:pPr>
        <w:suppressAutoHyphens/>
        <w:spacing w:after="0" w:line="240" w:lineRule="auto"/>
        <w:jc w:val="both"/>
        <w:rPr>
          <w:rFonts w:eastAsia="Times New Roman" w:cs="Arial"/>
          <w:color w:val="000000"/>
          <w:kern w:val="2"/>
          <w:highlight w:val="yellow"/>
          <w:u w:val="single"/>
          <w:lang w:val="fr-FR"/>
        </w:rPr>
      </w:pPr>
    </w:p>
    <w:p w14:paraId="56F96E04" w14:textId="77777777" w:rsidR="00670BDB" w:rsidRPr="003C60ED" w:rsidRDefault="009D4DE7">
      <w:pPr>
        <w:suppressAutoHyphens/>
        <w:spacing w:after="0" w:line="240" w:lineRule="auto"/>
        <w:jc w:val="both"/>
        <w:rPr>
          <w:rFonts w:eastAsia="Times New Roman" w:cs="Arial"/>
          <w:i/>
          <w:color w:val="000000"/>
          <w:kern w:val="2"/>
          <w:lang w:val="fr-FR"/>
        </w:rPr>
      </w:pPr>
      <w:r w:rsidRPr="003C60ED">
        <w:rPr>
          <w:rFonts w:eastAsia="Times New Roman" w:cs="Arial"/>
          <w:i/>
          <w:color w:val="000000"/>
          <w:kern w:val="2"/>
          <w:lang w:val="fr-FR"/>
        </w:rPr>
        <w:t>Fonds de Kunming pour la biodiversité</w:t>
      </w:r>
    </w:p>
    <w:p w14:paraId="39FE8278" w14:textId="77777777" w:rsidR="00670BDB" w:rsidRPr="003C60ED" w:rsidRDefault="00670BDB">
      <w:pPr>
        <w:suppressAutoHyphens/>
        <w:spacing w:after="0" w:line="240" w:lineRule="auto"/>
        <w:ind w:left="567" w:hanging="567"/>
        <w:jc w:val="both"/>
        <w:rPr>
          <w:rFonts w:eastAsia="Times New Roman" w:cs="Arial"/>
          <w:i/>
          <w:color w:val="000000"/>
          <w:kern w:val="2"/>
          <w:highlight w:val="yellow"/>
          <w:lang w:val="fr-FR"/>
        </w:rPr>
      </w:pPr>
    </w:p>
    <w:p w14:paraId="73E00876" w14:textId="77777777" w:rsidR="00670BDB" w:rsidRPr="003C60ED" w:rsidRDefault="009D4DE7">
      <w:pPr>
        <w:numPr>
          <w:ilvl w:val="0"/>
          <w:numId w:val="23"/>
        </w:numPr>
        <w:spacing w:after="0" w:line="240" w:lineRule="auto"/>
        <w:ind w:left="567" w:hanging="567"/>
        <w:jc w:val="both"/>
        <w:rPr>
          <w:rFonts w:eastAsia="Times New Roman" w:cs="Arial"/>
          <w:color w:val="000000" w:themeColor="text1"/>
          <w:lang w:val="fr-FR"/>
        </w:rPr>
      </w:pPr>
      <w:r w:rsidRPr="003C60ED">
        <w:rPr>
          <w:rFonts w:eastAsia="Times New Roman" w:cs="Arial"/>
          <w:color w:val="000000"/>
          <w:kern w:val="2"/>
          <w:lang w:val="fr-FR"/>
        </w:rPr>
        <w:t>À la fin de 2024, le Fonds de Kunming pour la biodiversité (KBF) a lancé un appel à propositions</w:t>
      </w:r>
      <w:r w:rsidRPr="003C60ED">
        <w:rPr>
          <w:rFonts w:eastAsia="Times New Roman" w:cs="Arial"/>
          <w:color w:val="000000" w:themeColor="text1"/>
          <w:kern w:val="2"/>
          <w:lang w:val="fr-FR"/>
        </w:rPr>
        <w:t xml:space="preserve"> pour </w:t>
      </w:r>
      <w:r w:rsidRPr="003C60ED">
        <w:rPr>
          <w:rFonts w:eastAsia="Times New Roman" w:cs="Arial"/>
          <w:color w:val="000000"/>
          <w:kern w:val="2"/>
          <w:lang w:val="fr-FR"/>
        </w:rPr>
        <w:t>plusieurs domaines thématiques du Cadre mondial de la biodiversité de Kunming-Montréal, qui sont d'une grande importance pour la CMS et ses instruments. Le Secrétariat a coordonné ses actions avec les points focaux des Parties des pays en développement ainsi qu'avec des ONG partenaires et a soumis 14 notes conceptuelles pour soutenir la mise en œuvre tant au niveau national que régional. Parmi celles-ci, 10 projets ont été retenus pour l'étape suivante : l'élaboration de propositions complètes. En octobre 2025, le Secrétariat du KBF a annoncé que deux projets avaient été retenus, à savoir : « </w:t>
      </w:r>
      <w:r w:rsidRPr="003C60ED">
        <w:rPr>
          <w:rFonts w:eastAsia="Times New Roman" w:cs="Arial"/>
          <w:i/>
          <w:iCs/>
          <w:color w:val="000000"/>
          <w:kern w:val="2"/>
          <w:lang w:val="fr-FR"/>
        </w:rPr>
        <w:t>Évaluation et protection des tortues marines dans la zone protégée de Khore Omiera – Yémen </w:t>
      </w:r>
      <w:r w:rsidRPr="003C60ED">
        <w:rPr>
          <w:rFonts w:eastAsia="Times New Roman" w:cs="Arial"/>
          <w:color w:val="000000"/>
          <w:kern w:val="2"/>
          <w:lang w:val="fr-FR"/>
        </w:rPr>
        <w:t>» et « </w:t>
      </w:r>
      <w:r w:rsidRPr="003C60ED">
        <w:rPr>
          <w:rFonts w:eastAsia="Times New Roman" w:cs="Arial"/>
          <w:i/>
          <w:iCs/>
          <w:color w:val="000000"/>
          <w:kern w:val="2"/>
          <w:lang w:val="fr-FR"/>
        </w:rPr>
        <w:t>Protection et restauration de l'intégrité écologique et de la connectivité des écosystèmes transfrontaliers en Asie centrale</w:t>
      </w:r>
      <w:r w:rsidRPr="003C60ED">
        <w:rPr>
          <w:rFonts w:eastAsia="Times New Roman" w:cs="Arial"/>
          <w:color w:val="000000"/>
          <w:kern w:val="2"/>
          <w:lang w:val="fr-FR"/>
        </w:rPr>
        <w:t xml:space="preserve"> », pour un montant total de 2 797 817 dollars américains. Le Secrétariat envisage de soumettre des propositions dans le cadre du </w:t>
      </w:r>
      <w:r w:rsidRPr="003C60ED">
        <w:rPr>
          <w:rFonts w:eastAsia="Times New Roman" w:cs="Arial"/>
          <w:color w:val="000000" w:themeColor="text1"/>
          <w:lang w:val="fr-FR"/>
        </w:rPr>
        <w:t>prochain</w:t>
      </w:r>
      <w:r w:rsidRPr="003C60ED">
        <w:rPr>
          <w:rFonts w:eastAsia="Times New Roman" w:cs="Arial"/>
          <w:color w:val="000000"/>
          <w:kern w:val="2"/>
          <w:lang w:val="fr-FR"/>
        </w:rPr>
        <w:t xml:space="preserve"> appel</w:t>
      </w:r>
      <w:r w:rsidRPr="003C60ED">
        <w:rPr>
          <w:rFonts w:eastAsia="Times New Roman" w:cs="Arial"/>
          <w:color w:val="000000" w:themeColor="text1"/>
          <w:lang w:val="fr-FR"/>
        </w:rPr>
        <w:t xml:space="preserve"> à propositions</w:t>
      </w:r>
      <w:r w:rsidRPr="003C60ED">
        <w:rPr>
          <w:rFonts w:eastAsia="Times New Roman" w:cs="Arial"/>
          <w:color w:val="000000"/>
          <w:kern w:val="2"/>
          <w:lang w:val="fr-FR"/>
        </w:rPr>
        <w:t>.</w:t>
      </w:r>
    </w:p>
    <w:p w14:paraId="74B19305" w14:textId="77777777" w:rsidR="00670BDB" w:rsidRPr="003C60ED" w:rsidRDefault="00670BDB">
      <w:pPr>
        <w:suppressAutoHyphens/>
        <w:spacing w:after="0" w:line="240" w:lineRule="auto"/>
        <w:jc w:val="both"/>
        <w:rPr>
          <w:rFonts w:eastAsia="Times New Roman" w:cs="Arial"/>
          <w:color w:val="000000"/>
          <w:kern w:val="2"/>
          <w:highlight w:val="yellow"/>
          <w:lang w:val="fr-FR"/>
        </w:rPr>
      </w:pPr>
    </w:p>
    <w:p w14:paraId="5B622645" w14:textId="77777777" w:rsidR="00670BDB" w:rsidRPr="003C60ED" w:rsidRDefault="009D4DE7">
      <w:pPr>
        <w:suppressAutoHyphens/>
        <w:spacing w:after="0" w:line="240" w:lineRule="auto"/>
        <w:jc w:val="both"/>
        <w:rPr>
          <w:rFonts w:eastAsia="Times New Roman" w:cs="Arial"/>
          <w:i/>
          <w:iCs/>
          <w:color w:val="000000"/>
          <w:kern w:val="2"/>
          <w:lang w:val="fr-FR"/>
        </w:rPr>
      </w:pPr>
      <w:r w:rsidRPr="003C60ED">
        <w:rPr>
          <w:rFonts w:eastAsia="Times New Roman" w:cs="Arial"/>
          <w:i/>
          <w:iCs/>
          <w:color w:val="000000"/>
          <w:kern w:val="2"/>
          <w:lang w:val="fr-FR"/>
        </w:rPr>
        <w:t>Initiative internationale pour le climat (IKI)</w:t>
      </w:r>
    </w:p>
    <w:p w14:paraId="5F62FDDB" w14:textId="77777777" w:rsidR="00670BDB" w:rsidRPr="003C60ED" w:rsidRDefault="00670BDB">
      <w:pPr>
        <w:suppressAutoHyphens/>
        <w:spacing w:after="0" w:line="240" w:lineRule="auto"/>
        <w:jc w:val="both"/>
        <w:rPr>
          <w:rFonts w:eastAsia="Times New Roman" w:cs="Arial"/>
          <w:i/>
          <w:iCs/>
          <w:color w:val="000000"/>
          <w:kern w:val="2"/>
          <w:highlight w:val="yellow"/>
          <w:lang w:val="fr-FR"/>
        </w:rPr>
      </w:pPr>
    </w:p>
    <w:p w14:paraId="73B19DC3" w14:textId="77777777" w:rsidR="00670BDB" w:rsidRPr="003C60ED" w:rsidRDefault="009D4DE7">
      <w:pPr>
        <w:numPr>
          <w:ilvl w:val="0"/>
          <w:numId w:val="23"/>
        </w:numPr>
        <w:suppressAutoHyphens/>
        <w:spacing w:after="0" w:line="240" w:lineRule="auto"/>
        <w:ind w:left="567" w:hanging="567"/>
        <w:jc w:val="both"/>
        <w:rPr>
          <w:rFonts w:eastAsia="Times New Roman" w:cs="Arial"/>
          <w:color w:val="000000"/>
          <w:kern w:val="2"/>
          <w:lang w:val="fr-FR"/>
        </w:rPr>
      </w:pPr>
      <w:r w:rsidRPr="003C60ED">
        <w:rPr>
          <w:rFonts w:eastAsia="Times New Roman" w:cs="Arial"/>
          <w:color w:val="000000"/>
          <w:kern w:val="2"/>
          <w:lang w:val="fr-FR"/>
        </w:rPr>
        <w:t xml:space="preserve">En 2024, le projet sur les écosystèmes d'herbiers marins, financé par l'IKI et mis en œuvre dans le cadre du </w:t>
      </w:r>
      <w:proofErr w:type="spellStart"/>
      <w:r w:rsidRPr="003C60ED">
        <w:rPr>
          <w:rFonts w:eastAsia="Times New Roman" w:cs="Arial"/>
          <w:color w:val="000000"/>
          <w:kern w:val="2"/>
          <w:lang w:val="fr-FR"/>
        </w:rPr>
        <w:t>MdE</w:t>
      </w:r>
      <w:proofErr w:type="spellEnd"/>
      <w:r w:rsidRPr="003C60ED">
        <w:rPr>
          <w:rFonts w:eastAsia="Times New Roman" w:cs="Arial"/>
          <w:color w:val="000000"/>
          <w:kern w:val="2"/>
          <w:lang w:val="fr-FR"/>
        </w:rPr>
        <w:t xml:space="preserve"> sur les dugongs, a reçu un financement supplémentaire de 534 304 dollars américains afin d'étendre son périmètre géographique à l'Inde.  Le projet a été prolongé jusqu'à la fin de l'année 2026. À la fin de 2024, l'IKI a lancé un </w:t>
      </w:r>
      <w:r w:rsidRPr="003C60ED">
        <w:rPr>
          <w:rFonts w:eastAsia="Times New Roman" w:cs="Arial"/>
          <w:color w:val="000000"/>
          <w:kern w:val="2"/>
          <w:lang w:val="fr-FR"/>
        </w:rPr>
        <w:lastRenderedPageBreak/>
        <w:t xml:space="preserve">appel thématique axé sur neuf priorités, dont la conservation, la gestion durable et la restauration des écosystèmes critiques pour les espèces migratrices. Le Secrétariat de la CMS a soumis une idée de projet qui n'a malheureusement pas abouti. Le Secrétariat envisage de soumettre des propositions dans le cadre du </w:t>
      </w:r>
      <w:r w:rsidRPr="003C60ED">
        <w:rPr>
          <w:rFonts w:eastAsia="Times New Roman" w:cs="Arial"/>
          <w:color w:val="000000" w:themeColor="text1"/>
          <w:lang w:val="fr-FR"/>
        </w:rPr>
        <w:t>prochain</w:t>
      </w:r>
      <w:r w:rsidRPr="003C60ED">
        <w:rPr>
          <w:rFonts w:eastAsia="Times New Roman" w:cs="Arial"/>
          <w:color w:val="000000"/>
          <w:kern w:val="2"/>
          <w:lang w:val="fr-FR"/>
        </w:rPr>
        <w:t xml:space="preserve"> appel</w:t>
      </w:r>
      <w:r w:rsidRPr="003C60ED">
        <w:rPr>
          <w:rFonts w:eastAsia="Times New Roman" w:cs="Arial"/>
          <w:color w:val="000000" w:themeColor="text1"/>
          <w:lang w:val="fr-FR"/>
        </w:rPr>
        <w:t xml:space="preserve"> à propositions</w:t>
      </w:r>
      <w:r w:rsidRPr="003C60ED">
        <w:rPr>
          <w:rFonts w:eastAsia="Times New Roman" w:cs="Arial"/>
          <w:color w:val="000000"/>
          <w:kern w:val="2"/>
          <w:lang w:val="fr-FR"/>
        </w:rPr>
        <w:t>.</w:t>
      </w:r>
    </w:p>
    <w:p w14:paraId="7FFE2E8F" w14:textId="77777777" w:rsidR="00670BDB" w:rsidRPr="003C60ED" w:rsidRDefault="00670BDB">
      <w:pPr>
        <w:suppressAutoHyphens/>
        <w:spacing w:after="0" w:line="240" w:lineRule="auto"/>
        <w:jc w:val="both"/>
        <w:rPr>
          <w:rFonts w:eastAsia="Times New Roman" w:cs="Arial"/>
          <w:color w:val="000000"/>
          <w:kern w:val="2"/>
          <w:lang w:val="fr-FR"/>
        </w:rPr>
      </w:pPr>
    </w:p>
    <w:p w14:paraId="554D135E" w14:textId="77777777" w:rsidR="00670BDB" w:rsidRPr="003C60ED" w:rsidRDefault="009D4DE7">
      <w:pPr>
        <w:pStyle w:val="ListParagraph"/>
        <w:spacing w:after="0" w:line="240" w:lineRule="auto"/>
        <w:ind w:left="0"/>
        <w:contextualSpacing w:val="0"/>
        <w:jc w:val="both"/>
        <w:rPr>
          <w:rFonts w:cs="Arial"/>
          <w:b/>
          <w:lang w:val="fr-FR"/>
        </w:rPr>
      </w:pPr>
      <w:r w:rsidRPr="003C60ED">
        <w:rPr>
          <w:rFonts w:cs="Arial"/>
          <w:b/>
          <w:lang w:val="fr-FR"/>
        </w:rPr>
        <w:t>Programme des Champions des espèces migratrices</w:t>
      </w:r>
    </w:p>
    <w:p w14:paraId="08ECDAE3" w14:textId="77777777" w:rsidR="00670BDB" w:rsidRPr="003C60ED" w:rsidRDefault="00670BDB">
      <w:pPr>
        <w:pStyle w:val="ListParagraph"/>
        <w:spacing w:after="0" w:line="240" w:lineRule="auto"/>
        <w:ind w:left="0"/>
        <w:contextualSpacing w:val="0"/>
        <w:jc w:val="both"/>
        <w:rPr>
          <w:rFonts w:cs="Arial"/>
          <w:lang w:val="fr-FR"/>
        </w:rPr>
      </w:pPr>
    </w:p>
    <w:p w14:paraId="0195F2DC" w14:textId="447C128F" w:rsidR="00670BDB" w:rsidRPr="003C60ED" w:rsidRDefault="009D4DE7">
      <w:pPr>
        <w:pStyle w:val="ListParagraph"/>
        <w:widowControl w:val="0"/>
        <w:numPr>
          <w:ilvl w:val="0"/>
          <w:numId w:val="14"/>
        </w:numPr>
        <w:autoSpaceDN w:val="0"/>
        <w:spacing w:after="0" w:line="240" w:lineRule="auto"/>
        <w:ind w:left="567" w:hanging="567"/>
        <w:contextualSpacing w:val="0"/>
        <w:jc w:val="both"/>
        <w:rPr>
          <w:rFonts w:cs="Arial"/>
          <w:lang w:val="fr-FR"/>
        </w:rPr>
      </w:pPr>
      <w:r w:rsidRPr="003C60ED">
        <w:rPr>
          <w:rFonts w:cs="Arial"/>
          <w:lang w:val="fr-FR"/>
        </w:rPr>
        <w:t xml:space="preserve">Le </w:t>
      </w:r>
      <w:r w:rsidRPr="003C60ED">
        <w:rPr>
          <w:rFonts w:cs="Arial"/>
          <w:iCs/>
          <w:lang w:val="fr-FR"/>
        </w:rPr>
        <w:t>Programme des Champions des espèces migratrices,</w:t>
      </w:r>
      <w:r w:rsidRPr="003C60ED">
        <w:rPr>
          <w:rFonts w:cs="Arial"/>
          <w:lang w:val="fr-FR"/>
        </w:rPr>
        <w:t xml:space="preserve"> lancé lors de la COP11 en 2014, constitue une approche stratégique pour lutter contre la disparition des espèces migratrices en générant un soutien durable aux travaux de la Convention et de ses accords. Depuis le lancement du programme, 30 « </w:t>
      </w:r>
      <w:r w:rsidRPr="003C60ED">
        <w:rPr>
          <w:rFonts w:cs="Arial"/>
          <w:iCs/>
          <w:lang w:val="fr-FR"/>
        </w:rPr>
        <w:t>Champions</w:t>
      </w:r>
      <w:r w:rsidRPr="003C60ED">
        <w:rPr>
          <w:rFonts w:cs="Arial"/>
          <w:lang w:val="fr-FR"/>
        </w:rPr>
        <w:t xml:space="preserve"> » ont été reconnus par la CMS en marge des quatre dernières COP pour leur soutien généreux et leur engagement en faveur de diverses initiatives, pour un montant de plus de 20 millions d'euros. Il est demandé aux Parties et aux parties prenantes d'envisager de prendre des engagements pour soutenir la mise en œuvre de la Convention et devenir un Champion. Ces engagements seront reconnus lors de la « Nuit des Champions » en marge de la COP15. De plus amples informations sur le </w:t>
      </w:r>
      <w:r w:rsidRPr="003C60ED">
        <w:rPr>
          <w:rFonts w:cs="Arial"/>
          <w:iCs/>
          <w:lang w:val="fr-FR"/>
        </w:rPr>
        <w:t>Programme des champions</w:t>
      </w:r>
      <w:r w:rsidRPr="003C60ED">
        <w:rPr>
          <w:rFonts w:cs="Arial"/>
          <w:lang w:val="fr-FR"/>
        </w:rPr>
        <w:t xml:space="preserve"> sont disponibles sur le site web dédié</w:t>
      </w:r>
      <w:r w:rsidRPr="003C60ED">
        <w:rPr>
          <w:rFonts w:cs="Arial"/>
          <w:spacing w:val="-2"/>
          <w:lang w:val="fr-FR"/>
        </w:rPr>
        <w:t xml:space="preserve"> : </w:t>
      </w:r>
      <w:hyperlink r:id="rId22" w:history="1">
        <w:r w:rsidR="00CE2E72" w:rsidRPr="00CE2E72">
          <w:rPr>
            <w:rStyle w:val="Hyperlink"/>
            <w:rFonts w:cs="Arial"/>
            <w:spacing w:val="-2"/>
            <w:lang w:val="fr-FR"/>
          </w:rPr>
          <w:t>https://www.migratoryspecies.org/fr/champions</w:t>
        </w:r>
      </w:hyperlink>
      <w:r w:rsidR="00B0425E">
        <w:rPr>
          <w:rFonts w:cs="Arial"/>
          <w:spacing w:val="-2"/>
          <w:lang w:val="fr-FR"/>
        </w:rPr>
        <w:t>.</w:t>
      </w:r>
    </w:p>
    <w:p w14:paraId="7E877A6B" w14:textId="77777777" w:rsidR="00F433F0" w:rsidRDefault="00F433F0">
      <w:pPr>
        <w:suppressAutoHyphens/>
        <w:spacing w:after="0" w:line="240" w:lineRule="auto"/>
        <w:jc w:val="both"/>
        <w:rPr>
          <w:rFonts w:eastAsia="Times New Roman" w:cs="Arial"/>
          <w:color w:val="000000"/>
          <w:kern w:val="2"/>
          <w:u w:val="single"/>
          <w:lang w:val="fr-FR"/>
        </w:rPr>
      </w:pPr>
    </w:p>
    <w:p w14:paraId="44CA6116" w14:textId="36BCA80B" w:rsidR="00670BDB" w:rsidRPr="003C60ED" w:rsidRDefault="009D4DE7">
      <w:pPr>
        <w:suppressAutoHyphens/>
        <w:spacing w:after="0" w:line="240" w:lineRule="auto"/>
        <w:jc w:val="both"/>
        <w:rPr>
          <w:rFonts w:eastAsia="Times New Roman" w:cs="Arial"/>
          <w:color w:val="000000"/>
          <w:kern w:val="2"/>
          <w:u w:val="single"/>
          <w:lang w:val="fr-FR"/>
        </w:rPr>
      </w:pPr>
      <w:r w:rsidRPr="003C60ED">
        <w:rPr>
          <w:rFonts w:eastAsia="Times New Roman" w:cs="Arial"/>
          <w:color w:val="000000"/>
          <w:kern w:val="2"/>
          <w:u w:val="single"/>
          <w:lang w:val="fr-FR"/>
        </w:rPr>
        <w:t>Fonds pour l'environnement mondial</w:t>
      </w:r>
    </w:p>
    <w:p w14:paraId="22FB68FA" w14:textId="77777777" w:rsidR="00670BDB" w:rsidRDefault="00670BDB">
      <w:pPr>
        <w:suppressAutoHyphens/>
        <w:spacing w:after="0" w:line="240" w:lineRule="auto"/>
        <w:jc w:val="both"/>
        <w:rPr>
          <w:rFonts w:eastAsia="Times New Roman" w:cs="Arial"/>
          <w:color w:val="000000"/>
          <w:kern w:val="2"/>
          <w:highlight w:val="yellow"/>
          <w:lang w:val="fr-FR"/>
        </w:rPr>
      </w:pPr>
    </w:p>
    <w:p w14:paraId="2C8D67D6" w14:textId="3180CF63" w:rsidR="008B22A9" w:rsidRDefault="008B22A9">
      <w:pPr>
        <w:suppressAutoHyphens/>
        <w:spacing w:after="0" w:line="240" w:lineRule="auto"/>
        <w:jc w:val="both"/>
        <w:rPr>
          <w:rFonts w:eastAsia="Times New Roman" w:cs="Arial"/>
          <w:i/>
          <w:iCs/>
          <w:color w:val="000000"/>
          <w:kern w:val="2"/>
          <w:lang w:val="fr-FR"/>
        </w:rPr>
      </w:pPr>
      <w:r w:rsidRPr="008B22A9">
        <w:rPr>
          <w:rFonts w:eastAsia="Times New Roman" w:cs="Arial"/>
          <w:i/>
          <w:iCs/>
          <w:color w:val="000000"/>
          <w:kern w:val="2"/>
          <w:lang w:val="fr-FR"/>
        </w:rPr>
        <w:t>Contributions au processus de reconstitution des ressources du FEM-9</w:t>
      </w:r>
    </w:p>
    <w:p w14:paraId="758928C4" w14:textId="77777777" w:rsidR="008B22A9" w:rsidRPr="008B22A9" w:rsidRDefault="008B22A9">
      <w:pPr>
        <w:suppressAutoHyphens/>
        <w:spacing w:after="0" w:line="240" w:lineRule="auto"/>
        <w:jc w:val="both"/>
        <w:rPr>
          <w:rFonts w:eastAsia="Times New Roman" w:cs="Arial"/>
          <w:i/>
          <w:iCs/>
          <w:color w:val="000000"/>
          <w:kern w:val="2"/>
          <w:highlight w:val="yellow"/>
          <w:lang w:val="fr-FR"/>
        </w:rPr>
      </w:pPr>
    </w:p>
    <w:p w14:paraId="21F70C73" w14:textId="77777777" w:rsidR="00670BDB" w:rsidRPr="003C60ED" w:rsidRDefault="009D4DE7">
      <w:pPr>
        <w:numPr>
          <w:ilvl w:val="0"/>
          <w:numId w:val="23"/>
        </w:numPr>
        <w:suppressAutoHyphens/>
        <w:spacing w:after="0" w:line="240" w:lineRule="auto"/>
        <w:ind w:left="567" w:hanging="567"/>
        <w:jc w:val="both"/>
        <w:rPr>
          <w:rFonts w:eastAsia="Times New Roman" w:cs="Arial"/>
          <w:color w:val="000000"/>
          <w:kern w:val="2"/>
          <w:lang w:val="fr-FR"/>
        </w:rPr>
      </w:pPr>
      <w:r w:rsidRPr="003C60ED">
        <w:rPr>
          <w:rFonts w:eastAsia="Times New Roman" w:cs="Arial"/>
          <w:color w:val="000000"/>
          <w:kern w:val="2"/>
          <w:lang w:val="fr-FR"/>
        </w:rPr>
        <w:t xml:space="preserve">Bien que le Fonds pour l'environnement mondial (FEM) ne constitue pas un mécanisme financier pour la CMS, des conseils sur les priorités nationales pour la mise en œuvre de la CMS dans le cadre des reconstitutions du FEM peuvent être fournis par l'intermédiaire du Secrétariat de la CDB. La COP de la CMS, par la Résolution 10.25 (Rev.COP14) </w:t>
      </w:r>
      <w:r w:rsidRPr="003C60ED">
        <w:rPr>
          <w:rFonts w:eastAsia="Times New Roman" w:cs="Arial"/>
          <w:i/>
          <w:iCs/>
          <w:color w:val="000000"/>
          <w:kern w:val="2"/>
          <w:lang w:val="fr-FR"/>
        </w:rPr>
        <w:t>Renforcement de l'engagement dans le fonds pour l'environnement mondial</w:t>
      </w:r>
      <w:r w:rsidRPr="003C60ED">
        <w:rPr>
          <w:rFonts w:eastAsia="Times New Roman" w:cs="Arial"/>
          <w:color w:val="000000"/>
          <w:kern w:val="2"/>
          <w:lang w:val="fr-FR"/>
        </w:rPr>
        <w:t xml:space="preserve">, délègue l'autorité d'élaborer ces conseils au Comité permanent de la CMS et demande au Secrétariat de la CMS de les transmettre en son nom au Secrétariat de la CDB. </w:t>
      </w:r>
    </w:p>
    <w:p w14:paraId="1DA55226" w14:textId="77777777" w:rsidR="00670BDB" w:rsidRPr="003C60ED" w:rsidRDefault="00670BDB">
      <w:pPr>
        <w:suppressAutoHyphens/>
        <w:spacing w:after="0" w:line="240" w:lineRule="auto"/>
        <w:ind w:left="567" w:hanging="567"/>
        <w:jc w:val="both"/>
        <w:rPr>
          <w:rFonts w:eastAsia="Times New Roman" w:cs="Arial"/>
          <w:color w:val="000000"/>
          <w:kern w:val="2"/>
          <w:highlight w:val="yellow"/>
          <w:lang w:val="fr-FR"/>
        </w:rPr>
      </w:pPr>
    </w:p>
    <w:p w14:paraId="6A4D4263" w14:textId="77777777" w:rsidR="00670BDB" w:rsidRPr="003C60ED" w:rsidRDefault="009D4DE7">
      <w:pPr>
        <w:numPr>
          <w:ilvl w:val="0"/>
          <w:numId w:val="23"/>
        </w:numPr>
        <w:suppressAutoHyphens/>
        <w:spacing w:after="0" w:line="240" w:lineRule="auto"/>
        <w:ind w:left="567" w:hanging="567"/>
        <w:jc w:val="both"/>
        <w:rPr>
          <w:rFonts w:eastAsia="Times New Roman" w:cs="Arial"/>
          <w:color w:val="000000"/>
          <w:kern w:val="2"/>
          <w:lang w:val="fr-FR"/>
        </w:rPr>
      </w:pPr>
      <w:r w:rsidRPr="003C60ED">
        <w:rPr>
          <w:rFonts w:eastAsia="Times New Roman" w:cs="Arial"/>
          <w:color w:val="000000"/>
          <w:kern w:val="2"/>
          <w:lang w:val="fr-FR"/>
        </w:rPr>
        <w:t>En conséquence, en mai 2025, le Secrétariat de la CMS a préparé ces conseils en vue de leur examen par le Comité permanent de la CMS, en consultation avec son Président, afin d'éclairer l'élaboration de directives stratégiques pour la neuvième période de reconstitution du Fonds d'affectation spéciale du Fonds pour l'environnement mondial (FEM-9, 2026-2030). Ceci est conforme à la décision 15/15 de la CDB, qui a invité les organes directeurs des diverses conventions liées à la biodiversité, y compris la CMS, à contribuer à l'orientation stratégique pour le FEM-9, afin qu'elle soit examinée par la COP16 de la CDB en octobre 2024. </w:t>
      </w:r>
    </w:p>
    <w:p w14:paraId="30F8ADDA" w14:textId="77777777" w:rsidR="00670BDB" w:rsidRPr="003C60ED" w:rsidRDefault="00670BDB">
      <w:pPr>
        <w:suppressAutoHyphens/>
        <w:spacing w:after="0" w:line="240" w:lineRule="auto"/>
        <w:ind w:left="567"/>
        <w:jc w:val="both"/>
        <w:rPr>
          <w:rFonts w:eastAsia="Times New Roman" w:cs="Arial"/>
          <w:color w:val="000000"/>
          <w:kern w:val="2"/>
          <w:lang w:val="fr-FR"/>
        </w:rPr>
      </w:pPr>
    </w:p>
    <w:p w14:paraId="4F324E86" w14:textId="77777777" w:rsidR="00670BDB" w:rsidRPr="003C60ED" w:rsidRDefault="009D4DE7">
      <w:pPr>
        <w:numPr>
          <w:ilvl w:val="0"/>
          <w:numId w:val="23"/>
        </w:numPr>
        <w:suppressAutoHyphens/>
        <w:spacing w:after="0" w:line="240" w:lineRule="auto"/>
        <w:ind w:left="567" w:hanging="567"/>
        <w:jc w:val="both"/>
        <w:rPr>
          <w:rFonts w:eastAsia="Times New Roman" w:cs="Arial"/>
          <w:color w:val="000000"/>
          <w:kern w:val="2"/>
          <w:lang w:val="fr-FR"/>
        </w:rPr>
      </w:pPr>
      <w:r w:rsidRPr="003C60ED">
        <w:rPr>
          <w:rFonts w:eastAsia="Times New Roman" w:cs="Arial"/>
          <w:color w:val="000000"/>
          <w:kern w:val="2"/>
          <w:lang w:val="fr-FR"/>
        </w:rPr>
        <w:t>Ces conseils, qui ont pris la forme d'une Résolution, contenaient des dispositions pertinentes relatives à la conservation des espèces migratrices, alignées sur le Plan stratégique de Samarcande pour les espèces migratrices 2024-2032 et sur le Cadre mondial pour la biodiversité de Kunming-Montréal. </w:t>
      </w:r>
    </w:p>
    <w:p w14:paraId="57FB4BB6" w14:textId="77777777" w:rsidR="00670BDB" w:rsidRPr="003C60ED" w:rsidRDefault="00670BDB">
      <w:pPr>
        <w:suppressAutoHyphens/>
        <w:spacing w:after="0" w:line="240" w:lineRule="auto"/>
        <w:ind w:left="567" w:hanging="567"/>
        <w:jc w:val="both"/>
        <w:rPr>
          <w:rFonts w:eastAsia="Times New Roman" w:cs="Arial"/>
          <w:color w:val="000000"/>
          <w:kern w:val="2"/>
          <w:highlight w:val="yellow"/>
          <w:lang w:val="fr-FR"/>
        </w:rPr>
      </w:pPr>
    </w:p>
    <w:p w14:paraId="5E946792" w14:textId="77777777" w:rsidR="00670BDB" w:rsidRPr="003C60ED" w:rsidRDefault="009D4DE7">
      <w:pPr>
        <w:numPr>
          <w:ilvl w:val="0"/>
          <w:numId w:val="23"/>
        </w:numPr>
        <w:suppressAutoHyphens/>
        <w:spacing w:after="0" w:line="240" w:lineRule="auto"/>
        <w:ind w:left="567" w:hanging="567"/>
        <w:jc w:val="both"/>
        <w:rPr>
          <w:rFonts w:eastAsia="Times New Roman" w:cs="Arial"/>
          <w:color w:val="000000"/>
          <w:kern w:val="2"/>
          <w:lang w:val="fr-FR"/>
        </w:rPr>
      </w:pPr>
      <w:r w:rsidRPr="003C60ED">
        <w:rPr>
          <w:rFonts w:eastAsia="Times New Roman" w:cs="Arial"/>
          <w:color w:val="000000"/>
          <w:kern w:val="2"/>
          <w:lang w:val="fr-FR"/>
        </w:rPr>
        <w:t>Les conseils ont été formulés à un niveau stratégique, en tenant compte du mandat du FEM, des objectifs communs de la CMS et de la CDB, et du rôle prépondérant de la CMS dans la conservation et l'utilisation durable des espèces migratrices d'animaux sauvages et de leurs habitats.</w:t>
      </w:r>
    </w:p>
    <w:p w14:paraId="7E563FCD" w14:textId="77777777" w:rsidR="00670BDB" w:rsidRPr="003C60ED" w:rsidRDefault="00670BDB">
      <w:pPr>
        <w:suppressAutoHyphens/>
        <w:spacing w:after="0" w:line="240" w:lineRule="auto"/>
        <w:ind w:left="567" w:hanging="567"/>
        <w:jc w:val="both"/>
        <w:rPr>
          <w:rFonts w:eastAsia="Times New Roman" w:cs="Arial"/>
          <w:color w:val="000000"/>
          <w:kern w:val="2"/>
          <w:highlight w:val="yellow"/>
          <w:lang w:val="fr-FR"/>
        </w:rPr>
      </w:pPr>
    </w:p>
    <w:p w14:paraId="4DDA8DAA" w14:textId="77777777" w:rsidR="00670BDB" w:rsidRPr="003C60ED" w:rsidRDefault="009D4DE7">
      <w:pPr>
        <w:numPr>
          <w:ilvl w:val="0"/>
          <w:numId w:val="23"/>
        </w:numPr>
        <w:suppressAutoHyphens/>
        <w:spacing w:after="0" w:line="240" w:lineRule="auto"/>
        <w:ind w:left="567" w:hanging="567"/>
        <w:jc w:val="both"/>
        <w:rPr>
          <w:rFonts w:eastAsia="Times New Roman" w:cs="Arial"/>
          <w:color w:val="000000"/>
          <w:kern w:val="2"/>
          <w:lang w:val="fr-FR"/>
        </w:rPr>
      </w:pPr>
      <w:r w:rsidRPr="003C60ED">
        <w:rPr>
          <w:rFonts w:eastAsia="Times New Roman" w:cs="Arial"/>
          <w:color w:val="000000"/>
          <w:kern w:val="2"/>
          <w:lang w:val="fr-FR"/>
        </w:rPr>
        <w:t xml:space="preserve">La Résolution a été transmise au Secrétariat de la CDB en juillet 2024 et a été incluse dans la documentation de pré-session pour examen à la COP16 de la CDB. Les conseils de la CMS ont été mentionnés dans le document </w:t>
      </w:r>
      <w:hyperlink r:id="rId23" w:history="1">
        <w:r w:rsidRPr="003C60ED">
          <w:rPr>
            <w:rStyle w:val="Hyperlink"/>
            <w:rFonts w:cs="Arial"/>
            <w:kern w:val="2"/>
            <w:lang w:val="fr-FR"/>
          </w:rPr>
          <w:t>CBD/COP/16/6/Rev.1</w:t>
        </w:r>
      </w:hyperlink>
      <w:r w:rsidRPr="003C60ED">
        <w:rPr>
          <w:rFonts w:eastAsia="Times New Roman" w:cs="Arial"/>
          <w:color w:val="000000"/>
          <w:kern w:val="2"/>
          <w:lang w:val="fr-FR"/>
        </w:rPr>
        <w:t xml:space="preserve"> et reproduits intégralement dans le document </w:t>
      </w:r>
      <w:hyperlink r:id="rId24" w:history="1">
        <w:r w:rsidRPr="003C60ED">
          <w:rPr>
            <w:rStyle w:val="Hyperlink"/>
            <w:rFonts w:cs="Arial"/>
            <w:kern w:val="2"/>
            <w:lang w:val="fr-FR"/>
          </w:rPr>
          <w:t>CBD/COP/16/6/Add.2</w:t>
        </w:r>
      </w:hyperlink>
      <w:r w:rsidRPr="003C60ED">
        <w:rPr>
          <w:rFonts w:eastAsia="Times New Roman" w:cs="Arial"/>
          <w:color w:val="000000"/>
          <w:kern w:val="2"/>
          <w:lang w:val="fr-FR"/>
        </w:rPr>
        <w:t xml:space="preserve">. </w:t>
      </w:r>
    </w:p>
    <w:p w14:paraId="550B2727" w14:textId="77777777" w:rsidR="00670BDB" w:rsidRPr="003C60ED" w:rsidRDefault="009D4DE7">
      <w:pPr>
        <w:numPr>
          <w:ilvl w:val="0"/>
          <w:numId w:val="23"/>
        </w:numPr>
        <w:suppressAutoHyphens/>
        <w:spacing w:after="0" w:line="240" w:lineRule="auto"/>
        <w:ind w:left="567" w:hanging="567"/>
        <w:jc w:val="both"/>
        <w:rPr>
          <w:rFonts w:eastAsia="Times New Roman" w:cs="Arial"/>
          <w:color w:val="000000"/>
          <w:kern w:val="2"/>
          <w:lang w:val="fr-FR"/>
        </w:rPr>
      </w:pPr>
      <w:r w:rsidRPr="003C60ED">
        <w:rPr>
          <w:rFonts w:eastAsia="Times New Roman" w:cs="Arial"/>
          <w:color w:val="000000"/>
          <w:kern w:val="2"/>
          <w:lang w:val="fr-FR"/>
        </w:rPr>
        <w:lastRenderedPageBreak/>
        <w:t xml:space="preserve">La décision de la CDB relative au mécanisme financier a finalement été adoptée lors de la deuxième session reprise de la COP16 de la CDB, qui s'est tenue à Rome du 25 au 27 février 2025. </w:t>
      </w:r>
      <w:hyperlink r:id="rId25" w:history="1">
        <w:r w:rsidRPr="003C60ED">
          <w:rPr>
            <w:rStyle w:val="Hyperlink"/>
            <w:rFonts w:eastAsia="Times New Roman" w:cs="Arial"/>
            <w:kern w:val="2"/>
            <w:lang w:val="fr-FR"/>
          </w:rPr>
          <w:t>La décision 16/33</w:t>
        </w:r>
      </w:hyperlink>
      <w:r w:rsidRPr="003C60ED">
        <w:rPr>
          <w:rFonts w:eastAsia="Times New Roman" w:cs="Arial"/>
          <w:color w:val="000000"/>
          <w:kern w:val="2"/>
          <w:lang w:val="fr-FR"/>
        </w:rPr>
        <w:t xml:space="preserve"> de la CDB renforce la coopération entre les </w:t>
      </w:r>
      <w:r w:rsidRPr="003C60ED">
        <w:rPr>
          <w:lang w:val="fr-FR"/>
        </w:rPr>
        <w:t>secrétariats des conventions liées à la biodiversité</w:t>
      </w:r>
      <w:r w:rsidRPr="003C60ED">
        <w:rPr>
          <w:rFonts w:eastAsia="Times New Roman" w:cs="Arial"/>
          <w:color w:val="000000"/>
          <w:kern w:val="2"/>
          <w:lang w:val="fr-FR"/>
        </w:rPr>
        <w:t xml:space="preserve"> pour </w:t>
      </w:r>
      <w:r w:rsidRPr="003C60ED">
        <w:rPr>
          <w:lang w:val="fr-FR"/>
        </w:rPr>
        <w:t>préparer des contributions aux orientations des programmes et aux recommandations politiques dans le cadre des négociations du FEM-9.</w:t>
      </w:r>
    </w:p>
    <w:p w14:paraId="27E9D810" w14:textId="77777777" w:rsidR="00670BDB" w:rsidRPr="003C60ED" w:rsidRDefault="00670BDB">
      <w:pPr>
        <w:suppressAutoHyphens/>
        <w:spacing w:after="0" w:line="240" w:lineRule="auto"/>
        <w:jc w:val="both"/>
        <w:rPr>
          <w:rFonts w:eastAsia="Times New Roman" w:cs="Arial"/>
          <w:color w:val="000000"/>
          <w:kern w:val="2"/>
          <w:lang w:val="fr-FR"/>
        </w:rPr>
      </w:pPr>
    </w:p>
    <w:p w14:paraId="5112AFEF" w14:textId="77777777" w:rsidR="00670BDB" w:rsidRPr="003C60ED" w:rsidRDefault="009D4DE7">
      <w:pPr>
        <w:numPr>
          <w:ilvl w:val="0"/>
          <w:numId w:val="23"/>
        </w:numPr>
        <w:suppressAutoHyphens/>
        <w:spacing w:after="0" w:line="240" w:lineRule="auto"/>
        <w:ind w:left="567" w:hanging="567"/>
        <w:jc w:val="both"/>
        <w:rPr>
          <w:rFonts w:eastAsia="Times New Roman" w:cs="Arial"/>
          <w:color w:val="000000"/>
          <w:kern w:val="2"/>
          <w:lang w:val="fr-FR"/>
        </w:rPr>
      </w:pPr>
      <w:r w:rsidRPr="003C60ED">
        <w:rPr>
          <w:rFonts w:eastAsia="Times New Roman" w:cs="Arial"/>
          <w:color w:val="000000"/>
          <w:kern w:val="2"/>
          <w:lang w:val="fr-FR"/>
        </w:rPr>
        <w:t xml:space="preserve">Le Secrétariat a poursuivi ses relations avec le Secrétariat du FEM et a contribué à l’élaboration du document Orientations de programmation du FEM-9 en participant aux réunions des Groupes consultatifs techniques, qui se sont tenues du 18 au 20 février 2025. Il a fourni deux séries de contributions en mai et septembre 2025 par l'intermédiaire du Secrétariat de la CDB, </w:t>
      </w:r>
      <w:r w:rsidRPr="003C60ED">
        <w:rPr>
          <w:rFonts w:eastAsia="Times New Roman" w:cs="Arial"/>
          <w:color w:val="000000" w:themeColor="text1"/>
          <w:kern w:val="2"/>
          <w:lang w:val="fr-FR"/>
        </w:rPr>
        <w:t>dans le but de faire valoir ses priorités</w:t>
      </w:r>
      <w:r w:rsidRPr="003C60ED">
        <w:rPr>
          <w:rFonts w:eastAsia="Times New Roman" w:cs="Arial"/>
          <w:color w:val="000000"/>
          <w:kern w:val="2"/>
          <w:lang w:val="fr-FR"/>
        </w:rPr>
        <w:t>. Celles-ci comprennent la nécessité de soutenir des approches transfrontalières ou à l'échelle des paysages (par exemple le long des voies de migration, des corridors aquatiques et des aires de répartition), qui exigent des pays qu'ils harmonisent leurs priorités nationales, ainsi que les allocations STAR.</w:t>
      </w:r>
      <w:r w:rsidRPr="003C60ED">
        <w:rPr>
          <w:rStyle w:val="FootnoteReference"/>
          <w:rFonts w:eastAsia="Times New Roman"/>
          <w:color w:val="000000"/>
          <w:kern w:val="2"/>
          <w:vertAlign w:val="superscript"/>
          <w:lang w:val="fr-FR"/>
        </w:rPr>
        <w:footnoteReference w:id="2"/>
      </w:r>
    </w:p>
    <w:p w14:paraId="54F440A9" w14:textId="77777777" w:rsidR="00670BDB" w:rsidRPr="003C60ED" w:rsidRDefault="00670BDB">
      <w:pPr>
        <w:suppressAutoHyphens/>
        <w:spacing w:after="0" w:line="240" w:lineRule="auto"/>
        <w:ind w:left="567" w:hanging="567"/>
        <w:jc w:val="both"/>
        <w:rPr>
          <w:rFonts w:eastAsia="Times New Roman" w:cs="Arial"/>
          <w:color w:val="000000"/>
          <w:kern w:val="2"/>
          <w:lang w:val="fr-FR"/>
        </w:rPr>
      </w:pPr>
    </w:p>
    <w:p w14:paraId="69F604FA" w14:textId="4E4BD827" w:rsidR="00670BDB" w:rsidRDefault="009D4DE7" w:rsidP="008B22A9">
      <w:pPr>
        <w:numPr>
          <w:ilvl w:val="0"/>
          <w:numId w:val="23"/>
        </w:numPr>
        <w:suppressAutoHyphens/>
        <w:spacing w:after="0" w:line="240" w:lineRule="auto"/>
        <w:ind w:left="567" w:hanging="567"/>
        <w:jc w:val="both"/>
        <w:rPr>
          <w:rFonts w:eastAsia="Times New Roman" w:cs="Arial"/>
          <w:color w:val="000000"/>
          <w:kern w:val="2"/>
          <w:lang w:val="fr-FR"/>
        </w:rPr>
      </w:pPr>
      <w:r w:rsidRPr="003C60ED">
        <w:rPr>
          <w:rFonts w:eastAsia="Times New Roman" w:cs="Arial"/>
          <w:color w:val="000000"/>
          <w:kern w:val="2"/>
          <w:lang w:val="fr-FR"/>
        </w:rPr>
        <w:t xml:space="preserve">Le Secrétariat de la CMS continue de conseiller et de soutenir, le cas échéant, les Parties à la CMS dans le processus de participation à la programmation du FEM-9 et a pris contact avec certaines agences du FEM pour discuter d'éventuelles interventions. </w:t>
      </w:r>
    </w:p>
    <w:p w14:paraId="00BD5B17" w14:textId="77777777" w:rsidR="008B22A9" w:rsidRDefault="008B22A9" w:rsidP="008B22A9">
      <w:pPr>
        <w:suppressAutoHyphens/>
        <w:spacing w:after="0" w:line="240" w:lineRule="auto"/>
        <w:jc w:val="both"/>
        <w:rPr>
          <w:rFonts w:eastAsia="Times New Roman" w:cs="Arial"/>
          <w:color w:val="000000"/>
          <w:kern w:val="2"/>
          <w:lang w:val="fr-FR"/>
        </w:rPr>
      </w:pPr>
    </w:p>
    <w:p w14:paraId="4E049607" w14:textId="08214E16" w:rsidR="008B22A9" w:rsidRPr="00500538" w:rsidRDefault="008B22A9" w:rsidP="008B22A9">
      <w:pPr>
        <w:suppressAutoHyphens/>
        <w:spacing w:after="0" w:line="240" w:lineRule="auto"/>
        <w:jc w:val="both"/>
        <w:rPr>
          <w:rFonts w:eastAsia="Times New Roman" w:cs="Arial"/>
          <w:i/>
          <w:iCs/>
          <w:color w:val="000000"/>
          <w:kern w:val="2"/>
          <w:lang w:val="fr-FR"/>
        </w:rPr>
      </w:pPr>
      <w:r w:rsidRPr="00500538">
        <w:rPr>
          <w:rFonts w:eastAsia="Times New Roman" w:cs="Arial"/>
          <w:i/>
          <w:iCs/>
          <w:color w:val="000000"/>
          <w:kern w:val="2"/>
          <w:lang w:val="fr-FR"/>
        </w:rPr>
        <w:t>Renforcement du soutien du FEM à la mise en œuvre de la CMS</w:t>
      </w:r>
    </w:p>
    <w:p w14:paraId="20FC747E" w14:textId="77777777" w:rsidR="008B22A9" w:rsidRPr="008B22A9" w:rsidRDefault="008B22A9" w:rsidP="008B22A9">
      <w:pPr>
        <w:suppressAutoHyphens/>
        <w:spacing w:after="0" w:line="240" w:lineRule="auto"/>
        <w:ind w:left="1080"/>
        <w:jc w:val="both"/>
        <w:rPr>
          <w:rFonts w:eastAsia="Times New Roman" w:cs="Arial"/>
          <w:color w:val="000000"/>
          <w:kern w:val="2"/>
          <w:lang w:val="fr-FR"/>
        </w:rPr>
      </w:pPr>
    </w:p>
    <w:p w14:paraId="589E7102" w14:textId="6C7E92B6" w:rsidR="008B22A9" w:rsidRDefault="008B22A9" w:rsidP="00500538">
      <w:pPr>
        <w:numPr>
          <w:ilvl w:val="0"/>
          <w:numId w:val="23"/>
        </w:numPr>
        <w:suppressAutoHyphens/>
        <w:spacing w:after="0" w:line="240" w:lineRule="auto"/>
        <w:ind w:left="567" w:hanging="567"/>
        <w:jc w:val="both"/>
        <w:rPr>
          <w:rFonts w:eastAsia="Times New Roman" w:cs="Arial"/>
          <w:color w:val="000000"/>
          <w:kern w:val="2"/>
          <w:lang w:val="fr-FR"/>
        </w:rPr>
      </w:pPr>
      <w:r w:rsidRPr="008B22A9">
        <w:rPr>
          <w:rFonts w:eastAsia="Times New Roman" w:cs="Arial"/>
          <w:color w:val="000000"/>
          <w:kern w:val="2"/>
          <w:lang w:val="fr-FR"/>
        </w:rPr>
        <w:t>Le FEM sert actuellement de mécanisme financier pour de nombreux accords multilatéraux sur l'environnement, notamment la CDB, la Convention des Nations Unies sur la lutte contre la désertification (CNULD), la Convention-cadre des Nations Unies sur les changements climatiques (CCNUCC) et, plus récemment, la Convention de Minamata sur le mercure. Il a également accepté de jouer ce rôle pour l'Accord relatif à la conservation et à l'utilisation durable de la diversité biologique marine des zones situées dans les zones de la Convention des Nations Unies sur le droit de la mer. Si le financement de la mise en œuvre de ces autres entités a apporté un soutien indirect à la mise en œuvre de la CMS, les priorités en matière de conservation des espèces migratrices et de leurs habitats, ainsi que les principales pressions auxquelles elles sont confrontées, ne sont pas systématiquement traitées comme une préoccupation mondiale distincte.</w:t>
      </w:r>
    </w:p>
    <w:p w14:paraId="20674001" w14:textId="77777777" w:rsidR="00EA582C" w:rsidRDefault="00EA582C" w:rsidP="00EA582C">
      <w:pPr>
        <w:suppressAutoHyphens/>
        <w:spacing w:after="0" w:line="240" w:lineRule="auto"/>
        <w:ind w:left="567"/>
        <w:jc w:val="both"/>
        <w:rPr>
          <w:rFonts w:eastAsia="Times New Roman" w:cs="Arial"/>
          <w:color w:val="000000"/>
          <w:kern w:val="2"/>
          <w:lang w:val="fr-FR"/>
        </w:rPr>
      </w:pPr>
    </w:p>
    <w:p w14:paraId="54D287BA" w14:textId="53FF9891" w:rsidR="003731A3" w:rsidRDefault="00EA582C" w:rsidP="00500538">
      <w:pPr>
        <w:numPr>
          <w:ilvl w:val="0"/>
          <w:numId w:val="23"/>
        </w:numPr>
        <w:suppressAutoHyphens/>
        <w:spacing w:after="0" w:line="240" w:lineRule="auto"/>
        <w:ind w:left="567" w:hanging="567"/>
        <w:jc w:val="both"/>
        <w:rPr>
          <w:rFonts w:eastAsia="Times New Roman" w:cs="Arial"/>
          <w:color w:val="000000"/>
          <w:kern w:val="2"/>
          <w:lang w:val="fr-FR"/>
        </w:rPr>
      </w:pPr>
      <w:r w:rsidRPr="00EA582C">
        <w:rPr>
          <w:rFonts w:eastAsia="Times New Roman" w:cs="Arial"/>
          <w:color w:val="000000"/>
          <w:kern w:val="2"/>
          <w:lang w:val="fr-FR"/>
        </w:rPr>
        <w:t>Le FEM-8 a franchi une première étape importante en reconnaissant l'importance de la conservation des espèces migratrices et de leurs habitats, notamment en incluant explicitement la CMS dans le programme intégré sur la conservation de la faune sauvage pour le développement. Le Secrétariat de la CMS a été invité à siéger au Comité directeur de ce programme intégré. Le FEM-8 a également mis davantage l'accent sur la connectivité écologique dans d'autres domaines de sa programmation.</w:t>
      </w:r>
    </w:p>
    <w:p w14:paraId="21D33B85" w14:textId="77777777" w:rsidR="003731A3" w:rsidRPr="008B22A9" w:rsidRDefault="003731A3" w:rsidP="003731A3">
      <w:pPr>
        <w:suppressAutoHyphens/>
        <w:spacing w:after="0" w:line="240" w:lineRule="auto"/>
        <w:jc w:val="both"/>
        <w:rPr>
          <w:rFonts w:eastAsia="Times New Roman" w:cs="Arial"/>
          <w:color w:val="000000"/>
          <w:kern w:val="2"/>
          <w:lang w:val="fr-FR"/>
        </w:rPr>
      </w:pPr>
    </w:p>
    <w:p w14:paraId="38CA3DCE" w14:textId="23356B3F" w:rsidR="00121603" w:rsidRPr="00121603" w:rsidRDefault="009D4DE7">
      <w:pPr>
        <w:numPr>
          <w:ilvl w:val="0"/>
          <w:numId w:val="23"/>
        </w:numPr>
        <w:suppressAutoHyphens/>
        <w:spacing w:after="0" w:line="240" w:lineRule="auto"/>
        <w:ind w:left="567" w:hanging="567"/>
        <w:jc w:val="both"/>
        <w:rPr>
          <w:lang w:val="fr-FR"/>
        </w:rPr>
      </w:pPr>
      <w:r w:rsidRPr="003C60ED">
        <w:rPr>
          <w:rFonts w:eastAsia="Times New Roman" w:cs="Arial"/>
          <w:color w:val="000000"/>
          <w:kern w:val="2"/>
          <w:lang w:val="fr-FR"/>
        </w:rPr>
        <w:t>Lors de la 56e session du Comité permanent (StC56) en mars 2025, le Secrétariat a rendu compte de sa participation au processus du FEM</w:t>
      </w:r>
      <w:r w:rsidR="00B20A6E">
        <w:rPr>
          <w:rFonts w:eastAsia="Times New Roman" w:cs="Arial"/>
          <w:color w:val="000000"/>
          <w:kern w:val="2"/>
          <w:lang w:val="fr-FR"/>
        </w:rPr>
        <w:t xml:space="preserve">. </w:t>
      </w:r>
      <w:r w:rsidR="00121603" w:rsidRPr="00121603">
        <w:rPr>
          <w:rFonts w:eastAsia="Times New Roman" w:cs="Arial"/>
          <w:color w:val="000000"/>
          <w:kern w:val="2"/>
          <w:lang w:val="fr-FR"/>
        </w:rPr>
        <w:t xml:space="preserve">Au cours des discussions, de nombreuses Parties ont suggéré d'examiner les moyens de renforcer le soutien du FEM à la mise en œuvre de la CMS, notamment l'idée de créer un fonds CMS dans le cadre du FEM. En marge de la réunion, d'autres discussions informelles ont eu lieu entre les Parties intéressées sur les différentes options, notamment la possibilité de désigner le FEM comme mécanisme financier de la CMS. </w:t>
      </w:r>
      <w:r w:rsidR="00E94559" w:rsidRPr="003C60ED">
        <w:rPr>
          <w:lang w:val="fr-FR"/>
        </w:rPr>
        <w:t>Elles ont demandé au Secrétariat d'obtenir des informations complémentaires sur la démarche à suivre</w:t>
      </w:r>
      <w:r w:rsidR="00121603" w:rsidRPr="00121603">
        <w:rPr>
          <w:rFonts w:eastAsia="Times New Roman" w:cs="Arial"/>
          <w:color w:val="000000"/>
          <w:kern w:val="2"/>
          <w:lang w:val="fr-FR"/>
        </w:rPr>
        <w:t>.</w:t>
      </w:r>
    </w:p>
    <w:p w14:paraId="43EBB33F" w14:textId="77777777" w:rsidR="00670BDB" w:rsidRPr="00F01B30" w:rsidRDefault="00670BDB" w:rsidP="00F01B30">
      <w:pPr>
        <w:suppressAutoHyphens/>
        <w:spacing w:after="0" w:line="240" w:lineRule="auto"/>
        <w:ind w:left="567"/>
        <w:jc w:val="both"/>
        <w:rPr>
          <w:lang w:val="fr-FR"/>
        </w:rPr>
      </w:pPr>
    </w:p>
    <w:p w14:paraId="444857A5" w14:textId="596F5C98" w:rsidR="00670BDB" w:rsidRPr="003C60ED" w:rsidRDefault="00DA5130">
      <w:pPr>
        <w:numPr>
          <w:ilvl w:val="0"/>
          <w:numId w:val="23"/>
        </w:numPr>
        <w:suppressAutoHyphens/>
        <w:spacing w:after="0" w:line="240" w:lineRule="auto"/>
        <w:ind w:left="567" w:hanging="567"/>
        <w:jc w:val="both"/>
        <w:rPr>
          <w:lang w:val="fr-FR"/>
        </w:rPr>
      </w:pPr>
      <w:r>
        <w:rPr>
          <w:lang w:val="fr-FR"/>
        </w:rPr>
        <w:lastRenderedPageBreak/>
        <w:t>Suite à la réunio</w:t>
      </w:r>
      <w:r w:rsidR="00A216BB">
        <w:rPr>
          <w:lang w:val="fr-FR"/>
        </w:rPr>
        <w:t>n</w:t>
      </w:r>
      <w:r>
        <w:rPr>
          <w:lang w:val="fr-FR"/>
        </w:rPr>
        <w:t xml:space="preserve">, </w:t>
      </w:r>
      <w:r w:rsidR="009D4DE7" w:rsidRPr="003C60ED">
        <w:rPr>
          <w:lang w:val="fr-FR"/>
        </w:rPr>
        <w:t xml:space="preserve">le Secrétariat a sollicité des </w:t>
      </w:r>
      <w:r w:rsidR="00F01B30">
        <w:rPr>
          <w:lang w:val="fr-FR"/>
        </w:rPr>
        <w:t>informations</w:t>
      </w:r>
      <w:r w:rsidR="009D4DE7" w:rsidRPr="003C60ED">
        <w:rPr>
          <w:lang w:val="fr-FR"/>
        </w:rPr>
        <w:t xml:space="preserve"> auprès du Secrétariat du FEM sur la procédure à suivre pour désigner le FEM comme mécanisme financier. En résumé, </w:t>
      </w:r>
      <w:r w:rsidR="00FD7F8B" w:rsidRPr="00FD7F8B">
        <w:rPr>
          <w:lang w:val="fr-FR"/>
        </w:rPr>
        <w:t xml:space="preserve">la voie normale nécessiterait </w:t>
      </w:r>
      <w:r w:rsidR="009D4DE7" w:rsidRPr="003C60ED">
        <w:rPr>
          <w:lang w:val="fr-FR"/>
        </w:rPr>
        <w:t xml:space="preserve">s une demande de la COP de la CMS, </w:t>
      </w:r>
      <w:r w:rsidR="00416D92">
        <w:rPr>
          <w:lang w:val="fr-FR"/>
        </w:rPr>
        <w:t xml:space="preserve">à la suite de quoi </w:t>
      </w:r>
      <w:r w:rsidR="009D4DE7" w:rsidRPr="003C60ED">
        <w:rPr>
          <w:lang w:val="fr-FR"/>
        </w:rPr>
        <w:t>le Conseil du FEM devrait décider s'il convient d'ajouter la CMS aux AME pour lesquels le FEM agit en tant que mécanisme financier. En cas d'approbation</w:t>
      </w:r>
      <w:r w:rsidR="000624B6">
        <w:rPr>
          <w:lang w:val="fr-FR"/>
        </w:rPr>
        <w:t xml:space="preserve"> par le Conseil du FEM</w:t>
      </w:r>
      <w:r w:rsidR="009D4DE7" w:rsidRPr="003C60ED">
        <w:rPr>
          <w:lang w:val="fr-FR"/>
        </w:rPr>
        <w:t xml:space="preserve">, un mémorandum d'entente </w:t>
      </w:r>
      <w:r w:rsidR="00980CBC">
        <w:rPr>
          <w:lang w:val="fr-FR"/>
        </w:rPr>
        <w:t>devrait être</w:t>
      </w:r>
      <w:r w:rsidR="009D4DE7" w:rsidRPr="003C60ED">
        <w:rPr>
          <w:lang w:val="fr-FR"/>
        </w:rPr>
        <w:t xml:space="preserve"> établi entre les deux instances</w:t>
      </w:r>
      <w:r w:rsidR="00743AF8">
        <w:rPr>
          <w:lang w:val="fr-FR"/>
        </w:rPr>
        <w:t xml:space="preserve">. </w:t>
      </w:r>
      <w:r w:rsidR="007C18FA" w:rsidRPr="007C18FA">
        <w:rPr>
          <w:lang w:val="fr-FR"/>
        </w:rPr>
        <w:t>Enfin, l'Assemblée du FEM devrait approuver cette mesure et modifier l'instrument juridique du FEM.</w:t>
      </w:r>
    </w:p>
    <w:p w14:paraId="444AE440" w14:textId="77777777" w:rsidR="00670BDB" w:rsidRPr="007C18FA" w:rsidRDefault="00670BDB" w:rsidP="007C18FA">
      <w:pPr>
        <w:spacing w:after="0"/>
        <w:rPr>
          <w:lang w:val="fr-FR"/>
        </w:rPr>
      </w:pPr>
    </w:p>
    <w:p w14:paraId="6658E97D" w14:textId="21107698" w:rsidR="007C18FA" w:rsidRPr="007C18FA" w:rsidRDefault="009D4DE7" w:rsidP="007C18FA">
      <w:pPr>
        <w:numPr>
          <w:ilvl w:val="0"/>
          <w:numId w:val="23"/>
        </w:numPr>
        <w:suppressAutoHyphens/>
        <w:spacing w:after="0" w:line="240" w:lineRule="auto"/>
        <w:ind w:left="567" w:hanging="567"/>
        <w:jc w:val="both"/>
        <w:rPr>
          <w:rFonts w:cs="Arial"/>
          <w:u w:val="single"/>
          <w:lang w:val="fr-FR"/>
        </w:rPr>
      </w:pPr>
      <w:r w:rsidRPr="003C60ED">
        <w:rPr>
          <w:lang w:val="fr-FR"/>
        </w:rPr>
        <w:t xml:space="preserve">La conservation des espèces migratrices </w:t>
      </w:r>
      <w:r w:rsidRPr="003C60ED">
        <w:rPr>
          <w:color w:val="000000" w:themeColor="text1"/>
          <w:lang w:val="fr-FR"/>
        </w:rPr>
        <w:t>crée de la valeur</w:t>
      </w:r>
      <w:r w:rsidRPr="003C60ED">
        <w:rPr>
          <w:lang w:val="fr-FR"/>
        </w:rPr>
        <w:t xml:space="preserve"> pour les écosystèmes, les économies, la gestion des terres et la résilience climatique. Le financement </w:t>
      </w:r>
      <w:r w:rsidR="007C18FA">
        <w:rPr>
          <w:lang w:val="fr-FR"/>
        </w:rPr>
        <w:t>de la mise en œuvre de la CMS</w:t>
      </w:r>
      <w:r w:rsidRPr="003C60ED">
        <w:rPr>
          <w:color w:val="000000" w:themeColor="text1"/>
          <w:lang w:val="fr-FR"/>
        </w:rPr>
        <w:t xml:space="preserve"> génère</w:t>
      </w:r>
      <w:r w:rsidR="007C18FA">
        <w:rPr>
          <w:color w:val="000000" w:themeColor="text1"/>
          <w:lang w:val="fr-FR"/>
        </w:rPr>
        <w:t>rait</w:t>
      </w:r>
      <w:r w:rsidRPr="003C60ED">
        <w:rPr>
          <w:color w:val="000000" w:themeColor="text1"/>
          <w:lang w:val="fr-FR"/>
        </w:rPr>
        <w:t xml:space="preserve"> des bénéfices dans plusieurs domaines thématiques, </w:t>
      </w:r>
      <w:r w:rsidRPr="003C60ED">
        <w:rPr>
          <w:lang w:val="fr-FR"/>
        </w:rPr>
        <w:t xml:space="preserve">renforçant ainsi la </w:t>
      </w:r>
      <w:r w:rsidR="007C18FA">
        <w:rPr>
          <w:lang w:val="fr-FR"/>
        </w:rPr>
        <w:t>valeur ajoutée</w:t>
      </w:r>
      <w:r w:rsidRPr="003C60ED">
        <w:rPr>
          <w:lang w:val="fr-FR"/>
        </w:rPr>
        <w:t xml:space="preserve"> du FEM. </w:t>
      </w:r>
    </w:p>
    <w:p w14:paraId="015B430F" w14:textId="77777777" w:rsidR="007C18FA" w:rsidRPr="007C18FA" w:rsidRDefault="007C18FA" w:rsidP="007C18FA">
      <w:pPr>
        <w:suppressAutoHyphens/>
        <w:spacing w:after="0" w:line="240" w:lineRule="auto"/>
        <w:ind w:left="567"/>
        <w:jc w:val="both"/>
        <w:rPr>
          <w:rFonts w:cs="Arial"/>
          <w:u w:val="single"/>
          <w:lang w:val="fr-FR"/>
        </w:rPr>
      </w:pPr>
    </w:p>
    <w:p w14:paraId="3099D981" w14:textId="7C025A9D" w:rsidR="00670BDB" w:rsidRPr="003C60ED" w:rsidRDefault="009D4DE7" w:rsidP="002F78DD">
      <w:pPr>
        <w:suppressAutoHyphens/>
        <w:spacing w:after="0" w:line="240" w:lineRule="auto"/>
        <w:jc w:val="both"/>
        <w:rPr>
          <w:rFonts w:cs="Arial"/>
          <w:u w:val="single"/>
          <w:lang w:val="fr-FR"/>
        </w:rPr>
      </w:pPr>
      <w:r w:rsidRPr="003C60ED">
        <w:rPr>
          <w:rFonts w:cs="Arial"/>
          <w:u w:val="single"/>
          <w:lang w:val="fr-FR"/>
        </w:rPr>
        <w:t>Besoins de financement</w:t>
      </w:r>
    </w:p>
    <w:p w14:paraId="1939F4CB" w14:textId="77777777" w:rsidR="00670BDB" w:rsidRPr="003C60ED" w:rsidRDefault="00670BDB">
      <w:pPr>
        <w:pStyle w:val="ListParagraph"/>
        <w:spacing w:after="0" w:line="240" w:lineRule="auto"/>
        <w:ind w:left="0"/>
        <w:contextualSpacing w:val="0"/>
        <w:rPr>
          <w:rFonts w:cs="Arial"/>
          <w:lang w:val="fr-FR"/>
        </w:rPr>
      </w:pPr>
    </w:p>
    <w:p w14:paraId="5F70DBCC" w14:textId="7DF8A6B8" w:rsidR="00670BDB" w:rsidRPr="003C60ED" w:rsidRDefault="007C18FA">
      <w:pPr>
        <w:pStyle w:val="ListParagraph"/>
        <w:widowControl w:val="0"/>
        <w:numPr>
          <w:ilvl w:val="0"/>
          <w:numId w:val="14"/>
        </w:numPr>
        <w:autoSpaceDN w:val="0"/>
        <w:spacing w:after="0" w:line="240" w:lineRule="auto"/>
        <w:ind w:left="567" w:hanging="567"/>
        <w:contextualSpacing w:val="0"/>
        <w:jc w:val="both"/>
        <w:rPr>
          <w:rFonts w:cs="Arial"/>
          <w:lang w:val="fr-FR"/>
        </w:rPr>
      </w:pPr>
      <w:r>
        <w:rPr>
          <w:rFonts w:cs="Arial"/>
          <w:lang w:val="fr-FR"/>
        </w:rPr>
        <w:t xml:space="preserve">Dans le cadre du document </w:t>
      </w:r>
      <w:hyperlink r:id="rId26" w:history="1">
        <w:r w:rsidRPr="007C18FA">
          <w:rPr>
            <w:rStyle w:val="Hyperlink"/>
            <w:rFonts w:cs="Arial"/>
            <w:lang w:val="fr-FR"/>
          </w:rPr>
          <w:t>UNEP/CMS/COP15/Doc.14.2</w:t>
        </w:r>
      </w:hyperlink>
      <w:r>
        <w:rPr>
          <w:rFonts w:cs="Arial"/>
          <w:lang w:val="fr-FR"/>
        </w:rPr>
        <w:t xml:space="preserve"> </w:t>
      </w:r>
      <w:r w:rsidRPr="007C18FA">
        <w:rPr>
          <w:rFonts w:cs="Arial"/>
          <w:i/>
          <w:iCs/>
          <w:lang w:val="fr-FR"/>
        </w:rPr>
        <w:t>Budget pour 2027-2029 et programme de travail pour la période intersessions entre la COP15 et la COP16</w:t>
      </w:r>
      <w:r>
        <w:rPr>
          <w:rFonts w:cs="Arial"/>
          <w:lang w:val="fr-FR"/>
        </w:rPr>
        <w:t>, l</w:t>
      </w:r>
      <w:r w:rsidR="009D4DE7" w:rsidRPr="003C60ED">
        <w:rPr>
          <w:rFonts w:cs="Arial"/>
          <w:lang w:val="fr-FR"/>
        </w:rPr>
        <w:t xml:space="preserve">e Secrétariat a élaboré un Programme de travail pour </w:t>
      </w:r>
      <w:r>
        <w:rPr>
          <w:rFonts w:cs="Arial"/>
          <w:lang w:val="fr-FR"/>
        </w:rPr>
        <w:t>202</w:t>
      </w:r>
      <w:r w:rsidR="009D78B4">
        <w:rPr>
          <w:rFonts w:cs="Arial"/>
          <w:lang w:val="fr-FR"/>
        </w:rPr>
        <w:t>6</w:t>
      </w:r>
      <w:r>
        <w:rPr>
          <w:rFonts w:cs="Arial"/>
          <w:lang w:val="fr-FR"/>
        </w:rPr>
        <w:t>-2029</w:t>
      </w:r>
      <w:r w:rsidR="009D4DE7" w:rsidRPr="003C60ED">
        <w:rPr>
          <w:rFonts w:cs="Arial"/>
          <w:lang w:val="fr-FR"/>
        </w:rPr>
        <w:t xml:space="preserve"> pour examen par la COP15.</w:t>
      </w:r>
      <w:r w:rsidR="009D78B4">
        <w:rPr>
          <w:rFonts w:cs="Arial"/>
          <w:lang w:val="fr-FR"/>
        </w:rPr>
        <w:t xml:space="preserve"> </w:t>
      </w:r>
      <w:r w:rsidR="009D78B4" w:rsidRPr="009D78B4">
        <w:rPr>
          <w:rFonts w:cs="Arial"/>
          <w:lang w:val="fr-FR"/>
        </w:rPr>
        <w:t xml:space="preserve">Ce </w:t>
      </w:r>
      <w:proofErr w:type="spellStart"/>
      <w:r w:rsidR="009D78B4" w:rsidRPr="009D78B4">
        <w:rPr>
          <w:rFonts w:cs="Arial"/>
          <w:lang w:val="fr-FR"/>
        </w:rPr>
        <w:t>PdT</w:t>
      </w:r>
      <w:proofErr w:type="spellEnd"/>
      <w:r w:rsidR="009D78B4" w:rsidRPr="009D78B4">
        <w:rPr>
          <w:rFonts w:cs="Arial"/>
          <w:lang w:val="fr-FR"/>
        </w:rPr>
        <w:t xml:space="preserve"> est basé sur un nouveau modèle qui a été approuvé par la 56</w:t>
      </w:r>
      <w:r w:rsidR="009D78B4" w:rsidRPr="009D78B4">
        <w:rPr>
          <w:rFonts w:cs="Arial"/>
          <w:vertAlign w:val="superscript"/>
          <w:lang w:val="fr-FR"/>
        </w:rPr>
        <w:t>e</w:t>
      </w:r>
      <w:r w:rsidR="009D78B4" w:rsidRPr="009D78B4">
        <w:rPr>
          <w:rFonts w:cs="Arial"/>
          <w:lang w:val="fr-FR"/>
        </w:rPr>
        <w:t xml:space="preserve"> réunion du Comité permanent en mars 2025. Il suit une méthodologie axée sur les résultats, avec des activités contribuant aux objectifs et cibles du Plan stratégique de Samarcande pour les espèces migratrices, des informations sur les résultats attendus et les mandats, et chaque activité étant soutenue par un budget détaillé par objets de dépense.</w:t>
      </w:r>
      <w:r w:rsidR="009D4DE7" w:rsidRPr="003C60ED">
        <w:rPr>
          <w:rFonts w:cs="Arial"/>
          <w:lang w:val="fr-FR"/>
        </w:rPr>
        <w:t xml:space="preserve"> Le </w:t>
      </w:r>
      <w:proofErr w:type="spellStart"/>
      <w:r w:rsidR="009D4DE7" w:rsidRPr="003C60ED">
        <w:rPr>
          <w:rFonts w:cs="Arial"/>
          <w:lang w:val="fr-FR"/>
        </w:rPr>
        <w:t>PdT</w:t>
      </w:r>
      <w:proofErr w:type="spellEnd"/>
      <w:r w:rsidR="009D4DE7" w:rsidRPr="003C60ED">
        <w:rPr>
          <w:rFonts w:cs="Arial"/>
          <w:lang w:val="fr-FR"/>
        </w:rPr>
        <w:t xml:space="preserve"> comprend des estimations des ressources humaines et financières nécessaires à la mise en œuvre des activités pour la période 2026‑2029. Il tient compte des allocations proposées dans les trois scénarios possibles du budget pour la période à venir et </w:t>
      </w:r>
      <w:r w:rsidR="009D4DE7" w:rsidRPr="003C60ED">
        <w:rPr>
          <w:rFonts w:cs="Arial"/>
          <w:color w:val="000000" w:themeColor="text1"/>
          <w:lang w:val="fr-FR"/>
        </w:rPr>
        <w:t>précise</w:t>
      </w:r>
      <w:r w:rsidR="009D4DE7" w:rsidRPr="003C60ED">
        <w:rPr>
          <w:rFonts w:cs="Arial"/>
          <w:lang w:val="fr-FR"/>
        </w:rPr>
        <w:t xml:space="preserve"> le niveau de ressources supplémentaires nécessaires au Secrétariat pour assurer la pleine mise en œuvre de son mandat futur. Ce document servira de base aux efforts de mobilisation des ressources pour la prochaine période quadriennale.</w:t>
      </w:r>
    </w:p>
    <w:p w14:paraId="07AD08F7" w14:textId="77777777" w:rsidR="00670BDB" w:rsidRPr="003C60ED" w:rsidRDefault="00670BDB">
      <w:pPr>
        <w:widowControl w:val="0"/>
        <w:autoSpaceDN w:val="0"/>
        <w:spacing w:after="0" w:line="240" w:lineRule="auto"/>
        <w:jc w:val="both"/>
        <w:rPr>
          <w:rFonts w:cs="Arial"/>
          <w:lang w:val="fr-FR"/>
        </w:rPr>
      </w:pPr>
    </w:p>
    <w:p w14:paraId="143D95C5" w14:textId="77777777" w:rsidR="00670BDB" w:rsidRPr="003C60ED" w:rsidRDefault="009D4DE7">
      <w:pPr>
        <w:spacing w:after="0" w:line="240" w:lineRule="auto"/>
        <w:rPr>
          <w:rFonts w:cs="Arial"/>
          <w:u w:val="single"/>
          <w:lang w:val="fr-FR"/>
        </w:rPr>
      </w:pPr>
      <w:r w:rsidRPr="003C60ED">
        <w:rPr>
          <w:rFonts w:cs="Arial"/>
          <w:u w:val="single"/>
          <w:lang w:val="fr-FR"/>
        </w:rPr>
        <w:t>Discussion et analyse</w:t>
      </w:r>
    </w:p>
    <w:p w14:paraId="19A75639" w14:textId="77777777" w:rsidR="00670BDB" w:rsidRPr="003C60ED" w:rsidRDefault="00670BDB">
      <w:pPr>
        <w:widowControl w:val="0"/>
        <w:autoSpaceDN w:val="0"/>
        <w:spacing w:after="0" w:line="240" w:lineRule="auto"/>
        <w:jc w:val="both"/>
        <w:rPr>
          <w:rFonts w:cs="Arial"/>
          <w:lang w:val="fr-FR"/>
        </w:rPr>
      </w:pPr>
    </w:p>
    <w:p w14:paraId="3099AB30" w14:textId="77777777" w:rsidR="009D78B4" w:rsidRPr="009D78B4" w:rsidRDefault="009D78B4" w:rsidP="009D78B4">
      <w:pPr>
        <w:pStyle w:val="ListParagraph"/>
        <w:widowControl w:val="0"/>
        <w:numPr>
          <w:ilvl w:val="0"/>
          <w:numId w:val="14"/>
        </w:numPr>
        <w:autoSpaceDN w:val="0"/>
        <w:spacing w:after="0" w:line="240" w:lineRule="auto"/>
        <w:ind w:left="567" w:hanging="567"/>
        <w:jc w:val="both"/>
        <w:rPr>
          <w:rFonts w:cs="Arial"/>
          <w:lang w:val="fr-FR"/>
        </w:rPr>
      </w:pPr>
      <w:r w:rsidRPr="009D78B4">
        <w:rPr>
          <w:rFonts w:cs="Arial"/>
          <w:lang w:val="fr-FR"/>
        </w:rPr>
        <w:t>Malgré la courte période intersessions, le Secrétariat a réussi à mobiliser des ressources importantes. Néanmoins, de nombreux besoins de financement restent insatisfaits.</w:t>
      </w:r>
    </w:p>
    <w:p w14:paraId="12492025" w14:textId="77777777" w:rsidR="009D78B4" w:rsidRPr="009D78B4" w:rsidRDefault="009D78B4" w:rsidP="009D78B4">
      <w:pPr>
        <w:pStyle w:val="ListParagraph"/>
        <w:widowControl w:val="0"/>
        <w:autoSpaceDN w:val="0"/>
        <w:spacing w:after="0" w:line="240" w:lineRule="auto"/>
        <w:ind w:left="567" w:hanging="567"/>
        <w:jc w:val="both"/>
        <w:rPr>
          <w:rFonts w:cs="Arial"/>
          <w:lang w:val="fr-FR"/>
        </w:rPr>
      </w:pPr>
    </w:p>
    <w:p w14:paraId="008FD26D" w14:textId="59EB4F04" w:rsidR="009D78B4" w:rsidRDefault="009D78B4" w:rsidP="009D78B4">
      <w:pPr>
        <w:pStyle w:val="ListParagraph"/>
        <w:widowControl w:val="0"/>
        <w:numPr>
          <w:ilvl w:val="0"/>
          <w:numId w:val="14"/>
        </w:numPr>
        <w:autoSpaceDN w:val="0"/>
        <w:spacing w:after="0" w:line="240" w:lineRule="auto"/>
        <w:ind w:left="567" w:hanging="567"/>
        <w:contextualSpacing w:val="0"/>
        <w:jc w:val="both"/>
        <w:rPr>
          <w:rFonts w:cs="Arial"/>
          <w:lang w:val="fr-FR"/>
        </w:rPr>
      </w:pPr>
      <w:r w:rsidRPr="009D78B4">
        <w:rPr>
          <w:rFonts w:cs="Arial"/>
          <w:lang w:val="fr-FR"/>
        </w:rPr>
        <w:t>Les ressources humaines nécessaires au Secrétariat pour identifier, obtenir et dépenser les ressources volontaires sont considérables.  Disposer d'un financement pluriannuel prévisible, comme le prévoit le programme Champion, contribue à réduire ces coûts de transaction.</w:t>
      </w:r>
    </w:p>
    <w:p w14:paraId="3556F7EF" w14:textId="77777777" w:rsidR="009D78B4" w:rsidRDefault="009D78B4" w:rsidP="009D78B4">
      <w:pPr>
        <w:pStyle w:val="ListParagraph"/>
        <w:widowControl w:val="0"/>
        <w:autoSpaceDN w:val="0"/>
        <w:spacing w:after="0" w:line="240" w:lineRule="auto"/>
        <w:ind w:left="567"/>
        <w:contextualSpacing w:val="0"/>
        <w:jc w:val="both"/>
        <w:rPr>
          <w:rFonts w:cs="Arial"/>
          <w:lang w:val="fr-FR"/>
        </w:rPr>
      </w:pPr>
    </w:p>
    <w:p w14:paraId="74E24615" w14:textId="759B9A3C" w:rsidR="00670BDB" w:rsidRDefault="009D78B4" w:rsidP="003229E6">
      <w:pPr>
        <w:pStyle w:val="ListParagraph"/>
        <w:widowControl w:val="0"/>
        <w:numPr>
          <w:ilvl w:val="0"/>
          <w:numId w:val="14"/>
        </w:numPr>
        <w:autoSpaceDN w:val="0"/>
        <w:spacing w:after="0" w:line="240" w:lineRule="auto"/>
        <w:ind w:left="567" w:hanging="567"/>
        <w:contextualSpacing w:val="0"/>
        <w:jc w:val="both"/>
        <w:rPr>
          <w:rFonts w:cs="Arial"/>
          <w:lang w:val="fr-FR"/>
        </w:rPr>
      </w:pPr>
      <w:r w:rsidRPr="009D78B4">
        <w:rPr>
          <w:rFonts w:cs="Arial"/>
          <w:lang w:val="fr-FR"/>
        </w:rPr>
        <w:t>En ce qui concerne le FEM, bien que certaines priorités de la CMS aient été plus clairement prises en compte dans la programmation du FEM8, celui-ci ne sert pas actuellement de mécanisme financier pour la CMS, et de nombreux domaines nécessitant une aide ne sont pas pris en charge.</w:t>
      </w:r>
    </w:p>
    <w:p w14:paraId="52C74B51" w14:textId="77777777" w:rsidR="009D78B4" w:rsidRPr="009D78B4" w:rsidRDefault="009D78B4" w:rsidP="009D78B4">
      <w:pPr>
        <w:pStyle w:val="ListParagraph"/>
        <w:widowControl w:val="0"/>
        <w:autoSpaceDN w:val="0"/>
        <w:spacing w:after="0" w:line="240" w:lineRule="auto"/>
        <w:ind w:left="567"/>
        <w:contextualSpacing w:val="0"/>
        <w:jc w:val="both"/>
        <w:rPr>
          <w:rFonts w:cs="Arial"/>
          <w:lang w:val="fr-FR"/>
        </w:rPr>
      </w:pPr>
    </w:p>
    <w:p w14:paraId="640456EF" w14:textId="108B528C" w:rsidR="00670BDB" w:rsidRDefault="009D4DE7" w:rsidP="00C65713">
      <w:pPr>
        <w:pStyle w:val="ListParagraph"/>
        <w:widowControl w:val="0"/>
        <w:numPr>
          <w:ilvl w:val="0"/>
          <w:numId w:val="14"/>
        </w:numPr>
        <w:autoSpaceDN w:val="0"/>
        <w:spacing w:after="0" w:line="240" w:lineRule="auto"/>
        <w:ind w:left="567" w:hanging="567"/>
        <w:contextualSpacing w:val="0"/>
        <w:jc w:val="both"/>
        <w:rPr>
          <w:rFonts w:cs="Arial"/>
          <w:lang w:val="fr-FR"/>
        </w:rPr>
      </w:pPr>
      <w:r w:rsidRPr="009D78B4">
        <w:rPr>
          <w:rFonts w:cs="Arial"/>
          <w:lang w:val="fr-FR"/>
        </w:rPr>
        <w:t xml:space="preserve">Les Parties à la CMS pourraient décider, </w:t>
      </w:r>
      <w:r w:rsidRPr="009D78B4">
        <w:rPr>
          <w:rFonts w:cs="Arial"/>
          <w:color w:val="000000" w:themeColor="text1"/>
          <w:lang w:val="fr-FR"/>
        </w:rPr>
        <w:t>à l'occasion de la Conférence des Parties,</w:t>
      </w:r>
      <w:r w:rsidRPr="009D78B4">
        <w:rPr>
          <w:rFonts w:cs="Arial"/>
          <w:lang w:val="fr-FR"/>
        </w:rPr>
        <w:t xml:space="preserve"> d</w:t>
      </w:r>
      <w:r w:rsidR="009D78B4" w:rsidRPr="009D78B4">
        <w:rPr>
          <w:rFonts w:cs="Arial"/>
          <w:lang w:val="fr-FR"/>
        </w:rPr>
        <w:t>’étudier les possibilités de renforcer le soutien du FEM à la mise en œuvre de la CMS, notamment en faisant du FEM le mécanisme financier de la CMS, et inviter le FEM à examiner et à soutenir ces options</w:t>
      </w:r>
      <w:r w:rsidR="009D78B4">
        <w:rPr>
          <w:rFonts w:cs="Arial"/>
          <w:lang w:val="fr-FR"/>
        </w:rPr>
        <w:t>.</w:t>
      </w:r>
    </w:p>
    <w:p w14:paraId="00EE60B0" w14:textId="77777777" w:rsidR="009D78B4" w:rsidRPr="009D78B4" w:rsidRDefault="009D78B4" w:rsidP="009D78B4">
      <w:pPr>
        <w:pStyle w:val="ListParagraph"/>
        <w:widowControl w:val="0"/>
        <w:autoSpaceDN w:val="0"/>
        <w:spacing w:after="0" w:line="240" w:lineRule="auto"/>
        <w:ind w:left="567"/>
        <w:contextualSpacing w:val="0"/>
        <w:jc w:val="both"/>
        <w:rPr>
          <w:rStyle w:val="normaltextrun"/>
          <w:rFonts w:cs="Arial"/>
          <w:lang w:val="fr-FR"/>
        </w:rPr>
      </w:pPr>
    </w:p>
    <w:p w14:paraId="1587F0D5" w14:textId="5FA1F292" w:rsidR="00670BDB" w:rsidRDefault="009D78B4">
      <w:pPr>
        <w:pStyle w:val="ListParagraph"/>
        <w:widowControl w:val="0"/>
        <w:numPr>
          <w:ilvl w:val="0"/>
          <w:numId w:val="14"/>
        </w:numPr>
        <w:autoSpaceDN w:val="0"/>
        <w:spacing w:after="0" w:line="240" w:lineRule="auto"/>
        <w:ind w:left="567" w:hanging="567"/>
        <w:contextualSpacing w:val="0"/>
        <w:jc w:val="both"/>
        <w:rPr>
          <w:rFonts w:cs="Arial"/>
          <w:lang w:val="fr-FR"/>
        </w:rPr>
      </w:pPr>
      <w:r>
        <w:rPr>
          <w:rStyle w:val="normaltextrun"/>
          <w:rFonts w:cs="Arial"/>
          <w:lang w:val="fr-FR"/>
        </w:rPr>
        <w:t>Par conséquent, l</w:t>
      </w:r>
      <w:r w:rsidR="009D4DE7" w:rsidRPr="003C60ED">
        <w:rPr>
          <w:rStyle w:val="normaltextrun"/>
          <w:rFonts w:cs="Arial"/>
          <w:lang w:val="fr-FR"/>
        </w:rPr>
        <w:t xml:space="preserve">es amendements à la </w:t>
      </w:r>
      <w:r w:rsidR="009D4DE7" w:rsidRPr="003C60ED">
        <w:rPr>
          <w:rFonts w:cs="Arial"/>
          <w:lang w:val="fr-FR"/>
        </w:rPr>
        <w:t xml:space="preserve">Résolution 10.25 (Rev.COP14) </w:t>
      </w:r>
      <w:r w:rsidR="009D4DE7" w:rsidRPr="003C60ED">
        <w:rPr>
          <w:rFonts w:cs="Arial"/>
          <w:i/>
          <w:iCs/>
          <w:lang w:val="fr-FR"/>
        </w:rPr>
        <w:t xml:space="preserve">Renforcement de l'engagement dans le fonds pour l'environnement </w:t>
      </w:r>
      <w:r w:rsidR="009D4DE7" w:rsidRPr="003C60ED">
        <w:rPr>
          <w:rFonts w:cs="Arial"/>
          <w:i/>
          <w:iCs/>
          <w:color w:val="000000" w:themeColor="text1"/>
          <w:lang w:val="fr-FR"/>
        </w:rPr>
        <w:t>mondial</w:t>
      </w:r>
      <w:r w:rsidR="009D4DE7" w:rsidRPr="003C60ED">
        <w:rPr>
          <w:rFonts w:cs="Arial"/>
          <w:color w:val="000000" w:themeColor="text1"/>
          <w:lang w:val="fr-FR"/>
        </w:rPr>
        <w:t xml:space="preserve"> </w:t>
      </w:r>
      <w:r>
        <w:rPr>
          <w:rFonts w:cs="Arial"/>
          <w:color w:val="000000" w:themeColor="text1"/>
          <w:lang w:val="fr-FR"/>
        </w:rPr>
        <w:t xml:space="preserve">sont </w:t>
      </w:r>
      <w:r w:rsidR="009D4DE7" w:rsidRPr="003C60ED">
        <w:rPr>
          <w:rFonts w:cs="Arial"/>
          <w:lang w:val="fr-FR"/>
        </w:rPr>
        <w:t>présentés respectivement dans les Annexes 1 et 2</w:t>
      </w:r>
      <w:r>
        <w:rPr>
          <w:rFonts w:cs="Arial"/>
          <w:lang w:val="fr-FR"/>
        </w:rPr>
        <w:t>.</w:t>
      </w:r>
    </w:p>
    <w:p w14:paraId="4335FB1C" w14:textId="3729E4D6" w:rsidR="009D78B4" w:rsidRDefault="009D78B4" w:rsidP="009D78B4">
      <w:pPr>
        <w:spacing w:after="0" w:line="240" w:lineRule="auto"/>
        <w:ind w:left="540" w:hanging="540"/>
        <w:rPr>
          <w:rFonts w:cs="Arial"/>
          <w:u w:val="single"/>
          <w:lang w:val="fr-FR"/>
        </w:rPr>
      </w:pPr>
      <w:r w:rsidRPr="003C60ED">
        <w:rPr>
          <w:rFonts w:cs="Arial"/>
          <w:u w:val="single"/>
          <w:lang w:val="fr-FR"/>
        </w:rPr>
        <w:lastRenderedPageBreak/>
        <w:t>Actions recommandées</w:t>
      </w:r>
    </w:p>
    <w:p w14:paraId="51E1EF1C" w14:textId="77777777" w:rsidR="009D78B4" w:rsidRPr="003C60ED" w:rsidRDefault="009D78B4" w:rsidP="009D78B4">
      <w:pPr>
        <w:spacing w:after="0" w:line="240" w:lineRule="auto"/>
        <w:ind w:left="540" w:hanging="540"/>
        <w:rPr>
          <w:rFonts w:cs="Arial"/>
          <w:u w:val="single"/>
          <w:lang w:val="fr-FR"/>
        </w:rPr>
      </w:pPr>
    </w:p>
    <w:p w14:paraId="0FA15AC9" w14:textId="5D3CA5BB" w:rsidR="00670BDB" w:rsidRPr="009D78B4" w:rsidRDefault="009D4DE7" w:rsidP="009D78B4">
      <w:pPr>
        <w:pStyle w:val="ListParagraph"/>
        <w:widowControl w:val="0"/>
        <w:numPr>
          <w:ilvl w:val="0"/>
          <w:numId w:val="14"/>
        </w:numPr>
        <w:autoSpaceDN w:val="0"/>
        <w:spacing w:after="0" w:line="240" w:lineRule="auto"/>
        <w:ind w:left="567" w:hanging="567"/>
        <w:contextualSpacing w:val="0"/>
        <w:jc w:val="both"/>
        <w:rPr>
          <w:rStyle w:val="eop"/>
          <w:rFonts w:cs="Arial"/>
          <w:lang w:val="fr-FR"/>
        </w:rPr>
      </w:pPr>
      <w:r w:rsidRPr="009D78B4">
        <w:rPr>
          <w:rStyle w:val="normaltextrun"/>
          <w:rFonts w:cs="Arial"/>
          <w:lang w:val="fr-FR"/>
        </w:rPr>
        <w:t>Il est recommandé à la Conférence des Parties :</w:t>
      </w:r>
    </w:p>
    <w:p w14:paraId="3C248F10" w14:textId="77777777" w:rsidR="00670BDB" w:rsidRPr="003C60ED" w:rsidRDefault="00670BDB">
      <w:pPr>
        <w:pStyle w:val="paragraph"/>
        <w:spacing w:before="0" w:beforeAutospacing="0" w:after="0" w:afterAutospacing="0"/>
        <w:textAlignment w:val="baseline"/>
        <w:rPr>
          <w:rFonts w:ascii="Arial" w:hAnsi="Arial" w:cs="Arial"/>
          <w:sz w:val="22"/>
          <w:szCs w:val="22"/>
          <w:lang w:val="fr-FR"/>
        </w:rPr>
      </w:pPr>
    </w:p>
    <w:p w14:paraId="61911B92" w14:textId="77777777" w:rsidR="00670BDB" w:rsidRPr="003C60ED" w:rsidRDefault="009D4DE7">
      <w:pPr>
        <w:pStyle w:val="paragraph"/>
        <w:numPr>
          <w:ilvl w:val="0"/>
          <w:numId w:val="18"/>
        </w:numPr>
        <w:tabs>
          <w:tab w:val="clear" w:pos="1920"/>
          <w:tab w:val="num" w:pos="1276"/>
        </w:tabs>
        <w:spacing w:before="0" w:beforeAutospacing="0" w:after="0" w:afterAutospacing="0"/>
        <w:ind w:left="1276" w:hanging="567"/>
        <w:jc w:val="both"/>
        <w:textAlignment w:val="baseline"/>
        <w:rPr>
          <w:rStyle w:val="normaltextrun"/>
          <w:rFonts w:ascii="Arial" w:hAnsi="Arial" w:cs="Arial"/>
          <w:sz w:val="22"/>
          <w:szCs w:val="22"/>
          <w:lang w:val="fr-FR"/>
        </w:rPr>
      </w:pPr>
      <w:r w:rsidRPr="003C60ED">
        <w:rPr>
          <w:rStyle w:val="normaltextrun"/>
          <w:rFonts w:ascii="Arial" w:hAnsi="Arial" w:cs="Arial"/>
          <w:sz w:val="22"/>
          <w:szCs w:val="22"/>
          <w:lang w:val="fr-FR"/>
        </w:rPr>
        <w:t>de fournir une orientation au Secrétariat sur</w:t>
      </w:r>
      <w:r w:rsidRPr="003C60ED">
        <w:rPr>
          <w:rStyle w:val="normaltextrun"/>
          <w:rFonts w:ascii="Arial" w:hAnsi="Arial" w:cs="Arial"/>
          <w:color w:val="FF0000"/>
          <w:sz w:val="22"/>
          <w:szCs w:val="22"/>
          <w:lang w:val="fr-FR"/>
        </w:rPr>
        <w:t xml:space="preserve"> </w:t>
      </w:r>
      <w:r w:rsidRPr="003C60ED">
        <w:rPr>
          <w:rStyle w:val="normaltextrun"/>
          <w:rFonts w:ascii="Arial" w:hAnsi="Arial" w:cs="Arial"/>
          <w:sz w:val="22"/>
          <w:szCs w:val="22"/>
          <w:lang w:val="fr-FR"/>
        </w:rPr>
        <w:t>la mobilisation des ressources et la poursuite de l'engagement avec le FEM ;</w:t>
      </w:r>
    </w:p>
    <w:p w14:paraId="16DBAA2D" w14:textId="77777777" w:rsidR="00670BDB" w:rsidRPr="003C60ED" w:rsidRDefault="00670BDB">
      <w:pPr>
        <w:pStyle w:val="paragraph"/>
        <w:tabs>
          <w:tab w:val="num" w:pos="1276"/>
        </w:tabs>
        <w:spacing w:before="0" w:beforeAutospacing="0" w:after="0" w:afterAutospacing="0"/>
        <w:ind w:left="1276" w:hanging="567"/>
        <w:jc w:val="both"/>
        <w:textAlignment w:val="baseline"/>
        <w:rPr>
          <w:rStyle w:val="normaltextrun"/>
          <w:rFonts w:ascii="Arial" w:hAnsi="Arial" w:cs="Arial"/>
          <w:sz w:val="22"/>
          <w:szCs w:val="22"/>
          <w:lang w:val="fr-FR"/>
        </w:rPr>
      </w:pPr>
    </w:p>
    <w:p w14:paraId="041C36AD" w14:textId="77777777" w:rsidR="00670BDB" w:rsidRPr="003C60ED" w:rsidRDefault="009D4DE7">
      <w:pPr>
        <w:pStyle w:val="paragraph"/>
        <w:numPr>
          <w:ilvl w:val="0"/>
          <w:numId w:val="18"/>
        </w:numPr>
        <w:tabs>
          <w:tab w:val="clear" w:pos="1920"/>
          <w:tab w:val="num" w:pos="1276"/>
        </w:tabs>
        <w:spacing w:before="0" w:beforeAutospacing="0" w:after="0" w:afterAutospacing="0"/>
        <w:ind w:left="1276" w:hanging="567"/>
        <w:jc w:val="both"/>
        <w:textAlignment w:val="baseline"/>
        <w:rPr>
          <w:rStyle w:val="normaltextrun"/>
          <w:rFonts w:ascii="Arial" w:hAnsi="Arial" w:cs="Arial"/>
          <w:sz w:val="22"/>
          <w:szCs w:val="22"/>
          <w:lang w:val="fr-FR"/>
        </w:rPr>
      </w:pPr>
      <w:r w:rsidRPr="003C60ED">
        <w:rPr>
          <w:rStyle w:val="normaltextrun"/>
          <w:rFonts w:ascii="Arial" w:hAnsi="Arial" w:cs="Arial"/>
          <w:sz w:val="22"/>
          <w:szCs w:val="22"/>
          <w:lang w:val="fr-FR"/>
        </w:rPr>
        <w:t>d'adopter les projets d'amendements à la Résolution 10.25 (Rev. COP14) figurant à l'Annexe 1 du présent document ;</w:t>
      </w:r>
    </w:p>
    <w:p w14:paraId="496A3269" w14:textId="77777777" w:rsidR="00670BDB" w:rsidRPr="003C60ED" w:rsidRDefault="00670BDB">
      <w:pPr>
        <w:pStyle w:val="ListParagraph"/>
        <w:spacing w:after="0"/>
        <w:rPr>
          <w:rStyle w:val="normaltextrun"/>
          <w:rFonts w:cs="Arial"/>
          <w:lang w:val="fr-FR"/>
        </w:rPr>
      </w:pPr>
    </w:p>
    <w:p w14:paraId="0A1CBC64" w14:textId="77777777" w:rsidR="00670BDB" w:rsidRPr="003C60ED" w:rsidRDefault="009D4DE7">
      <w:pPr>
        <w:pStyle w:val="paragraph"/>
        <w:numPr>
          <w:ilvl w:val="0"/>
          <w:numId w:val="18"/>
        </w:numPr>
        <w:tabs>
          <w:tab w:val="clear" w:pos="1920"/>
          <w:tab w:val="num" w:pos="1276"/>
        </w:tabs>
        <w:spacing w:before="0" w:beforeAutospacing="0" w:after="0" w:afterAutospacing="0"/>
        <w:ind w:left="1276" w:hanging="567"/>
        <w:jc w:val="both"/>
        <w:textAlignment w:val="baseline"/>
        <w:rPr>
          <w:rStyle w:val="normaltextrun"/>
          <w:rFonts w:ascii="Arial" w:hAnsi="Arial" w:cs="Arial"/>
          <w:sz w:val="22"/>
          <w:szCs w:val="22"/>
          <w:lang w:val="fr-FR"/>
        </w:rPr>
      </w:pPr>
      <w:r w:rsidRPr="003C60ED">
        <w:rPr>
          <w:rFonts w:ascii="Arial" w:hAnsi="Arial" w:cs="Arial"/>
          <w:sz w:val="22"/>
          <w:szCs w:val="22"/>
          <w:lang w:val="fr-FR"/>
        </w:rPr>
        <w:t>d'adopter les projets de décision figurant à l'Annexe 2 du présent document.</w:t>
      </w:r>
    </w:p>
    <w:p w14:paraId="0B73FE6E" w14:textId="77777777" w:rsidR="00670BDB" w:rsidRPr="003C60ED" w:rsidRDefault="00670BDB">
      <w:pPr>
        <w:pStyle w:val="paragraph"/>
        <w:spacing w:before="0" w:beforeAutospacing="0" w:after="0" w:afterAutospacing="0"/>
        <w:jc w:val="both"/>
        <w:textAlignment w:val="baseline"/>
        <w:rPr>
          <w:rStyle w:val="normaltextrun"/>
          <w:rFonts w:ascii="Arial" w:hAnsi="Arial" w:cs="Arial"/>
          <w:sz w:val="22"/>
          <w:szCs w:val="22"/>
          <w:lang w:val="fr-FR"/>
        </w:rPr>
      </w:pPr>
    </w:p>
    <w:p w14:paraId="7BF47AFA" w14:textId="77777777" w:rsidR="00670BDB" w:rsidRPr="003C60ED" w:rsidRDefault="00670BDB">
      <w:pPr>
        <w:pStyle w:val="paragraph"/>
        <w:spacing w:before="0" w:beforeAutospacing="0" w:after="0" w:afterAutospacing="0"/>
        <w:jc w:val="both"/>
        <w:textAlignment w:val="baseline"/>
        <w:rPr>
          <w:rFonts w:ascii="Arial" w:hAnsi="Arial" w:cs="Arial"/>
          <w:sz w:val="22"/>
          <w:szCs w:val="22"/>
          <w:lang w:val="fr-FR"/>
        </w:rPr>
        <w:sectPr w:rsidR="00670BDB" w:rsidRPr="003C60ED">
          <w:headerReference w:type="even" r:id="rId27"/>
          <w:headerReference w:type="default" r:id="rId28"/>
          <w:footerReference w:type="even" r:id="rId29"/>
          <w:footerReference w:type="default" r:id="rId30"/>
          <w:headerReference w:type="first" r:id="rId31"/>
          <w:pgSz w:w="11906" w:h="16838" w:code="9"/>
          <w:pgMar w:top="1440" w:right="1440" w:bottom="1440" w:left="1440" w:header="720" w:footer="720" w:gutter="0"/>
          <w:cols w:space="720"/>
          <w:titlePg/>
          <w:docGrid w:linePitch="360"/>
        </w:sectPr>
      </w:pPr>
    </w:p>
    <w:p w14:paraId="6D1ED1C9" w14:textId="2AC69A41" w:rsidR="00670BDB" w:rsidRPr="00A80B9F" w:rsidRDefault="009D4DE7">
      <w:pPr>
        <w:pStyle w:val="paragraph"/>
        <w:spacing w:before="0" w:beforeAutospacing="0" w:after="0" w:afterAutospacing="0"/>
        <w:jc w:val="right"/>
        <w:textAlignment w:val="baseline"/>
        <w:rPr>
          <w:lang w:val="fr-FR"/>
        </w:rPr>
      </w:pPr>
      <w:r w:rsidRPr="00A80B9F">
        <w:rPr>
          <w:rStyle w:val="normaltextrun"/>
          <w:rFonts w:ascii="Arial" w:hAnsi="Arial" w:cs="Arial"/>
          <w:b/>
          <w:bCs/>
          <w:caps/>
          <w:sz w:val="22"/>
          <w:szCs w:val="22"/>
          <w:lang w:val="fr-FR"/>
        </w:rPr>
        <w:lastRenderedPageBreak/>
        <w:t>Annex</w:t>
      </w:r>
      <w:r w:rsidR="00752C7B" w:rsidRPr="00A80B9F">
        <w:rPr>
          <w:rStyle w:val="normaltextrun"/>
          <w:rFonts w:ascii="Arial" w:hAnsi="Arial" w:cs="Arial"/>
          <w:b/>
          <w:bCs/>
          <w:caps/>
          <w:sz w:val="22"/>
          <w:szCs w:val="22"/>
          <w:lang w:val="fr-FR"/>
        </w:rPr>
        <w:t>E</w:t>
      </w:r>
      <w:r w:rsidRPr="00A80B9F">
        <w:rPr>
          <w:rStyle w:val="normaltextrun"/>
          <w:rFonts w:ascii="Arial" w:hAnsi="Arial" w:cs="Arial"/>
          <w:b/>
          <w:bCs/>
          <w:caps/>
          <w:sz w:val="22"/>
          <w:szCs w:val="22"/>
          <w:lang w:val="fr-FR"/>
        </w:rPr>
        <w:t xml:space="preserve"> 1</w:t>
      </w:r>
    </w:p>
    <w:p w14:paraId="52630DB8" w14:textId="77777777" w:rsidR="00670BDB" w:rsidRPr="00A80B9F" w:rsidRDefault="00670BDB">
      <w:pPr>
        <w:pStyle w:val="paragraph"/>
        <w:spacing w:before="0" w:beforeAutospacing="0" w:after="0" w:afterAutospacing="0"/>
        <w:jc w:val="center"/>
        <w:textAlignment w:val="baseline"/>
        <w:rPr>
          <w:rStyle w:val="normaltextrun"/>
          <w:rFonts w:ascii="Arial" w:hAnsi="Arial" w:cs="Arial"/>
          <w:sz w:val="22"/>
          <w:szCs w:val="22"/>
          <w:lang w:val="fr-FR"/>
        </w:rPr>
      </w:pPr>
    </w:p>
    <w:p w14:paraId="3D1235DE" w14:textId="0167F994" w:rsidR="00670BDB" w:rsidRPr="00A80B9F" w:rsidRDefault="00752C7B">
      <w:pPr>
        <w:pStyle w:val="paragraph"/>
        <w:spacing w:before="0" w:beforeAutospacing="0" w:after="0" w:afterAutospacing="0"/>
        <w:jc w:val="center"/>
        <w:textAlignment w:val="baseline"/>
        <w:rPr>
          <w:rStyle w:val="normaltextrun"/>
          <w:rFonts w:ascii="Arial" w:hAnsi="Arial" w:cs="Arial"/>
          <w:sz w:val="22"/>
          <w:szCs w:val="22"/>
          <w:lang w:val="fr-FR"/>
        </w:rPr>
      </w:pPr>
      <w:r w:rsidRPr="00752C7B">
        <w:rPr>
          <w:rStyle w:val="normaltextrun"/>
          <w:rFonts w:ascii="Arial" w:hAnsi="Arial" w:cs="Arial"/>
          <w:sz w:val="22"/>
          <w:szCs w:val="22"/>
          <w:lang w:val="fr-FR"/>
        </w:rPr>
        <w:t xml:space="preserve">MODIFICATIONS PROPOSÉES À LA </w:t>
      </w:r>
      <w:r w:rsidR="009D4DE7" w:rsidRPr="00752C7B">
        <w:rPr>
          <w:rStyle w:val="normaltextrun"/>
          <w:rFonts w:ascii="Arial" w:hAnsi="Arial" w:cs="Arial"/>
          <w:sz w:val="22"/>
          <w:szCs w:val="22"/>
          <w:lang w:val="fr-FR"/>
        </w:rPr>
        <w:t>R</w:t>
      </w:r>
      <w:r w:rsidRPr="00752C7B">
        <w:rPr>
          <w:rStyle w:val="normaltextrun"/>
          <w:rFonts w:ascii="Arial" w:hAnsi="Arial" w:cs="Arial"/>
          <w:sz w:val="22"/>
          <w:szCs w:val="22"/>
          <w:lang w:val="fr-FR"/>
        </w:rPr>
        <w:t>É</w:t>
      </w:r>
      <w:r w:rsidR="009D4DE7" w:rsidRPr="00752C7B">
        <w:rPr>
          <w:rStyle w:val="normaltextrun"/>
          <w:rFonts w:ascii="Arial" w:hAnsi="Arial" w:cs="Arial"/>
          <w:sz w:val="22"/>
          <w:szCs w:val="22"/>
          <w:lang w:val="fr-FR"/>
        </w:rPr>
        <w:t xml:space="preserve">SOLUTION 10.25 (REV. </w:t>
      </w:r>
      <w:r w:rsidR="009D4DE7" w:rsidRPr="00A80B9F">
        <w:rPr>
          <w:rStyle w:val="normaltextrun"/>
          <w:rFonts w:ascii="Arial" w:hAnsi="Arial" w:cs="Arial"/>
          <w:sz w:val="22"/>
          <w:szCs w:val="22"/>
          <w:lang w:val="fr-FR"/>
        </w:rPr>
        <w:t>COP14)</w:t>
      </w:r>
    </w:p>
    <w:p w14:paraId="7EA9604F" w14:textId="77777777" w:rsidR="00670BDB" w:rsidRPr="00A80B9F" w:rsidRDefault="00670BDB">
      <w:pPr>
        <w:pStyle w:val="paragraph"/>
        <w:spacing w:before="0" w:beforeAutospacing="0" w:after="0" w:afterAutospacing="0"/>
        <w:jc w:val="center"/>
        <w:textAlignment w:val="baseline"/>
        <w:rPr>
          <w:rStyle w:val="normaltextrun"/>
          <w:rFonts w:ascii="Arial" w:hAnsi="Arial" w:cs="Arial"/>
          <w:sz w:val="22"/>
          <w:szCs w:val="22"/>
          <w:highlight w:val="yellow"/>
          <w:lang w:val="fr-FR"/>
        </w:rPr>
      </w:pPr>
    </w:p>
    <w:p w14:paraId="2577528B" w14:textId="77777777" w:rsidR="004454F7" w:rsidRPr="004454F7" w:rsidRDefault="004454F7">
      <w:pPr>
        <w:pStyle w:val="paragraph"/>
        <w:spacing w:before="0" w:beforeAutospacing="0" w:after="0" w:afterAutospacing="0"/>
        <w:jc w:val="center"/>
        <w:textAlignment w:val="baseline"/>
        <w:rPr>
          <w:rFonts w:ascii="Arial" w:eastAsiaTheme="minorHAnsi" w:hAnsi="Arial" w:cs="Arial"/>
          <w:b/>
          <w:sz w:val="22"/>
          <w:szCs w:val="22"/>
          <w:lang w:val="fr-FR"/>
        </w:rPr>
      </w:pPr>
      <w:r w:rsidRPr="004454F7">
        <w:rPr>
          <w:rFonts w:ascii="Arial" w:eastAsiaTheme="minorHAnsi" w:hAnsi="Arial" w:cs="Arial"/>
          <w:b/>
          <w:sz w:val="22"/>
          <w:szCs w:val="22"/>
          <w:lang w:val="fr-FR"/>
        </w:rPr>
        <w:t>RENFORCEMENT DE L’ENGAGEMENT AVEC LE FONDS POUR L’ENVIRONNEMENT MONDIAL</w:t>
      </w:r>
    </w:p>
    <w:p w14:paraId="23C58B0D" w14:textId="77777777" w:rsidR="004454F7" w:rsidRPr="00A80B9F" w:rsidRDefault="004454F7">
      <w:pPr>
        <w:pStyle w:val="paragraph"/>
        <w:spacing w:before="0" w:beforeAutospacing="0" w:after="0" w:afterAutospacing="0"/>
        <w:jc w:val="center"/>
        <w:textAlignment w:val="baseline"/>
        <w:rPr>
          <w:rFonts w:ascii="Arial" w:eastAsiaTheme="minorHAnsi" w:hAnsi="Arial" w:cs="Arial"/>
          <w:i/>
          <w:iCs/>
          <w:sz w:val="22"/>
          <w:szCs w:val="22"/>
          <w:highlight w:val="yellow"/>
          <w:lang w:val="fr-FR"/>
        </w:rPr>
      </w:pPr>
    </w:p>
    <w:p w14:paraId="4B5639B3" w14:textId="70925944" w:rsidR="00670BDB" w:rsidRDefault="002577C7" w:rsidP="002577C7">
      <w:pPr>
        <w:pStyle w:val="paragraph"/>
        <w:spacing w:before="0" w:beforeAutospacing="0" w:after="0" w:afterAutospacing="0"/>
        <w:jc w:val="center"/>
        <w:textAlignment w:val="baseline"/>
        <w:rPr>
          <w:rFonts w:ascii="Arial" w:hAnsi="Arial" w:cs="Arial"/>
          <w:sz w:val="22"/>
          <w:szCs w:val="22"/>
          <w:highlight w:val="yellow"/>
          <w:lang w:val="fr-FR"/>
        </w:rPr>
      </w:pPr>
      <w:r w:rsidRPr="002577C7">
        <w:rPr>
          <w:rFonts w:ascii="Arial" w:eastAsiaTheme="minorHAnsi" w:hAnsi="Arial" w:cs="Arial"/>
          <w:i/>
          <w:iCs/>
          <w:sz w:val="22"/>
          <w:szCs w:val="22"/>
          <w:lang w:val="fr-FR"/>
        </w:rPr>
        <w:t xml:space="preserve">NB : Le nouveau texte proposé est </w:t>
      </w:r>
      <w:r w:rsidRPr="002577C7">
        <w:rPr>
          <w:rFonts w:ascii="Arial" w:eastAsiaTheme="minorHAnsi" w:hAnsi="Arial" w:cs="Arial"/>
          <w:i/>
          <w:iCs/>
          <w:sz w:val="22"/>
          <w:szCs w:val="22"/>
          <w:u w:val="single"/>
          <w:lang w:val="fr-FR"/>
        </w:rPr>
        <w:t>souligné</w:t>
      </w:r>
      <w:r w:rsidRPr="002577C7">
        <w:rPr>
          <w:rFonts w:ascii="Arial" w:eastAsiaTheme="minorHAnsi" w:hAnsi="Arial" w:cs="Arial"/>
          <w:i/>
          <w:iCs/>
          <w:sz w:val="22"/>
          <w:szCs w:val="22"/>
          <w:lang w:val="fr-FR"/>
        </w:rPr>
        <w:t xml:space="preserve">. Le texte à supprimer est </w:t>
      </w:r>
      <w:r w:rsidRPr="002577C7">
        <w:rPr>
          <w:rFonts w:ascii="Arial" w:eastAsiaTheme="minorHAnsi" w:hAnsi="Arial" w:cs="Arial"/>
          <w:i/>
          <w:iCs/>
          <w:strike/>
          <w:sz w:val="22"/>
          <w:szCs w:val="22"/>
          <w:lang w:val="fr-FR"/>
        </w:rPr>
        <w:t>barré.</w:t>
      </w:r>
    </w:p>
    <w:p w14:paraId="363CAAED" w14:textId="77777777" w:rsidR="002577C7" w:rsidRDefault="002577C7" w:rsidP="002577C7">
      <w:pPr>
        <w:pStyle w:val="paragraph"/>
        <w:spacing w:before="0" w:beforeAutospacing="0" w:after="0" w:afterAutospacing="0"/>
        <w:jc w:val="center"/>
        <w:textAlignment w:val="baseline"/>
        <w:rPr>
          <w:rFonts w:ascii="Arial" w:hAnsi="Arial" w:cs="Arial"/>
          <w:sz w:val="22"/>
          <w:szCs w:val="22"/>
          <w:highlight w:val="yellow"/>
          <w:lang w:val="fr-FR"/>
        </w:rPr>
      </w:pPr>
    </w:p>
    <w:p w14:paraId="5F5224BF" w14:textId="77777777" w:rsidR="002577C7" w:rsidRPr="002577C7" w:rsidRDefault="002577C7" w:rsidP="002577C7">
      <w:pPr>
        <w:pStyle w:val="paragraph"/>
        <w:spacing w:before="0" w:beforeAutospacing="0" w:after="0" w:afterAutospacing="0"/>
        <w:jc w:val="center"/>
        <w:textAlignment w:val="baseline"/>
        <w:rPr>
          <w:rFonts w:ascii="Arial" w:hAnsi="Arial" w:cs="Arial"/>
          <w:sz w:val="22"/>
          <w:szCs w:val="22"/>
          <w:highlight w:val="yellow"/>
          <w:lang w:val="fr-FR"/>
        </w:rPr>
      </w:pPr>
    </w:p>
    <w:p w14:paraId="3903BD96" w14:textId="77777777" w:rsidR="000E6C21" w:rsidRPr="000E6C21" w:rsidRDefault="000E6C21">
      <w:pPr>
        <w:tabs>
          <w:tab w:val="left" w:pos="1066"/>
        </w:tabs>
        <w:spacing w:after="0" w:line="240" w:lineRule="auto"/>
        <w:jc w:val="both"/>
        <w:rPr>
          <w:rFonts w:cs="Arial"/>
          <w:i/>
          <w:iCs/>
          <w:lang w:val="fr-FR"/>
        </w:rPr>
      </w:pPr>
      <w:r w:rsidRPr="000E6C21">
        <w:rPr>
          <w:rFonts w:cs="Arial"/>
          <w:i/>
          <w:iCs/>
          <w:lang w:val="fr-FR"/>
        </w:rPr>
        <w:t xml:space="preserve">Mesurant </w:t>
      </w:r>
      <w:r w:rsidRPr="000E6C21">
        <w:rPr>
          <w:rFonts w:cs="Arial"/>
          <w:lang w:val="fr-FR"/>
        </w:rPr>
        <w:t>le rôle crucial joué par les espèces migratrices, qui fournissent des services écosystémiques favorables au bien-être humain, et le besoin de mesures internationales coordonnées en vue de faire face aux pressions transfrontières qui menacent leur survie</w:t>
      </w:r>
      <w:r w:rsidRPr="000E6C21">
        <w:rPr>
          <w:rFonts w:cs="Arial"/>
          <w:i/>
          <w:iCs/>
          <w:lang w:val="fr-FR"/>
        </w:rPr>
        <w:t xml:space="preserve">, </w:t>
      </w:r>
    </w:p>
    <w:p w14:paraId="3EE8172A" w14:textId="77777777" w:rsidR="000E6C21" w:rsidRPr="000E6C21" w:rsidRDefault="000E6C21">
      <w:pPr>
        <w:tabs>
          <w:tab w:val="left" w:pos="1066"/>
        </w:tabs>
        <w:spacing w:after="0" w:line="240" w:lineRule="auto"/>
        <w:jc w:val="both"/>
        <w:rPr>
          <w:rFonts w:cs="Arial"/>
          <w:i/>
          <w:iCs/>
          <w:lang w:val="fr-FR"/>
        </w:rPr>
      </w:pPr>
    </w:p>
    <w:p w14:paraId="2CCC86DF" w14:textId="77777777" w:rsidR="000E6C21" w:rsidRDefault="000E6C21">
      <w:pPr>
        <w:tabs>
          <w:tab w:val="left" w:pos="1066"/>
        </w:tabs>
        <w:spacing w:after="0" w:line="240" w:lineRule="auto"/>
        <w:jc w:val="both"/>
        <w:rPr>
          <w:rFonts w:cs="Arial"/>
          <w:i/>
          <w:iCs/>
          <w:lang w:val="fr-FR"/>
        </w:rPr>
      </w:pPr>
      <w:r w:rsidRPr="000E6C21">
        <w:rPr>
          <w:rFonts w:cs="Arial"/>
          <w:i/>
          <w:iCs/>
          <w:lang w:val="fr-FR"/>
        </w:rPr>
        <w:t>Notant que l</w:t>
      </w:r>
      <w:r w:rsidRPr="000E6C21">
        <w:rPr>
          <w:rFonts w:cs="Arial"/>
          <w:lang w:val="fr-FR"/>
        </w:rPr>
        <w:t>e Plan Stratégique de Samarcande pour les espèces migratrices 2024-2032 décèle de futures possibilités de financement pour les programmes de la Convention afin de garantir le rapport coût-efficacité et la viabilité à long terme des activités et initiatives de la CMS pour les neuf années à venir, Sachant qu’il convient d’éviter de créer une charge supplémentaire en matière d’établissement de rapports, qui risquerait de détourner l’attention de la mise en œuvre</w:t>
      </w:r>
      <w:r w:rsidRPr="000E6C21">
        <w:rPr>
          <w:rFonts w:cs="Arial"/>
          <w:i/>
          <w:iCs/>
          <w:lang w:val="fr-FR"/>
        </w:rPr>
        <w:t xml:space="preserve">, </w:t>
      </w:r>
    </w:p>
    <w:p w14:paraId="7AE5B169" w14:textId="77777777" w:rsidR="000E6C21" w:rsidRDefault="000E6C21">
      <w:pPr>
        <w:tabs>
          <w:tab w:val="left" w:pos="1066"/>
        </w:tabs>
        <w:spacing w:after="0" w:line="240" w:lineRule="auto"/>
        <w:jc w:val="both"/>
        <w:rPr>
          <w:rFonts w:cs="Arial"/>
          <w:i/>
          <w:iCs/>
          <w:lang w:val="fr-FR"/>
        </w:rPr>
      </w:pPr>
    </w:p>
    <w:p w14:paraId="5B5D3725" w14:textId="77777777" w:rsidR="000E6C21" w:rsidRDefault="000E6C21">
      <w:pPr>
        <w:tabs>
          <w:tab w:val="left" w:pos="1066"/>
        </w:tabs>
        <w:spacing w:after="0" w:line="240" w:lineRule="auto"/>
        <w:jc w:val="both"/>
        <w:rPr>
          <w:rFonts w:cs="Arial"/>
          <w:i/>
          <w:iCs/>
          <w:lang w:val="fr-FR"/>
        </w:rPr>
      </w:pPr>
      <w:r w:rsidRPr="000E6C21">
        <w:rPr>
          <w:rFonts w:cs="Arial"/>
          <w:i/>
          <w:iCs/>
          <w:lang w:val="fr-FR"/>
        </w:rPr>
        <w:t xml:space="preserve">Consciente </w:t>
      </w:r>
      <w:r w:rsidRPr="000E6C21">
        <w:rPr>
          <w:rFonts w:cs="Arial"/>
          <w:lang w:val="fr-FR"/>
        </w:rPr>
        <w:t xml:space="preserve">que le manque de ressources </w:t>
      </w:r>
      <w:proofErr w:type="gramStart"/>
      <w:r w:rsidRPr="000E6C21">
        <w:rPr>
          <w:rFonts w:cs="Arial"/>
          <w:lang w:val="fr-FR"/>
        </w:rPr>
        <w:t>a</w:t>
      </w:r>
      <w:proofErr w:type="gramEnd"/>
      <w:r w:rsidRPr="000E6C21">
        <w:rPr>
          <w:rFonts w:cs="Arial"/>
          <w:lang w:val="fr-FR"/>
        </w:rPr>
        <w:t xml:space="preserve"> un effet contraignant proportionnellement plus important dans les pays en développement, alors que dans le même temps ces pays possèdent une diversité biologique parmi les plus riches et les plus vulnérables du monde, dont des espèces migratrices, </w:t>
      </w:r>
    </w:p>
    <w:p w14:paraId="475AE49B" w14:textId="77777777" w:rsidR="000E6C21" w:rsidRDefault="000E6C21">
      <w:pPr>
        <w:tabs>
          <w:tab w:val="left" w:pos="1066"/>
        </w:tabs>
        <w:spacing w:after="0" w:line="240" w:lineRule="auto"/>
        <w:jc w:val="both"/>
        <w:rPr>
          <w:rFonts w:cs="Arial"/>
          <w:i/>
          <w:iCs/>
          <w:lang w:val="fr-FR"/>
        </w:rPr>
      </w:pPr>
    </w:p>
    <w:p w14:paraId="0D1090B7" w14:textId="77777777" w:rsidR="000E6C21" w:rsidRDefault="000E6C21">
      <w:pPr>
        <w:tabs>
          <w:tab w:val="left" w:pos="1066"/>
        </w:tabs>
        <w:spacing w:after="0" w:line="240" w:lineRule="auto"/>
        <w:jc w:val="both"/>
        <w:rPr>
          <w:rFonts w:cs="Arial"/>
          <w:i/>
          <w:iCs/>
          <w:lang w:val="fr-FR"/>
        </w:rPr>
      </w:pPr>
      <w:r w:rsidRPr="000E6C21">
        <w:rPr>
          <w:rFonts w:cs="Arial"/>
          <w:i/>
          <w:iCs/>
          <w:lang w:val="fr-FR"/>
        </w:rPr>
        <w:t xml:space="preserve">Rappelant </w:t>
      </w:r>
      <w:r w:rsidRPr="000E6C21">
        <w:rPr>
          <w:rFonts w:cs="Arial"/>
          <w:lang w:val="fr-FR"/>
        </w:rPr>
        <w:t>que la Conférence des Parties à la Convention sur la diversité biologique (CDB) a, dans ses décisions VI/20 et X/20, reconnu la CMS comme premier partenaire en matière de conservation et d’utilisation durable des espèces migratrices et que de nombreuses priorités de la CMS sont des éléments importants du Cadre mondial de la biodiversité de Kunming</w:t>
      </w:r>
      <w:r>
        <w:rPr>
          <w:rFonts w:cs="Arial"/>
          <w:lang w:val="fr-FR"/>
        </w:rPr>
        <w:t>-</w:t>
      </w:r>
      <w:r w:rsidRPr="000E6C21">
        <w:rPr>
          <w:rFonts w:cs="Arial"/>
          <w:lang w:val="fr-FR"/>
        </w:rPr>
        <w:t>Montréal,</w:t>
      </w:r>
      <w:r w:rsidRPr="000E6C21">
        <w:rPr>
          <w:rFonts w:cs="Arial"/>
          <w:i/>
          <w:iCs/>
          <w:lang w:val="fr-FR"/>
        </w:rPr>
        <w:t xml:space="preserve"> </w:t>
      </w:r>
    </w:p>
    <w:p w14:paraId="59E0B97A" w14:textId="77777777" w:rsidR="000E6C21" w:rsidRDefault="000E6C21">
      <w:pPr>
        <w:tabs>
          <w:tab w:val="left" w:pos="1066"/>
        </w:tabs>
        <w:spacing w:after="0" w:line="240" w:lineRule="auto"/>
        <w:jc w:val="both"/>
        <w:rPr>
          <w:rFonts w:cs="Arial"/>
          <w:i/>
          <w:iCs/>
          <w:lang w:val="fr-FR"/>
        </w:rPr>
      </w:pPr>
    </w:p>
    <w:p w14:paraId="166326D6" w14:textId="77777777" w:rsidR="000E6C21" w:rsidRDefault="000E6C21">
      <w:pPr>
        <w:tabs>
          <w:tab w:val="left" w:pos="1066"/>
        </w:tabs>
        <w:spacing w:after="0" w:line="240" w:lineRule="auto"/>
        <w:jc w:val="both"/>
        <w:rPr>
          <w:rFonts w:cs="Arial"/>
          <w:i/>
          <w:iCs/>
          <w:lang w:val="fr-FR"/>
        </w:rPr>
      </w:pPr>
      <w:r w:rsidRPr="000E6C21">
        <w:rPr>
          <w:rFonts w:cs="Arial"/>
          <w:i/>
          <w:iCs/>
          <w:lang w:val="fr-FR"/>
        </w:rPr>
        <w:t xml:space="preserve">Exprimant sa satisfaction </w:t>
      </w:r>
      <w:r w:rsidRPr="000E6C21">
        <w:rPr>
          <w:rFonts w:cs="Arial"/>
          <w:lang w:val="fr-FR"/>
        </w:rPr>
        <w:t xml:space="preserve">vis-à-vis des directives de programmation de la huitième reconstitution du Fonds d’affectation spéciale du Fonds pour l’environnement mondial (FEM-8, de juillet 2022 à juin 2026), dont ses programmes intégrés et ses domaines d’intervention, qui fournissent des points d’entrée multiples pour la mise en œuvre de nombreux mandats de la CMS, </w:t>
      </w:r>
      <w:r w:rsidRPr="00EA157E">
        <w:rPr>
          <w:rFonts w:cs="Arial"/>
          <w:strike/>
          <w:lang w:val="fr-FR"/>
        </w:rPr>
        <w:t xml:space="preserve">et </w:t>
      </w:r>
    </w:p>
    <w:p w14:paraId="40E7F83B" w14:textId="77777777" w:rsidR="000E6C21" w:rsidRDefault="000E6C21">
      <w:pPr>
        <w:tabs>
          <w:tab w:val="left" w:pos="1066"/>
        </w:tabs>
        <w:spacing w:after="0" w:line="240" w:lineRule="auto"/>
        <w:jc w:val="both"/>
        <w:rPr>
          <w:rFonts w:cs="Arial"/>
          <w:i/>
          <w:iCs/>
          <w:lang w:val="fr-FR"/>
        </w:rPr>
      </w:pPr>
    </w:p>
    <w:p w14:paraId="7BF968E9" w14:textId="4B6B39AD" w:rsidR="00670BDB" w:rsidRPr="000E6C21" w:rsidRDefault="000E6C21">
      <w:pPr>
        <w:tabs>
          <w:tab w:val="left" w:pos="1066"/>
        </w:tabs>
        <w:spacing w:after="0" w:line="240" w:lineRule="auto"/>
        <w:jc w:val="both"/>
        <w:rPr>
          <w:rFonts w:cs="Arial"/>
          <w:u w:val="single"/>
          <w:lang w:val="fr-FR"/>
        </w:rPr>
      </w:pPr>
      <w:r w:rsidRPr="000E6C21">
        <w:rPr>
          <w:rFonts w:cs="Arial"/>
          <w:i/>
          <w:iCs/>
          <w:lang w:val="fr-FR"/>
        </w:rPr>
        <w:t>Saluant l</w:t>
      </w:r>
      <w:r w:rsidRPr="000E6C21">
        <w:rPr>
          <w:rFonts w:cs="Arial"/>
          <w:lang w:val="fr-FR"/>
        </w:rPr>
        <w:t>a participation du Secrétariat de la CMS au comité directeur pour la mise en œuvre du Programme intégré FEM-8 sur la conservation de la vie sauvage pour le développement dirigé par la Banque mondiale,</w:t>
      </w:r>
      <w:r w:rsidRPr="000E6C21">
        <w:rPr>
          <w:rFonts w:cs="Arial"/>
          <w:i/>
          <w:iCs/>
          <w:lang w:val="fr-FR"/>
        </w:rPr>
        <w:t xml:space="preserve"> </w:t>
      </w:r>
      <w:r w:rsidR="00EA157E" w:rsidRPr="00EA157E">
        <w:rPr>
          <w:rFonts w:cs="Arial"/>
          <w:u w:val="single"/>
          <w:lang w:val="fr-FR"/>
        </w:rPr>
        <w:t>et</w:t>
      </w:r>
    </w:p>
    <w:p w14:paraId="2A3ABE3D" w14:textId="77777777" w:rsidR="00670BDB" w:rsidRPr="000E6C21" w:rsidRDefault="00670BDB">
      <w:pPr>
        <w:tabs>
          <w:tab w:val="left" w:pos="1066"/>
        </w:tabs>
        <w:spacing w:after="0" w:line="240" w:lineRule="auto"/>
        <w:jc w:val="both"/>
        <w:rPr>
          <w:rFonts w:cs="Arial"/>
          <w:lang w:val="fr-FR"/>
        </w:rPr>
      </w:pPr>
    </w:p>
    <w:p w14:paraId="2AA0ECEC" w14:textId="77777777" w:rsidR="00670BDB" w:rsidRPr="003C60ED" w:rsidRDefault="009D4DE7">
      <w:pPr>
        <w:tabs>
          <w:tab w:val="left" w:pos="1066"/>
        </w:tabs>
        <w:spacing w:after="0" w:line="240" w:lineRule="auto"/>
        <w:jc w:val="both"/>
        <w:rPr>
          <w:rFonts w:cs="Arial"/>
          <w:u w:val="single"/>
          <w:lang w:val="fr-FR"/>
        </w:rPr>
      </w:pPr>
      <w:r w:rsidRPr="003C60ED">
        <w:rPr>
          <w:rFonts w:cs="Arial"/>
          <w:i/>
          <w:iCs/>
          <w:u w:val="single"/>
          <w:lang w:val="fr-FR"/>
        </w:rPr>
        <w:t>Reconnaissant</w:t>
      </w:r>
      <w:r w:rsidRPr="003C60ED">
        <w:rPr>
          <w:rFonts w:cs="Arial"/>
          <w:u w:val="single"/>
          <w:lang w:val="fr-FR"/>
        </w:rPr>
        <w:t xml:space="preserve"> la nécessité pour la CMS de disposer d'un mécanisme financier afin d'aider les Parties à mettre en œuvre, au niveau national, leurs engagements environnementaux internationaux ;</w:t>
      </w:r>
    </w:p>
    <w:p w14:paraId="7AADED80" w14:textId="107011C2" w:rsidR="00E15D6F" w:rsidRDefault="00E15D6F">
      <w:pPr>
        <w:tabs>
          <w:tab w:val="left" w:pos="1066"/>
        </w:tabs>
        <w:spacing w:after="0" w:line="240" w:lineRule="auto"/>
        <w:jc w:val="both"/>
        <w:rPr>
          <w:rFonts w:cs="Arial"/>
          <w:i/>
          <w:lang w:val="fr-FR"/>
        </w:rPr>
      </w:pPr>
      <w:r>
        <w:rPr>
          <w:rFonts w:cs="Arial"/>
          <w:i/>
          <w:lang w:val="fr-FR"/>
        </w:rPr>
        <w:br w:type="page"/>
      </w:r>
    </w:p>
    <w:p w14:paraId="2537E2E3" w14:textId="77777777" w:rsidR="00D778E6" w:rsidRPr="00D778E6" w:rsidRDefault="00D778E6">
      <w:pPr>
        <w:spacing w:after="0" w:line="240" w:lineRule="auto"/>
        <w:jc w:val="center"/>
        <w:rPr>
          <w:rFonts w:cs="Arial"/>
          <w:i/>
          <w:lang w:val="fr-FR"/>
        </w:rPr>
      </w:pPr>
      <w:r w:rsidRPr="00D778E6">
        <w:rPr>
          <w:rFonts w:cs="Arial"/>
          <w:i/>
          <w:lang w:val="fr-FR"/>
        </w:rPr>
        <w:lastRenderedPageBreak/>
        <w:t xml:space="preserve">La Conférence des Parties à la </w:t>
      </w:r>
    </w:p>
    <w:p w14:paraId="3CE454FE" w14:textId="6C07F6BA" w:rsidR="00670BDB" w:rsidRPr="00D778E6" w:rsidRDefault="00D778E6">
      <w:pPr>
        <w:spacing w:after="0" w:line="240" w:lineRule="auto"/>
        <w:jc w:val="center"/>
        <w:rPr>
          <w:rFonts w:cs="Arial"/>
          <w:i/>
          <w:lang w:val="fr-FR"/>
        </w:rPr>
      </w:pPr>
      <w:r w:rsidRPr="00D778E6">
        <w:rPr>
          <w:rFonts w:cs="Arial"/>
          <w:i/>
          <w:lang w:val="fr-FR"/>
        </w:rPr>
        <w:t>Convention sur la conservation des espèces migratrices appartenant à la faune sauvage</w:t>
      </w:r>
    </w:p>
    <w:p w14:paraId="6B922784" w14:textId="77777777" w:rsidR="00D778E6" w:rsidRDefault="00D778E6" w:rsidP="0028435A">
      <w:pPr>
        <w:spacing w:after="0" w:line="240" w:lineRule="auto"/>
        <w:rPr>
          <w:rFonts w:cs="Arial"/>
          <w:i/>
          <w:lang w:val="fr-FR"/>
        </w:rPr>
      </w:pPr>
    </w:p>
    <w:p w14:paraId="399E628D" w14:textId="77777777" w:rsidR="0028435A" w:rsidRPr="00873B11" w:rsidRDefault="0028435A" w:rsidP="0028435A">
      <w:pPr>
        <w:spacing w:after="0" w:line="240" w:lineRule="auto"/>
        <w:rPr>
          <w:rFonts w:cs="Arial"/>
          <w:lang w:val="fr-FR"/>
        </w:rPr>
      </w:pPr>
    </w:p>
    <w:p w14:paraId="35B077A9" w14:textId="7682AC18" w:rsidR="00D778E6" w:rsidRPr="00873B11" w:rsidRDefault="00E15D6F" w:rsidP="00607904">
      <w:pPr>
        <w:pStyle w:val="paragraph"/>
        <w:spacing w:before="0" w:beforeAutospacing="0" w:after="0" w:afterAutospacing="0"/>
        <w:ind w:left="567" w:hanging="567"/>
        <w:jc w:val="both"/>
        <w:textAlignment w:val="baseline"/>
        <w:rPr>
          <w:rFonts w:ascii="Arial" w:eastAsiaTheme="minorHAnsi" w:hAnsi="Arial" w:cs="Arial"/>
          <w:i/>
          <w:iCs/>
          <w:sz w:val="22"/>
          <w:szCs w:val="22"/>
          <w:lang w:val="fr-FR"/>
        </w:rPr>
      </w:pPr>
      <w:r w:rsidRPr="001356BF">
        <w:rPr>
          <w:rFonts w:ascii="Arial" w:eastAsiaTheme="minorHAnsi" w:hAnsi="Arial" w:cs="Arial"/>
          <w:sz w:val="22"/>
          <w:szCs w:val="22"/>
          <w:lang w:val="fr-FR"/>
        </w:rPr>
        <w:t>1.</w:t>
      </w:r>
      <w:r w:rsidRPr="00873B11">
        <w:rPr>
          <w:rFonts w:ascii="Arial" w:eastAsiaTheme="minorHAnsi" w:hAnsi="Arial" w:cs="Arial"/>
          <w:i/>
          <w:iCs/>
          <w:sz w:val="22"/>
          <w:szCs w:val="22"/>
          <w:lang w:val="fr-FR"/>
        </w:rPr>
        <w:tab/>
        <w:t xml:space="preserve">Encourage </w:t>
      </w:r>
      <w:r w:rsidRPr="00607904">
        <w:rPr>
          <w:rFonts w:ascii="Arial" w:eastAsiaTheme="minorHAnsi" w:hAnsi="Arial" w:cs="Arial"/>
          <w:sz w:val="22"/>
          <w:szCs w:val="22"/>
          <w:lang w:val="fr-FR"/>
        </w:rPr>
        <w:t>les points focaux nationaux de la CMS à rechercher des occasions de renforcer le dialogue avec les points focaux nationaux de la CDB et du FEM, dans l’optique d’attirer l’attention sur la hiérarchisation des priorités et la prise de décisions en matière de financement par le FEM aux niveaux national et régional pour ce qui est des besoins des espèces migratrices, des possibilités qui se présentent en faveur de leur conservation et de leur utilisation durable, conformément au Plan stratégique de Samarcande pour les espèces migratrices 2024-2032</w:t>
      </w:r>
      <w:r w:rsidRPr="00873B11">
        <w:rPr>
          <w:rFonts w:ascii="Arial" w:eastAsiaTheme="minorHAnsi" w:hAnsi="Arial" w:cs="Arial"/>
          <w:i/>
          <w:iCs/>
          <w:sz w:val="22"/>
          <w:szCs w:val="22"/>
          <w:lang w:val="fr-FR"/>
        </w:rPr>
        <w:t xml:space="preserve"> ;</w:t>
      </w:r>
    </w:p>
    <w:p w14:paraId="6FEA6C22" w14:textId="77777777" w:rsidR="00873B11" w:rsidRPr="001B1E01" w:rsidRDefault="00873B11" w:rsidP="00607904">
      <w:pPr>
        <w:pStyle w:val="paragraph"/>
        <w:spacing w:before="0" w:beforeAutospacing="0" w:after="0" w:afterAutospacing="0"/>
        <w:ind w:left="567" w:hanging="567"/>
        <w:jc w:val="both"/>
        <w:textAlignment w:val="baseline"/>
        <w:rPr>
          <w:rFonts w:ascii="Arial" w:hAnsi="Arial" w:cs="Arial"/>
          <w:sz w:val="22"/>
          <w:szCs w:val="22"/>
          <w:lang w:val="fr-FR"/>
        </w:rPr>
      </w:pPr>
    </w:p>
    <w:p w14:paraId="7AE85AE3" w14:textId="77777777" w:rsidR="001B1E01" w:rsidRDefault="001B1E01" w:rsidP="00607904">
      <w:pPr>
        <w:pStyle w:val="paragraph"/>
        <w:spacing w:before="0" w:beforeAutospacing="0" w:after="80" w:afterAutospacing="0"/>
        <w:ind w:left="567" w:hanging="567"/>
        <w:jc w:val="both"/>
        <w:textAlignment w:val="baseline"/>
        <w:rPr>
          <w:rFonts w:ascii="Arial" w:eastAsiaTheme="minorHAnsi" w:hAnsi="Arial" w:cs="Arial"/>
          <w:sz w:val="22"/>
          <w:szCs w:val="22"/>
          <w:lang w:val="fr-FR"/>
        </w:rPr>
      </w:pPr>
      <w:r w:rsidRPr="001356BF">
        <w:rPr>
          <w:rFonts w:ascii="Arial" w:eastAsiaTheme="minorHAnsi" w:hAnsi="Arial" w:cs="Arial"/>
          <w:sz w:val="22"/>
          <w:szCs w:val="22"/>
          <w:lang w:val="fr-FR"/>
        </w:rPr>
        <w:t>2</w:t>
      </w:r>
      <w:r w:rsidRPr="001B1E01">
        <w:rPr>
          <w:rFonts w:ascii="Arial" w:eastAsiaTheme="minorHAnsi" w:hAnsi="Arial" w:cs="Arial"/>
          <w:i/>
          <w:iCs/>
          <w:sz w:val="22"/>
          <w:szCs w:val="22"/>
          <w:lang w:val="fr-FR"/>
        </w:rPr>
        <w:t>.</w:t>
      </w:r>
      <w:r w:rsidRPr="001B1E01">
        <w:rPr>
          <w:rFonts w:ascii="Arial" w:eastAsiaTheme="minorHAnsi" w:hAnsi="Arial" w:cs="Arial"/>
          <w:i/>
          <w:iCs/>
          <w:sz w:val="22"/>
          <w:szCs w:val="22"/>
          <w:lang w:val="fr-FR"/>
        </w:rPr>
        <w:tab/>
      </w:r>
      <w:r w:rsidR="00873B11" w:rsidRPr="001B1E01">
        <w:rPr>
          <w:rFonts w:ascii="Arial" w:eastAsiaTheme="minorHAnsi" w:hAnsi="Arial" w:cs="Arial"/>
          <w:i/>
          <w:iCs/>
          <w:sz w:val="22"/>
          <w:szCs w:val="22"/>
          <w:lang w:val="fr-FR"/>
        </w:rPr>
        <w:t>Incite également l</w:t>
      </w:r>
      <w:r w:rsidR="00873B11" w:rsidRPr="001B1E01">
        <w:rPr>
          <w:rFonts w:ascii="Arial" w:eastAsiaTheme="minorHAnsi" w:hAnsi="Arial" w:cs="Arial"/>
          <w:sz w:val="22"/>
          <w:szCs w:val="22"/>
          <w:lang w:val="fr-FR"/>
        </w:rPr>
        <w:t xml:space="preserve">es points focaux nationaux de la CMS intéressés à renforcer la collaboration avec les points focaux nationaux de la CDB et du FEM en vue de sélectionner les options disponibles dans le cadre des domaines d’intervention et des programmes intégrés pertinents du FEM, et notamment à : </w:t>
      </w:r>
    </w:p>
    <w:p w14:paraId="2612971D" w14:textId="35EF1658" w:rsidR="001B1E01" w:rsidRDefault="00873B11" w:rsidP="00607904">
      <w:pPr>
        <w:pStyle w:val="paragraph"/>
        <w:numPr>
          <w:ilvl w:val="0"/>
          <w:numId w:val="30"/>
        </w:numPr>
        <w:spacing w:before="0" w:beforeAutospacing="0" w:after="80" w:afterAutospacing="0"/>
        <w:jc w:val="both"/>
        <w:textAlignment w:val="baseline"/>
        <w:rPr>
          <w:rFonts w:ascii="Arial" w:eastAsiaTheme="minorHAnsi" w:hAnsi="Arial" w:cs="Arial"/>
          <w:sz w:val="22"/>
          <w:szCs w:val="22"/>
          <w:lang w:val="fr-FR"/>
        </w:rPr>
      </w:pPr>
      <w:r w:rsidRPr="001B1E01">
        <w:rPr>
          <w:rFonts w:ascii="Arial" w:eastAsiaTheme="minorHAnsi" w:hAnsi="Arial" w:cs="Arial"/>
          <w:sz w:val="22"/>
          <w:szCs w:val="22"/>
          <w:lang w:val="fr-FR"/>
        </w:rPr>
        <w:t xml:space="preserve">mûrir des projets axés sur l’habitat ; </w:t>
      </w:r>
    </w:p>
    <w:p w14:paraId="402B437A" w14:textId="5FA14C99" w:rsidR="001B1E01" w:rsidRDefault="00873B11" w:rsidP="00607904">
      <w:pPr>
        <w:pStyle w:val="paragraph"/>
        <w:numPr>
          <w:ilvl w:val="0"/>
          <w:numId w:val="30"/>
        </w:numPr>
        <w:spacing w:before="0" w:beforeAutospacing="0" w:after="80" w:afterAutospacing="0"/>
        <w:jc w:val="both"/>
        <w:textAlignment w:val="baseline"/>
        <w:rPr>
          <w:rFonts w:ascii="Arial" w:eastAsiaTheme="minorHAnsi" w:hAnsi="Arial" w:cs="Arial"/>
          <w:sz w:val="22"/>
          <w:szCs w:val="22"/>
          <w:lang w:val="fr-FR"/>
        </w:rPr>
      </w:pPr>
      <w:r w:rsidRPr="001B1E01">
        <w:rPr>
          <w:rFonts w:ascii="Arial" w:eastAsiaTheme="minorHAnsi" w:hAnsi="Arial" w:cs="Arial"/>
          <w:sz w:val="22"/>
          <w:szCs w:val="22"/>
          <w:lang w:val="fr-FR"/>
        </w:rPr>
        <w:t xml:space="preserve">concevoir des projets axés sur les espèces ; </w:t>
      </w:r>
    </w:p>
    <w:p w14:paraId="7CA62459" w14:textId="53D940D8" w:rsidR="00670BDB" w:rsidRPr="00607904" w:rsidRDefault="00873B11" w:rsidP="00607904">
      <w:pPr>
        <w:pStyle w:val="paragraph"/>
        <w:numPr>
          <w:ilvl w:val="0"/>
          <w:numId w:val="30"/>
        </w:numPr>
        <w:spacing w:before="0" w:beforeAutospacing="0" w:after="0" w:afterAutospacing="0"/>
        <w:jc w:val="both"/>
        <w:textAlignment w:val="baseline"/>
        <w:rPr>
          <w:rFonts w:ascii="Arial" w:eastAsiaTheme="minorHAnsi" w:hAnsi="Arial" w:cs="Arial"/>
          <w:sz w:val="22"/>
          <w:szCs w:val="22"/>
          <w:lang w:val="fr-FR"/>
        </w:rPr>
      </w:pPr>
      <w:r w:rsidRPr="001B1E01">
        <w:rPr>
          <w:rFonts w:ascii="Arial" w:eastAsiaTheme="minorHAnsi" w:hAnsi="Arial" w:cs="Arial"/>
          <w:sz w:val="22"/>
          <w:szCs w:val="22"/>
          <w:lang w:val="fr-FR"/>
        </w:rPr>
        <w:t>intégrer des objectifs pertinents dans les Stratégies et plans d’action nationaux</w:t>
      </w:r>
      <w:r w:rsidR="00607904">
        <w:rPr>
          <w:rFonts w:ascii="Arial" w:eastAsiaTheme="minorHAnsi" w:hAnsi="Arial" w:cs="Arial"/>
          <w:sz w:val="22"/>
          <w:szCs w:val="22"/>
          <w:lang w:val="fr-FR"/>
        </w:rPr>
        <w:t xml:space="preserve"> </w:t>
      </w:r>
      <w:r w:rsidRPr="00607904">
        <w:rPr>
          <w:rFonts w:ascii="Arial" w:eastAsiaTheme="minorHAnsi" w:hAnsi="Arial" w:cs="Arial"/>
          <w:sz w:val="22"/>
          <w:szCs w:val="22"/>
          <w:lang w:val="fr-FR"/>
        </w:rPr>
        <w:t>pour la biodiversité (SPANB)</w:t>
      </w:r>
    </w:p>
    <w:p w14:paraId="629DD9EB" w14:textId="77777777" w:rsidR="001B1E01" w:rsidRPr="001B1E01" w:rsidRDefault="001B1E01" w:rsidP="00607904">
      <w:pPr>
        <w:pStyle w:val="paragraph"/>
        <w:spacing w:before="0" w:beforeAutospacing="0" w:after="0" w:afterAutospacing="0"/>
        <w:jc w:val="both"/>
        <w:textAlignment w:val="baseline"/>
        <w:rPr>
          <w:rFonts w:ascii="Arial" w:eastAsiaTheme="minorHAnsi" w:hAnsi="Arial" w:cs="Arial"/>
          <w:sz w:val="22"/>
          <w:szCs w:val="22"/>
          <w:lang w:val="fr-FR"/>
        </w:rPr>
      </w:pPr>
    </w:p>
    <w:p w14:paraId="0CCD782D" w14:textId="066B7E15" w:rsidR="00670BDB" w:rsidRPr="00417C4D" w:rsidRDefault="00417C4D" w:rsidP="00607904">
      <w:pPr>
        <w:pStyle w:val="paragraph"/>
        <w:spacing w:before="0" w:beforeAutospacing="0" w:after="0" w:afterAutospacing="0"/>
        <w:ind w:left="567" w:hanging="567"/>
        <w:jc w:val="both"/>
        <w:textAlignment w:val="baseline"/>
        <w:rPr>
          <w:rFonts w:ascii="Arial" w:eastAsiaTheme="minorHAnsi" w:hAnsi="Arial" w:cs="Arial"/>
          <w:sz w:val="22"/>
          <w:szCs w:val="22"/>
          <w:lang w:val="fr-FR"/>
        </w:rPr>
      </w:pPr>
      <w:r w:rsidRPr="001356BF">
        <w:rPr>
          <w:rFonts w:ascii="Arial" w:eastAsiaTheme="minorHAnsi" w:hAnsi="Arial" w:cs="Arial"/>
          <w:sz w:val="22"/>
          <w:szCs w:val="22"/>
          <w:lang w:val="fr-FR"/>
        </w:rPr>
        <w:t>3</w:t>
      </w:r>
      <w:r>
        <w:rPr>
          <w:rFonts w:ascii="Arial" w:eastAsiaTheme="minorHAnsi" w:hAnsi="Arial" w:cs="Arial"/>
          <w:i/>
          <w:iCs/>
          <w:sz w:val="22"/>
          <w:szCs w:val="22"/>
          <w:lang w:val="fr-FR"/>
        </w:rPr>
        <w:t>.</w:t>
      </w:r>
      <w:r>
        <w:rPr>
          <w:rFonts w:ascii="Arial" w:eastAsiaTheme="minorHAnsi" w:hAnsi="Arial" w:cs="Arial"/>
          <w:i/>
          <w:iCs/>
          <w:sz w:val="22"/>
          <w:szCs w:val="22"/>
          <w:lang w:val="fr-FR"/>
        </w:rPr>
        <w:tab/>
      </w:r>
      <w:r w:rsidRPr="00417C4D">
        <w:rPr>
          <w:rFonts w:ascii="Arial" w:eastAsiaTheme="minorHAnsi" w:hAnsi="Arial" w:cs="Arial"/>
          <w:i/>
          <w:iCs/>
          <w:sz w:val="22"/>
          <w:szCs w:val="22"/>
          <w:lang w:val="fr-FR"/>
        </w:rPr>
        <w:t xml:space="preserve">Engage en outre </w:t>
      </w:r>
      <w:r w:rsidRPr="00417C4D">
        <w:rPr>
          <w:rFonts w:ascii="Arial" w:eastAsiaTheme="minorHAnsi" w:hAnsi="Arial" w:cs="Arial"/>
          <w:sz w:val="22"/>
          <w:szCs w:val="22"/>
          <w:lang w:val="fr-FR"/>
        </w:rPr>
        <w:t>les Parties à souscrire aux priorités définies dans le Plan stratégique de Samarcande pour les espèces migratrices 2024-2032 et à les inclure dans leurs Stratégies et plans d’action nationaux pour la biodiversité (SPANB) afin de bénéficier pleinement du financement adéquat du FEM disponible</w:t>
      </w:r>
      <w:r w:rsidRPr="00417C4D">
        <w:rPr>
          <w:rFonts w:ascii="Arial" w:eastAsiaTheme="minorHAnsi" w:hAnsi="Arial" w:cs="Arial"/>
          <w:i/>
          <w:iCs/>
          <w:sz w:val="22"/>
          <w:szCs w:val="22"/>
          <w:lang w:val="fr-FR"/>
        </w:rPr>
        <w:t xml:space="preserve"> ;</w:t>
      </w:r>
    </w:p>
    <w:p w14:paraId="418803FB" w14:textId="77777777" w:rsidR="00670BDB" w:rsidRPr="009D2C23" w:rsidRDefault="00670BDB" w:rsidP="00607904">
      <w:pPr>
        <w:pStyle w:val="paragraph"/>
        <w:spacing w:before="0" w:beforeAutospacing="0" w:after="0" w:afterAutospacing="0"/>
        <w:ind w:left="567"/>
        <w:jc w:val="both"/>
        <w:textAlignment w:val="baseline"/>
        <w:rPr>
          <w:rFonts w:ascii="Arial" w:eastAsiaTheme="minorHAnsi" w:hAnsi="Arial" w:cs="Arial"/>
          <w:sz w:val="22"/>
          <w:szCs w:val="22"/>
          <w:lang w:val="fr-FR"/>
        </w:rPr>
      </w:pPr>
    </w:p>
    <w:p w14:paraId="1A0D7F6A" w14:textId="7CAF0EB3" w:rsidR="00670BDB" w:rsidRPr="009D2C23" w:rsidRDefault="003E4083" w:rsidP="003E4083">
      <w:pPr>
        <w:pStyle w:val="paragraph"/>
        <w:spacing w:before="0" w:beforeAutospacing="0" w:after="0" w:afterAutospacing="0"/>
        <w:ind w:left="567" w:hanging="567"/>
        <w:jc w:val="both"/>
        <w:textAlignment w:val="baseline"/>
        <w:rPr>
          <w:rFonts w:ascii="Arial" w:eastAsiaTheme="minorHAnsi" w:hAnsi="Arial" w:cs="Arial"/>
          <w:sz w:val="22"/>
          <w:szCs w:val="22"/>
          <w:lang w:val="fr-FR"/>
        </w:rPr>
      </w:pPr>
      <w:r w:rsidRPr="001356BF">
        <w:rPr>
          <w:rFonts w:ascii="Arial" w:eastAsiaTheme="minorHAnsi" w:hAnsi="Arial" w:cs="Arial"/>
          <w:sz w:val="22"/>
          <w:szCs w:val="22"/>
          <w:lang w:val="fr-FR"/>
        </w:rPr>
        <w:t>4</w:t>
      </w:r>
      <w:r>
        <w:rPr>
          <w:rFonts w:ascii="Arial" w:eastAsiaTheme="minorHAnsi" w:hAnsi="Arial" w:cs="Arial"/>
          <w:i/>
          <w:iCs/>
          <w:sz w:val="22"/>
          <w:szCs w:val="22"/>
          <w:lang w:val="fr-FR"/>
        </w:rPr>
        <w:t>.</w:t>
      </w:r>
      <w:r>
        <w:rPr>
          <w:rFonts w:ascii="Arial" w:eastAsiaTheme="minorHAnsi" w:hAnsi="Arial" w:cs="Arial"/>
          <w:i/>
          <w:iCs/>
          <w:sz w:val="22"/>
          <w:szCs w:val="22"/>
          <w:lang w:val="fr-FR"/>
        </w:rPr>
        <w:tab/>
      </w:r>
      <w:r w:rsidR="00F1208D" w:rsidRPr="009D2C23">
        <w:rPr>
          <w:rFonts w:ascii="Arial" w:eastAsiaTheme="minorHAnsi" w:hAnsi="Arial" w:cs="Arial"/>
          <w:i/>
          <w:iCs/>
          <w:sz w:val="22"/>
          <w:szCs w:val="22"/>
          <w:lang w:val="fr-FR"/>
        </w:rPr>
        <w:t>Salue l</w:t>
      </w:r>
      <w:r w:rsidR="00F1208D" w:rsidRPr="00607904">
        <w:rPr>
          <w:rFonts w:ascii="Arial" w:eastAsiaTheme="minorHAnsi" w:hAnsi="Arial" w:cs="Arial"/>
          <w:sz w:val="22"/>
          <w:szCs w:val="22"/>
          <w:lang w:val="fr-FR"/>
        </w:rPr>
        <w:t>a décision 15/7 de la COP à la CBD sur la mobilisation des ressources et la création du Fonds pour le Cadre mondial de la biodiversité au titre du FEM, et encourage les Parties à utiliser ce mécanisme pour favoriser la concrétisation de leurs priorités nationales pour la CMS</w:t>
      </w:r>
      <w:r w:rsidR="009D4DE7" w:rsidRPr="00607904">
        <w:rPr>
          <w:rFonts w:ascii="Arial" w:eastAsiaTheme="minorHAnsi" w:hAnsi="Arial" w:cs="Arial"/>
          <w:sz w:val="22"/>
          <w:szCs w:val="22"/>
          <w:lang w:val="fr-FR"/>
        </w:rPr>
        <w:t>;</w:t>
      </w:r>
    </w:p>
    <w:p w14:paraId="12DDC713" w14:textId="77777777" w:rsidR="00670BDB" w:rsidRPr="009D2C23" w:rsidRDefault="00670BDB" w:rsidP="003E4083">
      <w:pPr>
        <w:pStyle w:val="paragraph"/>
        <w:spacing w:before="0" w:beforeAutospacing="0" w:after="0" w:afterAutospacing="0"/>
        <w:ind w:left="567" w:hanging="567"/>
        <w:jc w:val="both"/>
        <w:textAlignment w:val="baseline"/>
        <w:rPr>
          <w:rFonts w:ascii="Arial" w:eastAsiaTheme="minorHAnsi" w:hAnsi="Arial" w:cs="Arial"/>
          <w:sz w:val="22"/>
          <w:szCs w:val="22"/>
          <w:lang w:val="fr-FR"/>
        </w:rPr>
      </w:pPr>
    </w:p>
    <w:p w14:paraId="612AD4E7" w14:textId="77AF83C9" w:rsidR="00670BDB" w:rsidRPr="009D2C23" w:rsidRDefault="003E4083" w:rsidP="003E4083">
      <w:pPr>
        <w:pStyle w:val="paragraph"/>
        <w:spacing w:before="0" w:beforeAutospacing="0" w:after="0" w:afterAutospacing="0"/>
        <w:ind w:left="567" w:hanging="567"/>
        <w:jc w:val="both"/>
        <w:textAlignment w:val="baseline"/>
        <w:rPr>
          <w:rFonts w:ascii="Arial" w:eastAsiaTheme="minorHAnsi" w:hAnsi="Arial" w:cs="Arial"/>
          <w:sz w:val="22"/>
          <w:szCs w:val="22"/>
          <w:lang w:val="fr-FR"/>
        </w:rPr>
      </w:pPr>
      <w:r w:rsidRPr="001356BF">
        <w:rPr>
          <w:rFonts w:ascii="Arial" w:eastAsiaTheme="minorHAnsi" w:hAnsi="Arial" w:cs="Arial"/>
          <w:sz w:val="22"/>
          <w:szCs w:val="22"/>
          <w:lang w:val="fr-FR"/>
        </w:rPr>
        <w:t>5</w:t>
      </w:r>
      <w:r>
        <w:rPr>
          <w:rFonts w:ascii="Arial" w:eastAsiaTheme="minorHAnsi" w:hAnsi="Arial" w:cs="Arial"/>
          <w:i/>
          <w:iCs/>
          <w:sz w:val="22"/>
          <w:szCs w:val="22"/>
          <w:lang w:val="fr-FR"/>
        </w:rPr>
        <w:t>.</w:t>
      </w:r>
      <w:r>
        <w:rPr>
          <w:rFonts w:ascii="Arial" w:eastAsiaTheme="minorHAnsi" w:hAnsi="Arial" w:cs="Arial"/>
          <w:i/>
          <w:iCs/>
          <w:sz w:val="22"/>
          <w:szCs w:val="22"/>
          <w:lang w:val="fr-FR"/>
        </w:rPr>
        <w:tab/>
      </w:r>
      <w:r w:rsidR="00F1208D" w:rsidRPr="009D2C23">
        <w:rPr>
          <w:rFonts w:ascii="Arial" w:eastAsiaTheme="minorHAnsi" w:hAnsi="Arial" w:cs="Arial"/>
          <w:i/>
          <w:iCs/>
          <w:sz w:val="22"/>
          <w:szCs w:val="22"/>
          <w:lang w:val="fr-FR"/>
        </w:rPr>
        <w:t xml:space="preserve">Salue également </w:t>
      </w:r>
      <w:r w:rsidR="00F1208D" w:rsidRPr="003E4083">
        <w:rPr>
          <w:rFonts w:ascii="Arial" w:eastAsiaTheme="minorHAnsi" w:hAnsi="Arial" w:cs="Arial"/>
          <w:sz w:val="22"/>
          <w:szCs w:val="22"/>
          <w:lang w:val="fr-FR"/>
        </w:rPr>
        <w:t xml:space="preserve">la décision </w:t>
      </w:r>
      <w:r w:rsidR="00F1208D" w:rsidRPr="003E4083">
        <w:rPr>
          <w:rFonts w:ascii="Arial" w:eastAsiaTheme="minorHAnsi" w:hAnsi="Arial" w:cs="Arial"/>
          <w:strike/>
          <w:sz w:val="22"/>
          <w:szCs w:val="22"/>
          <w:lang w:val="fr-FR"/>
        </w:rPr>
        <w:t>15/15</w:t>
      </w:r>
      <w:r>
        <w:rPr>
          <w:rFonts w:ascii="Arial" w:eastAsiaTheme="minorHAnsi" w:hAnsi="Arial" w:cs="Arial"/>
          <w:sz w:val="22"/>
          <w:szCs w:val="22"/>
          <w:lang w:val="fr-FR"/>
        </w:rPr>
        <w:t xml:space="preserve"> </w:t>
      </w:r>
      <w:r w:rsidRPr="003E4083">
        <w:rPr>
          <w:rFonts w:ascii="Arial" w:eastAsiaTheme="minorHAnsi" w:hAnsi="Arial" w:cs="Arial"/>
          <w:sz w:val="22"/>
          <w:szCs w:val="22"/>
          <w:u w:val="single"/>
          <w:lang w:val="fr-FR"/>
        </w:rPr>
        <w:t>16/33</w:t>
      </w:r>
      <w:r w:rsidR="00F1208D" w:rsidRPr="003E4083">
        <w:rPr>
          <w:rFonts w:ascii="Arial" w:eastAsiaTheme="minorHAnsi" w:hAnsi="Arial" w:cs="Arial"/>
          <w:sz w:val="22"/>
          <w:szCs w:val="22"/>
          <w:lang w:val="fr-FR"/>
        </w:rPr>
        <w:t xml:space="preserve"> de la COP de la CDB sur le mécanisme de financement visant au renforcement des synergies programmatiques parmi les conventions relatives à la biodiversité et, dans ce contexte, renouvelle l’invitation au Comité permanent à fournir des avis pour le FEM concernant le financement des priorités nationales pour la CMS</w:t>
      </w:r>
      <w:r w:rsidR="009D4DE7" w:rsidRPr="003E4083">
        <w:rPr>
          <w:rFonts w:ascii="Arial" w:eastAsiaTheme="minorHAnsi" w:hAnsi="Arial" w:cs="Arial"/>
          <w:sz w:val="22"/>
          <w:szCs w:val="22"/>
          <w:lang w:val="fr-FR"/>
        </w:rPr>
        <w:t>;</w:t>
      </w:r>
    </w:p>
    <w:p w14:paraId="43369A2E" w14:textId="77777777" w:rsidR="00670BDB" w:rsidRPr="009D2C23" w:rsidRDefault="00670BDB" w:rsidP="00607904">
      <w:pPr>
        <w:pStyle w:val="paragraph"/>
        <w:spacing w:before="0" w:beforeAutospacing="0" w:after="0" w:afterAutospacing="0"/>
        <w:jc w:val="both"/>
        <w:textAlignment w:val="baseline"/>
        <w:rPr>
          <w:rFonts w:ascii="Arial" w:eastAsiaTheme="minorHAnsi" w:hAnsi="Arial" w:cs="Arial"/>
          <w:sz w:val="22"/>
          <w:szCs w:val="22"/>
          <w:lang w:val="fr-FR"/>
        </w:rPr>
      </w:pPr>
    </w:p>
    <w:p w14:paraId="20C59EA5" w14:textId="6F43430E" w:rsidR="00670BDB" w:rsidRDefault="003E4083" w:rsidP="003E4083">
      <w:pPr>
        <w:pStyle w:val="paragraph"/>
        <w:spacing w:before="0" w:beforeAutospacing="0" w:after="0" w:afterAutospacing="0"/>
        <w:ind w:left="567" w:hanging="567"/>
        <w:jc w:val="both"/>
        <w:textAlignment w:val="baseline"/>
        <w:rPr>
          <w:rFonts w:ascii="Arial" w:eastAsiaTheme="minorHAnsi" w:hAnsi="Arial" w:cs="Arial"/>
          <w:sz w:val="22"/>
          <w:szCs w:val="22"/>
          <w:lang w:val="fr-FR"/>
        </w:rPr>
      </w:pPr>
      <w:r w:rsidRPr="001356BF">
        <w:rPr>
          <w:rFonts w:ascii="Arial" w:eastAsiaTheme="minorHAnsi" w:hAnsi="Arial" w:cs="Arial"/>
          <w:sz w:val="22"/>
          <w:szCs w:val="22"/>
          <w:lang w:val="fr-FR"/>
        </w:rPr>
        <w:t>6</w:t>
      </w:r>
      <w:r>
        <w:rPr>
          <w:rFonts w:ascii="Arial" w:eastAsiaTheme="minorHAnsi" w:hAnsi="Arial" w:cs="Arial"/>
          <w:i/>
          <w:iCs/>
          <w:sz w:val="22"/>
          <w:szCs w:val="22"/>
          <w:lang w:val="fr-FR"/>
        </w:rPr>
        <w:t>.</w:t>
      </w:r>
      <w:r>
        <w:rPr>
          <w:rFonts w:ascii="Arial" w:eastAsiaTheme="minorHAnsi" w:hAnsi="Arial" w:cs="Arial"/>
          <w:i/>
          <w:iCs/>
          <w:sz w:val="22"/>
          <w:szCs w:val="22"/>
          <w:lang w:val="fr-FR"/>
        </w:rPr>
        <w:tab/>
      </w:r>
      <w:r w:rsidR="00F1208D" w:rsidRPr="009D2C23">
        <w:rPr>
          <w:rFonts w:ascii="Arial" w:eastAsiaTheme="minorHAnsi" w:hAnsi="Arial" w:cs="Arial"/>
          <w:i/>
          <w:iCs/>
          <w:sz w:val="22"/>
          <w:szCs w:val="22"/>
          <w:lang w:val="fr-FR"/>
        </w:rPr>
        <w:t xml:space="preserve">Prie </w:t>
      </w:r>
      <w:r w:rsidR="00F1208D" w:rsidRPr="003E4083">
        <w:rPr>
          <w:rFonts w:ascii="Arial" w:eastAsiaTheme="minorHAnsi" w:hAnsi="Arial" w:cs="Arial"/>
          <w:sz w:val="22"/>
          <w:szCs w:val="22"/>
          <w:lang w:val="fr-FR"/>
        </w:rPr>
        <w:t>la Secrétaire exécutive de fournir les avis du Comité permanent en temps opportun afin qu’ils puissent être examinés lors des sessions de la COP de la CDB et soumis au FEM via la COP de la CDB</w:t>
      </w:r>
      <w:r w:rsidR="009D4DE7" w:rsidRPr="009D2C23">
        <w:rPr>
          <w:rFonts w:ascii="Arial" w:eastAsiaTheme="minorHAnsi" w:hAnsi="Arial" w:cs="Arial"/>
          <w:sz w:val="22"/>
          <w:szCs w:val="22"/>
          <w:lang w:val="fr-FR"/>
        </w:rPr>
        <w:t>;</w:t>
      </w:r>
    </w:p>
    <w:p w14:paraId="5D242FF2" w14:textId="77777777" w:rsidR="009D78B4" w:rsidRDefault="009D78B4" w:rsidP="003E4083">
      <w:pPr>
        <w:pStyle w:val="paragraph"/>
        <w:spacing w:before="0" w:beforeAutospacing="0" w:after="0" w:afterAutospacing="0"/>
        <w:ind w:left="567" w:hanging="567"/>
        <w:jc w:val="both"/>
        <w:textAlignment w:val="baseline"/>
        <w:rPr>
          <w:rFonts w:ascii="Arial" w:eastAsiaTheme="minorHAnsi" w:hAnsi="Arial" w:cs="Arial"/>
          <w:sz w:val="22"/>
          <w:szCs w:val="22"/>
          <w:lang w:val="fr-FR"/>
        </w:rPr>
      </w:pPr>
    </w:p>
    <w:p w14:paraId="2FB5EA6D" w14:textId="400E4A58" w:rsidR="009D78B4" w:rsidRPr="009D2C23" w:rsidRDefault="009D78B4" w:rsidP="003E4083">
      <w:pPr>
        <w:pStyle w:val="paragraph"/>
        <w:spacing w:before="0" w:beforeAutospacing="0" w:after="0" w:afterAutospacing="0"/>
        <w:ind w:left="567" w:hanging="567"/>
        <w:jc w:val="both"/>
        <w:textAlignment w:val="baseline"/>
        <w:rPr>
          <w:rFonts w:ascii="Arial" w:eastAsiaTheme="minorHAnsi" w:hAnsi="Arial" w:cs="Arial"/>
          <w:sz w:val="22"/>
          <w:szCs w:val="22"/>
          <w:lang w:val="fr-FR"/>
        </w:rPr>
      </w:pPr>
      <w:r w:rsidRPr="002F78DD">
        <w:rPr>
          <w:rFonts w:ascii="Arial" w:eastAsiaTheme="minorHAnsi" w:hAnsi="Arial" w:cs="Arial"/>
          <w:sz w:val="22"/>
          <w:szCs w:val="22"/>
          <w:u w:val="single"/>
          <w:lang w:val="fr-FR"/>
        </w:rPr>
        <w:t>6bis</w:t>
      </w:r>
      <w:r w:rsidRPr="002F78DD">
        <w:rPr>
          <w:rFonts w:ascii="Arial" w:eastAsiaTheme="minorHAnsi" w:hAnsi="Arial" w:cs="Arial"/>
          <w:sz w:val="22"/>
          <w:szCs w:val="22"/>
          <w:u w:val="single"/>
          <w:lang w:val="fr-FR"/>
        </w:rPr>
        <w:tab/>
      </w:r>
      <w:r w:rsidR="002F78DD" w:rsidRPr="002F78DD">
        <w:rPr>
          <w:rFonts w:ascii="Arial" w:eastAsiaTheme="minorHAnsi" w:hAnsi="Arial" w:cs="Arial"/>
          <w:i/>
          <w:iCs/>
          <w:sz w:val="22"/>
          <w:szCs w:val="22"/>
          <w:u w:val="single"/>
          <w:lang w:val="fr-FR"/>
        </w:rPr>
        <w:t>Demande</w:t>
      </w:r>
      <w:r w:rsidR="002F78DD" w:rsidRPr="002F78DD">
        <w:rPr>
          <w:rFonts w:ascii="Arial" w:eastAsiaTheme="minorHAnsi" w:hAnsi="Arial" w:cs="Arial"/>
          <w:sz w:val="22"/>
          <w:szCs w:val="22"/>
          <w:u w:val="single"/>
          <w:lang w:val="fr-FR"/>
        </w:rPr>
        <w:t xml:space="preserve"> au Secrétaire exécutif d'étudier les possibilités de renforcer le soutien du FEM à la mise en œuvre de la CMS, notamment en faisant du FEM le mécanisme financier de la CMS </w:t>
      </w:r>
      <w:r w:rsidR="002F78DD" w:rsidRPr="002F78DD">
        <w:rPr>
          <w:rFonts w:ascii="Arial" w:eastAsiaTheme="minorHAnsi" w:hAnsi="Arial" w:cs="Arial"/>
          <w:sz w:val="22"/>
          <w:szCs w:val="22"/>
          <w:lang w:val="fr-FR"/>
        </w:rPr>
        <w:t>;</w:t>
      </w:r>
    </w:p>
    <w:p w14:paraId="5863E1CD" w14:textId="77777777" w:rsidR="00670BDB" w:rsidRPr="009D2C23" w:rsidRDefault="00670BDB" w:rsidP="003E4083">
      <w:pPr>
        <w:pStyle w:val="paragraph"/>
        <w:spacing w:before="0" w:beforeAutospacing="0" w:after="0" w:afterAutospacing="0"/>
        <w:ind w:left="567" w:hanging="567"/>
        <w:jc w:val="both"/>
        <w:textAlignment w:val="baseline"/>
        <w:rPr>
          <w:rFonts w:ascii="Arial" w:eastAsiaTheme="minorHAnsi" w:hAnsi="Arial" w:cs="Arial"/>
          <w:sz w:val="22"/>
          <w:szCs w:val="22"/>
          <w:lang w:val="fr-FR"/>
        </w:rPr>
      </w:pPr>
    </w:p>
    <w:p w14:paraId="0ADA68B7" w14:textId="57425FC2" w:rsidR="00670BDB" w:rsidRPr="009D2C23" w:rsidRDefault="003E4083" w:rsidP="003E4083">
      <w:pPr>
        <w:pStyle w:val="paragraph"/>
        <w:spacing w:before="0" w:beforeAutospacing="0" w:after="0" w:afterAutospacing="0"/>
        <w:ind w:left="567" w:hanging="567"/>
        <w:jc w:val="both"/>
        <w:textAlignment w:val="baseline"/>
        <w:rPr>
          <w:rFonts w:ascii="Arial" w:eastAsiaTheme="minorHAnsi" w:hAnsi="Arial" w:cs="Arial"/>
          <w:sz w:val="22"/>
          <w:szCs w:val="22"/>
          <w:lang w:val="fr-FR"/>
        </w:rPr>
      </w:pPr>
      <w:r w:rsidRPr="001356BF">
        <w:rPr>
          <w:rFonts w:ascii="Arial" w:eastAsiaTheme="minorHAnsi" w:hAnsi="Arial" w:cs="Arial"/>
          <w:sz w:val="22"/>
          <w:szCs w:val="22"/>
          <w:lang w:val="fr-FR"/>
        </w:rPr>
        <w:t>7</w:t>
      </w:r>
      <w:r>
        <w:rPr>
          <w:rFonts w:ascii="Arial" w:eastAsiaTheme="minorHAnsi" w:hAnsi="Arial" w:cs="Arial"/>
          <w:i/>
          <w:iCs/>
          <w:sz w:val="22"/>
          <w:szCs w:val="22"/>
          <w:lang w:val="fr-FR"/>
        </w:rPr>
        <w:t>.</w:t>
      </w:r>
      <w:r>
        <w:rPr>
          <w:rFonts w:ascii="Arial" w:eastAsiaTheme="minorHAnsi" w:hAnsi="Arial" w:cs="Arial"/>
          <w:i/>
          <w:iCs/>
          <w:sz w:val="22"/>
          <w:szCs w:val="22"/>
          <w:lang w:val="fr-FR"/>
        </w:rPr>
        <w:tab/>
      </w:r>
      <w:r w:rsidR="001D5CE6" w:rsidRPr="009D2C23">
        <w:rPr>
          <w:rFonts w:ascii="Arial" w:eastAsiaTheme="minorHAnsi" w:hAnsi="Arial" w:cs="Arial"/>
          <w:i/>
          <w:iCs/>
          <w:sz w:val="22"/>
          <w:szCs w:val="22"/>
          <w:lang w:val="fr-FR"/>
        </w:rPr>
        <w:t>Invite</w:t>
      </w:r>
      <w:r w:rsidR="001D5CE6" w:rsidRPr="003E4083">
        <w:rPr>
          <w:rFonts w:ascii="Arial" w:eastAsiaTheme="minorHAnsi" w:hAnsi="Arial" w:cs="Arial"/>
          <w:sz w:val="22"/>
          <w:szCs w:val="22"/>
          <w:lang w:val="fr-FR"/>
        </w:rPr>
        <w:t xml:space="preserve"> le Secrétariat du FEM à participer au suivi de la présente résolution en dialoguant avec le Secrétariat de la CMS, et grâce à d’autres moyens appropriés, y compris en étudiant toutes les possibilités de renforcement du soutien du FEM envers les pays pour les activités relatives à la mise en œuvre de la CMS</w:t>
      </w:r>
      <w:r w:rsidR="009D4DE7" w:rsidRPr="009D2C23">
        <w:rPr>
          <w:rFonts w:ascii="Arial" w:eastAsiaTheme="minorHAnsi" w:hAnsi="Arial" w:cs="Arial"/>
          <w:sz w:val="22"/>
          <w:szCs w:val="22"/>
          <w:lang w:val="fr-FR"/>
        </w:rPr>
        <w:t>;</w:t>
      </w:r>
    </w:p>
    <w:p w14:paraId="77EFF5E4" w14:textId="77777777" w:rsidR="00670BDB" w:rsidRPr="009D2C23" w:rsidRDefault="00670BDB" w:rsidP="003E4083">
      <w:pPr>
        <w:pStyle w:val="paragraph"/>
        <w:spacing w:before="0" w:beforeAutospacing="0" w:after="0" w:afterAutospacing="0"/>
        <w:ind w:left="567" w:hanging="567"/>
        <w:jc w:val="both"/>
        <w:textAlignment w:val="baseline"/>
        <w:rPr>
          <w:rFonts w:ascii="Arial" w:eastAsiaTheme="minorHAnsi" w:hAnsi="Arial" w:cs="Arial"/>
          <w:sz w:val="22"/>
          <w:szCs w:val="22"/>
          <w:lang w:val="fr-FR"/>
        </w:rPr>
      </w:pPr>
    </w:p>
    <w:p w14:paraId="4BB91B9F" w14:textId="566F131C" w:rsidR="00670BDB" w:rsidRPr="009D2C23" w:rsidRDefault="003E4083" w:rsidP="003E4083">
      <w:pPr>
        <w:pStyle w:val="paragraph"/>
        <w:spacing w:before="0" w:beforeAutospacing="0" w:after="0" w:afterAutospacing="0"/>
        <w:ind w:left="567" w:hanging="567"/>
        <w:jc w:val="both"/>
        <w:textAlignment w:val="baseline"/>
        <w:rPr>
          <w:rFonts w:ascii="Arial" w:eastAsiaTheme="minorHAnsi" w:hAnsi="Arial" w:cs="Arial"/>
          <w:sz w:val="22"/>
          <w:szCs w:val="22"/>
          <w:lang w:val="fr-FR"/>
        </w:rPr>
      </w:pPr>
      <w:r w:rsidRPr="001356BF">
        <w:rPr>
          <w:rFonts w:ascii="Arial" w:eastAsiaTheme="minorHAnsi" w:hAnsi="Arial" w:cs="Arial"/>
          <w:sz w:val="22"/>
          <w:szCs w:val="22"/>
          <w:lang w:val="fr-FR"/>
        </w:rPr>
        <w:t>8</w:t>
      </w:r>
      <w:r>
        <w:rPr>
          <w:rFonts w:ascii="Arial" w:eastAsiaTheme="minorHAnsi" w:hAnsi="Arial" w:cs="Arial"/>
          <w:i/>
          <w:iCs/>
          <w:sz w:val="22"/>
          <w:szCs w:val="22"/>
          <w:lang w:val="fr-FR"/>
        </w:rPr>
        <w:t>.</w:t>
      </w:r>
      <w:r>
        <w:rPr>
          <w:rFonts w:ascii="Arial" w:eastAsiaTheme="minorHAnsi" w:hAnsi="Arial" w:cs="Arial"/>
          <w:i/>
          <w:iCs/>
          <w:sz w:val="22"/>
          <w:szCs w:val="22"/>
          <w:lang w:val="fr-FR"/>
        </w:rPr>
        <w:tab/>
      </w:r>
      <w:r w:rsidR="001D5CE6" w:rsidRPr="009D2C23">
        <w:rPr>
          <w:rFonts w:ascii="Arial" w:eastAsiaTheme="minorHAnsi" w:hAnsi="Arial" w:cs="Arial"/>
          <w:i/>
          <w:iCs/>
          <w:sz w:val="22"/>
          <w:szCs w:val="22"/>
          <w:lang w:val="fr-FR"/>
        </w:rPr>
        <w:t>Prie l</w:t>
      </w:r>
      <w:r w:rsidR="001D5CE6" w:rsidRPr="003E4083">
        <w:rPr>
          <w:rFonts w:ascii="Arial" w:eastAsiaTheme="minorHAnsi" w:hAnsi="Arial" w:cs="Arial"/>
          <w:sz w:val="22"/>
          <w:szCs w:val="22"/>
          <w:lang w:val="fr-FR"/>
        </w:rPr>
        <w:t>e Secrétariat de collaborer avec le FEM et ses organismes à tous les niveaux appropriés en vue de continuer à mettre en œuvre la présente résolution</w:t>
      </w:r>
      <w:r w:rsidR="009D4DE7" w:rsidRPr="009D2C23">
        <w:rPr>
          <w:rFonts w:ascii="Arial" w:eastAsiaTheme="minorHAnsi" w:hAnsi="Arial" w:cs="Arial"/>
          <w:sz w:val="22"/>
          <w:szCs w:val="22"/>
          <w:lang w:val="fr-FR"/>
        </w:rPr>
        <w:t>;</w:t>
      </w:r>
    </w:p>
    <w:p w14:paraId="7E5DCA08" w14:textId="77777777" w:rsidR="003E4083" w:rsidRDefault="003E4083" w:rsidP="003E4083">
      <w:pPr>
        <w:spacing w:after="0" w:line="240" w:lineRule="auto"/>
        <w:ind w:left="567" w:hanging="567"/>
        <w:rPr>
          <w:rFonts w:cs="Arial"/>
          <w:i/>
          <w:iCs/>
          <w:lang w:val="fr-FR"/>
        </w:rPr>
      </w:pPr>
    </w:p>
    <w:p w14:paraId="5380BB5A" w14:textId="72E1D962" w:rsidR="00670BDB" w:rsidRPr="003E4083" w:rsidRDefault="003E4083" w:rsidP="003E4083">
      <w:pPr>
        <w:spacing w:after="0" w:line="240" w:lineRule="auto"/>
        <w:ind w:left="567" w:hanging="567"/>
        <w:rPr>
          <w:rFonts w:cs="Arial"/>
          <w:i/>
          <w:iCs/>
          <w:lang w:val="fr-FR"/>
        </w:rPr>
      </w:pPr>
      <w:r w:rsidRPr="001356BF">
        <w:rPr>
          <w:rFonts w:cs="Arial"/>
          <w:lang w:val="fr-FR"/>
        </w:rPr>
        <w:lastRenderedPageBreak/>
        <w:t>9</w:t>
      </w:r>
      <w:r>
        <w:rPr>
          <w:rFonts w:cs="Arial"/>
          <w:i/>
          <w:iCs/>
          <w:lang w:val="fr-FR"/>
        </w:rPr>
        <w:t>.</w:t>
      </w:r>
      <w:r>
        <w:rPr>
          <w:rFonts w:cs="Arial"/>
          <w:i/>
          <w:iCs/>
          <w:lang w:val="fr-FR"/>
        </w:rPr>
        <w:tab/>
      </w:r>
      <w:r w:rsidR="009D2C23" w:rsidRPr="003E4083">
        <w:rPr>
          <w:rFonts w:cs="Arial"/>
          <w:i/>
          <w:iCs/>
          <w:lang w:val="fr-FR"/>
        </w:rPr>
        <w:t xml:space="preserve">Demande </w:t>
      </w:r>
      <w:r w:rsidR="009D2C23" w:rsidRPr="003E4083">
        <w:rPr>
          <w:rFonts w:cs="Arial"/>
          <w:lang w:val="fr-FR"/>
        </w:rPr>
        <w:t xml:space="preserve">au PNUE et aux autres organismes du FEM d’apporter comme il se doit leur soutien et leur contribution à la mise en œuvre de la présente résolution ; </w:t>
      </w:r>
      <w:r w:rsidR="009D2C23" w:rsidRPr="003E4083">
        <w:rPr>
          <w:rFonts w:cs="Arial"/>
          <w:strike/>
          <w:lang w:val="fr-FR"/>
        </w:rPr>
        <w:t>et</w:t>
      </w:r>
    </w:p>
    <w:p w14:paraId="7A145BE6" w14:textId="77777777" w:rsidR="00670BDB" w:rsidRPr="009D2C23" w:rsidRDefault="00670BDB" w:rsidP="00607904">
      <w:pPr>
        <w:pStyle w:val="paragraph"/>
        <w:spacing w:before="0" w:beforeAutospacing="0" w:after="0" w:afterAutospacing="0"/>
        <w:jc w:val="both"/>
        <w:textAlignment w:val="baseline"/>
        <w:rPr>
          <w:rFonts w:ascii="Arial" w:eastAsiaTheme="minorHAnsi" w:hAnsi="Arial" w:cs="Arial"/>
          <w:sz w:val="22"/>
          <w:szCs w:val="22"/>
          <w:lang w:val="fr-FR"/>
        </w:rPr>
      </w:pPr>
    </w:p>
    <w:p w14:paraId="7A167333" w14:textId="18D70A62" w:rsidR="00670BDB" w:rsidRPr="00157A35" w:rsidRDefault="009615F8" w:rsidP="009615F8">
      <w:pPr>
        <w:pStyle w:val="paragraph"/>
        <w:spacing w:before="0" w:beforeAutospacing="0" w:after="0" w:afterAutospacing="0"/>
        <w:ind w:left="567" w:hanging="567"/>
        <w:jc w:val="both"/>
        <w:textAlignment w:val="baseline"/>
        <w:rPr>
          <w:rFonts w:ascii="Arial" w:eastAsiaTheme="minorHAnsi" w:hAnsi="Arial" w:cs="Arial"/>
          <w:sz w:val="22"/>
          <w:szCs w:val="22"/>
          <w:lang w:val="fr-FR"/>
        </w:rPr>
      </w:pPr>
      <w:r w:rsidRPr="009615F8">
        <w:rPr>
          <w:rFonts w:ascii="Arial" w:eastAsiaTheme="minorHAnsi" w:hAnsi="Arial" w:cs="Arial"/>
          <w:sz w:val="22"/>
          <w:szCs w:val="22"/>
          <w:lang w:val="fr-FR"/>
        </w:rPr>
        <w:t>10.</w:t>
      </w:r>
      <w:r>
        <w:rPr>
          <w:rFonts w:ascii="Arial" w:eastAsiaTheme="minorHAnsi" w:hAnsi="Arial" w:cs="Arial"/>
          <w:i/>
          <w:iCs/>
          <w:sz w:val="22"/>
          <w:szCs w:val="22"/>
          <w:lang w:val="fr-FR"/>
        </w:rPr>
        <w:tab/>
      </w:r>
      <w:r w:rsidR="009D2C23" w:rsidRPr="009D2C23">
        <w:rPr>
          <w:rFonts w:ascii="Arial" w:eastAsiaTheme="minorHAnsi" w:hAnsi="Arial" w:cs="Arial"/>
          <w:i/>
          <w:iCs/>
          <w:sz w:val="22"/>
          <w:szCs w:val="22"/>
          <w:lang w:val="fr-FR"/>
        </w:rPr>
        <w:t xml:space="preserve">Charge </w:t>
      </w:r>
      <w:r w:rsidR="009D2C23" w:rsidRPr="009615F8">
        <w:rPr>
          <w:rFonts w:ascii="Arial" w:eastAsiaTheme="minorHAnsi" w:hAnsi="Arial" w:cs="Arial"/>
          <w:sz w:val="22"/>
          <w:szCs w:val="22"/>
          <w:lang w:val="fr-FR"/>
        </w:rPr>
        <w:t>le Secrétariat de rendre compte des progrès accomplis dans la mise en œuvre</w:t>
      </w:r>
      <w:r>
        <w:rPr>
          <w:rFonts w:ascii="Arial" w:eastAsiaTheme="minorHAnsi" w:hAnsi="Arial" w:cs="Arial"/>
          <w:sz w:val="22"/>
          <w:szCs w:val="22"/>
          <w:lang w:val="fr-FR"/>
        </w:rPr>
        <w:t xml:space="preserve"> </w:t>
      </w:r>
      <w:r w:rsidR="009D2C23" w:rsidRPr="009615F8">
        <w:rPr>
          <w:rFonts w:ascii="Arial" w:eastAsiaTheme="minorHAnsi" w:hAnsi="Arial" w:cs="Arial"/>
          <w:sz w:val="22"/>
          <w:szCs w:val="22"/>
          <w:lang w:val="fr-FR"/>
        </w:rPr>
        <w:t xml:space="preserve">de la présente résolution lors des réunions du Comité Permanent </w:t>
      </w:r>
      <w:r w:rsidR="009D2C23" w:rsidRPr="00157A35">
        <w:rPr>
          <w:rFonts w:ascii="Arial" w:eastAsiaTheme="minorHAnsi" w:hAnsi="Arial" w:cs="Arial"/>
          <w:strike/>
          <w:sz w:val="22"/>
          <w:szCs w:val="22"/>
          <w:lang w:val="fr-FR"/>
        </w:rPr>
        <w:t>et de soumettre des propositions sur les mesures à prendre aux sessions de la Conférence des Parties</w:t>
      </w:r>
      <w:r w:rsidR="00157A35" w:rsidRPr="00157A35">
        <w:rPr>
          <w:rFonts w:ascii="Arial" w:eastAsiaTheme="minorHAnsi" w:hAnsi="Arial" w:cs="Arial"/>
          <w:sz w:val="22"/>
          <w:szCs w:val="22"/>
          <w:lang w:val="fr-FR"/>
        </w:rPr>
        <w:t>.</w:t>
      </w:r>
    </w:p>
    <w:p w14:paraId="11A9BCDC" w14:textId="77777777" w:rsidR="00670BDB" w:rsidRPr="009D2C23" w:rsidRDefault="00670BDB" w:rsidP="00607904">
      <w:pPr>
        <w:suppressAutoHyphens/>
        <w:spacing w:after="0" w:line="240" w:lineRule="auto"/>
        <w:jc w:val="both"/>
        <w:rPr>
          <w:lang w:val="fr-FR"/>
        </w:rPr>
      </w:pPr>
    </w:p>
    <w:p w14:paraId="375BF0BD" w14:textId="77777777" w:rsidR="009D2C23" w:rsidRPr="009D2C23" w:rsidRDefault="009D2C23">
      <w:pPr>
        <w:suppressAutoHyphens/>
        <w:spacing w:after="0" w:line="240" w:lineRule="auto"/>
        <w:jc w:val="both"/>
        <w:rPr>
          <w:lang w:val="fr-FR"/>
        </w:rPr>
      </w:pPr>
    </w:p>
    <w:p w14:paraId="4A4E540D" w14:textId="77777777" w:rsidR="009D2C23" w:rsidRPr="009D2C23" w:rsidRDefault="009D2C23">
      <w:pPr>
        <w:suppressAutoHyphens/>
        <w:spacing w:after="0" w:line="240" w:lineRule="auto"/>
        <w:jc w:val="both"/>
        <w:rPr>
          <w:lang w:val="fr-FR"/>
        </w:rPr>
        <w:sectPr w:rsidR="009D2C23" w:rsidRPr="009D2C23">
          <w:headerReference w:type="even" r:id="rId32"/>
          <w:headerReference w:type="default" r:id="rId33"/>
          <w:footerReference w:type="even" r:id="rId34"/>
          <w:footerReference w:type="default" r:id="rId35"/>
          <w:headerReference w:type="first" r:id="rId36"/>
          <w:footerReference w:type="first" r:id="rId37"/>
          <w:pgSz w:w="11906" w:h="16838" w:code="9"/>
          <w:pgMar w:top="1440" w:right="1440" w:bottom="1440" w:left="1440" w:header="720" w:footer="720" w:gutter="0"/>
          <w:cols w:space="720"/>
          <w:titlePg/>
          <w:docGrid w:linePitch="360"/>
        </w:sectPr>
      </w:pPr>
    </w:p>
    <w:p w14:paraId="39FB5F8C" w14:textId="77777777" w:rsidR="00670BDB" w:rsidRPr="00157A35" w:rsidRDefault="009D4DE7">
      <w:pPr>
        <w:suppressAutoHyphens/>
        <w:spacing w:after="0" w:line="240" w:lineRule="auto"/>
        <w:jc w:val="right"/>
        <w:rPr>
          <w:b/>
          <w:bCs/>
          <w:lang w:val="fr-FR"/>
        </w:rPr>
      </w:pPr>
      <w:r w:rsidRPr="00157A35">
        <w:rPr>
          <w:b/>
          <w:bCs/>
          <w:lang w:val="fr-FR"/>
        </w:rPr>
        <w:lastRenderedPageBreak/>
        <w:t>ANNEXE 2</w:t>
      </w:r>
    </w:p>
    <w:p w14:paraId="7B8D5C1E" w14:textId="77777777" w:rsidR="00670BDB" w:rsidRPr="003C60ED" w:rsidRDefault="00670BDB">
      <w:pPr>
        <w:suppressAutoHyphens/>
        <w:spacing w:after="0" w:line="240" w:lineRule="auto"/>
        <w:jc w:val="right"/>
        <w:rPr>
          <w:lang w:val="fr-FR"/>
        </w:rPr>
      </w:pPr>
    </w:p>
    <w:p w14:paraId="7913D811" w14:textId="77777777" w:rsidR="00670BDB" w:rsidRPr="003C60ED" w:rsidRDefault="009D4DE7">
      <w:pPr>
        <w:suppressAutoHyphens/>
        <w:spacing w:after="0" w:line="240" w:lineRule="auto"/>
        <w:jc w:val="center"/>
        <w:rPr>
          <w:lang w:val="fr-FR"/>
        </w:rPr>
      </w:pPr>
      <w:r w:rsidRPr="003C60ED">
        <w:rPr>
          <w:lang w:val="fr-FR"/>
        </w:rPr>
        <w:t>PROJET DE DÉCISIONS</w:t>
      </w:r>
    </w:p>
    <w:p w14:paraId="0954F70B" w14:textId="77777777" w:rsidR="00670BDB" w:rsidRPr="003C60ED" w:rsidRDefault="00670BDB">
      <w:pPr>
        <w:suppressAutoHyphens/>
        <w:spacing w:after="0" w:line="240" w:lineRule="auto"/>
        <w:jc w:val="both"/>
        <w:rPr>
          <w:lang w:val="fr-FR"/>
        </w:rPr>
      </w:pPr>
    </w:p>
    <w:p w14:paraId="307D69A3" w14:textId="77777777" w:rsidR="00157A35" w:rsidRDefault="009D4DE7" w:rsidP="00157A35">
      <w:pPr>
        <w:spacing w:after="0" w:line="240" w:lineRule="auto"/>
        <w:jc w:val="center"/>
        <w:rPr>
          <w:rFonts w:cs="Arial"/>
          <w:b/>
          <w:lang w:val="fr-FR"/>
        </w:rPr>
      </w:pPr>
      <w:r w:rsidRPr="003C60ED">
        <w:rPr>
          <w:rFonts w:cs="Arial"/>
          <w:b/>
          <w:lang w:val="fr-FR"/>
        </w:rPr>
        <w:t xml:space="preserve">RENFORCEMENT DE L'ENGAGEMENT DANS LE FONDS </w:t>
      </w:r>
    </w:p>
    <w:p w14:paraId="1B962602" w14:textId="410323B3" w:rsidR="00670BDB" w:rsidRPr="003C60ED" w:rsidRDefault="009D4DE7">
      <w:pPr>
        <w:jc w:val="center"/>
        <w:rPr>
          <w:rFonts w:cs="Arial"/>
          <w:b/>
          <w:lang w:val="fr-FR"/>
        </w:rPr>
      </w:pPr>
      <w:r w:rsidRPr="003C60ED">
        <w:rPr>
          <w:rFonts w:cs="Arial"/>
          <w:b/>
          <w:lang w:val="fr-FR"/>
        </w:rPr>
        <w:t>POUR L'ENVIRONNEMENT MONDIAL</w:t>
      </w:r>
    </w:p>
    <w:p w14:paraId="6A3CD95D" w14:textId="77777777" w:rsidR="00670BDB" w:rsidRPr="003C60ED" w:rsidRDefault="00670BDB">
      <w:pPr>
        <w:suppressAutoHyphens/>
        <w:spacing w:after="0" w:line="240" w:lineRule="auto"/>
        <w:jc w:val="both"/>
        <w:rPr>
          <w:lang w:val="fr-FR"/>
        </w:rPr>
      </w:pPr>
    </w:p>
    <w:p w14:paraId="3B6BBF4B" w14:textId="77777777" w:rsidR="00670BDB" w:rsidRPr="003C60ED" w:rsidRDefault="00670BDB">
      <w:pPr>
        <w:suppressAutoHyphens/>
        <w:spacing w:after="0" w:line="240" w:lineRule="auto"/>
        <w:jc w:val="both"/>
        <w:rPr>
          <w:lang w:val="fr-FR"/>
        </w:rPr>
      </w:pPr>
    </w:p>
    <w:p w14:paraId="2F967969" w14:textId="77777777" w:rsidR="00670BDB" w:rsidRPr="003C60ED" w:rsidRDefault="009D4DE7">
      <w:pPr>
        <w:suppressAutoHyphens/>
        <w:spacing w:after="0" w:line="240" w:lineRule="auto"/>
        <w:jc w:val="both"/>
        <w:rPr>
          <w:b/>
          <w:bCs/>
          <w:i/>
          <w:iCs/>
          <w:lang w:val="fr-FR"/>
        </w:rPr>
      </w:pPr>
      <w:r w:rsidRPr="003C60ED">
        <w:rPr>
          <w:b/>
          <w:bCs/>
          <w:i/>
          <w:iCs/>
          <w:lang w:val="fr-FR"/>
        </w:rPr>
        <w:t>À l'attention du Fonds pour l'environnement mondial (FEM)</w:t>
      </w:r>
    </w:p>
    <w:p w14:paraId="3ABC90D4" w14:textId="77777777" w:rsidR="00670BDB" w:rsidRPr="003C60ED" w:rsidRDefault="00670BDB">
      <w:pPr>
        <w:suppressAutoHyphens/>
        <w:spacing w:after="0" w:line="240" w:lineRule="auto"/>
        <w:jc w:val="both"/>
        <w:rPr>
          <w:lang w:val="fr-FR"/>
        </w:rPr>
      </w:pPr>
    </w:p>
    <w:p w14:paraId="6F0CED21" w14:textId="0F781B1F" w:rsidR="00670BDB" w:rsidRPr="003C60ED" w:rsidRDefault="009D4DE7" w:rsidP="002F78DD">
      <w:pPr>
        <w:suppressAutoHyphens/>
        <w:spacing w:after="0" w:line="240" w:lineRule="auto"/>
        <w:ind w:left="851" w:hanging="851"/>
        <w:jc w:val="both"/>
        <w:rPr>
          <w:lang w:val="fr-FR"/>
        </w:rPr>
      </w:pPr>
      <w:r w:rsidRPr="003C60ED">
        <w:rPr>
          <w:lang w:val="fr-FR"/>
        </w:rPr>
        <w:t>15.A</w:t>
      </w:r>
      <w:r w:rsidR="002F78DD">
        <w:rPr>
          <w:lang w:val="fr-FR"/>
        </w:rPr>
        <w:t>A.</w:t>
      </w:r>
      <w:r w:rsidRPr="003C60ED">
        <w:rPr>
          <w:lang w:val="fr-FR"/>
        </w:rPr>
        <w:t xml:space="preserve"> </w:t>
      </w:r>
      <w:r w:rsidRPr="003C60ED">
        <w:rPr>
          <w:lang w:val="fr-FR"/>
        </w:rPr>
        <w:tab/>
      </w:r>
      <w:r w:rsidR="002F78DD">
        <w:rPr>
          <w:lang w:val="fr-FR"/>
        </w:rPr>
        <w:t>Le FEM est invité à :</w:t>
      </w:r>
    </w:p>
    <w:p w14:paraId="5DF1FC34" w14:textId="77777777" w:rsidR="00670BDB" w:rsidRPr="003C60ED" w:rsidRDefault="00670BDB">
      <w:pPr>
        <w:suppressAutoHyphens/>
        <w:spacing w:after="0" w:line="240" w:lineRule="auto"/>
        <w:ind w:left="1134"/>
        <w:jc w:val="both"/>
        <w:rPr>
          <w:lang w:val="fr-FR"/>
        </w:rPr>
      </w:pPr>
    </w:p>
    <w:p w14:paraId="2765426A" w14:textId="09E179CF" w:rsidR="00670BDB" w:rsidRPr="003C60ED" w:rsidRDefault="002F78DD" w:rsidP="002F78DD">
      <w:pPr>
        <w:pStyle w:val="ListParagraph"/>
        <w:numPr>
          <w:ilvl w:val="0"/>
          <w:numId w:val="22"/>
        </w:numPr>
        <w:suppressAutoHyphens/>
        <w:spacing w:after="0" w:line="240" w:lineRule="auto"/>
        <w:ind w:left="1418" w:hanging="567"/>
        <w:jc w:val="both"/>
        <w:rPr>
          <w:lang w:val="fr-FR"/>
        </w:rPr>
      </w:pPr>
      <w:r>
        <w:rPr>
          <w:lang w:val="fr-FR"/>
        </w:rPr>
        <w:t xml:space="preserve">considérer les Décisions 15.BB et 15CC. </w:t>
      </w:r>
      <w:r w:rsidR="009D4DE7" w:rsidRPr="003C60ED">
        <w:rPr>
          <w:lang w:val="fr-FR"/>
        </w:rPr>
        <w:t xml:space="preserve">de la Conférence des Parties à la CMS </w:t>
      </w:r>
      <w:r>
        <w:rPr>
          <w:lang w:val="fr-FR"/>
        </w:rPr>
        <w:t xml:space="preserve">et </w:t>
      </w:r>
      <w:r w:rsidR="009D4DE7" w:rsidRPr="003C60ED">
        <w:rPr>
          <w:lang w:val="fr-FR"/>
        </w:rPr>
        <w:t xml:space="preserve">de </w:t>
      </w:r>
      <w:r>
        <w:rPr>
          <w:lang w:val="fr-FR"/>
        </w:rPr>
        <w:t xml:space="preserve">soutenir leur mise en </w:t>
      </w:r>
      <w:proofErr w:type="spellStart"/>
      <w:r>
        <w:rPr>
          <w:lang w:val="fr-FR"/>
        </w:rPr>
        <w:t>oeuvre</w:t>
      </w:r>
      <w:proofErr w:type="spellEnd"/>
      <w:r w:rsidR="009D4DE7" w:rsidRPr="003C60ED">
        <w:rPr>
          <w:lang w:val="fr-FR"/>
        </w:rPr>
        <w:t xml:space="preserve"> ;</w:t>
      </w:r>
    </w:p>
    <w:p w14:paraId="21B4372F" w14:textId="77777777" w:rsidR="00670BDB" w:rsidRDefault="00670BDB">
      <w:pPr>
        <w:suppressAutoHyphens/>
        <w:spacing w:after="0" w:line="240" w:lineRule="auto"/>
        <w:jc w:val="both"/>
        <w:rPr>
          <w:lang w:val="fr-FR"/>
        </w:rPr>
      </w:pPr>
    </w:p>
    <w:p w14:paraId="490E65D3" w14:textId="77777777" w:rsidR="002F78DD" w:rsidRPr="003C60ED" w:rsidRDefault="002F78DD">
      <w:pPr>
        <w:suppressAutoHyphens/>
        <w:spacing w:after="0" w:line="240" w:lineRule="auto"/>
        <w:jc w:val="both"/>
        <w:rPr>
          <w:lang w:val="fr-FR"/>
        </w:rPr>
      </w:pPr>
    </w:p>
    <w:p w14:paraId="3E15199A" w14:textId="77777777" w:rsidR="002F78DD" w:rsidRPr="002F78DD" w:rsidRDefault="002F78DD" w:rsidP="002F78DD">
      <w:pPr>
        <w:suppressAutoHyphens/>
        <w:spacing w:after="0" w:line="240" w:lineRule="auto"/>
        <w:jc w:val="both"/>
        <w:rPr>
          <w:b/>
          <w:bCs/>
          <w:i/>
          <w:iCs/>
          <w:lang w:val="fr-FR"/>
        </w:rPr>
      </w:pPr>
      <w:r w:rsidRPr="002F78DD">
        <w:rPr>
          <w:b/>
          <w:bCs/>
          <w:i/>
          <w:iCs/>
          <w:lang w:val="fr-FR"/>
        </w:rPr>
        <w:t>À l'attention du Comité permanent</w:t>
      </w:r>
    </w:p>
    <w:p w14:paraId="4A83F140" w14:textId="77777777" w:rsidR="002F78DD" w:rsidRPr="002F78DD" w:rsidRDefault="002F78DD" w:rsidP="002F78DD">
      <w:pPr>
        <w:suppressAutoHyphens/>
        <w:spacing w:after="0" w:line="240" w:lineRule="auto"/>
        <w:jc w:val="both"/>
        <w:rPr>
          <w:lang w:val="fr-FR"/>
        </w:rPr>
      </w:pPr>
    </w:p>
    <w:p w14:paraId="19B5BF52" w14:textId="04688AA9" w:rsidR="00670BDB" w:rsidRDefault="002F78DD" w:rsidP="002F78DD">
      <w:pPr>
        <w:suppressAutoHyphens/>
        <w:spacing w:after="0" w:line="240" w:lineRule="auto"/>
        <w:ind w:left="851" w:hanging="851"/>
        <w:jc w:val="both"/>
        <w:rPr>
          <w:lang w:val="fr-FR"/>
        </w:rPr>
      </w:pPr>
      <w:r w:rsidRPr="002F78DD">
        <w:rPr>
          <w:lang w:val="fr-FR"/>
        </w:rPr>
        <w:t>15.BB</w:t>
      </w:r>
      <w:r>
        <w:rPr>
          <w:lang w:val="fr-FR"/>
        </w:rPr>
        <w:t>.</w:t>
      </w:r>
      <w:r>
        <w:rPr>
          <w:lang w:val="fr-FR"/>
        </w:rPr>
        <w:tab/>
      </w:r>
      <w:r w:rsidRPr="002F78DD">
        <w:rPr>
          <w:lang w:val="fr-FR"/>
        </w:rPr>
        <w:t>Le Comité permanent est invité à étudier les possibilités de renforcer le soutien du FEM à la mise en œuvre de la CMS, notamment en faisant du FEM le mécanisme financier de la CMS.</w:t>
      </w:r>
    </w:p>
    <w:p w14:paraId="52763E29" w14:textId="77777777" w:rsidR="002F78DD" w:rsidRDefault="002F78DD" w:rsidP="002F78DD">
      <w:pPr>
        <w:suppressAutoHyphens/>
        <w:spacing w:after="0" w:line="240" w:lineRule="auto"/>
        <w:ind w:left="851" w:hanging="851"/>
        <w:jc w:val="both"/>
        <w:rPr>
          <w:lang w:val="fr-FR"/>
        </w:rPr>
      </w:pPr>
    </w:p>
    <w:p w14:paraId="10F81F9C" w14:textId="77777777" w:rsidR="002F78DD" w:rsidRPr="003C60ED" w:rsidRDefault="002F78DD" w:rsidP="002F78DD">
      <w:pPr>
        <w:suppressAutoHyphens/>
        <w:spacing w:after="0" w:line="240" w:lineRule="auto"/>
        <w:ind w:left="851" w:hanging="851"/>
        <w:jc w:val="both"/>
        <w:rPr>
          <w:lang w:val="fr-FR"/>
        </w:rPr>
      </w:pPr>
    </w:p>
    <w:p w14:paraId="6C797DEF" w14:textId="77777777" w:rsidR="00670BDB" w:rsidRPr="003C60ED" w:rsidRDefault="009D4DE7">
      <w:pPr>
        <w:suppressAutoHyphens/>
        <w:spacing w:after="0" w:line="240" w:lineRule="auto"/>
        <w:jc w:val="both"/>
        <w:rPr>
          <w:b/>
          <w:bCs/>
          <w:i/>
          <w:iCs/>
          <w:lang w:val="fr-FR"/>
        </w:rPr>
      </w:pPr>
      <w:r w:rsidRPr="003C60ED">
        <w:rPr>
          <w:b/>
          <w:bCs/>
          <w:i/>
          <w:iCs/>
          <w:lang w:val="fr-FR"/>
        </w:rPr>
        <w:t>À l'attention du Secrétariat</w:t>
      </w:r>
    </w:p>
    <w:p w14:paraId="0BE12F2A" w14:textId="77777777" w:rsidR="00670BDB" w:rsidRPr="003C60ED" w:rsidRDefault="00670BDB">
      <w:pPr>
        <w:suppressAutoHyphens/>
        <w:spacing w:after="0" w:line="240" w:lineRule="auto"/>
        <w:jc w:val="both"/>
        <w:rPr>
          <w:lang w:val="fr-FR"/>
        </w:rPr>
      </w:pPr>
    </w:p>
    <w:p w14:paraId="58DB231E" w14:textId="77777777" w:rsidR="00670BDB" w:rsidRPr="003C60ED" w:rsidRDefault="009D4DE7" w:rsidP="002F78DD">
      <w:pPr>
        <w:suppressAutoHyphens/>
        <w:spacing w:after="0" w:line="240" w:lineRule="auto"/>
        <w:ind w:left="851" w:hanging="851"/>
        <w:jc w:val="both"/>
        <w:rPr>
          <w:lang w:val="fr-FR"/>
        </w:rPr>
      </w:pPr>
      <w:r w:rsidRPr="003C60ED">
        <w:rPr>
          <w:lang w:val="fr-FR"/>
        </w:rPr>
        <w:t xml:space="preserve">15.BB </w:t>
      </w:r>
      <w:r w:rsidRPr="003C60ED">
        <w:rPr>
          <w:lang w:val="fr-FR"/>
        </w:rPr>
        <w:tab/>
        <w:t>Le Secrétariat devra :</w:t>
      </w:r>
    </w:p>
    <w:p w14:paraId="69DF0CF6" w14:textId="77777777" w:rsidR="00670BDB" w:rsidRPr="003C60ED" w:rsidRDefault="00670BDB" w:rsidP="002F78DD">
      <w:pPr>
        <w:suppressAutoHyphens/>
        <w:spacing w:after="0" w:line="240" w:lineRule="auto"/>
        <w:ind w:left="851" w:hanging="851"/>
        <w:jc w:val="both"/>
        <w:rPr>
          <w:lang w:val="fr-FR"/>
        </w:rPr>
      </w:pPr>
    </w:p>
    <w:p w14:paraId="2D013C1E" w14:textId="77777777" w:rsidR="00670BDB" w:rsidRPr="003C60ED" w:rsidRDefault="009D4DE7" w:rsidP="002F78DD">
      <w:pPr>
        <w:suppressAutoHyphens/>
        <w:spacing w:after="0" w:line="240" w:lineRule="auto"/>
        <w:ind w:left="1418" w:hanging="567"/>
        <w:jc w:val="both"/>
        <w:rPr>
          <w:lang w:val="fr-FR"/>
        </w:rPr>
      </w:pPr>
      <w:r w:rsidRPr="003C60ED">
        <w:rPr>
          <w:lang w:val="fr-FR"/>
        </w:rPr>
        <w:t xml:space="preserve">a) </w:t>
      </w:r>
      <w:r w:rsidRPr="003C60ED">
        <w:rPr>
          <w:lang w:val="fr-FR"/>
        </w:rPr>
        <w:tab/>
        <w:t>transmettre la décision 15.AA au Directeur général (et Président) du FEM ;</w:t>
      </w:r>
    </w:p>
    <w:p w14:paraId="236C2351" w14:textId="77777777" w:rsidR="00670BDB" w:rsidRPr="003C60ED" w:rsidRDefault="00670BDB" w:rsidP="002F78DD">
      <w:pPr>
        <w:suppressAutoHyphens/>
        <w:spacing w:after="0" w:line="240" w:lineRule="auto"/>
        <w:ind w:left="1418" w:hanging="567"/>
        <w:jc w:val="both"/>
        <w:rPr>
          <w:lang w:val="fr-FR"/>
        </w:rPr>
      </w:pPr>
    </w:p>
    <w:p w14:paraId="06939ACB" w14:textId="52185DB1" w:rsidR="00670BDB" w:rsidRPr="003C60ED" w:rsidRDefault="009D4DE7" w:rsidP="002F78DD">
      <w:pPr>
        <w:suppressAutoHyphens/>
        <w:spacing w:after="0" w:line="240" w:lineRule="auto"/>
        <w:ind w:left="1418" w:hanging="567"/>
        <w:jc w:val="both"/>
        <w:rPr>
          <w:lang w:val="fr-FR"/>
        </w:rPr>
      </w:pPr>
      <w:r w:rsidRPr="003C60ED">
        <w:rPr>
          <w:lang w:val="fr-FR"/>
        </w:rPr>
        <w:t xml:space="preserve">b) </w:t>
      </w:r>
      <w:r w:rsidRPr="003C60ED">
        <w:rPr>
          <w:lang w:val="fr-FR"/>
        </w:rPr>
        <w:tab/>
      </w:r>
      <w:r w:rsidR="002F78DD" w:rsidRPr="002F78DD">
        <w:rPr>
          <w:lang w:val="fr-FR"/>
        </w:rPr>
        <w:t>sous réserve de la disponibilité des ressources, soutenir les travaux du Comité permanent visant à explorer les options permettant de renforcer le soutien du FEM à la mise en œuvre de la CMS, notamment en faisant du FEM le mécanisme financier de la CMS</w:t>
      </w:r>
      <w:r w:rsidR="002F78DD">
        <w:rPr>
          <w:lang w:val="fr-FR"/>
        </w:rPr>
        <w:t>.</w:t>
      </w:r>
    </w:p>
    <w:bookmarkEnd w:id="1"/>
    <w:p w14:paraId="67A61258" w14:textId="77777777" w:rsidR="00670BDB" w:rsidRPr="003C60ED" w:rsidRDefault="00670BDB">
      <w:pPr>
        <w:suppressAutoHyphens/>
        <w:spacing w:after="0" w:line="240" w:lineRule="auto"/>
        <w:jc w:val="both"/>
        <w:rPr>
          <w:lang w:val="fr-FR"/>
        </w:rPr>
      </w:pPr>
    </w:p>
    <w:sectPr w:rsidR="00670BDB" w:rsidRPr="003C60ED" w:rsidSect="00670BDB">
      <w:headerReference w:type="first" r:id="rId3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B1ED1" w14:textId="77777777" w:rsidR="00F50E2C" w:rsidRDefault="00F50E2C">
      <w:pPr>
        <w:spacing w:after="0" w:line="240" w:lineRule="auto"/>
        <w:rPr>
          <w:lang w:val="fr-FR"/>
        </w:rPr>
      </w:pPr>
      <w:r>
        <w:rPr>
          <w:lang w:val="fr-FR"/>
        </w:rPr>
        <w:separator/>
      </w:r>
    </w:p>
  </w:endnote>
  <w:endnote w:type="continuationSeparator" w:id="0">
    <w:p w14:paraId="0223B1DA" w14:textId="77777777" w:rsidR="00F50E2C" w:rsidRDefault="00F50E2C">
      <w:pPr>
        <w:spacing w:after="0" w:line="240" w:lineRule="auto"/>
        <w:rPr>
          <w:lang w:val="fr-FR"/>
        </w:rPr>
      </w:pPr>
      <w:r>
        <w:rPr>
          <w:lang w:val="fr-FR"/>
        </w:rPr>
        <w:continuationSeparator/>
      </w:r>
    </w:p>
  </w:endnote>
  <w:endnote w:type="continuationNotice" w:id="1">
    <w:p w14:paraId="4D45D74A" w14:textId="77777777" w:rsidR="00F50E2C" w:rsidRDefault="00F50E2C">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CDF5" w14:textId="77777777" w:rsidR="0041034F" w:rsidRPr="002E0DE9" w:rsidRDefault="00670BDB">
    <w:pPr>
      <w:pStyle w:val="Footer"/>
      <w:jc w:val="center"/>
      <w:rPr>
        <w:sz w:val="18"/>
        <w:szCs w:val="18"/>
      </w:rPr>
    </w:pPr>
    <w:r w:rsidRPr="002E0DE9">
      <w:rPr>
        <w:sz w:val="18"/>
        <w:szCs w:val="18"/>
      </w:rPr>
      <w:fldChar w:fldCharType="begin"/>
    </w:r>
    <w:r w:rsidR="0041034F" w:rsidRPr="002E0DE9">
      <w:rPr>
        <w:sz w:val="18"/>
        <w:szCs w:val="18"/>
      </w:rPr>
      <w:instrText xml:space="preserve"> PAGE   \* MERGEFORMAT </w:instrText>
    </w:r>
    <w:r w:rsidRPr="002E0DE9">
      <w:rPr>
        <w:sz w:val="18"/>
        <w:szCs w:val="18"/>
      </w:rPr>
      <w:fldChar w:fldCharType="separate"/>
    </w:r>
    <w:r w:rsidR="00D86A9C">
      <w:rPr>
        <w:noProof/>
        <w:sz w:val="18"/>
        <w:szCs w:val="18"/>
      </w:rPr>
      <w:t>12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81106130"/>
      <w:docPartObj>
        <w:docPartGallery w:val="Page Numbers (Bottom of Page)"/>
        <w:docPartUnique/>
      </w:docPartObj>
    </w:sdtPr>
    <w:sdtEndPr>
      <w:rPr>
        <w:noProof/>
      </w:rPr>
    </w:sdtEndPr>
    <w:sdtContent>
      <w:p w14:paraId="46E0A5E1" w14:textId="77777777" w:rsidR="0041034F" w:rsidRPr="0035024E" w:rsidRDefault="00670BDB" w:rsidP="0035024E">
        <w:pPr>
          <w:pStyle w:val="Footer"/>
          <w:jc w:val="center"/>
          <w:rPr>
            <w:sz w:val="18"/>
            <w:szCs w:val="18"/>
          </w:rPr>
        </w:pPr>
        <w:r w:rsidRPr="0035024E">
          <w:rPr>
            <w:sz w:val="18"/>
            <w:szCs w:val="18"/>
          </w:rPr>
          <w:fldChar w:fldCharType="begin"/>
        </w:r>
        <w:r w:rsidR="0041034F" w:rsidRPr="0035024E">
          <w:rPr>
            <w:sz w:val="18"/>
            <w:szCs w:val="18"/>
          </w:rPr>
          <w:instrText xml:space="preserve"> PAGE   \* MERGEFORMAT </w:instrText>
        </w:r>
        <w:r w:rsidRPr="0035024E">
          <w:rPr>
            <w:sz w:val="18"/>
            <w:szCs w:val="18"/>
          </w:rPr>
          <w:fldChar w:fldCharType="separate"/>
        </w:r>
        <w:r w:rsidR="00D86A9C">
          <w:rPr>
            <w:noProof/>
            <w:sz w:val="18"/>
            <w:szCs w:val="18"/>
          </w:rPr>
          <w:t>11</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2D9B2544" w14:textId="77777777" w:rsidR="002E0DE9" w:rsidRPr="002E0DE9" w:rsidRDefault="00670BDB">
        <w:pPr>
          <w:pStyle w:val="Footer"/>
          <w:jc w:val="center"/>
          <w:rPr>
            <w:sz w:val="18"/>
            <w:szCs w:val="18"/>
          </w:rPr>
        </w:pPr>
        <w:r w:rsidRPr="002E0DE9">
          <w:rPr>
            <w:sz w:val="18"/>
            <w:szCs w:val="18"/>
          </w:rPr>
          <w:fldChar w:fldCharType="begin"/>
        </w:r>
        <w:r w:rsidR="002E0DE9" w:rsidRPr="002E0DE9">
          <w:rPr>
            <w:sz w:val="18"/>
            <w:szCs w:val="18"/>
          </w:rPr>
          <w:instrText xml:space="preserve"> PAGE   \* MERGEFORMAT </w:instrText>
        </w:r>
        <w:r w:rsidRPr="002E0DE9">
          <w:rPr>
            <w:sz w:val="18"/>
            <w:szCs w:val="18"/>
          </w:rPr>
          <w:fldChar w:fldCharType="separate"/>
        </w:r>
        <w:r w:rsidR="002E0DE9" w:rsidRPr="002E0DE9">
          <w:rPr>
            <w:noProof/>
            <w:sz w:val="18"/>
            <w:szCs w:val="18"/>
          </w:rPr>
          <w:t>2</w:t>
        </w:r>
        <w:r w:rsidRPr="002E0DE9">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4F969244" w14:textId="77777777" w:rsidR="0035024E" w:rsidRPr="0035024E" w:rsidRDefault="00670BDB" w:rsidP="0035024E">
        <w:pPr>
          <w:pStyle w:val="Footer"/>
          <w:jc w:val="center"/>
          <w:rPr>
            <w:sz w:val="18"/>
            <w:szCs w:val="18"/>
          </w:rPr>
        </w:pPr>
        <w:r w:rsidRPr="0035024E">
          <w:rPr>
            <w:sz w:val="18"/>
            <w:szCs w:val="18"/>
          </w:rPr>
          <w:fldChar w:fldCharType="begin"/>
        </w:r>
        <w:r w:rsidR="0035024E" w:rsidRPr="0035024E">
          <w:rPr>
            <w:sz w:val="18"/>
            <w:szCs w:val="18"/>
          </w:rPr>
          <w:instrText xml:space="preserve"> PAGE   \* MERGEFORMAT </w:instrText>
        </w:r>
        <w:r w:rsidRPr="0035024E">
          <w:rPr>
            <w:sz w:val="18"/>
            <w:szCs w:val="18"/>
          </w:rPr>
          <w:fldChar w:fldCharType="separate"/>
        </w:r>
        <w:r w:rsidR="0035024E" w:rsidRPr="0035024E">
          <w:rPr>
            <w:noProof/>
            <w:sz w:val="18"/>
            <w:szCs w:val="18"/>
          </w:rPr>
          <w:t>2</w:t>
        </w:r>
        <w:r w:rsidRPr="0035024E">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5290321"/>
      <w:docPartObj>
        <w:docPartGallery w:val="Page Numbers (Bottom of Page)"/>
        <w:docPartUnique/>
      </w:docPartObj>
    </w:sdtPr>
    <w:sdtEndPr>
      <w:rPr>
        <w:noProof/>
      </w:rPr>
    </w:sdtEndPr>
    <w:sdtContent>
      <w:p w14:paraId="38C8E5CF" w14:textId="77777777" w:rsidR="00DE6EE5" w:rsidRPr="00DE6EE5" w:rsidRDefault="00670BDB" w:rsidP="00DE6EE5">
        <w:pPr>
          <w:pStyle w:val="Footer"/>
          <w:jc w:val="center"/>
          <w:rPr>
            <w:sz w:val="18"/>
            <w:szCs w:val="18"/>
          </w:rPr>
        </w:pPr>
        <w:r w:rsidRPr="00DE6EE5">
          <w:rPr>
            <w:sz w:val="18"/>
            <w:szCs w:val="18"/>
          </w:rPr>
          <w:fldChar w:fldCharType="begin"/>
        </w:r>
        <w:r w:rsidR="00DE6EE5" w:rsidRPr="00DE6EE5">
          <w:rPr>
            <w:sz w:val="18"/>
            <w:szCs w:val="18"/>
          </w:rPr>
          <w:instrText xml:space="preserve"> PAGE   \* MERGEFORMAT </w:instrText>
        </w:r>
        <w:r w:rsidRPr="00DE6EE5">
          <w:rPr>
            <w:sz w:val="18"/>
            <w:szCs w:val="18"/>
          </w:rPr>
          <w:fldChar w:fldCharType="separate"/>
        </w:r>
        <w:r w:rsidR="00D86A9C">
          <w:rPr>
            <w:noProof/>
            <w:sz w:val="18"/>
            <w:szCs w:val="18"/>
          </w:rPr>
          <w:t>14</w:t>
        </w:r>
        <w:r w:rsidRPr="00DE6EE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864DA" w14:textId="77777777" w:rsidR="00F50E2C" w:rsidRDefault="00F50E2C">
      <w:pPr>
        <w:spacing w:after="0" w:line="240" w:lineRule="auto"/>
        <w:rPr>
          <w:lang w:val="fr-FR"/>
        </w:rPr>
      </w:pPr>
      <w:r>
        <w:rPr>
          <w:lang w:val="fr-FR"/>
        </w:rPr>
        <w:separator/>
      </w:r>
    </w:p>
  </w:footnote>
  <w:footnote w:type="continuationSeparator" w:id="0">
    <w:p w14:paraId="3F6FFFF1" w14:textId="77777777" w:rsidR="00F50E2C" w:rsidRDefault="00F50E2C">
      <w:pPr>
        <w:spacing w:after="0" w:line="240" w:lineRule="auto"/>
        <w:rPr>
          <w:lang w:val="fr-FR"/>
        </w:rPr>
      </w:pPr>
      <w:r>
        <w:rPr>
          <w:lang w:val="fr-FR"/>
        </w:rPr>
        <w:continuationSeparator/>
      </w:r>
    </w:p>
  </w:footnote>
  <w:footnote w:type="continuationNotice" w:id="1">
    <w:p w14:paraId="7FB64084" w14:textId="77777777" w:rsidR="00F50E2C" w:rsidRDefault="00F50E2C">
      <w:pPr>
        <w:spacing w:after="0" w:line="240" w:lineRule="auto"/>
        <w:rPr>
          <w:lang w:val="fr-FR"/>
        </w:rPr>
      </w:pPr>
    </w:p>
  </w:footnote>
  <w:footnote w:id="2">
    <w:p w14:paraId="4E44B201" w14:textId="77777777" w:rsidR="00670BDB" w:rsidRDefault="009D4DE7">
      <w:pPr>
        <w:pStyle w:val="FootnoteText"/>
        <w:rPr>
          <w:rFonts w:ascii="Arial" w:hAnsi="Arial" w:cs="Arial"/>
          <w:sz w:val="16"/>
          <w:szCs w:val="16"/>
          <w:lang w:val="fr-FR"/>
        </w:rPr>
      </w:pPr>
      <w:r>
        <w:rPr>
          <w:rStyle w:val="FootnoteReference"/>
          <w:rFonts w:ascii="Arial" w:eastAsiaTheme="majorEastAsia" w:hAnsi="Arial" w:cs="Arial"/>
          <w:sz w:val="16"/>
          <w:szCs w:val="16"/>
          <w:vertAlign w:val="superscript"/>
          <w:lang w:val="fr-FR"/>
        </w:rPr>
        <w:footnoteRef/>
      </w:r>
      <w:r>
        <w:rPr>
          <w:rFonts w:ascii="Arial" w:hAnsi="Arial" w:cs="Arial"/>
          <w:sz w:val="16"/>
          <w:szCs w:val="16"/>
          <w:lang w:val="fr-FR"/>
        </w:rPr>
        <w:t xml:space="preserve"> STAR : Système d'allocation transparente des ressources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B42F" w14:textId="77777777" w:rsidR="0041034F" w:rsidRPr="002E0DE9" w:rsidRDefault="0041034F"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013FB3">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Doc.1</w:t>
    </w:r>
    <w:r w:rsidR="00013FB3">
      <w:rPr>
        <w:rFonts w:eastAsia="Times New Roman" w:cs="Arial"/>
        <w:i/>
        <w:sz w:val="18"/>
        <w:szCs w:val="18"/>
        <w:lang w:val="en-GB"/>
      </w:rPr>
      <w:t>4</w:t>
    </w:r>
    <w:r>
      <w:rPr>
        <w:rFonts w:eastAsia="Times New Roman" w:cs="Arial"/>
        <w:i/>
        <w:sz w:val="18"/>
        <w:szCs w:val="18"/>
        <w:lang w:val="en-GB"/>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FA04" w14:textId="77777777" w:rsidR="0041034F" w:rsidRPr="002E0DE9" w:rsidRDefault="0041034F"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013FB3">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Doc.1</w:t>
    </w:r>
    <w:r w:rsidR="00013FB3">
      <w:rPr>
        <w:rFonts w:eastAsia="Times New Roman" w:cs="Arial"/>
        <w:i/>
        <w:sz w:val="18"/>
        <w:szCs w:val="18"/>
        <w:lang w:val="en-GB"/>
      </w:rPr>
      <w:t>4</w:t>
    </w:r>
    <w:r>
      <w:rPr>
        <w:rFonts w:eastAsia="Times New Roman" w:cs="Arial"/>
        <w:i/>
        <w:sz w:val="18"/>
        <w:szCs w:val="18"/>
        <w:lang w:val="en-GB"/>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9082" w14:textId="77777777" w:rsidR="00CE4D18" w:rsidRPr="00FF59D5" w:rsidRDefault="00CE4D18" w:rsidP="00CE4D1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4" w:name="_Hlk208560916"/>
    <w:bookmarkStart w:id="5" w:name="_Hlk208560917"/>
    <w:r>
      <w:rPr>
        <w:noProof/>
      </w:rPr>
      <w:drawing>
        <wp:anchor distT="0" distB="0" distL="114300" distR="114300" simplePos="0" relativeHeight="251658242" behindDoc="0" locked="0" layoutInCell="1" allowOverlap="1" wp14:anchorId="22A0A092" wp14:editId="073CD69C">
          <wp:simplePos x="0" y="0"/>
          <wp:positionH relativeFrom="column">
            <wp:posOffset>38100</wp:posOffset>
          </wp:positionH>
          <wp:positionV relativeFrom="paragraph">
            <wp:posOffset>-85725</wp:posOffset>
          </wp:positionV>
          <wp:extent cx="714375" cy="714375"/>
          <wp:effectExtent l="0" t="0" r="9525" b="9525"/>
          <wp:wrapSquare wrapText="bothSides"/>
          <wp:docPr id="90896861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4401E2C8" wp14:editId="1765F0C5">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197618504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58241" behindDoc="0" locked="0" layoutInCell="1" allowOverlap="1" wp14:anchorId="3CD26E70" wp14:editId="6FE3935B">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1374438479"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4"/>
    <w:bookmarkEnd w:id="5"/>
  </w:p>
  <w:p w14:paraId="2D72EE19" w14:textId="77777777" w:rsidR="00CE4D18" w:rsidRDefault="00CE4D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24C0" w14:textId="5851A63A"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5D0466">
      <w:rPr>
        <w:rFonts w:eastAsia="Times New Roman" w:cs="Arial"/>
        <w:i/>
        <w:sz w:val="18"/>
        <w:szCs w:val="18"/>
        <w:lang w:val="en-GB"/>
      </w:rPr>
      <w:t>14.</w:t>
    </w:r>
    <w:r w:rsidR="0041034F">
      <w:rPr>
        <w:rFonts w:eastAsia="Times New Roman" w:cs="Arial"/>
        <w:i/>
        <w:sz w:val="18"/>
        <w:szCs w:val="18"/>
        <w:lang w:val="en-GB"/>
      </w:rPr>
      <w:t>3</w:t>
    </w:r>
    <w:r w:rsidR="002F78DD">
      <w:rPr>
        <w:rFonts w:eastAsia="Times New Roman" w:cs="Arial"/>
        <w:i/>
        <w:sz w:val="18"/>
        <w:szCs w:val="18"/>
        <w:lang w:val="en-GB"/>
      </w:rPr>
      <w:t>/Annexe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88F0" w14:textId="77777777" w:rsidR="00670BDB" w:rsidRDefault="009D4DE7">
    <w:pPr>
      <w:pStyle w:val="Header"/>
      <w:pBdr>
        <w:bottom w:val="single" w:sz="4" w:space="1" w:color="auto"/>
      </w:pBdr>
      <w:jc w:val="right"/>
      <w:rPr>
        <w:rFonts w:eastAsia="Times New Roman" w:cs="Arial"/>
        <w:i/>
        <w:sz w:val="18"/>
        <w:szCs w:val="18"/>
        <w:lang w:val="fr-FR"/>
      </w:rPr>
    </w:pPr>
    <w:r>
      <w:rPr>
        <w:rFonts w:eastAsia="Times New Roman" w:cs="Arial"/>
        <w:i/>
        <w:sz w:val="18"/>
        <w:szCs w:val="18"/>
        <w:lang w:val="fr-FR"/>
      </w:rPr>
      <w:t>UNEP/CMS/COP15/Doc.14.3/Annexe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BFB1" w14:textId="77777777" w:rsidR="00670BDB" w:rsidRDefault="009D4DE7" w:rsidP="002F78DD">
    <w:pPr>
      <w:pStyle w:val="Header"/>
      <w:pBdr>
        <w:bottom w:val="single" w:sz="4" w:space="1" w:color="auto"/>
      </w:pBdr>
      <w:jc w:val="right"/>
      <w:rPr>
        <w:i/>
        <w:sz w:val="18"/>
        <w:szCs w:val="18"/>
        <w:lang w:val="fr-FR"/>
      </w:rPr>
    </w:pPr>
    <w:r>
      <w:rPr>
        <w:rFonts w:eastAsia="Times New Roman" w:cs="Arial"/>
        <w:i/>
        <w:sz w:val="18"/>
        <w:szCs w:val="18"/>
        <w:lang w:val="fr-FR"/>
      </w:rPr>
      <w:t>UNEP/CMS/COP15/Doc.14.3/Annexe 1</w:t>
    </w:r>
  </w:p>
  <w:p w14:paraId="1CB1CE28" w14:textId="77777777" w:rsidR="00670BDB" w:rsidRDefault="00670BDB">
    <w:pPr>
      <w:pStyle w:val="Heade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267A" w14:textId="77777777" w:rsidR="00670BDB" w:rsidRDefault="009D4DE7" w:rsidP="002F78DD">
    <w:pPr>
      <w:pStyle w:val="Header"/>
      <w:pBdr>
        <w:bottom w:val="single" w:sz="4" w:space="1" w:color="auto"/>
      </w:pBdr>
      <w:rPr>
        <w:i/>
        <w:sz w:val="18"/>
        <w:szCs w:val="18"/>
        <w:lang w:val="fr-FR"/>
      </w:rPr>
    </w:pPr>
    <w:r>
      <w:rPr>
        <w:rFonts w:eastAsia="Times New Roman" w:cs="Arial"/>
        <w:i/>
        <w:sz w:val="18"/>
        <w:szCs w:val="18"/>
        <w:lang w:val="fr-FR"/>
      </w:rPr>
      <w:t>UNEP/CMS/COP15/Doc.14.3/Annexe 2</w:t>
    </w:r>
  </w:p>
  <w:p w14:paraId="3C3AFB19" w14:textId="77777777" w:rsidR="00670BDB" w:rsidRDefault="00670BDB">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2F639AA"/>
    <w:multiLevelType w:val="hybridMultilevel"/>
    <w:tmpl w:val="76948302"/>
    <w:lvl w:ilvl="0" w:tplc="20000001">
      <w:start w:val="1"/>
      <w:numFmt w:val="bullet"/>
      <w:lvlText w:val=""/>
      <w:lvlJc w:val="left"/>
      <w:pPr>
        <w:ind w:left="1080" w:hanging="72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A4855"/>
    <w:multiLevelType w:val="multilevel"/>
    <w:tmpl w:val="57BE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13FCC"/>
    <w:multiLevelType w:val="hybridMultilevel"/>
    <w:tmpl w:val="188AC5A6"/>
    <w:lvl w:ilvl="0" w:tplc="EB4A08C8">
      <w:start w:val="11"/>
      <w:numFmt w:val="decimal"/>
      <w:lvlText w:val="%1"/>
      <w:lvlJc w:val="left"/>
      <w:pPr>
        <w:ind w:left="927" w:hanging="360"/>
      </w:pPr>
      <w:rPr>
        <w:rFonts w:hint="default"/>
        <w:i w:val="0"/>
        <w:iCs/>
        <w:u w:val="none"/>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5" w15:restartNumberingAfterBreak="0">
    <w:nsid w:val="118955B3"/>
    <w:multiLevelType w:val="hybridMultilevel"/>
    <w:tmpl w:val="4DA04486"/>
    <w:lvl w:ilvl="0" w:tplc="5BAE9D00">
      <w:start w:val="1"/>
      <w:numFmt w:val="decimal"/>
      <w:lvlText w:val="%1."/>
      <w:lvlJc w:val="left"/>
      <w:pPr>
        <w:ind w:left="720" w:hanging="360"/>
      </w:pPr>
      <w:rPr>
        <w:rFonts w:ascii="Arial" w:hAnsi="Arial" w:cs="Arial" w:hint="default"/>
        <w:strike w:val="0"/>
        <w:dstrike w:val="0"/>
        <w:sz w:val="22"/>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17023B"/>
    <w:multiLevelType w:val="hybridMultilevel"/>
    <w:tmpl w:val="6F884784"/>
    <w:lvl w:ilvl="0" w:tplc="AB7EA0FC">
      <w:start w:val="1"/>
      <w:numFmt w:val="decimal"/>
      <w:lvlText w:val="%1."/>
      <w:lvlJc w:val="left"/>
      <w:pPr>
        <w:ind w:left="360" w:hanging="36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4040C4F"/>
    <w:multiLevelType w:val="hybridMultilevel"/>
    <w:tmpl w:val="BA48E064"/>
    <w:lvl w:ilvl="0" w:tplc="A94081EC">
      <w:start w:val="1"/>
      <w:numFmt w:val="decimal"/>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499656D"/>
    <w:multiLevelType w:val="hybridMultilevel"/>
    <w:tmpl w:val="B37877C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96E4657"/>
    <w:multiLevelType w:val="hybridMultilevel"/>
    <w:tmpl w:val="3B4C624A"/>
    <w:lvl w:ilvl="0" w:tplc="54AA8D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1B272A"/>
    <w:multiLevelType w:val="hybridMultilevel"/>
    <w:tmpl w:val="86AE6228"/>
    <w:lvl w:ilvl="0" w:tplc="361C3948">
      <w:start w:val="11"/>
      <w:numFmt w:val="decimal"/>
      <w:lvlText w:val="%1."/>
      <w:lvlJc w:val="left"/>
      <w:pPr>
        <w:ind w:left="720" w:hanging="360"/>
      </w:pPr>
      <w:rPr>
        <w:rFonts w:hint="default"/>
        <w:i w:val="0"/>
        <w:iCs/>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B4A77A0"/>
    <w:multiLevelType w:val="hybridMultilevel"/>
    <w:tmpl w:val="13F6230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9259BB"/>
    <w:multiLevelType w:val="multilevel"/>
    <w:tmpl w:val="767CD594"/>
    <w:lvl w:ilvl="0">
      <w:start w:val="1"/>
      <w:numFmt w:val="lowerLetter"/>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4" w15:restartNumberingAfterBreak="0">
    <w:nsid w:val="3F3D387B"/>
    <w:multiLevelType w:val="hybridMultilevel"/>
    <w:tmpl w:val="630E6554"/>
    <w:lvl w:ilvl="0" w:tplc="B1E2A3EC">
      <w:start w:val="1"/>
      <w:numFmt w:val="lowerLetter"/>
      <w:lvlText w:val="%1)"/>
      <w:lvlJc w:val="left"/>
      <w:pPr>
        <w:ind w:left="1414" w:hanging="705"/>
      </w:pPr>
      <w:rPr>
        <w:rFonts w:ascii="Arial" w:eastAsia="Times New Roman" w:hAnsi="Arial" w:cs="Arial" w:hint="default"/>
        <w:strike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44CF7D40"/>
    <w:multiLevelType w:val="hybridMultilevel"/>
    <w:tmpl w:val="93DE2C00"/>
    <w:lvl w:ilvl="0" w:tplc="20000017">
      <w:start w:val="1"/>
      <w:numFmt w:val="lowerLetter"/>
      <w:lvlText w:val="%1)"/>
      <w:lvlJc w:val="lef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7"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190994"/>
    <w:multiLevelType w:val="hybridMultilevel"/>
    <w:tmpl w:val="2BA83EBE"/>
    <w:lvl w:ilvl="0" w:tplc="52748CEC">
      <w:start w:val="1"/>
      <w:numFmt w:val="decimal"/>
      <w:lvlText w:val="%1."/>
      <w:lvlJc w:val="left"/>
      <w:pPr>
        <w:ind w:left="1080" w:hanging="72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0791F"/>
    <w:multiLevelType w:val="hybridMultilevel"/>
    <w:tmpl w:val="2C307EF2"/>
    <w:lvl w:ilvl="0" w:tplc="54AA8D8E">
      <w:start w:val="1"/>
      <w:numFmt w:val="bullet"/>
      <w:lvlText w:val=""/>
      <w:lvlJc w:val="left"/>
      <w:pPr>
        <w:ind w:left="720" w:hanging="360"/>
      </w:pPr>
      <w:rPr>
        <w:rFonts w:ascii="Symbol" w:hAnsi="Symbol" w:hint="default"/>
      </w:rPr>
    </w:lvl>
    <w:lvl w:ilvl="1" w:tplc="54AA8D8E">
      <w:start w:val="1"/>
      <w:numFmt w:val="bullet"/>
      <w:lvlText w:val=""/>
      <w:lvlJc w:val="left"/>
      <w:pPr>
        <w:ind w:left="1440" w:hanging="360"/>
      </w:pPr>
      <w:rPr>
        <w:rFonts w:ascii="Symbol" w:hAnsi="Symbo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713294D"/>
    <w:multiLevelType w:val="hybridMultilevel"/>
    <w:tmpl w:val="294C9102"/>
    <w:lvl w:ilvl="0" w:tplc="3E6E8C06">
      <w:start w:val="11"/>
      <w:numFmt w:val="decimal"/>
      <w:lvlText w:val="%1"/>
      <w:lvlJc w:val="left"/>
      <w:pPr>
        <w:ind w:left="720" w:hanging="360"/>
      </w:pPr>
      <w:rPr>
        <w:rFonts w:hint="default"/>
        <w: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7AA53BD"/>
    <w:multiLevelType w:val="hybridMultilevel"/>
    <w:tmpl w:val="91061256"/>
    <w:lvl w:ilvl="0" w:tplc="0FE63F22">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23" w15:restartNumberingAfterBreak="0">
    <w:nsid w:val="62D37ECB"/>
    <w:multiLevelType w:val="hybridMultilevel"/>
    <w:tmpl w:val="9FC848A8"/>
    <w:lvl w:ilvl="0" w:tplc="DD6C2FB6">
      <w:start w:val="1"/>
      <w:numFmt w:val="lowerLetter"/>
      <w:lvlText w:val="%1)"/>
      <w:lvlJc w:val="left"/>
      <w:pPr>
        <w:ind w:left="1494" w:hanging="36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24"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71D843C4"/>
    <w:multiLevelType w:val="hybridMultilevel"/>
    <w:tmpl w:val="B0B6C220"/>
    <w:lvl w:ilvl="0" w:tplc="1656572C">
      <w:start w:val="1"/>
      <w:numFmt w:val="lowerLetter"/>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26"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E5F74"/>
    <w:multiLevelType w:val="hybridMultilevel"/>
    <w:tmpl w:val="12300722"/>
    <w:lvl w:ilvl="0" w:tplc="80666FD0">
      <w:numFmt w:val="bullet"/>
      <w:lvlText w:val="−"/>
      <w:lvlJc w:val="left"/>
      <w:pPr>
        <w:ind w:left="927" w:hanging="360"/>
      </w:pPr>
      <w:rPr>
        <w:rFonts w:ascii="Arial" w:eastAsia="Times New Roman" w:hAnsi="Arial" w:cs="Aria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num w:numId="1" w16cid:durableId="1563446880">
    <w:abstractNumId w:val="17"/>
  </w:num>
  <w:num w:numId="2" w16cid:durableId="2145392477">
    <w:abstractNumId w:val="26"/>
  </w:num>
  <w:num w:numId="3" w16cid:durableId="519467549">
    <w:abstractNumId w:val="0"/>
  </w:num>
  <w:num w:numId="4" w16cid:durableId="18535691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57534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64412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5369829">
    <w:abstractNumId w:val="12"/>
  </w:num>
  <w:num w:numId="8" w16cid:durableId="1301885430">
    <w:abstractNumId w:val="28"/>
  </w:num>
  <w:num w:numId="9" w16cid:durableId="1524971932">
    <w:abstractNumId w:val="19"/>
  </w:num>
  <w:num w:numId="10" w16cid:durableId="1061058562">
    <w:abstractNumId w:val="2"/>
  </w:num>
  <w:num w:numId="11" w16cid:durableId="451480016">
    <w:abstractNumId w:val="7"/>
  </w:num>
  <w:num w:numId="12" w16cid:durableId="1537233817">
    <w:abstractNumId w:val="8"/>
  </w:num>
  <w:num w:numId="13" w16cid:durableId="1708336622">
    <w:abstractNumId w:val="11"/>
  </w:num>
  <w:num w:numId="14" w16cid:durableId="1573275340">
    <w:abstractNumId w:val="18"/>
  </w:num>
  <w:num w:numId="15" w16cid:durableId="1404911522">
    <w:abstractNumId w:val="22"/>
  </w:num>
  <w:num w:numId="16" w16cid:durableId="471602498">
    <w:abstractNumId w:val="9"/>
  </w:num>
  <w:num w:numId="17" w16cid:durableId="1216702534">
    <w:abstractNumId w:val="20"/>
  </w:num>
  <w:num w:numId="18" w16cid:durableId="724839993">
    <w:abstractNumId w:val="13"/>
  </w:num>
  <w:num w:numId="19" w16cid:durableId="14785741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9012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4377940">
    <w:abstractNumId w:val="6"/>
  </w:num>
  <w:num w:numId="22" w16cid:durableId="340007976">
    <w:abstractNumId w:val="23"/>
  </w:num>
  <w:num w:numId="23" w16cid:durableId="10959761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6690348">
    <w:abstractNumId w:val="29"/>
  </w:num>
  <w:num w:numId="25" w16cid:durableId="1525897673">
    <w:abstractNumId w:val="3"/>
  </w:num>
  <w:num w:numId="26" w16cid:durableId="915479524">
    <w:abstractNumId w:val="1"/>
  </w:num>
  <w:num w:numId="27" w16cid:durableId="1072459577">
    <w:abstractNumId w:val="4"/>
  </w:num>
  <w:num w:numId="28" w16cid:durableId="1902594670">
    <w:abstractNumId w:val="10"/>
  </w:num>
  <w:num w:numId="29" w16cid:durableId="204802239">
    <w:abstractNumId w:val="21"/>
  </w:num>
  <w:num w:numId="30" w16cid:durableId="1284775198">
    <w:abstractNumId w:val="16"/>
  </w:num>
  <w:num w:numId="31" w16cid:durableId="9852061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1A3"/>
    <w:rsid w:val="00004A41"/>
    <w:rsid w:val="00012000"/>
    <w:rsid w:val="00012F3D"/>
    <w:rsid w:val="00013FB3"/>
    <w:rsid w:val="00016DAD"/>
    <w:rsid w:val="00020A07"/>
    <w:rsid w:val="00024143"/>
    <w:rsid w:val="000247AC"/>
    <w:rsid w:val="000251B5"/>
    <w:rsid w:val="00032834"/>
    <w:rsid w:val="00032AA9"/>
    <w:rsid w:val="0003664B"/>
    <w:rsid w:val="0004330C"/>
    <w:rsid w:val="000505D1"/>
    <w:rsid w:val="00051870"/>
    <w:rsid w:val="00052900"/>
    <w:rsid w:val="000539AB"/>
    <w:rsid w:val="0005667D"/>
    <w:rsid w:val="00060ED0"/>
    <w:rsid w:val="0006101D"/>
    <w:rsid w:val="00061BAA"/>
    <w:rsid w:val="000624B6"/>
    <w:rsid w:val="000637E8"/>
    <w:rsid w:val="00063C40"/>
    <w:rsid w:val="00064EF3"/>
    <w:rsid w:val="000661B2"/>
    <w:rsid w:val="000671C1"/>
    <w:rsid w:val="0008003A"/>
    <w:rsid w:val="00081045"/>
    <w:rsid w:val="00083E00"/>
    <w:rsid w:val="00083F27"/>
    <w:rsid w:val="0009245E"/>
    <w:rsid w:val="00092641"/>
    <w:rsid w:val="00092AF0"/>
    <w:rsid w:val="000A04BD"/>
    <w:rsid w:val="000A1802"/>
    <w:rsid w:val="000A6D22"/>
    <w:rsid w:val="000A7312"/>
    <w:rsid w:val="000B1E33"/>
    <w:rsid w:val="000B21A7"/>
    <w:rsid w:val="000B3AFE"/>
    <w:rsid w:val="000B65B0"/>
    <w:rsid w:val="000B6C4F"/>
    <w:rsid w:val="000B7623"/>
    <w:rsid w:val="000B7886"/>
    <w:rsid w:val="000C315F"/>
    <w:rsid w:val="000C7AF9"/>
    <w:rsid w:val="000D3C94"/>
    <w:rsid w:val="000E0231"/>
    <w:rsid w:val="000E0978"/>
    <w:rsid w:val="000E6C21"/>
    <w:rsid w:val="000F13BB"/>
    <w:rsid w:val="000F216C"/>
    <w:rsid w:val="00103C7C"/>
    <w:rsid w:val="00103DD7"/>
    <w:rsid w:val="00106731"/>
    <w:rsid w:val="00113319"/>
    <w:rsid w:val="00114B09"/>
    <w:rsid w:val="00116601"/>
    <w:rsid w:val="001166A3"/>
    <w:rsid w:val="001166DF"/>
    <w:rsid w:val="00116A43"/>
    <w:rsid w:val="0011757A"/>
    <w:rsid w:val="00121603"/>
    <w:rsid w:val="00124A29"/>
    <w:rsid w:val="00126277"/>
    <w:rsid w:val="00127276"/>
    <w:rsid w:val="00127399"/>
    <w:rsid w:val="001356BF"/>
    <w:rsid w:val="00136CF8"/>
    <w:rsid w:val="00137609"/>
    <w:rsid w:val="00140B7A"/>
    <w:rsid w:val="00141C59"/>
    <w:rsid w:val="00145667"/>
    <w:rsid w:val="00154D2F"/>
    <w:rsid w:val="00155B44"/>
    <w:rsid w:val="00155B9D"/>
    <w:rsid w:val="001566B8"/>
    <w:rsid w:val="00157A35"/>
    <w:rsid w:val="00160C5E"/>
    <w:rsid w:val="001629D6"/>
    <w:rsid w:val="00165D11"/>
    <w:rsid w:val="00167E80"/>
    <w:rsid w:val="00173375"/>
    <w:rsid w:val="00174D08"/>
    <w:rsid w:val="001757F7"/>
    <w:rsid w:val="00176E8E"/>
    <w:rsid w:val="00177179"/>
    <w:rsid w:val="0018003B"/>
    <w:rsid w:val="001817DA"/>
    <w:rsid w:val="00184004"/>
    <w:rsid w:val="00184287"/>
    <w:rsid w:val="00187CB1"/>
    <w:rsid w:val="001903F3"/>
    <w:rsid w:val="00190ADA"/>
    <w:rsid w:val="001A20ED"/>
    <w:rsid w:val="001A324F"/>
    <w:rsid w:val="001A3A4C"/>
    <w:rsid w:val="001A5121"/>
    <w:rsid w:val="001A5B22"/>
    <w:rsid w:val="001A7C91"/>
    <w:rsid w:val="001B1C08"/>
    <w:rsid w:val="001B1E01"/>
    <w:rsid w:val="001C294A"/>
    <w:rsid w:val="001C4CF6"/>
    <w:rsid w:val="001C59E2"/>
    <w:rsid w:val="001C6C3F"/>
    <w:rsid w:val="001C6C56"/>
    <w:rsid w:val="001D059D"/>
    <w:rsid w:val="001D2656"/>
    <w:rsid w:val="001D4E03"/>
    <w:rsid w:val="001D4ECE"/>
    <w:rsid w:val="001D5CE6"/>
    <w:rsid w:val="001E4032"/>
    <w:rsid w:val="001E5DB0"/>
    <w:rsid w:val="001E65C3"/>
    <w:rsid w:val="001F73CC"/>
    <w:rsid w:val="00204B2B"/>
    <w:rsid w:val="00207519"/>
    <w:rsid w:val="002078BF"/>
    <w:rsid w:val="00213970"/>
    <w:rsid w:val="0021399D"/>
    <w:rsid w:val="002141E9"/>
    <w:rsid w:val="002144C3"/>
    <w:rsid w:val="00215A0B"/>
    <w:rsid w:val="00217C6B"/>
    <w:rsid w:val="00222356"/>
    <w:rsid w:val="00222CCB"/>
    <w:rsid w:val="002231B7"/>
    <w:rsid w:val="00225863"/>
    <w:rsid w:val="00230848"/>
    <w:rsid w:val="002326AB"/>
    <w:rsid w:val="00232980"/>
    <w:rsid w:val="00232E41"/>
    <w:rsid w:val="00233EFB"/>
    <w:rsid w:val="00235010"/>
    <w:rsid w:val="00236549"/>
    <w:rsid w:val="00236D96"/>
    <w:rsid w:val="00237692"/>
    <w:rsid w:val="0024047A"/>
    <w:rsid w:val="00246644"/>
    <w:rsid w:val="00251959"/>
    <w:rsid w:val="00257277"/>
    <w:rsid w:val="002577C7"/>
    <w:rsid w:val="00260E5A"/>
    <w:rsid w:val="00263850"/>
    <w:rsid w:val="002648CD"/>
    <w:rsid w:val="002676AE"/>
    <w:rsid w:val="0026771A"/>
    <w:rsid w:val="0027396B"/>
    <w:rsid w:val="00274471"/>
    <w:rsid w:val="00277085"/>
    <w:rsid w:val="00277F0D"/>
    <w:rsid w:val="00283F90"/>
    <w:rsid w:val="00284272"/>
    <w:rsid w:val="0028435A"/>
    <w:rsid w:val="00284794"/>
    <w:rsid w:val="00284880"/>
    <w:rsid w:val="00291364"/>
    <w:rsid w:val="00297D09"/>
    <w:rsid w:val="002A5975"/>
    <w:rsid w:val="002A71F2"/>
    <w:rsid w:val="002B000F"/>
    <w:rsid w:val="002B0663"/>
    <w:rsid w:val="002B2806"/>
    <w:rsid w:val="002B3FB0"/>
    <w:rsid w:val="002B5611"/>
    <w:rsid w:val="002B5668"/>
    <w:rsid w:val="002B5A46"/>
    <w:rsid w:val="002B6502"/>
    <w:rsid w:val="002D0018"/>
    <w:rsid w:val="002D0CBD"/>
    <w:rsid w:val="002D23BA"/>
    <w:rsid w:val="002D3105"/>
    <w:rsid w:val="002D4A51"/>
    <w:rsid w:val="002E0DE9"/>
    <w:rsid w:val="002E36A3"/>
    <w:rsid w:val="002E6A7D"/>
    <w:rsid w:val="002F78DD"/>
    <w:rsid w:val="00302380"/>
    <w:rsid w:val="00302906"/>
    <w:rsid w:val="00302D0D"/>
    <w:rsid w:val="00305DFE"/>
    <w:rsid w:val="00307EF0"/>
    <w:rsid w:val="0031046E"/>
    <w:rsid w:val="00312DD2"/>
    <w:rsid w:val="00324B59"/>
    <w:rsid w:val="003271C2"/>
    <w:rsid w:val="00327666"/>
    <w:rsid w:val="00331D38"/>
    <w:rsid w:val="00332071"/>
    <w:rsid w:val="00332EB6"/>
    <w:rsid w:val="00333095"/>
    <w:rsid w:val="0033361A"/>
    <w:rsid w:val="00343DCA"/>
    <w:rsid w:val="0035024E"/>
    <w:rsid w:val="00351E18"/>
    <w:rsid w:val="00353145"/>
    <w:rsid w:val="003539E0"/>
    <w:rsid w:val="003545CC"/>
    <w:rsid w:val="00355787"/>
    <w:rsid w:val="003563EF"/>
    <w:rsid w:val="00357A09"/>
    <w:rsid w:val="00360CD8"/>
    <w:rsid w:val="00362113"/>
    <w:rsid w:val="0036416F"/>
    <w:rsid w:val="00364EBE"/>
    <w:rsid w:val="003669FF"/>
    <w:rsid w:val="003709BD"/>
    <w:rsid w:val="003731A3"/>
    <w:rsid w:val="0038023D"/>
    <w:rsid w:val="003812E2"/>
    <w:rsid w:val="00381515"/>
    <w:rsid w:val="00383856"/>
    <w:rsid w:val="0038539B"/>
    <w:rsid w:val="00387016"/>
    <w:rsid w:val="00393B6E"/>
    <w:rsid w:val="003A1DCE"/>
    <w:rsid w:val="003A2651"/>
    <w:rsid w:val="003A2D84"/>
    <w:rsid w:val="003A4AE9"/>
    <w:rsid w:val="003A6887"/>
    <w:rsid w:val="003A6CF2"/>
    <w:rsid w:val="003A6FF4"/>
    <w:rsid w:val="003A7014"/>
    <w:rsid w:val="003A783B"/>
    <w:rsid w:val="003B389C"/>
    <w:rsid w:val="003C0076"/>
    <w:rsid w:val="003C00C0"/>
    <w:rsid w:val="003C1437"/>
    <w:rsid w:val="003C45FF"/>
    <w:rsid w:val="003C4B01"/>
    <w:rsid w:val="003C569E"/>
    <w:rsid w:val="003C60ED"/>
    <w:rsid w:val="003C7C2C"/>
    <w:rsid w:val="003D2568"/>
    <w:rsid w:val="003D507D"/>
    <w:rsid w:val="003D53B2"/>
    <w:rsid w:val="003E04EC"/>
    <w:rsid w:val="003E17D1"/>
    <w:rsid w:val="003E4083"/>
    <w:rsid w:val="003E78F2"/>
    <w:rsid w:val="003F0CFF"/>
    <w:rsid w:val="003F1843"/>
    <w:rsid w:val="003F1D65"/>
    <w:rsid w:val="003F3C9C"/>
    <w:rsid w:val="003F5E00"/>
    <w:rsid w:val="003F6D6A"/>
    <w:rsid w:val="003F70EE"/>
    <w:rsid w:val="004002E2"/>
    <w:rsid w:val="00400DC0"/>
    <w:rsid w:val="004028FC"/>
    <w:rsid w:val="0040615A"/>
    <w:rsid w:val="0040663F"/>
    <w:rsid w:val="0041034F"/>
    <w:rsid w:val="00410689"/>
    <w:rsid w:val="00413E3D"/>
    <w:rsid w:val="0041448E"/>
    <w:rsid w:val="00415890"/>
    <w:rsid w:val="004168AF"/>
    <w:rsid w:val="00416D92"/>
    <w:rsid w:val="004172DF"/>
    <w:rsid w:val="00417AB0"/>
    <w:rsid w:val="00417C4D"/>
    <w:rsid w:val="004210BC"/>
    <w:rsid w:val="00421783"/>
    <w:rsid w:val="00423091"/>
    <w:rsid w:val="004276E2"/>
    <w:rsid w:val="004279E0"/>
    <w:rsid w:val="00427D34"/>
    <w:rsid w:val="00430F5E"/>
    <w:rsid w:val="00431FE3"/>
    <w:rsid w:val="00432E92"/>
    <w:rsid w:val="00434BDA"/>
    <w:rsid w:val="00435D2F"/>
    <w:rsid w:val="00437A71"/>
    <w:rsid w:val="004400CF"/>
    <w:rsid w:val="00440AE6"/>
    <w:rsid w:val="00441678"/>
    <w:rsid w:val="00442345"/>
    <w:rsid w:val="00443325"/>
    <w:rsid w:val="004448C4"/>
    <w:rsid w:val="00445067"/>
    <w:rsid w:val="004454F7"/>
    <w:rsid w:val="00445675"/>
    <w:rsid w:val="004456AB"/>
    <w:rsid w:val="0044670C"/>
    <w:rsid w:val="0044762F"/>
    <w:rsid w:val="00447ECB"/>
    <w:rsid w:val="004531F1"/>
    <w:rsid w:val="00453B36"/>
    <w:rsid w:val="00455A8B"/>
    <w:rsid w:val="004566F5"/>
    <w:rsid w:val="00457A20"/>
    <w:rsid w:val="004608C4"/>
    <w:rsid w:val="00461211"/>
    <w:rsid w:val="004639CE"/>
    <w:rsid w:val="00470E35"/>
    <w:rsid w:val="00471491"/>
    <w:rsid w:val="004714F5"/>
    <w:rsid w:val="004721D1"/>
    <w:rsid w:val="00472BCE"/>
    <w:rsid w:val="00472C18"/>
    <w:rsid w:val="00473416"/>
    <w:rsid w:val="00475BFC"/>
    <w:rsid w:val="00477B5B"/>
    <w:rsid w:val="004800C2"/>
    <w:rsid w:val="004800F5"/>
    <w:rsid w:val="00480EED"/>
    <w:rsid w:val="004822FA"/>
    <w:rsid w:val="00487060"/>
    <w:rsid w:val="00487755"/>
    <w:rsid w:val="00487D40"/>
    <w:rsid w:val="0049007E"/>
    <w:rsid w:val="00491A59"/>
    <w:rsid w:val="00495B71"/>
    <w:rsid w:val="004A405E"/>
    <w:rsid w:val="004A6B38"/>
    <w:rsid w:val="004A6C25"/>
    <w:rsid w:val="004B316C"/>
    <w:rsid w:val="004B5B15"/>
    <w:rsid w:val="004B69C1"/>
    <w:rsid w:val="004C015B"/>
    <w:rsid w:val="004C0A34"/>
    <w:rsid w:val="004C1FDD"/>
    <w:rsid w:val="004C49F5"/>
    <w:rsid w:val="004D3C13"/>
    <w:rsid w:val="004D6881"/>
    <w:rsid w:val="004E01E4"/>
    <w:rsid w:val="004E191A"/>
    <w:rsid w:val="004E460A"/>
    <w:rsid w:val="004E6E47"/>
    <w:rsid w:val="004F245F"/>
    <w:rsid w:val="004F4AFB"/>
    <w:rsid w:val="004F6966"/>
    <w:rsid w:val="004F6A43"/>
    <w:rsid w:val="004F6AA8"/>
    <w:rsid w:val="00500538"/>
    <w:rsid w:val="00500665"/>
    <w:rsid w:val="0050796A"/>
    <w:rsid w:val="005101B8"/>
    <w:rsid w:val="00512573"/>
    <w:rsid w:val="00512C2D"/>
    <w:rsid w:val="005142B4"/>
    <w:rsid w:val="00516A25"/>
    <w:rsid w:val="00516EA1"/>
    <w:rsid w:val="0051719D"/>
    <w:rsid w:val="0052157D"/>
    <w:rsid w:val="00522DDC"/>
    <w:rsid w:val="00522EE1"/>
    <w:rsid w:val="00523921"/>
    <w:rsid w:val="005245CA"/>
    <w:rsid w:val="00525088"/>
    <w:rsid w:val="00531BD1"/>
    <w:rsid w:val="00532D9F"/>
    <w:rsid w:val="005330F7"/>
    <w:rsid w:val="00534134"/>
    <w:rsid w:val="00534EDF"/>
    <w:rsid w:val="00536674"/>
    <w:rsid w:val="005403F3"/>
    <w:rsid w:val="00543FD2"/>
    <w:rsid w:val="00544C45"/>
    <w:rsid w:val="0054564F"/>
    <w:rsid w:val="0054770E"/>
    <w:rsid w:val="00552559"/>
    <w:rsid w:val="0055344C"/>
    <w:rsid w:val="0055437D"/>
    <w:rsid w:val="00555AAE"/>
    <w:rsid w:val="00555DF1"/>
    <w:rsid w:val="00563598"/>
    <w:rsid w:val="0056361A"/>
    <w:rsid w:val="0056391C"/>
    <w:rsid w:val="0057232E"/>
    <w:rsid w:val="0057676F"/>
    <w:rsid w:val="00583992"/>
    <w:rsid w:val="0059045A"/>
    <w:rsid w:val="0059075E"/>
    <w:rsid w:val="00591856"/>
    <w:rsid w:val="00593734"/>
    <w:rsid w:val="00594151"/>
    <w:rsid w:val="00597EB1"/>
    <w:rsid w:val="00597F78"/>
    <w:rsid w:val="005A2A3E"/>
    <w:rsid w:val="005A6F25"/>
    <w:rsid w:val="005B1A35"/>
    <w:rsid w:val="005B23A6"/>
    <w:rsid w:val="005B4DBD"/>
    <w:rsid w:val="005B5844"/>
    <w:rsid w:val="005B63E0"/>
    <w:rsid w:val="005C259E"/>
    <w:rsid w:val="005C28E8"/>
    <w:rsid w:val="005C4EBE"/>
    <w:rsid w:val="005C5625"/>
    <w:rsid w:val="005C5C48"/>
    <w:rsid w:val="005C6ACE"/>
    <w:rsid w:val="005C75A7"/>
    <w:rsid w:val="005D0330"/>
    <w:rsid w:val="005D0466"/>
    <w:rsid w:val="005D3BA5"/>
    <w:rsid w:val="005D3D4E"/>
    <w:rsid w:val="005D4717"/>
    <w:rsid w:val="005D5B36"/>
    <w:rsid w:val="005D7F37"/>
    <w:rsid w:val="005E031D"/>
    <w:rsid w:val="005E2A38"/>
    <w:rsid w:val="005E4A64"/>
    <w:rsid w:val="005E6327"/>
    <w:rsid w:val="005E6D3C"/>
    <w:rsid w:val="005F4320"/>
    <w:rsid w:val="005F738C"/>
    <w:rsid w:val="006009F2"/>
    <w:rsid w:val="00602A71"/>
    <w:rsid w:val="00605CFA"/>
    <w:rsid w:val="00607904"/>
    <w:rsid w:val="00610891"/>
    <w:rsid w:val="006134E7"/>
    <w:rsid w:val="006143F0"/>
    <w:rsid w:val="00614A07"/>
    <w:rsid w:val="00621A3E"/>
    <w:rsid w:val="0062215F"/>
    <w:rsid w:val="00634959"/>
    <w:rsid w:val="00634D3A"/>
    <w:rsid w:val="006408CC"/>
    <w:rsid w:val="00644D7D"/>
    <w:rsid w:val="00646539"/>
    <w:rsid w:val="006475AE"/>
    <w:rsid w:val="00650735"/>
    <w:rsid w:val="0065175E"/>
    <w:rsid w:val="00653580"/>
    <w:rsid w:val="0065386C"/>
    <w:rsid w:val="0066035D"/>
    <w:rsid w:val="006627B8"/>
    <w:rsid w:val="006636BA"/>
    <w:rsid w:val="00664CCE"/>
    <w:rsid w:val="006663A7"/>
    <w:rsid w:val="006670D5"/>
    <w:rsid w:val="006704FB"/>
    <w:rsid w:val="00670BDB"/>
    <w:rsid w:val="0067288F"/>
    <w:rsid w:val="006733F0"/>
    <w:rsid w:val="0067711F"/>
    <w:rsid w:val="006773E5"/>
    <w:rsid w:val="00677DAF"/>
    <w:rsid w:val="006806A1"/>
    <w:rsid w:val="00681072"/>
    <w:rsid w:val="00682891"/>
    <w:rsid w:val="006849E9"/>
    <w:rsid w:val="00684EAD"/>
    <w:rsid w:val="00685E45"/>
    <w:rsid w:val="006867A3"/>
    <w:rsid w:val="0069015B"/>
    <w:rsid w:val="00695AE7"/>
    <w:rsid w:val="00695E4F"/>
    <w:rsid w:val="00696F74"/>
    <w:rsid w:val="006A3BE7"/>
    <w:rsid w:val="006A451B"/>
    <w:rsid w:val="006A689A"/>
    <w:rsid w:val="006A7DC4"/>
    <w:rsid w:val="006C0316"/>
    <w:rsid w:val="006C075D"/>
    <w:rsid w:val="006C0AD5"/>
    <w:rsid w:val="006C392A"/>
    <w:rsid w:val="006C3E45"/>
    <w:rsid w:val="006C4007"/>
    <w:rsid w:val="006C4076"/>
    <w:rsid w:val="006C473C"/>
    <w:rsid w:val="006C6351"/>
    <w:rsid w:val="006D2054"/>
    <w:rsid w:val="006D376C"/>
    <w:rsid w:val="006D5B9A"/>
    <w:rsid w:val="006D647F"/>
    <w:rsid w:val="006D7933"/>
    <w:rsid w:val="006D7EB5"/>
    <w:rsid w:val="006E1448"/>
    <w:rsid w:val="006E3293"/>
    <w:rsid w:val="006E478C"/>
    <w:rsid w:val="006E6DEB"/>
    <w:rsid w:val="006E6F38"/>
    <w:rsid w:val="006E7158"/>
    <w:rsid w:val="006E7983"/>
    <w:rsid w:val="006F0EB0"/>
    <w:rsid w:val="006F3E79"/>
    <w:rsid w:val="006F5D99"/>
    <w:rsid w:val="006F6671"/>
    <w:rsid w:val="007003B5"/>
    <w:rsid w:val="00701D94"/>
    <w:rsid w:val="00702756"/>
    <w:rsid w:val="00704E4A"/>
    <w:rsid w:val="00704E7A"/>
    <w:rsid w:val="00711478"/>
    <w:rsid w:val="0071181A"/>
    <w:rsid w:val="007140EC"/>
    <w:rsid w:val="00716554"/>
    <w:rsid w:val="00725944"/>
    <w:rsid w:val="007259EC"/>
    <w:rsid w:val="00726712"/>
    <w:rsid w:val="00726CC8"/>
    <w:rsid w:val="0073233F"/>
    <w:rsid w:val="00735FFC"/>
    <w:rsid w:val="00740755"/>
    <w:rsid w:val="0074082F"/>
    <w:rsid w:val="00742446"/>
    <w:rsid w:val="00743A7F"/>
    <w:rsid w:val="00743AF8"/>
    <w:rsid w:val="00744203"/>
    <w:rsid w:val="00747994"/>
    <w:rsid w:val="00752BC4"/>
    <w:rsid w:val="00752C7B"/>
    <w:rsid w:val="00754639"/>
    <w:rsid w:val="00756202"/>
    <w:rsid w:val="00756A72"/>
    <w:rsid w:val="007577E4"/>
    <w:rsid w:val="007603D0"/>
    <w:rsid w:val="00761BD2"/>
    <w:rsid w:val="00763758"/>
    <w:rsid w:val="00773BD4"/>
    <w:rsid w:val="00776B1F"/>
    <w:rsid w:val="00776EB1"/>
    <w:rsid w:val="00780A6B"/>
    <w:rsid w:val="00783FD3"/>
    <w:rsid w:val="00785F48"/>
    <w:rsid w:val="0078632F"/>
    <w:rsid w:val="00786961"/>
    <w:rsid w:val="0079000C"/>
    <w:rsid w:val="007907BA"/>
    <w:rsid w:val="00791028"/>
    <w:rsid w:val="00792304"/>
    <w:rsid w:val="0079305D"/>
    <w:rsid w:val="00793EF2"/>
    <w:rsid w:val="00793FFC"/>
    <w:rsid w:val="007970D7"/>
    <w:rsid w:val="007A0943"/>
    <w:rsid w:val="007A284B"/>
    <w:rsid w:val="007A3C71"/>
    <w:rsid w:val="007B7A46"/>
    <w:rsid w:val="007C12AB"/>
    <w:rsid w:val="007C18FA"/>
    <w:rsid w:val="007C29BE"/>
    <w:rsid w:val="007C2E6E"/>
    <w:rsid w:val="007C5993"/>
    <w:rsid w:val="007C62A9"/>
    <w:rsid w:val="007C74BF"/>
    <w:rsid w:val="007C778C"/>
    <w:rsid w:val="007D08CD"/>
    <w:rsid w:val="007D232A"/>
    <w:rsid w:val="007D2B6A"/>
    <w:rsid w:val="007D3E24"/>
    <w:rsid w:val="007D6FDE"/>
    <w:rsid w:val="007E10DB"/>
    <w:rsid w:val="007E2035"/>
    <w:rsid w:val="007E2E6B"/>
    <w:rsid w:val="007E3D7E"/>
    <w:rsid w:val="007E4B1E"/>
    <w:rsid w:val="007E697C"/>
    <w:rsid w:val="007E7070"/>
    <w:rsid w:val="007E7AFC"/>
    <w:rsid w:val="007F3BDB"/>
    <w:rsid w:val="007F3FAF"/>
    <w:rsid w:val="007F4578"/>
    <w:rsid w:val="007F4E44"/>
    <w:rsid w:val="007F54DC"/>
    <w:rsid w:val="007F7B64"/>
    <w:rsid w:val="0081063E"/>
    <w:rsid w:val="00811A40"/>
    <w:rsid w:val="008151C7"/>
    <w:rsid w:val="00815DE4"/>
    <w:rsid w:val="00816618"/>
    <w:rsid w:val="00820572"/>
    <w:rsid w:val="00821497"/>
    <w:rsid w:val="00824416"/>
    <w:rsid w:val="008271DA"/>
    <w:rsid w:val="00833C22"/>
    <w:rsid w:val="00835A23"/>
    <w:rsid w:val="008379DB"/>
    <w:rsid w:val="00837BC1"/>
    <w:rsid w:val="00841F73"/>
    <w:rsid w:val="0084285D"/>
    <w:rsid w:val="00842B75"/>
    <w:rsid w:val="00843803"/>
    <w:rsid w:val="00844A85"/>
    <w:rsid w:val="00846E45"/>
    <w:rsid w:val="0085091F"/>
    <w:rsid w:val="00857DC0"/>
    <w:rsid w:val="008619CA"/>
    <w:rsid w:val="00865CE5"/>
    <w:rsid w:val="008664D5"/>
    <w:rsid w:val="00867D19"/>
    <w:rsid w:val="00867DF0"/>
    <w:rsid w:val="00871567"/>
    <w:rsid w:val="00871E2C"/>
    <w:rsid w:val="00872FF8"/>
    <w:rsid w:val="008734C2"/>
    <w:rsid w:val="00873892"/>
    <w:rsid w:val="00873B11"/>
    <w:rsid w:val="0087662A"/>
    <w:rsid w:val="00880727"/>
    <w:rsid w:val="00880BF0"/>
    <w:rsid w:val="00881A67"/>
    <w:rsid w:val="00881D38"/>
    <w:rsid w:val="008845EE"/>
    <w:rsid w:val="008852CE"/>
    <w:rsid w:val="00887EFA"/>
    <w:rsid w:val="00890472"/>
    <w:rsid w:val="0089063A"/>
    <w:rsid w:val="00890E3B"/>
    <w:rsid w:val="008915BF"/>
    <w:rsid w:val="00892963"/>
    <w:rsid w:val="008940E0"/>
    <w:rsid w:val="0089617C"/>
    <w:rsid w:val="00897884"/>
    <w:rsid w:val="00897A98"/>
    <w:rsid w:val="008A7008"/>
    <w:rsid w:val="008B033E"/>
    <w:rsid w:val="008B04D7"/>
    <w:rsid w:val="008B0AC3"/>
    <w:rsid w:val="008B22A9"/>
    <w:rsid w:val="008B39A6"/>
    <w:rsid w:val="008B39F2"/>
    <w:rsid w:val="008B52B1"/>
    <w:rsid w:val="008B62BB"/>
    <w:rsid w:val="008C2764"/>
    <w:rsid w:val="008C2887"/>
    <w:rsid w:val="008C3271"/>
    <w:rsid w:val="008C3A4A"/>
    <w:rsid w:val="008C5AF4"/>
    <w:rsid w:val="008D341E"/>
    <w:rsid w:val="008D401A"/>
    <w:rsid w:val="008D4AFB"/>
    <w:rsid w:val="008D5DCD"/>
    <w:rsid w:val="008D7F9C"/>
    <w:rsid w:val="008E12E5"/>
    <w:rsid w:val="008E399F"/>
    <w:rsid w:val="008E4072"/>
    <w:rsid w:val="008E4878"/>
    <w:rsid w:val="008E5789"/>
    <w:rsid w:val="008E5EA8"/>
    <w:rsid w:val="008E6292"/>
    <w:rsid w:val="008E7441"/>
    <w:rsid w:val="008F5EAE"/>
    <w:rsid w:val="008F613D"/>
    <w:rsid w:val="00902EA4"/>
    <w:rsid w:val="009066E6"/>
    <w:rsid w:val="00912395"/>
    <w:rsid w:val="0091419C"/>
    <w:rsid w:val="00914D44"/>
    <w:rsid w:val="00915B32"/>
    <w:rsid w:val="00917606"/>
    <w:rsid w:val="0092141A"/>
    <w:rsid w:val="0092204E"/>
    <w:rsid w:val="0092519C"/>
    <w:rsid w:val="00933B90"/>
    <w:rsid w:val="00934B44"/>
    <w:rsid w:val="00935AD9"/>
    <w:rsid w:val="0093713A"/>
    <w:rsid w:val="00940FAE"/>
    <w:rsid w:val="00941B2D"/>
    <w:rsid w:val="00944604"/>
    <w:rsid w:val="009465F4"/>
    <w:rsid w:val="0094738B"/>
    <w:rsid w:val="009475FB"/>
    <w:rsid w:val="00960CC5"/>
    <w:rsid w:val="009615F8"/>
    <w:rsid w:val="00962615"/>
    <w:rsid w:val="00962C93"/>
    <w:rsid w:val="00965BA9"/>
    <w:rsid w:val="0097269B"/>
    <w:rsid w:val="0097459D"/>
    <w:rsid w:val="009751FD"/>
    <w:rsid w:val="009757B1"/>
    <w:rsid w:val="009771A4"/>
    <w:rsid w:val="0098054C"/>
    <w:rsid w:val="00980805"/>
    <w:rsid w:val="00980CBC"/>
    <w:rsid w:val="009816AD"/>
    <w:rsid w:val="00983F65"/>
    <w:rsid w:val="0098634B"/>
    <w:rsid w:val="00990325"/>
    <w:rsid w:val="00994AB5"/>
    <w:rsid w:val="009962FC"/>
    <w:rsid w:val="00997AE1"/>
    <w:rsid w:val="009A08AE"/>
    <w:rsid w:val="009A1B1D"/>
    <w:rsid w:val="009A2337"/>
    <w:rsid w:val="009A4FCA"/>
    <w:rsid w:val="009A661F"/>
    <w:rsid w:val="009A6907"/>
    <w:rsid w:val="009B28A1"/>
    <w:rsid w:val="009B33F8"/>
    <w:rsid w:val="009B3CF3"/>
    <w:rsid w:val="009B5695"/>
    <w:rsid w:val="009C09A6"/>
    <w:rsid w:val="009C4B34"/>
    <w:rsid w:val="009C4F0D"/>
    <w:rsid w:val="009D0CCA"/>
    <w:rsid w:val="009D2C23"/>
    <w:rsid w:val="009D2E04"/>
    <w:rsid w:val="009D4DE7"/>
    <w:rsid w:val="009D6402"/>
    <w:rsid w:val="009D7507"/>
    <w:rsid w:val="009D78B4"/>
    <w:rsid w:val="009E1C47"/>
    <w:rsid w:val="009E2930"/>
    <w:rsid w:val="009E3637"/>
    <w:rsid w:val="009E744A"/>
    <w:rsid w:val="009F1B3C"/>
    <w:rsid w:val="009F3389"/>
    <w:rsid w:val="009F6049"/>
    <w:rsid w:val="009F6075"/>
    <w:rsid w:val="009F6C60"/>
    <w:rsid w:val="009F7279"/>
    <w:rsid w:val="00A07C93"/>
    <w:rsid w:val="00A20FAB"/>
    <w:rsid w:val="00A21651"/>
    <w:rsid w:val="00A216BB"/>
    <w:rsid w:val="00A261C6"/>
    <w:rsid w:val="00A268D8"/>
    <w:rsid w:val="00A30BE1"/>
    <w:rsid w:val="00A30F2F"/>
    <w:rsid w:val="00A350E8"/>
    <w:rsid w:val="00A37AD3"/>
    <w:rsid w:val="00A40015"/>
    <w:rsid w:val="00A4081B"/>
    <w:rsid w:val="00A4454A"/>
    <w:rsid w:val="00A44ED2"/>
    <w:rsid w:val="00A45996"/>
    <w:rsid w:val="00A4641D"/>
    <w:rsid w:val="00A4671C"/>
    <w:rsid w:val="00A47708"/>
    <w:rsid w:val="00A5191B"/>
    <w:rsid w:val="00A539A4"/>
    <w:rsid w:val="00A53B2F"/>
    <w:rsid w:val="00A5442D"/>
    <w:rsid w:val="00A56F6E"/>
    <w:rsid w:val="00A62A1A"/>
    <w:rsid w:val="00A62E1B"/>
    <w:rsid w:val="00A63129"/>
    <w:rsid w:val="00A640FF"/>
    <w:rsid w:val="00A66E39"/>
    <w:rsid w:val="00A70E31"/>
    <w:rsid w:val="00A71856"/>
    <w:rsid w:val="00A73858"/>
    <w:rsid w:val="00A7789A"/>
    <w:rsid w:val="00A80B9F"/>
    <w:rsid w:val="00A82BD4"/>
    <w:rsid w:val="00A82FF9"/>
    <w:rsid w:val="00A86FFF"/>
    <w:rsid w:val="00A90B2A"/>
    <w:rsid w:val="00A91E4B"/>
    <w:rsid w:val="00A92BD6"/>
    <w:rsid w:val="00A93363"/>
    <w:rsid w:val="00A937DE"/>
    <w:rsid w:val="00A93B1E"/>
    <w:rsid w:val="00A960F7"/>
    <w:rsid w:val="00A9726C"/>
    <w:rsid w:val="00AA6758"/>
    <w:rsid w:val="00AB3C76"/>
    <w:rsid w:val="00AB4468"/>
    <w:rsid w:val="00AB50A4"/>
    <w:rsid w:val="00AB582B"/>
    <w:rsid w:val="00AB5B85"/>
    <w:rsid w:val="00AB6E40"/>
    <w:rsid w:val="00AC0AAE"/>
    <w:rsid w:val="00AC35BD"/>
    <w:rsid w:val="00AC5D6B"/>
    <w:rsid w:val="00AD00E0"/>
    <w:rsid w:val="00AD259D"/>
    <w:rsid w:val="00AD3ED8"/>
    <w:rsid w:val="00AD4F4C"/>
    <w:rsid w:val="00AD6C5B"/>
    <w:rsid w:val="00AE2B32"/>
    <w:rsid w:val="00AE4353"/>
    <w:rsid w:val="00AE48DB"/>
    <w:rsid w:val="00AE63B7"/>
    <w:rsid w:val="00AE755C"/>
    <w:rsid w:val="00AE7616"/>
    <w:rsid w:val="00AF062A"/>
    <w:rsid w:val="00AF63ED"/>
    <w:rsid w:val="00AF646B"/>
    <w:rsid w:val="00B00B44"/>
    <w:rsid w:val="00B0425E"/>
    <w:rsid w:val="00B04EC1"/>
    <w:rsid w:val="00B06591"/>
    <w:rsid w:val="00B07460"/>
    <w:rsid w:val="00B07FBB"/>
    <w:rsid w:val="00B14DF4"/>
    <w:rsid w:val="00B2055E"/>
    <w:rsid w:val="00B20A6E"/>
    <w:rsid w:val="00B20C64"/>
    <w:rsid w:val="00B20C83"/>
    <w:rsid w:val="00B20EB1"/>
    <w:rsid w:val="00B20ECB"/>
    <w:rsid w:val="00B2311E"/>
    <w:rsid w:val="00B2391D"/>
    <w:rsid w:val="00B31AED"/>
    <w:rsid w:val="00B33183"/>
    <w:rsid w:val="00B3591B"/>
    <w:rsid w:val="00B3692D"/>
    <w:rsid w:val="00B42F09"/>
    <w:rsid w:val="00B432A2"/>
    <w:rsid w:val="00B4546D"/>
    <w:rsid w:val="00B51A11"/>
    <w:rsid w:val="00B53239"/>
    <w:rsid w:val="00B532EC"/>
    <w:rsid w:val="00B55EDF"/>
    <w:rsid w:val="00B5728E"/>
    <w:rsid w:val="00B57654"/>
    <w:rsid w:val="00B609A5"/>
    <w:rsid w:val="00B64545"/>
    <w:rsid w:val="00B6493D"/>
    <w:rsid w:val="00B6578F"/>
    <w:rsid w:val="00B665AB"/>
    <w:rsid w:val="00B7017E"/>
    <w:rsid w:val="00B716CD"/>
    <w:rsid w:val="00B71839"/>
    <w:rsid w:val="00B73740"/>
    <w:rsid w:val="00B759A4"/>
    <w:rsid w:val="00B80665"/>
    <w:rsid w:val="00B8149F"/>
    <w:rsid w:val="00B81CB2"/>
    <w:rsid w:val="00B86FD6"/>
    <w:rsid w:val="00B91F53"/>
    <w:rsid w:val="00B93B28"/>
    <w:rsid w:val="00B93EDE"/>
    <w:rsid w:val="00B960C2"/>
    <w:rsid w:val="00BA126A"/>
    <w:rsid w:val="00BA16AA"/>
    <w:rsid w:val="00BA784B"/>
    <w:rsid w:val="00BB4A41"/>
    <w:rsid w:val="00BB5148"/>
    <w:rsid w:val="00BB53D6"/>
    <w:rsid w:val="00BB56AD"/>
    <w:rsid w:val="00BB7501"/>
    <w:rsid w:val="00BB7FAE"/>
    <w:rsid w:val="00BC0E83"/>
    <w:rsid w:val="00BC2B70"/>
    <w:rsid w:val="00BC332F"/>
    <w:rsid w:val="00BC4084"/>
    <w:rsid w:val="00BC60DB"/>
    <w:rsid w:val="00BC6CED"/>
    <w:rsid w:val="00BD13B9"/>
    <w:rsid w:val="00BD671B"/>
    <w:rsid w:val="00BD6E19"/>
    <w:rsid w:val="00BE03ED"/>
    <w:rsid w:val="00BE0F78"/>
    <w:rsid w:val="00BE0FCE"/>
    <w:rsid w:val="00BE1376"/>
    <w:rsid w:val="00BE1BB9"/>
    <w:rsid w:val="00BE1EDF"/>
    <w:rsid w:val="00BE41F6"/>
    <w:rsid w:val="00BE54DD"/>
    <w:rsid w:val="00BF0856"/>
    <w:rsid w:val="00BF0FB0"/>
    <w:rsid w:val="00BF24CF"/>
    <w:rsid w:val="00BF3E24"/>
    <w:rsid w:val="00BF5BC6"/>
    <w:rsid w:val="00BF6D2E"/>
    <w:rsid w:val="00C01ED7"/>
    <w:rsid w:val="00C05447"/>
    <w:rsid w:val="00C073EB"/>
    <w:rsid w:val="00C108C1"/>
    <w:rsid w:val="00C129E1"/>
    <w:rsid w:val="00C14D6B"/>
    <w:rsid w:val="00C15553"/>
    <w:rsid w:val="00C165BC"/>
    <w:rsid w:val="00C16FA2"/>
    <w:rsid w:val="00C2026C"/>
    <w:rsid w:val="00C20AE9"/>
    <w:rsid w:val="00C21900"/>
    <w:rsid w:val="00C21F42"/>
    <w:rsid w:val="00C22028"/>
    <w:rsid w:val="00C235F9"/>
    <w:rsid w:val="00C25110"/>
    <w:rsid w:val="00C267B8"/>
    <w:rsid w:val="00C300EF"/>
    <w:rsid w:val="00C3150F"/>
    <w:rsid w:val="00C32577"/>
    <w:rsid w:val="00C32648"/>
    <w:rsid w:val="00C32E9F"/>
    <w:rsid w:val="00C32F5C"/>
    <w:rsid w:val="00C33C47"/>
    <w:rsid w:val="00C34F42"/>
    <w:rsid w:val="00C4070A"/>
    <w:rsid w:val="00C41DD7"/>
    <w:rsid w:val="00C427C3"/>
    <w:rsid w:val="00C4426D"/>
    <w:rsid w:val="00C44F43"/>
    <w:rsid w:val="00C45E6D"/>
    <w:rsid w:val="00C51E7B"/>
    <w:rsid w:val="00C53252"/>
    <w:rsid w:val="00C5388C"/>
    <w:rsid w:val="00C612B5"/>
    <w:rsid w:val="00C6330E"/>
    <w:rsid w:val="00C650B0"/>
    <w:rsid w:val="00C701E2"/>
    <w:rsid w:val="00C715CD"/>
    <w:rsid w:val="00C72538"/>
    <w:rsid w:val="00C72D9C"/>
    <w:rsid w:val="00C7409D"/>
    <w:rsid w:val="00C74576"/>
    <w:rsid w:val="00C76BAF"/>
    <w:rsid w:val="00C805E0"/>
    <w:rsid w:val="00C81EFC"/>
    <w:rsid w:val="00C8268E"/>
    <w:rsid w:val="00C947B1"/>
    <w:rsid w:val="00C95682"/>
    <w:rsid w:val="00C974A1"/>
    <w:rsid w:val="00CA1545"/>
    <w:rsid w:val="00CA3DFB"/>
    <w:rsid w:val="00CB08BE"/>
    <w:rsid w:val="00CB2618"/>
    <w:rsid w:val="00CB3841"/>
    <w:rsid w:val="00CB404B"/>
    <w:rsid w:val="00CB7095"/>
    <w:rsid w:val="00CB734F"/>
    <w:rsid w:val="00CC0C9C"/>
    <w:rsid w:val="00CC20D1"/>
    <w:rsid w:val="00CC3E41"/>
    <w:rsid w:val="00CC5245"/>
    <w:rsid w:val="00CC7B22"/>
    <w:rsid w:val="00CD27A9"/>
    <w:rsid w:val="00CD2F8A"/>
    <w:rsid w:val="00CD781B"/>
    <w:rsid w:val="00CE2E72"/>
    <w:rsid w:val="00CE3E6D"/>
    <w:rsid w:val="00CE4783"/>
    <w:rsid w:val="00CE4D18"/>
    <w:rsid w:val="00CE66C5"/>
    <w:rsid w:val="00CF1DF1"/>
    <w:rsid w:val="00CF5D3B"/>
    <w:rsid w:val="00D01D4C"/>
    <w:rsid w:val="00D04BAE"/>
    <w:rsid w:val="00D058FE"/>
    <w:rsid w:val="00D05A76"/>
    <w:rsid w:val="00D13568"/>
    <w:rsid w:val="00D13B8F"/>
    <w:rsid w:val="00D13E95"/>
    <w:rsid w:val="00D1567A"/>
    <w:rsid w:val="00D1633F"/>
    <w:rsid w:val="00D165F1"/>
    <w:rsid w:val="00D21DB9"/>
    <w:rsid w:val="00D21F72"/>
    <w:rsid w:val="00D30861"/>
    <w:rsid w:val="00D31073"/>
    <w:rsid w:val="00D31E29"/>
    <w:rsid w:val="00D321BA"/>
    <w:rsid w:val="00D328DC"/>
    <w:rsid w:val="00D35AD0"/>
    <w:rsid w:val="00D365BD"/>
    <w:rsid w:val="00D36CE8"/>
    <w:rsid w:val="00D370B4"/>
    <w:rsid w:val="00D40160"/>
    <w:rsid w:val="00D40326"/>
    <w:rsid w:val="00D41321"/>
    <w:rsid w:val="00D418E6"/>
    <w:rsid w:val="00D4354D"/>
    <w:rsid w:val="00D4691A"/>
    <w:rsid w:val="00D51C1F"/>
    <w:rsid w:val="00D57FA8"/>
    <w:rsid w:val="00D613C3"/>
    <w:rsid w:val="00D61BE5"/>
    <w:rsid w:val="00D62FDB"/>
    <w:rsid w:val="00D654CA"/>
    <w:rsid w:val="00D66DB0"/>
    <w:rsid w:val="00D778E6"/>
    <w:rsid w:val="00D81270"/>
    <w:rsid w:val="00D8210B"/>
    <w:rsid w:val="00D83839"/>
    <w:rsid w:val="00D83E16"/>
    <w:rsid w:val="00D86A9C"/>
    <w:rsid w:val="00D93628"/>
    <w:rsid w:val="00D970B3"/>
    <w:rsid w:val="00DA5130"/>
    <w:rsid w:val="00DB0523"/>
    <w:rsid w:val="00DB0F68"/>
    <w:rsid w:val="00DB12AE"/>
    <w:rsid w:val="00DB4D98"/>
    <w:rsid w:val="00DB615F"/>
    <w:rsid w:val="00DC01D6"/>
    <w:rsid w:val="00DC0766"/>
    <w:rsid w:val="00DC6471"/>
    <w:rsid w:val="00DD2DE2"/>
    <w:rsid w:val="00DD34D1"/>
    <w:rsid w:val="00DD4314"/>
    <w:rsid w:val="00DD57DD"/>
    <w:rsid w:val="00DE0208"/>
    <w:rsid w:val="00DE0EC0"/>
    <w:rsid w:val="00DE319A"/>
    <w:rsid w:val="00DE481B"/>
    <w:rsid w:val="00DE52F2"/>
    <w:rsid w:val="00DE62C8"/>
    <w:rsid w:val="00DE6EE5"/>
    <w:rsid w:val="00DF1E67"/>
    <w:rsid w:val="00DF23A3"/>
    <w:rsid w:val="00DF3DE4"/>
    <w:rsid w:val="00DF5B77"/>
    <w:rsid w:val="00DF65E0"/>
    <w:rsid w:val="00E04947"/>
    <w:rsid w:val="00E05203"/>
    <w:rsid w:val="00E058CE"/>
    <w:rsid w:val="00E06E1A"/>
    <w:rsid w:val="00E11CFC"/>
    <w:rsid w:val="00E1346E"/>
    <w:rsid w:val="00E154CB"/>
    <w:rsid w:val="00E15D6F"/>
    <w:rsid w:val="00E201D3"/>
    <w:rsid w:val="00E24B36"/>
    <w:rsid w:val="00E30733"/>
    <w:rsid w:val="00E31C21"/>
    <w:rsid w:val="00E326EA"/>
    <w:rsid w:val="00E3547A"/>
    <w:rsid w:val="00E35641"/>
    <w:rsid w:val="00E41341"/>
    <w:rsid w:val="00E4182C"/>
    <w:rsid w:val="00E4182E"/>
    <w:rsid w:val="00E419E4"/>
    <w:rsid w:val="00E42CC0"/>
    <w:rsid w:val="00E42D81"/>
    <w:rsid w:val="00E44CB8"/>
    <w:rsid w:val="00E56730"/>
    <w:rsid w:val="00E56C45"/>
    <w:rsid w:val="00E61C53"/>
    <w:rsid w:val="00E62AEE"/>
    <w:rsid w:val="00E7025A"/>
    <w:rsid w:val="00E7248F"/>
    <w:rsid w:val="00E72527"/>
    <w:rsid w:val="00E727A4"/>
    <w:rsid w:val="00E728E7"/>
    <w:rsid w:val="00E73F66"/>
    <w:rsid w:val="00E741E8"/>
    <w:rsid w:val="00E74801"/>
    <w:rsid w:val="00E76870"/>
    <w:rsid w:val="00E77D51"/>
    <w:rsid w:val="00E806EA"/>
    <w:rsid w:val="00E81275"/>
    <w:rsid w:val="00E83464"/>
    <w:rsid w:val="00E85807"/>
    <w:rsid w:val="00E87C3A"/>
    <w:rsid w:val="00E934C2"/>
    <w:rsid w:val="00E93CC4"/>
    <w:rsid w:val="00E94559"/>
    <w:rsid w:val="00EA157E"/>
    <w:rsid w:val="00EA28B0"/>
    <w:rsid w:val="00EA4201"/>
    <w:rsid w:val="00EA582C"/>
    <w:rsid w:val="00EA6165"/>
    <w:rsid w:val="00EA665E"/>
    <w:rsid w:val="00EA7518"/>
    <w:rsid w:val="00EB3205"/>
    <w:rsid w:val="00EB45EA"/>
    <w:rsid w:val="00EB49FF"/>
    <w:rsid w:val="00EB5FA1"/>
    <w:rsid w:val="00EB63DC"/>
    <w:rsid w:val="00EB7B2A"/>
    <w:rsid w:val="00EC0904"/>
    <w:rsid w:val="00EC23DD"/>
    <w:rsid w:val="00EC3506"/>
    <w:rsid w:val="00EC4041"/>
    <w:rsid w:val="00EC7E43"/>
    <w:rsid w:val="00ED4FE9"/>
    <w:rsid w:val="00EE191D"/>
    <w:rsid w:val="00EE2173"/>
    <w:rsid w:val="00EE293E"/>
    <w:rsid w:val="00EE3D20"/>
    <w:rsid w:val="00EE46CC"/>
    <w:rsid w:val="00EE5175"/>
    <w:rsid w:val="00EE5A64"/>
    <w:rsid w:val="00EE6DAF"/>
    <w:rsid w:val="00EF07A4"/>
    <w:rsid w:val="00EF256C"/>
    <w:rsid w:val="00EF26DE"/>
    <w:rsid w:val="00F01B30"/>
    <w:rsid w:val="00F03F4E"/>
    <w:rsid w:val="00F071CF"/>
    <w:rsid w:val="00F073A0"/>
    <w:rsid w:val="00F10F50"/>
    <w:rsid w:val="00F113EE"/>
    <w:rsid w:val="00F1208D"/>
    <w:rsid w:val="00F13F9D"/>
    <w:rsid w:val="00F166B9"/>
    <w:rsid w:val="00F17945"/>
    <w:rsid w:val="00F1F9DC"/>
    <w:rsid w:val="00F20E34"/>
    <w:rsid w:val="00F231E8"/>
    <w:rsid w:val="00F2402E"/>
    <w:rsid w:val="00F26BA0"/>
    <w:rsid w:val="00F26DDB"/>
    <w:rsid w:val="00F27055"/>
    <w:rsid w:val="00F30725"/>
    <w:rsid w:val="00F3159C"/>
    <w:rsid w:val="00F35823"/>
    <w:rsid w:val="00F37C36"/>
    <w:rsid w:val="00F419B1"/>
    <w:rsid w:val="00F420D7"/>
    <w:rsid w:val="00F432EA"/>
    <w:rsid w:val="00F433F0"/>
    <w:rsid w:val="00F44029"/>
    <w:rsid w:val="00F44CD9"/>
    <w:rsid w:val="00F478C2"/>
    <w:rsid w:val="00F50E2C"/>
    <w:rsid w:val="00F522B4"/>
    <w:rsid w:val="00F53636"/>
    <w:rsid w:val="00F57BFC"/>
    <w:rsid w:val="00F60A76"/>
    <w:rsid w:val="00F60DFA"/>
    <w:rsid w:val="00F64CFD"/>
    <w:rsid w:val="00F67E81"/>
    <w:rsid w:val="00F702C7"/>
    <w:rsid w:val="00F70B20"/>
    <w:rsid w:val="00F70EBA"/>
    <w:rsid w:val="00F7155B"/>
    <w:rsid w:val="00F72423"/>
    <w:rsid w:val="00F740B3"/>
    <w:rsid w:val="00F744C6"/>
    <w:rsid w:val="00F74F81"/>
    <w:rsid w:val="00F75474"/>
    <w:rsid w:val="00F76D5B"/>
    <w:rsid w:val="00F82C03"/>
    <w:rsid w:val="00F8410A"/>
    <w:rsid w:val="00F86414"/>
    <w:rsid w:val="00F900C4"/>
    <w:rsid w:val="00F91B2B"/>
    <w:rsid w:val="00F9788F"/>
    <w:rsid w:val="00FA29AC"/>
    <w:rsid w:val="00FA2AEE"/>
    <w:rsid w:val="00FA5201"/>
    <w:rsid w:val="00FA5355"/>
    <w:rsid w:val="00FA5582"/>
    <w:rsid w:val="00FA6116"/>
    <w:rsid w:val="00FA6B29"/>
    <w:rsid w:val="00FB79CB"/>
    <w:rsid w:val="00FC013F"/>
    <w:rsid w:val="00FC1E98"/>
    <w:rsid w:val="00FC2888"/>
    <w:rsid w:val="00FC2C93"/>
    <w:rsid w:val="00FC482D"/>
    <w:rsid w:val="00FD1A81"/>
    <w:rsid w:val="00FD28DB"/>
    <w:rsid w:val="00FD68B5"/>
    <w:rsid w:val="00FD7F8B"/>
    <w:rsid w:val="00FE13DA"/>
    <w:rsid w:val="00FE321E"/>
    <w:rsid w:val="00FE3440"/>
    <w:rsid w:val="00FE4BB9"/>
    <w:rsid w:val="00FE6511"/>
    <w:rsid w:val="00FF35DD"/>
    <w:rsid w:val="00FF6285"/>
    <w:rsid w:val="00FF75AF"/>
    <w:rsid w:val="0268D43C"/>
    <w:rsid w:val="027E4DC8"/>
    <w:rsid w:val="06E06376"/>
    <w:rsid w:val="076B708B"/>
    <w:rsid w:val="094B9867"/>
    <w:rsid w:val="0A0E9F4E"/>
    <w:rsid w:val="0A58276E"/>
    <w:rsid w:val="0A6EB70E"/>
    <w:rsid w:val="0BF96AC6"/>
    <w:rsid w:val="0D018299"/>
    <w:rsid w:val="0D3A6705"/>
    <w:rsid w:val="0F652D5E"/>
    <w:rsid w:val="1021BB52"/>
    <w:rsid w:val="116B2741"/>
    <w:rsid w:val="11E95EC5"/>
    <w:rsid w:val="1465E11D"/>
    <w:rsid w:val="1690EC28"/>
    <w:rsid w:val="190399E8"/>
    <w:rsid w:val="19D2446A"/>
    <w:rsid w:val="1A28FF0E"/>
    <w:rsid w:val="1AB17857"/>
    <w:rsid w:val="1C0CD748"/>
    <w:rsid w:val="1C7E386C"/>
    <w:rsid w:val="1CADCA1C"/>
    <w:rsid w:val="1DDA0F53"/>
    <w:rsid w:val="20A7FE5A"/>
    <w:rsid w:val="22DD088C"/>
    <w:rsid w:val="2345A927"/>
    <w:rsid w:val="2402C2F0"/>
    <w:rsid w:val="2563BD80"/>
    <w:rsid w:val="25BC6AA9"/>
    <w:rsid w:val="263BD92F"/>
    <w:rsid w:val="263BF059"/>
    <w:rsid w:val="2744ECEA"/>
    <w:rsid w:val="27961BEF"/>
    <w:rsid w:val="2911917E"/>
    <w:rsid w:val="29619678"/>
    <w:rsid w:val="2EB60EF8"/>
    <w:rsid w:val="301597D3"/>
    <w:rsid w:val="30CC92D1"/>
    <w:rsid w:val="331F6230"/>
    <w:rsid w:val="341407A9"/>
    <w:rsid w:val="37580081"/>
    <w:rsid w:val="37589BB9"/>
    <w:rsid w:val="37A3AE85"/>
    <w:rsid w:val="38B97E05"/>
    <w:rsid w:val="38D2E696"/>
    <w:rsid w:val="39F90E17"/>
    <w:rsid w:val="3B5CB615"/>
    <w:rsid w:val="3D03869D"/>
    <w:rsid w:val="3DF1056C"/>
    <w:rsid w:val="3E89214F"/>
    <w:rsid w:val="3F76707B"/>
    <w:rsid w:val="40ABBD66"/>
    <w:rsid w:val="43D862AD"/>
    <w:rsid w:val="454EBC76"/>
    <w:rsid w:val="455960EB"/>
    <w:rsid w:val="4946BE18"/>
    <w:rsid w:val="497361E9"/>
    <w:rsid w:val="4B9395A9"/>
    <w:rsid w:val="4DE18E31"/>
    <w:rsid w:val="507E77BD"/>
    <w:rsid w:val="508F956C"/>
    <w:rsid w:val="50CE7EFA"/>
    <w:rsid w:val="5182DC84"/>
    <w:rsid w:val="518D2096"/>
    <w:rsid w:val="524B5A4A"/>
    <w:rsid w:val="568B0308"/>
    <w:rsid w:val="593A5E0C"/>
    <w:rsid w:val="5A53CA0C"/>
    <w:rsid w:val="5BA41284"/>
    <w:rsid w:val="5BC888CE"/>
    <w:rsid w:val="5DBDF967"/>
    <w:rsid w:val="5E98E90F"/>
    <w:rsid w:val="5F2A1E65"/>
    <w:rsid w:val="5F7C6DE4"/>
    <w:rsid w:val="611CC30E"/>
    <w:rsid w:val="6636E6B1"/>
    <w:rsid w:val="69D99A9D"/>
    <w:rsid w:val="6B5ED3F0"/>
    <w:rsid w:val="6DF08380"/>
    <w:rsid w:val="7039985D"/>
    <w:rsid w:val="705A2997"/>
    <w:rsid w:val="71FA7717"/>
    <w:rsid w:val="722C38C8"/>
    <w:rsid w:val="733C8AAD"/>
    <w:rsid w:val="74F4812A"/>
    <w:rsid w:val="751C1545"/>
    <w:rsid w:val="753AFDB2"/>
    <w:rsid w:val="755076CA"/>
    <w:rsid w:val="75A47AE5"/>
    <w:rsid w:val="76786C11"/>
    <w:rsid w:val="76F28B29"/>
    <w:rsid w:val="76FAC377"/>
    <w:rsid w:val="795B2FA0"/>
    <w:rsid w:val="7A05CCD4"/>
    <w:rsid w:val="7A951FDF"/>
    <w:rsid w:val="7BEDBBF0"/>
    <w:rsid w:val="7CE9B6D7"/>
    <w:rsid w:val="7D4EB3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4E598"/>
  <w15:docId w15:val="{18367541-34CD-4E80-BB10-B1FABEEC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BDB"/>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locked/>
    <w:rsid w:val="00F35823"/>
  </w:style>
  <w:style w:type="character" w:customStyle="1" w:styleId="UnresolvedMention1">
    <w:name w:val="Unresolved Mention1"/>
    <w:basedOn w:val="DefaultParagraphFont"/>
    <w:uiPriority w:val="99"/>
    <w:semiHidden/>
    <w:unhideWhenUsed/>
    <w:rsid w:val="005D4717"/>
    <w:rPr>
      <w:color w:val="605E5C"/>
      <w:shd w:val="clear" w:color="auto" w:fill="E1DFDD"/>
    </w:rPr>
  </w:style>
  <w:style w:type="paragraph" w:styleId="Revision">
    <w:name w:val="Revision"/>
    <w:hidden/>
    <w:uiPriority w:val="99"/>
    <w:semiHidden/>
    <w:rsid w:val="005245CA"/>
    <w:pPr>
      <w:spacing w:after="0" w:line="240" w:lineRule="auto"/>
    </w:pPr>
  </w:style>
  <w:style w:type="character" w:styleId="FollowedHyperlink">
    <w:name w:val="FollowedHyperlink"/>
    <w:basedOn w:val="DefaultParagraphFont"/>
    <w:uiPriority w:val="99"/>
    <w:semiHidden/>
    <w:unhideWhenUsed/>
    <w:rsid w:val="004F6AA8"/>
    <w:rPr>
      <w:color w:val="954F72" w:themeColor="followedHyperlink"/>
      <w:u w:val="single"/>
    </w:rPr>
  </w:style>
  <w:style w:type="paragraph" w:customStyle="1" w:styleId="paragraph">
    <w:name w:val="paragraph"/>
    <w:basedOn w:val="Normal"/>
    <w:rsid w:val="004103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034F"/>
  </w:style>
  <w:style w:type="character" w:customStyle="1" w:styleId="eop">
    <w:name w:val="eop"/>
    <w:basedOn w:val="DefaultParagraphFont"/>
    <w:rsid w:val="0041034F"/>
  </w:style>
  <w:style w:type="character" w:styleId="Strong">
    <w:name w:val="Strong"/>
    <w:basedOn w:val="DefaultParagraphFont"/>
    <w:uiPriority w:val="22"/>
    <w:qFormat/>
    <w:rsid w:val="0041034F"/>
    <w:rPr>
      <w:b/>
      <w:bCs/>
    </w:rPr>
  </w:style>
  <w:style w:type="character" w:customStyle="1" w:styleId="ui-provider">
    <w:name w:val="ui-provider"/>
    <w:basedOn w:val="DefaultParagraphFont"/>
    <w:rsid w:val="0041034F"/>
  </w:style>
  <w:style w:type="character" w:customStyle="1" w:styleId="x1lliihq">
    <w:name w:val="x1lliihq"/>
    <w:basedOn w:val="DefaultParagraphFont"/>
    <w:rsid w:val="0041034F"/>
  </w:style>
  <w:style w:type="character" w:customStyle="1" w:styleId="QuickFormat1">
    <w:name w:val="QuickFormat1"/>
    <w:rsid w:val="0041034F"/>
    <w:rPr>
      <w:sz w:val="23"/>
      <w:szCs w:val="23"/>
      <w:lang w:val="en-GB"/>
    </w:rPr>
  </w:style>
  <w:style w:type="character" w:customStyle="1" w:styleId="st1">
    <w:name w:val="st1"/>
    <w:uiPriority w:val="99"/>
    <w:rsid w:val="0041034F"/>
  </w:style>
  <w:style w:type="paragraph" w:styleId="NormalWeb">
    <w:name w:val="Normal (Web)"/>
    <w:basedOn w:val="Normal"/>
    <w:uiPriority w:val="99"/>
    <w:semiHidden/>
    <w:unhideWhenUsed/>
    <w:rsid w:val="00013FB3"/>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Mention1">
    <w:name w:val="Mention1"/>
    <w:basedOn w:val="DefaultParagraphFont"/>
    <w:uiPriority w:val="99"/>
    <w:unhideWhenUsed/>
    <w:rsid w:val="00BA126A"/>
    <w:rPr>
      <w:color w:val="2B579A"/>
      <w:shd w:val="clear" w:color="auto" w:fill="E1DFDD"/>
    </w:rPr>
  </w:style>
  <w:style w:type="character" w:styleId="UnresolvedMention">
    <w:name w:val="Unresolved Mention"/>
    <w:basedOn w:val="DefaultParagraphFont"/>
    <w:uiPriority w:val="99"/>
    <w:semiHidden/>
    <w:unhideWhenUsed/>
    <w:rsid w:val="00CE2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932710180">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document/programme-work-intersessional-period-between-cop14-and-cop15" TargetMode="External"/><Relationship Id="rId18" Type="http://schemas.openxmlformats.org/officeDocument/2006/relationships/hyperlink" Target="https://www.cms.int/fr/news/2024014-jeune-expert-associ%C3%A9" TargetMode="External"/><Relationship Id="rId26" Type="http://schemas.openxmlformats.org/officeDocument/2006/relationships/hyperlink" Target="https://www.cms.int/document/budget-2026-2029-and-programme-work-intersessional-period-between-cop15-and-cop16" TargetMode="External"/><Relationship Id="rId39" Type="http://schemas.openxmlformats.org/officeDocument/2006/relationships/fontTable" Target="fontTable.xml"/><Relationship Id="rId21" Type="http://schemas.openxmlformats.org/officeDocument/2006/relationships/hyperlink" Target="https://www.cms.int/sites/default/files/document/2025-11/cms_cop15_doc.20.2_interim-report_f.pdf"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ms.int/fr/node/42133" TargetMode="External"/><Relationship Id="rId17" Type="http://schemas.openxmlformats.org/officeDocument/2006/relationships/hyperlink" Target="https://www.cms.int/fr/node/42133" TargetMode="External"/><Relationship Id="rId25" Type="http://schemas.openxmlformats.org/officeDocument/2006/relationships/hyperlink" Target="https://www.cbd.int/decisions/cop?m=cop-16" TargetMode="External"/><Relationship Id="rId33" Type="http://schemas.openxmlformats.org/officeDocument/2006/relationships/header" Target="header5.xml"/><Relationship Id="rId38"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www.cms.int/fr/news/2025023-appel-%C3%A0-soutien-financier-pour-la-cop15-de-la-cms" TargetMode="External"/><Relationship Id="rId20" Type="http://schemas.openxmlformats.org/officeDocument/2006/relationships/hyperlink" Target="https://www.cms.int/document/implementation-programme-work-2024-202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migratoryspecies.org/fr/content/programme-des-champions-des-esp%C3%A8ces-migratrices" TargetMode="External"/><Relationship Id="rId32" Type="http://schemas.openxmlformats.org/officeDocument/2006/relationships/header" Target="header4.xm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ms.int/fr/news/2024024-appel-%C3%A0-soutien-pour-le-programme-de-travail-pour-la-p%C3%A9riode-intersessions-entre-la" TargetMode="External"/><Relationship Id="rId23" Type="http://schemas.openxmlformats.org/officeDocument/2006/relationships/hyperlink" Target="https://www.cbd.int/meetings/COP-16" TargetMode="External"/><Relationship Id="rId28" Type="http://schemas.openxmlformats.org/officeDocument/2006/relationships/header" Target="header2.xm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cms.int/en/meeting/seventh-meeting-convention-conservation-migratory-species-wild-animals-cms-energy-task-force"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implementation-programme-work-2024-2026" TargetMode="External"/><Relationship Id="rId22" Type="http://schemas.openxmlformats.org/officeDocument/2006/relationships/hyperlink" Target="https://www.migratoryspecies.org/fr/content/programme-des-champions-des-esp%C3%A8ces-migratrices"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BDDB061C-39DB-4ACD-ACCB-A16F39A8BC32}">
  <ds:schemaRefs>
    <ds:schemaRef ds:uri="http://schemas.openxmlformats.org/officeDocument/2006/bibliography"/>
  </ds:schemaRefs>
</ds:datastoreItem>
</file>

<file path=customXml/itemProps4.xml><?xml version="1.0" encoding="utf-8"?>
<ds:datastoreItem xmlns:ds="http://schemas.openxmlformats.org/officeDocument/2006/customXml" ds:itemID="{5DF0BB78-27C3-4FB2-BF4A-6EAB6275E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69</TotalTime>
  <Pages>14</Pages>
  <Words>5309</Words>
  <Characters>30266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35504</CharactersWithSpaces>
  <SharedDoc>false</SharedDoc>
  <HLinks>
    <vt:vector size="90" baseType="variant">
      <vt:variant>
        <vt:i4>8257656</vt:i4>
      </vt:variant>
      <vt:variant>
        <vt:i4>42</vt:i4>
      </vt:variant>
      <vt:variant>
        <vt:i4>0</vt:i4>
      </vt:variant>
      <vt:variant>
        <vt:i4>5</vt:i4>
      </vt:variant>
      <vt:variant>
        <vt:lpwstr>https://www.cms.int/document/budget-2026-2029-and-programme-work-intersessional-period-between-cop15-and-cop16</vt:lpwstr>
      </vt:variant>
      <vt:variant>
        <vt:lpwstr/>
      </vt:variant>
      <vt:variant>
        <vt:i4>7864430</vt:i4>
      </vt:variant>
      <vt:variant>
        <vt:i4>39</vt:i4>
      </vt:variant>
      <vt:variant>
        <vt:i4>0</vt:i4>
      </vt:variant>
      <vt:variant>
        <vt:i4>5</vt:i4>
      </vt:variant>
      <vt:variant>
        <vt:lpwstr>https://www.cbd.int/decisions/cop?m=cop-16</vt:lpwstr>
      </vt:variant>
      <vt:variant>
        <vt:lpwstr/>
      </vt:variant>
      <vt:variant>
        <vt:i4>6881388</vt:i4>
      </vt:variant>
      <vt:variant>
        <vt:i4>36</vt:i4>
      </vt:variant>
      <vt:variant>
        <vt:i4>0</vt:i4>
      </vt:variant>
      <vt:variant>
        <vt:i4>5</vt:i4>
      </vt:variant>
      <vt:variant>
        <vt:lpwstr>https://www.cbd.int/documents/CBD/COP/16/6/ADD2</vt:lpwstr>
      </vt:variant>
      <vt:variant>
        <vt:lpwstr/>
      </vt:variant>
      <vt:variant>
        <vt:i4>6815853</vt:i4>
      </vt:variant>
      <vt:variant>
        <vt:i4>33</vt:i4>
      </vt:variant>
      <vt:variant>
        <vt:i4>0</vt:i4>
      </vt:variant>
      <vt:variant>
        <vt:i4>5</vt:i4>
      </vt:variant>
      <vt:variant>
        <vt:lpwstr>https://www.cbd.int/documents/CBD/COP/16/6/REV1</vt:lpwstr>
      </vt:variant>
      <vt:variant>
        <vt:lpwstr/>
      </vt:variant>
      <vt:variant>
        <vt:i4>2097263</vt:i4>
      </vt:variant>
      <vt:variant>
        <vt:i4>30</vt:i4>
      </vt:variant>
      <vt:variant>
        <vt:i4>0</vt:i4>
      </vt:variant>
      <vt:variant>
        <vt:i4>5</vt:i4>
      </vt:variant>
      <vt:variant>
        <vt:lpwstr>http://www.migratoryspecies.org/en/champion</vt:lpwstr>
      </vt:variant>
      <vt:variant>
        <vt:lpwstr/>
      </vt:variant>
      <vt:variant>
        <vt:i4>2752612</vt:i4>
      </vt:variant>
      <vt:variant>
        <vt:i4>27</vt:i4>
      </vt:variant>
      <vt:variant>
        <vt:i4>0</vt:i4>
      </vt:variant>
      <vt:variant>
        <vt:i4>5</vt:i4>
      </vt:variant>
      <vt:variant>
        <vt:lpwstr>https://www.cms.int/sites/default/files/document/2025-11/cms_cop15_doc.20.2_interim-report_e.pdf</vt:lpwstr>
      </vt:variant>
      <vt:variant>
        <vt:lpwstr/>
      </vt:variant>
      <vt:variant>
        <vt:i4>458845</vt:i4>
      </vt:variant>
      <vt:variant>
        <vt:i4>24</vt:i4>
      </vt:variant>
      <vt:variant>
        <vt:i4>0</vt:i4>
      </vt:variant>
      <vt:variant>
        <vt:i4>5</vt:i4>
      </vt:variant>
      <vt:variant>
        <vt:lpwstr>https://www.cms.int/document/climate-change-0</vt:lpwstr>
      </vt:variant>
      <vt:variant>
        <vt:lpwstr/>
      </vt:variant>
      <vt:variant>
        <vt:i4>7798844</vt:i4>
      </vt:variant>
      <vt:variant>
        <vt:i4>21</vt:i4>
      </vt:variant>
      <vt:variant>
        <vt:i4>0</vt:i4>
      </vt:variant>
      <vt:variant>
        <vt:i4>5</vt:i4>
      </vt:variant>
      <vt:variant>
        <vt:lpwstr>https://www.cms.int/en/meeting/seventh-meeting-convention-conservation-migratory-species-wild-animals-cms-energy-task-force</vt:lpwstr>
      </vt:variant>
      <vt:variant>
        <vt:lpwstr/>
      </vt:variant>
      <vt:variant>
        <vt:i4>2359349</vt:i4>
      </vt:variant>
      <vt:variant>
        <vt:i4>18</vt:i4>
      </vt:variant>
      <vt:variant>
        <vt:i4>0</vt:i4>
      </vt:variant>
      <vt:variant>
        <vt:i4>5</vt:i4>
      </vt:variant>
      <vt:variant>
        <vt:lpwstr>https://www.cms.int/en/news/2024014-junior-professional-officer</vt:lpwstr>
      </vt:variant>
      <vt:variant>
        <vt:lpwstr/>
      </vt:variant>
      <vt:variant>
        <vt:i4>2621548</vt:i4>
      </vt:variant>
      <vt:variant>
        <vt:i4>15</vt:i4>
      </vt:variant>
      <vt:variant>
        <vt:i4>0</vt:i4>
      </vt:variant>
      <vt:variant>
        <vt:i4>5</vt:i4>
      </vt:variant>
      <vt:variant>
        <vt:lpwstr>https://www.cms.int/en/document/financial-and-administrative-matters-15</vt:lpwstr>
      </vt:variant>
      <vt:variant>
        <vt:lpwstr/>
      </vt:variant>
      <vt:variant>
        <vt:i4>1966100</vt:i4>
      </vt:variant>
      <vt:variant>
        <vt:i4>12</vt:i4>
      </vt:variant>
      <vt:variant>
        <vt:i4>0</vt:i4>
      </vt:variant>
      <vt:variant>
        <vt:i4>5</vt:i4>
      </vt:variant>
      <vt:variant>
        <vt:lpwstr>https://www.cms.int/news/2025023-call-financial-support-cms-cop15</vt:lpwstr>
      </vt:variant>
      <vt:variant>
        <vt:lpwstr/>
      </vt:variant>
      <vt:variant>
        <vt:i4>4522051</vt:i4>
      </vt:variant>
      <vt:variant>
        <vt:i4>9</vt:i4>
      </vt:variant>
      <vt:variant>
        <vt:i4>0</vt:i4>
      </vt:variant>
      <vt:variant>
        <vt:i4>5</vt:i4>
      </vt:variant>
      <vt:variant>
        <vt:lpwstr>https://www.cms.int/en/news/2024024-call-support-programme-work-intersessional-period-between-cop14-and-cop15</vt:lpwstr>
      </vt:variant>
      <vt:variant>
        <vt:lpwstr/>
      </vt:variant>
      <vt:variant>
        <vt:i4>65611</vt:i4>
      </vt:variant>
      <vt:variant>
        <vt:i4>6</vt:i4>
      </vt:variant>
      <vt:variant>
        <vt:i4>0</vt:i4>
      </vt:variant>
      <vt:variant>
        <vt:i4>5</vt:i4>
      </vt:variant>
      <vt:variant>
        <vt:lpwstr>https://www.cms.int/document/implementation-programme-work-2024-2026</vt:lpwstr>
      </vt:variant>
      <vt:variant>
        <vt:lpwstr/>
      </vt:variant>
      <vt:variant>
        <vt:i4>5505109</vt:i4>
      </vt:variant>
      <vt:variant>
        <vt:i4>3</vt:i4>
      </vt:variant>
      <vt:variant>
        <vt:i4>0</vt:i4>
      </vt:variant>
      <vt:variant>
        <vt:i4>5</vt:i4>
      </vt:variant>
      <vt:variant>
        <vt:lpwstr>https://www.cms.int/en/document/cms-programme-work-2024-2026</vt:lpwstr>
      </vt:variant>
      <vt:variant>
        <vt:lpwstr/>
      </vt:variant>
      <vt:variant>
        <vt:i4>2621548</vt:i4>
      </vt:variant>
      <vt:variant>
        <vt:i4>0</vt:i4>
      </vt:variant>
      <vt:variant>
        <vt:i4>0</vt:i4>
      </vt:variant>
      <vt:variant>
        <vt:i4>5</vt:i4>
      </vt:variant>
      <vt:variant>
        <vt:lpwstr>https://www.cms.int/en/document/financial-and-administrative-matters-15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Catherine Brueckner</cp:lastModifiedBy>
  <cp:revision>53</cp:revision>
  <dcterms:created xsi:type="dcterms:W3CDTF">2026-01-12T12:25:00Z</dcterms:created>
  <dcterms:modified xsi:type="dcterms:W3CDTF">2026-01-19T14:06:00Z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