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A31FE" w14:textId="77777777" w:rsidR="00D15F48" w:rsidRDefault="00D15F48">
      <w:pPr>
        <w:rPr>
          <w:rFonts w:cs="Arial"/>
          <w:lang w:val="fr-FR"/>
        </w:rPr>
      </w:pPr>
    </w:p>
    <w:p w14:paraId="2F3A63E5" w14:textId="77777777" w:rsidR="007A75A1" w:rsidRPr="00B4362E" w:rsidRDefault="007A75A1">
      <w:pPr>
        <w:rPr>
          <w:rFonts w:cs="Arial"/>
          <w:lang w:val="fr-FR"/>
        </w:rPr>
      </w:pPr>
    </w:p>
    <w:p w14:paraId="7D60A1EE" w14:textId="77777777" w:rsidR="00D27EB7" w:rsidRPr="00D46533" w:rsidRDefault="00D27EB7" w:rsidP="00D27EB7">
      <w:pPr>
        <w:tabs>
          <w:tab w:val="left" w:pos="-1057"/>
          <w:tab w:val="left" w:pos="-720"/>
        </w:tabs>
        <w:jc w:val="center"/>
        <w:rPr>
          <w:rFonts w:cs="Arial"/>
          <w:b/>
          <w:sz w:val="28"/>
          <w:szCs w:val="28"/>
          <w:lang w:val="fr-FR"/>
        </w:rPr>
      </w:pPr>
      <w:r>
        <w:rPr>
          <w:rFonts w:cs="Arial"/>
          <w:b/>
          <w:sz w:val="28"/>
          <w:szCs w:val="28"/>
          <w:lang w:val="fr-FR"/>
        </w:rPr>
        <w:t>8</w:t>
      </w:r>
      <w:r w:rsidRPr="00D46533">
        <w:rPr>
          <w:rFonts w:cs="Arial"/>
          <w:b/>
          <w:sz w:val="28"/>
          <w:szCs w:val="28"/>
          <w:vertAlign w:val="superscript"/>
          <w:lang w:val="fr-FR"/>
        </w:rPr>
        <w:t>ème</w:t>
      </w:r>
      <w:r w:rsidRPr="00D46533">
        <w:rPr>
          <w:rFonts w:cs="Arial"/>
          <w:b/>
          <w:sz w:val="28"/>
          <w:szCs w:val="28"/>
          <w:lang w:val="fr-FR"/>
        </w:rPr>
        <w:t xml:space="preserve"> Réunion du Comité de session du </w:t>
      </w:r>
    </w:p>
    <w:p w14:paraId="7F31275C" w14:textId="77777777" w:rsidR="00D27EB7" w:rsidRPr="00D46533" w:rsidRDefault="00D27EB7" w:rsidP="00D27EB7">
      <w:pPr>
        <w:tabs>
          <w:tab w:val="left" w:pos="-1057"/>
          <w:tab w:val="left" w:pos="-720"/>
        </w:tabs>
        <w:spacing w:after="120"/>
        <w:jc w:val="center"/>
        <w:rPr>
          <w:rFonts w:cs="Arial"/>
          <w:b/>
          <w:sz w:val="28"/>
          <w:szCs w:val="28"/>
          <w:lang w:val="fr-FR"/>
        </w:rPr>
      </w:pPr>
      <w:r w:rsidRPr="00D46533">
        <w:rPr>
          <w:rFonts w:cs="Arial"/>
          <w:b/>
          <w:sz w:val="28"/>
          <w:szCs w:val="28"/>
          <w:lang w:val="fr-FR"/>
        </w:rPr>
        <w:t>Conseil scientifique de la CMS (ScC-SC</w:t>
      </w:r>
      <w:r>
        <w:rPr>
          <w:rFonts w:cs="Arial"/>
          <w:b/>
          <w:sz w:val="28"/>
          <w:szCs w:val="28"/>
          <w:lang w:val="fr-FR"/>
        </w:rPr>
        <w:t>8</w:t>
      </w:r>
      <w:r w:rsidRPr="00D46533">
        <w:rPr>
          <w:rFonts w:cs="Arial"/>
          <w:b/>
          <w:sz w:val="28"/>
          <w:szCs w:val="28"/>
          <w:lang w:val="fr-FR"/>
        </w:rPr>
        <w:t>)</w:t>
      </w:r>
    </w:p>
    <w:p w14:paraId="1BBFF706" w14:textId="77777777" w:rsidR="00D27EB7" w:rsidRPr="00D46533" w:rsidRDefault="00D27EB7" w:rsidP="00D27EB7">
      <w:pPr>
        <w:pBdr>
          <w:bottom w:val="single" w:sz="4" w:space="1" w:color="auto"/>
        </w:pBdr>
        <w:kinsoku w:val="0"/>
        <w:overflowPunct w:val="0"/>
        <w:jc w:val="center"/>
        <w:outlineLvl w:val="0"/>
        <w:rPr>
          <w:rFonts w:cs="Arial"/>
          <w:bCs/>
          <w:i/>
          <w:spacing w:val="-4"/>
          <w:lang w:val="fr-FR"/>
        </w:rPr>
      </w:pPr>
      <w:r>
        <w:rPr>
          <w:rFonts w:cs="Arial"/>
          <w:bCs/>
          <w:i/>
          <w:spacing w:val="-4"/>
          <w:lang w:val="fr-FR"/>
        </w:rPr>
        <w:t>Bonn, Allemagne, 15 18 décembre 2025</w:t>
      </w:r>
    </w:p>
    <w:p w14:paraId="2E746BBC" w14:textId="0BB93427" w:rsidR="00D27EB7" w:rsidRPr="00D46533" w:rsidRDefault="00D27EB7" w:rsidP="00D27EB7">
      <w:pPr>
        <w:spacing w:before="120"/>
        <w:jc w:val="right"/>
        <w:rPr>
          <w:rFonts w:cs="Arial"/>
          <w:lang w:val="fr-FR"/>
        </w:rPr>
      </w:pPr>
      <w:r w:rsidRPr="00D46533">
        <w:rPr>
          <w:rFonts w:cs="Arial"/>
          <w:lang w:val="fr-FR"/>
        </w:rPr>
        <w:t>UNEP/CMS/ScC-SC</w:t>
      </w:r>
      <w:r>
        <w:rPr>
          <w:rFonts w:cs="Arial"/>
          <w:lang w:val="fr-FR"/>
        </w:rPr>
        <w:t>8</w:t>
      </w:r>
      <w:r w:rsidRPr="00D46533">
        <w:rPr>
          <w:rFonts w:cs="Arial"/>
          <w:lang w:val="fr-FR"/>
        </w:rPr>
        <w:t>/Doc.</w:t>
      </w:r>
      <w:r w:rsidR="007A75A1">
        <w:rPr>
          <w:rFonts w:cs="Arial"/>
          <w:lang w:val="fr-FR"/>
        </w:rPr>
        <w:t>9.3.3</w:t>
      </w:r>
    </w:p>
    <w:p w14:paraId="652C9910" w14:textId="77777777" w:rsidR="00D15F48" w:rsidRPr="00B4362E" w:rsidRDefault="00D15F48">
      <w:pPr>
        <w:rPr>
          <w:rFonts w:cs="Arial"/>
          <w:spacing w:val="-2"/>
          <w:lang w:val="fr-FR" w:eastAsia="en-GB"/>
        </w:rPr>
      </w:pPr>
    </w:p>
    <w:p w14:paraId="3C77DD7D" w14:textId="77777777" w:rsidR="00D15F48" w:rsidRPr="00B4362E" w:rsidRDefault="00D15F48">
      <w:pPr>
        <w:tabs>
          <w:tab w:val="left" w:pos="6285"/>
        </w:tabs>
        <w:jc w:val="both"/>
        <w:rPr>
          <w:rFonts w:cs="Arial"/>
          <w:lang w:val="fr-FR"/>
        </w:rPr>
      </w:pPr>
    </w:p>
    <w:p w14:paraId="5D78D5DB" w14:textId="77777777" w:rsidR="00D15F48" w:rsidRPr="00B4362E" w:rsidRDefault="00230579">
      <w:pPr>
        <w:pStyle w:val="Heading2"/>
        <w:keepNext w:val="0"/>
        <w:spacing w:after="120"/>
        <w:ind w:left="-86" w:right="-360"/>
        <w:rPr>
          <w:rFonts w:ascii="Arial" w:hAnsi="Arial" w:cs="Arial"/>
          <w:szCs w:val="22"/>
          <w:lang w:val="fr-FR"/>
        </w:rPr>
      </w:pPr>
      <w:r w:rsidRPr="00B4362E">
        <w:rPr>
          <w:rFonts w:ascii="Arial" w:hAnsi="Arial" w:cs="Arial"/>
          <w:szCs w:val="22"/>
          <w:lang w:val="fr-FR"/>
        </w:rPr>
        <w:t>PROJET DE PROGRAMME DE TRAVAIL DU GROUPE DE TRAVAIL SUR LES VOIES DE MIGRATION POUR LA PÉRIODE 2026-2029</w:t>
      </w:r>
    </w:p>
    <w:p w14:paraId="7FB11D67" w14:textId="77777777" w:rsidR="00D15F48" w:rsidRPr="00B4362E" w:rsidRDefault="00230579">
      <w:pPr>
        <w:jc w:val="center"/>
        <w:rPr>
          <w:rFonts w:cs="Arial"/>
          <w:i/>
          <w:lang w:val="fr-FR"/>
        </w:rPr>
      </w:pPr>
      <w:r w:rsidRPr="00B4362E">
        <w:rPr>
          <w:rFonts w:cs="Arial"/>
          <w:i/>
          <w:lang w:val="fr-FR"/>
        </w:rPr>
        <w:t>(Préparé par le Secrétariat au nom du Groupe de travail sur les voies de migration)</w:t>
      </w:r>
    </w:p>
    <w:p w14:paraId="48C1F95F" w14:textId="77777777" w:rsidR="00D15F48" w:rsidRPr="00B4362E" w:rsidRDefault="00D15F48">
      <w:pPr>
        <w:jc w:val="both"/>
        <w:rPr>
          <w:rFonts w:cs="Arial"/>
          <w:lang w:val="fr-FR"/>
        </w:rPr>
      </w:pPr>
    </w:p>
    <w:p w14:paraId="54887C37" w14:textId="77777777" w:rsidR="00D15F48" w:rsidRPr="00B4362E" w:rsidRDefault="00D15F48">
      <w:pPr>
        <w:jc w:val="both"/>
        <w:rPr>
          <w:rFonts w:cs="Arial"/>
          <w:lang w:val="fr-FR"/>
        </w:rPr>
      </w:pPr>
    </w:p>
    <w:p w14:paraId="1312277E" w14:textId="77777777" w:rsidR="00D15F48" w:rsidRPr="00B4362E" w:rsidRDefault="00D15F48">
      <w:pPr>
        <w:jc w:val="both"/>
        <w:rPr>
          <w:rFonts w:cs="Arial"/>
          <w:lang w:val="fr-FR"/>
        </w:rPr>
      </w:pPr>
    </w:p>
    <w:p w14:paraId="3A81DAA0" w14:textId="77777777" w:rsidR="00D15F48" w:rsidRPr="00B4362E" w:rsidRDefault="00000000">
      <w:pPr>
        <w:suppressAutoHyphens/>
        <w:rPr>
          <w:rFonts w:cs="Arial"/>
          <w:lang w:val="fr-FR"/>
        </w:rPr>
      </w:pPr>
      <w:r>
        <w:rPr>
          <w:rFonts w:cs="Arial"/>
          <w:lang w:val="fr-FR"/>
        </w:rPr>
        <w:pict w14:anchorId="321B067F">
          <v:shapetype id="_x0000_t202" coordsize="21600,21600" o:spt="202" path="m,l,21600r21600,l21600,xe">
            <v:stroke joinstyle="miter"/>
            <v:path gradientshapeok="t" o:connecttype="rect"/>
          </v:shapetype>
          <v:shape id="Text Box 4" o:spid="_x0000_s2050" type="#_x0000_t202" style="position:absolute;margin-left:82.8pt;margin-top:202.95pt;width:327pt;height:157.05pt;z-index:-251658752;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" strokeweight=".25pt">
            <v:textbox>
              <w:txbxContent>
                <w:p w14:paraId="44EF44D7" w14:textId="77777777" w:rsidR="002404CB" w:rsidRPr="002404CB" w:rsidRDefault="002404CB" w:rsidP="002404CB">
                  <w:pPr>
                    <w:shd w:val="clear" w:color="auto" w:fill="FFFFFF"/>
                    <w:rPr>
                      <w:rFonts w:eastAsia="Times New Roman" w:cs="Arial"/>
                      <w:color w:val="222222"/>
                      <w:lang w:val="fr-FR" w:eastAsia="fr-FR"/>
                    </w:rPr>
                  </w:pPr>
                  <w:r w:rsidRPr="002404CB">
                    <w:rPr>
                      <w:rFonts w:eastAsia="Times New Roman" w:cs="Arial"/>
                      <w:color w:val="222222"/>
                      <w:lang w:val="fr-FR" w:eastAsia="fr-FR"/>
                    </w:rPr>
                    <w:t>Résumé :</w:t>
                  </w:r>
                </w:p>
                <w:p w14:paraId="2A30C340" w14:textId="77777777" w:rsidR="002404CB" w:rsidRPr="002404CB" w:rsidRDefault="002404CB" w:rsidP="002404CB">
                  <w:pPr>
                    <w:shd w:val="clear" w:color="auto" w:fill="FFFFFF"/>
                    <w:jc w:val="both"/>
                    <w:rPr>
                      <w:rFonts w:eastAsia="Times New Roman" w:cs="Arial"/>
                      <w:color w:val="222222"/>
                      <w:lang w:val="fr-FR" w:eastAsia="fr-FR"/>
                    </w:rPr>
                  </w:pPr>
                  <w:r w:rsidRPr="002404CB">
                    <w:rPr>
                      <w:rFonts w:eastAsia="Times New Roman" w:cs="Arial"/>
                      <w:color w:val="222222"/>
                      <w:lang w:val="fr-FR" w:eastAsia="fr-FR"/>
                    </w:rPr>
                    <w:t> </w:t>
                  </w:r>
                </w:p>
                <w:p w14:paraId="2BBF2B3E" w14:textId="77777777" w:rsidR="002404CB" w:rsidRPr="002404CB" w:rsidRDefault="002404CB" w:rsidP="002404CB">
                  <w:pPr>
                    <w:shd w:val="clear" w:color="auto" w:fill="FFFFFF"/>
                    <w:jc w:val="both"/>
                    <w:rPr>
                      <w:rFonts w:eastAsia="Times New Roman" w:cs="Arial"/>
                      <w:color w:val="222222"/>
                      <w:lang w:val="fr-FR" w:eastAsia="fr-FR"/>
                    </w:rPr>
                  </w:pPr>
                  <w:r w:rsidRPr="002404CB">
                    <w:rPr>
                      <w:rFonts w:eastAsia="Times New Roman" w:cs="Arial"/>
                      <w:color w:val="222222"/>
                      <w:lang w:val="fr-FR" w:eastAsia="fr-FR"/>
                    </w:rPr>
                    <w:t>Ce document présente un projet de nouveau Programme de travail du Groupe de travail sur les voies de migration de la CMS pour la période 2026-2029. Il a été élaboré par le sous-groupe thématique concerné du Groupe de travail sur les voies de migration et entériné par ledit Groupe de travail lors de sa cinquième réunion, tenue en ligne le 27 mai 2025, pour être soumis à la huitième réunion du Comité de session du Conseil scientifique pour approbation.</w:t>
                  </w:r>
                </w:p>
                <w:p w14:paraId="5FEABDD1" w14:textId="77777777" w:rsidR="00D15F48" w:rsidRPr="002404CB" w:rsidRDefault="00D15F48">
                  <w:pPr>
                    <w:rPr>
                      <w:rFonts w:cs="Arial"/>
                      <w:lang w:val="fr-FR"/>
                    </w:rPr>
                  </w:pPr>
                </w:p>
                <w:p w14:paraId="4B80E207" w14:textId="77777777" w:rsidR="00D15F48" w:rsidRPr="002404CB" w:rsidRDefault="00D15F48">
                  <w:pPr>
                    <w:rPr>
                      <w:rFonts w:cs="Arial"/>
                      <w:lang w:val="fr-FR"/>
                    </w:rPr>
                  </w:pPr>
                </w:p>
              </w:txbxContent>
            </v:textbox>
            <w10:wrap type="square" anchorx="margin" anchory="margin"/>
          </v:shape>
        </w:pict>
      </w:r>
    </w:p>
    <w:p w14:paraId="22ACFB67" w14:textId="77777777" w:rsidR="00D15F48" w:rsidRPr="00B4362E" w:rsidRDefault="00D15F48">
      <w:pPr>
        <w:suppressAutoHyphens/>
        <w:rPr>
          <w:rFonts w:eastAsia="Times New Roman" w:cs="Arial"/>
          <w:color w:val="000000"/>
          <w:kern w:val="2"/>
          <w:lang w:val="fr-FR"/>
        </w:rPr>
        <w:sectPr w:rsidR="00D15F48" w:rsidRPr="00B4362E">
          <w:headerReference w:type="even" r:id="rId10"/>
          <w:headerReference w:type="default" r:id="rId11"/>
          <w:footerReference w:type="even" r:id="rId12"/>
          <w:footerReference w:type="default" r:id="rId13"/>
          <w:headerReference w:type="first" r:id="rId14"/>
          <w:pgSz w:w="11906" w:h="16838" w:code="9"/>
          <w:pgMar w:top="1440" w:right="1440" w:bottom="1440" w:left="1440" w:header="720" w:footer="580" w:gutter="0"/>
          <w:cols w:space="720"/>
          <w:titlePg/>
          <w:docGrid w:linePitch="360"/>
        </w:sectPr>
      </w:pPr>
    </w:p>
    <w:p w14:paraId="613558A3" w14:textId="77777777" w:rsidR="00D15F48" w:rsidRPr="00B4362E" w:rsidRDefault="00230579">
      <w:pPr>
        <w:pStyle w:val="Heading2"/>
        <w:keepNext w:val="0"/>
        <w:ind w:left="-86" w:right="-360"/>
        <w:rPr>
          <w:rFonts w:ascii="Arial" w:hAnsi="Arial" w:cs="Arial"/>
          <w:szCs w:val="22"/>
          <w:lang w:val="fr-FR"/>
        </w:rPr>
      </w:pPr>
      <w:r w:rsidRPr="00B4362E">
        <w:rPr>
          <w:rFonts w:ascii="Arial" w:hAnsi="Arial" w:cs="Arial"/>
          <w:szCs w:val="22"/>
          <w:lang w:val="fr-FR"/>
        </w:rPr>
        <w:lastRenderedPageBreak/>
        <w:t>PROJET DE PROGRAMME DE TRAVAIL DU GROUPE DE TRAVAIL SUR LES VOIES DE MIGRATION POUR LA PÉRIODE 2026-2029</w:t>
      </w:r>
    </w:p>
    <w:p w14:paraId="56964439" w14:textId="77777777" w:rsidR="00D15F48" w:rsidRPr="00B4362E" w:rsidRDefault="00D15F48">
      <w:pPr>
        <w:tabs>
          <w:tab w:val="left" w:pos="3435"/>
        </w:tabs>
        <w:rPr>
          <w:rFonts w:eastAsia="Times New Roman" w:cs="Arial"/>
          <w:lang w:val="fr-FR"/>
        </w:rPr>
      </w:pPr>
    </w:p>
    <w:p w14:paraId="5DC424D5" w14:textId="77777777" w:rsidR="00D15F48" w:rsidRPr="00B4362E" w:rsidRDefault="00D15F48">
      <w:pPr>
        <w:tabs>
          <w:tab w:val="left" w:pos="3435"/>
        </w:tabs>
        <w:ind w:left="540" w:hanging="540"/>
        <w:rPr>
          <w:rFonts w:eastAsia="Times New Roman" w:cs="Arial"/>
          <w:lang w:val="fr-FR"/>
        </w:rPr>
      </w:pPr>
    </w:p>
    <w:p w14:paraId="48C5EF52" w14:textId="77777777" w:rsidR="00D15F48" w:rsidRPr="00B4362E" w:rsidRDefault="00230579">
      <w:pPr>
        <w:numPr>
          <w:ilvl w:val="0"/>
          <w:numId w:val="18"/>
        </w:numPr>
        <w:tabs>
          <w:tab w:val="left" w:pos="3435"/>
        </w:tabs>
        <w:ind w:left="540" w:hanging="540"/>
        <w:jc w:val="both"/>
        <w:rPr>
          <w:rFonts w:eastAsia="Times New Roman" w:cs="Arial"/>
          <w:lang w:val="fr-FR"/>
        </w:rPr>
      </w:pPr>
      <w:r w:rsidRPr="00B4362E">
        <w:rPr>
          <w:rFonts w:eastAsia="Times New Roman" w:cs="Arial"/>
          <w:lang w:val="fr-FR"/>
        </w:rPr>
        <w:t>Faisant suite à sa troisième réunion (</w:t>
      </w:r>
      <w:hyperlink r:id="rId15" w:history="1">
        <w:r w:rsidRPr="00B4362E">
          <w:rPr>
            <w:rStyle w:val="Hyperlink"/>
            <w:rFonts w:eastAsia="Times New Roman" w:cs="Arial"/>
            <w:lang w:val="fr-FR"/>
          </w:rPr>
          <w:t>FWG3</w:t>
        </w:r>
      </w:hyperlink>
      <w:r w:rsidRPr="00B4362E">
        <w:rPr>
          <w:rFonts w:eastAsia="Times New Roman" w:cs="Arial"/>
          <w:lang w:val="fr-FR"/>
        </w:rPr>
        <w:t xml:space="preserve">) tenue en ligne le 9 avril 2024, le Groupe de travail sur les voies de migration de la CMS a établi un sous-groupe pour </w:t>
      </w:r>
      <w:r w:rsidRPr="00B4362E">
        <w:rPr>
          <w:lang w:val="fr-FR"/>
        </w:rPr>
        <w:t xml:space="preserve">rédiger un nouveau Programme de travail du Groupe de travail sur les voies de migration. Il s’agit de soutenir la mise en œuvre des décisions 14.137 et 14.140, qui appellent à la révision du Programme de travail sur les voies de migration 2014-2023. Le sous-groupe a présenté un premier projet </w:t>
      </w:r>
      <w:r w:rsidRPr="00B4362E">
        <w:rPr>
          <w:rFonts w:eastAsia="Times New Roman" w:cs="Arial"/>
          <w:lang w:val="fr-FR"/>
        </w:rPr>
        <w:t>lors de la quatrième réunion du Groupe de travail (</w:t>
      </w:r>
      <w:hyperlink r:id="rId16" w:history="1">
        <w:r w:rsidRPr="00B4362E">
          <w:rPr>
            <w:rStyle w:val="Hyperlink"/>
            <w:rFonts w:eastAsia="Times New Roman" w:cs="Arial"/>
            <w:lang w:val="fr-FR"/>
          </w:rPr>
          <w:t>FWG4</w:t>
        </w:r>
      </w:hyperlink>
      <w:r w:rsidRPr="00B4362E">
        <w:rPr>
          <w:rFonts w:eastAsia="Times New Roman" w:cs="Arial"/>
          <w:lang w:val="fr-FR"/>
        </w:rPr>
        <w:t>, tenue le 18 février 2025, en ligne) et a reçu les commentaires des participants.</w:t>
      </w:r>
    </w:p>
    <w:p w14:paraId="6C7B04DD" w14:textId="77777777" w:rsidR="00D15F48" w:rsidRPr="00B4362E" w:rsidRDefault="00D15F48">
      <w:pPr>
        <w:tabs>
          <w:tab w:val="left" w:pos="3435"/>
        </w:tabs>
        <w:ind w:left="540" w:hanging="540"/>
        <w:jc w:val="both"/>
        <w:rPr>
          <w:rFonts w:eastAsia="Times New Roman" w:cs="Arial"/>
          <w:lang w:val="fr-FR"/>
        </w:rPr>
      </w:pPr>
    </w:p>
    <w:p w14:paraId="46767797" w14:textId="77777777" w:rsidR="00D15F48" w:rsidRPr="00B4362E" w:rsidRDefault="00230579">
      <w:pPr>
        <w:numPr>
          <w:ilvl w:val="0"/>
          <w:numId w:val="18"/>
        </w:numPr>
        <w:tabs>
          <w:tab w:val="left" w:pos="3435"/>
        </w:tabs>
        <w:ind w:left="540" w:hanging="540"/>
        <w:jc w:val="both"/>
        <w:rPr>
          <w:rFonts w:eastAsia="Times New Roman" w:cs="Arial"/>
          <w:lang w:val="fr-FR"/>
        </w:rPr>
      </w:pPr>
      <w:r w:rsidRPr="00B4362E">
        <w:rPr>
          <w:rFonts w:eastAsia="Times New Roman" w:cs="Arial"/>
          <w:lang w:val="fr-FR"/>
        </w:rPr>
        <w:t xml:space="preserve">Sur la base des commentaires et des orientations reçus (voir la section 4 du rapport de la réunion </w:t>
      </w:r>
      <w:hyperlink r:id="rId17" w:history="1">
        <w:r w:rsidRPr="00B4362E">
          <w:rPr>
            <w:rStyle w:val="Hyperlink"/>
            <w:rFonts w:eastAsia="Times New Roman" w:cs="Arial"/>
            <w:lang w:val="fr-FR"/>
          </w:rPr>
          <w:t>FWG4</w:t>
        </w:r>
      </w:hyperlink>
      <w:r w:rsidRPr="00B4362E">
        <w:rPr>
          <w:rFonts w:eastAsia="Times New Roman" w:cs="Arial"/>
          <w:lang w:val="fr-FR"/>
        </w:rPr>
        <w:t xml:space="preserve">), le sous-groupe </w:t>
      </w:r>
      <w:r w:rsidRPr="00B4362E">
        <w:rPr>
          <w:rFonts w:eastAsia="Times New Roman" w:cs="Arial"/>
          <w:i/>
          <w:iCs/>
          <w:lang w:val="fr-FR"/>
        </w:rPr>
        <w:t>Programme de travail, lacunes et priorités du Groupe de travail</w:t>
      </w:r>
      <w:r w:rsidRPr="00B4362E">
        <w:rPr>
          <w:rFonts w:eastAsia="Times New Roman" w:cs="Arial"/>
          <w:lang w:val="fr-FR"/>
        </w:rPr>
        <w:t xml:space="preserve"> a mené des consultations avec les membres dudit groupe par correspondance électronique, et a consolidé le retour d’information lors d’une réunion en ligne du sous-groupe qui s’est tenue le 30 avril 2025. Il a ensuite préparé un projet de Programme de travail révisé pour examen lors de la cinquième réunion du Groupe de travail (</w:t>
      </w:r>
      <w:hyperlink r:id="rId18" w:history="1">
        <w:r w:rsidRPr="00B4362E">
          <w:rPr>
            <w:rStyle w:val="Hyperlink"/>
            <w:rFonts w:eastAsia="Times New Roman" w:cs="Arial"/>
            <w:lang w:val="fr-FR"/>
          </w:rPr>
          <w:t>FWG5</w:t>
        </w:r>
      </w:hyperlink>
      <w:r w:rsidRPr="00B4362E">
        <w:rPr>
          <w:rFonts w:eastAsia="Times New Roman" w:cs="Arial"/>
          <w:lang w:val="fr-FR"/>
        </w:rPr>
        <w:t>), qui s’est tenue en ligne le 27 mai 2025.</w:t>
      </w:r>
    </w:p>
    <w:p w14:paraId="49D6A582" w14:textId="77777777" w:rsidR="00D15F48" w:rsidRPr="00B4362E" w:rsidRDefault="00D15F48">
      <w:pPr>
        <w:tabs>
          <w:tab w:val="left" w:pos="3435"/>
        </w:tabs>
        <w:ind w:left="540" w:hanging="540"/>
        <w:jc w:val="both"/>
        <w:rPr>
          <w:rFonts w:eastAsia="Times New Roman" w:cs="Arial"/>
          <w:lang w:val="fr-FR"/>
        </w:rPr>
      </w:pPr>
    </w:p>
    <w:p w14:paraId="4A985B45" w14:textId="75A1054C" w:rsidR="00D15F48" w:rsidRPr="00B4362E" w:rsidRDefault="00230579">
      <w:pPr>
        <w:numPr>
          <w:ilvl w:val="0"/>
          <w:numId w:val="18"/>
        </w:numPr>
        <w:tabs>
          <w:tab w:val="left" w:pos="3435"/>
        </w:tabs>
        <w:ind w:left="540" w:hanging="540"/>
        <w:jc w:val="both"/>
        <w:rPr>
          <w:rFonts w:eastAsia="Times New Roman" w:cs="Arial"/>
          <w:lang w:val="fr-FR"/>
        </w:rPr>
      </w:pPr>
      <w:r w:rsidRPr="00B4362E">
        <w:rPr>
          <w:rFonts w:eastAsia="Times New Roman" w:cs="Arial"/>
          <w:lang w:val="fr-FR"/>
        </w:rPr>
        <w:t xml:space="preserve">En prenant en considération les quelques amendements suggérés, la FWG5 a adopté le projet de Programme de travail pour la période 2026-2029 et a demandé au Secrétariat de le soumettre à la huitième réunion du Comité de session du Conseil scientifique pour adoption. Le Groupe de travail a recommandé d’inclure une disposition dans le projet de révision de la Résolution 12.11 (Rev.COP14) </w:t>
      </w:r>
      <w:r w:rsidRPr="00B4362E">
        <w:rPr>
          <w:rFonts w:eastAsia="Times New Roman" w:cs="Arial"/>
          <w:i/>
          <w:iCs/>
          <w:lang w:val="fr-FR"/>
        </w:rPr>
        <w:t>Voies de migration</w:t>
      </w:r>
      <w:r w:rsidRPr="00B4362E">
        <w:rPr>
          <w:rFonts w:eastAsia="Times New Roman" w:cs="Arial"/>
          <w:lang w:val="fr-FR"/>
        </w:rPr>
        <w:t xml:space="preserve">, proposant à la Conférence des Parties de prendre note du nouveau Programme de travail pour la période 2026-2029 du Groupe de travail. Les amendements proposés à cette résolution se trouvent dans le document sous la cote </w:t>
      </w:r>
      <w:hyperlink r:id="rId19" w:history="1">
        <w:r w:rsidRPr="00B4362E">
          <w:rPr>
            <w:rStyle w:val="Hyperlink"/>
            <w:rFonts w:eastAsia="Times New Roman" w:cs="Arial"/>
            <w:lang w:val="fr-FR"/>
          </w:rPr>
          <w:t>UNEP/CMS/COP15/Doc.26.3.1</w:t>
        </w:r>
      </w:hyperlink>
      <w:r w:rsidRPr="00B4362E">
        <w:rPr>
          <w:rFonts w:eastAsia="Times New Roman" w:cs="Arial"/>
          <w:lang w:val="fr-FR"/>
        </w:rPr>
        <w:t xml:space="preserve">. </w:t>
      </w:r>
    </w:p>
    <w:p w14:paraId="51F2473F" w14:textId="77777777" w:rsidR="00D15F48" w:rsidRPr="00B4362E" w:rsidRDefault="00D15F48">
      <w:pPr>
        <w:tabs>
          <w:tab w:val="left" w:pos="3435"/>
        </w:tabs>
        <w:jc w:val="both"/>
        <w:rPr>
          <w:rFonts w:eastAsia="Times New Roman" w:cs="Arial"/>
          <w:lang w:val="fr-FR"/>
        </w:rPr>
      </w:pPr>
    </w:p>
    <w:p w14:paraId="56A42C47" w14:textId="77777777" w:rsidR="00D15F48" w:rsidRPr="00B4362E" w:rsidRDefault="00230579">
      <w:pPr>
        <w:tabs>
          <w:tab w:val="left" w:pos="3435"/>
        </w:tabs>
        <w:jc w:val="both"/>
        <w:rPr>
          <w:rFonts w:eastAsia="Times New Roman" w:cs="Arial"/>
          <w:u w:val="single"/>
          <w:lang w:val="fr-FR"/>
        </w:rPr>
      </w:pPr>
      <w:r w:rsidRPr="00B4362E">
        <w:rPr>
          <w:rFonts w:eastAsia="Times New Roman" w:cs="Arial"/>
          <w:u w:val="single"/>
          <w:lang w:val="fr-FR"/>
        </w:rPr>
        <w:t>Actions recommandées :</w:t>
      </w:r>
    </w:p>
    <w:p w14:paraId="73438B50" w14:textId="77777777" w:rsidR="00D15F48" w:rsidRPr="00B4362E" w:rsidRDefault="00D15F48">
      <w:pPr>
        <w:tabs>
          <w:tab w:val="left" w:pos="3435"/>
        </w:tabs>
        <w:jc w:val="both"/>
        <w:rPr>
          <w:rFonts w:eastAsia="Times New Roman" w:cs="Arial"/>
          <w:lang w:val="fr-FR"/>
        </w:rPr>
      </w:pPr>
    </w:p>
    <w:p w14:paraId="01446F02" w14:textId="77777777" w:rsidR="00D15F48" w:rsidRPr="00B4362E" w:rsidRDefault="00230579">
      <w:pPr>
        <w:numPr>
          <w:ilvl w:val="0"/>
          <w:numId w:val="18"/>
        </w:numPr>
        <w:tabs>
          <w:tab w:val="left" w:pos="3435"/>
        </w:tabs>
        <w:ind w:left="540" w:hanging="540"/>
        <w:jc w:val="both"/>
        <w:rPr>
          <w:rFonts w:eastAsia="Times New Roman" w:cs="Arial"/>
          <w:lang w:val="fr-FR"/>
        </w:rPr>
      </w:pPr>
      <w:r w:rsidRPr="00B4362E">
        <w:rPr>
          <w:rFonts w:eastAsia="Times New Roman" w:cs="Arial"/>
          <w:lang w:val="fr-FR"/>
        </w:rPr>
        <w:t>Il est recommandé au Comité de session d’examiner et d’adopter le projet de Programme de travail 2026-2029 du Groupe de travail sur les voies de migration figurant en annexe du présent document.</w:t>
      </w:r>
    </w:p>
    <w:p w14:paraId="3963456B" w14:textId="77777777" w:rsidR="00D15F48" w:rsidRPr="00B4362E" w:rsidRDefault="00D15F48">
      <w:pPr>
        <w:tabs>
          <w:tab w:val="left" w:pos="3435"/>
        </w:tabs>
        <w:ind w:left="360"/>
        <w:jc w:val="both"/>
        <w:rPr>
          <w:rFonts w:eastAsia="Times New Roman" w:cs="Arial"/>
          <w:lang w:val="fr-FR"/>
        </w:rPr>
      </w:pPr>
    </w:p>
    <w:p w14:paraId="306ADB5C" w14:textId="77777777" w:rsidR="00D15F48" w:rsidRPr="00B4362E" w:rsidRDefault="00D15F48">
      <w:pPr>
        <w:tabs>
          <w:tab w:val="left" w:pos="3435"/>
        </w:tabs>
        <w:ind w:left="360"/>
        <w:jc w:val="both"/>
        <w:rPr>
          <w:rFonts w:eastAsia="Times New Roman" w:cs="Arial"/>
          <w:lang w:val="fr-FR"/>
        </w:rPr>
      </w:pPr>
    </w:p>
    <w:p w14:paraId="0E6E344A" w14:textId="77777777" w:rsidR="00D15F48" w:rsidRPr="00B4362E" w:rsidRDefault="00D15F48">
      <w:pPr>
        <w:tabs>
          <w:tab w:val="left" w:pos="3435"/>
        </w:tabs>
        <w:ind w:left="360"/>
        <w:jc w:val="right"/>
        <w:rPr>
          <w:rFonts w:eastAsia="Times New Roman" w:cs="Arial"/>
          <w:b/>
          <w:bCs/>
          <w:lang w:val="fr-FR"/>
        </w:rPr>
        <w:sectPr w:rsidR="00D15F48" w:rsidRPr="00B4362E">
          <w:headerReference w:type="default" r:id="rId20"/>
          <w:headerReference w:type="first" r:id="rId21"/>
          <w:footerReference w:type="first" r:id="rId22"/>
          <w:pgSz w:w="11906" w:h="16838" w:code="9"/>
          <w:pgMar w:top="1440" w:right="1440" w:bottom="1440" w:left="1440" w:header="720" w:footer="580" w:gutter="0"/>
          <w:cols w:space="720"/>
          <w:titlePg/>
          <w:docGrid w:linePitch="360"/>
        </w:sectPr>
      </w:pPr>
    </w:p>
    <w:p w14:paraId="34D8A285" w14:textId="77777777" w:rsidR="00D15F48" w:rsidRPr="00B4362E" w:rsidRDefault="00230579">
      <w:pPr>
        <w:tabs>
          <w:tab w:val="left" w:pos="3435"/>
        </w:tabs>
        <w:ind w:left="360"/>
        <w:jc w:val="right"/>
        <w:rPr>
          <w:rFonts w:eastAsia="Times New Roman" w:cs="Arial"/>
          <w:b/>
          <w:bCs/>
          <w:lang w:val="fr-FR"/>
        </w:rPr>
      </w:pPr>
      <w:r w:rsidRPr="00B4362E">
        <w:rPr>
          <w:rFonts w:eastAsia="Times New Roman" w:cs="Arial"/>
          <w:b/>
          <w:bCs/>
          <w:lang w:val="fr-FR"/>
        </w:rPr>
        <w:lastRenderedPageBreak/>
        <w:t>ANNEXE</w:t>
      </w:r>
    </w:p>
    <w:p w14:paraId="75DFA586" w14:textId="77777777" w:rsidR="00D15F48" w:rsidRPr="00B4362E" w:rsidRDefault="00D15F48">
      <w:pPr>
        <w:tabs>
          <w:tab w:val="left" w:pos="3435"/>
        </w:tabs>
        <w:ind w:left="360"/>
        <w:jc w:val="right"/>
        <w:rPr>
          <w:rFonts w:eastAsia="Times New Roman" w:cs="Arial"/>
          <w:b/>
          <w:bCs/>
          <w:lang w:val="fr-FR"/>
        </w:rPr>
      </w:pPr>
    </w:p>
    <w:tbl>
      <w:tblPr>
        <w:tblStyle w:val="GridTable4-Accent41"/>
        <w:tblW w:w="14425" w:type="dxa"/>
        <w:tblLayout w:type="fixed"/>
        <w:tblLook w:val="06A0" w:firstRow="1" w:lastRow="0" w:firstColumn="1" w:lastColumn="0" w:noHBand="1" w:noVBand="1"/>
      </w:tblPr>
      <w:tblGrid>
        <w:gridCol w:w="2518"/>
        <w:gridCol w:w="5245"/>
        <w:gridCol w:w="1701"/>
        <w:gridCol w:w="1134"/>
        <w:gridCol w:w="2410"/>
        <w:gridCol w:w="1417"/>
      </w:tblGrid>
      <w:tr w:rsidR="00D15F48" w:rsidRPr="00F7150E" w14:paraId="54F0871A" w14:textId="77777777" w:rsidTr="0063143D">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518" w:type="dxa"/>
          </w:tcPr>
          <w:p w14:paraId="1FDE0463" w14:textId="77777777" w:rsidR="00D15F48" w:rsidRPr="00F7150E" w:rsidRDefault="00230579" w:rsidP="007B1F8A">
            <w:pPr>
              <w:spacing w:before="40" w:after="40"/>
              <w:rPr>
                <w:rFonts w:eastAsia="Aptos" w:cs="Arial"/>
                <w:sz w:val="20"/>
                <w:szCs w:val="20"/>
                <w:lang w:val="fr-FR"/>
              </w:rPr>
            </w:pPr>
            <w:r w:rsidRPr="00F7150E">
              <w:rPr>
                <w:rFonts w:eastAsia="Aptos" w:cs="Arial"/>
                <w:sz w:val="20"/>
                <w:szCs w:val="20"/>
                <w:lang w:val="fr-FR"/>
              </w:rPr>
              <w:t>Objectif général :</w:t>
            </w:r>
          </w:p>
          <w:p w14:paraId="235B0370" w14:textId="77777777" w:rsidR="00D15F48" w:rsidRPr="00F7150E" w:rsidRDefault="00D15F48" w:rsidP="007B1F8A">
            <w:pPr>
              <w:spacing w:before="40" w:after="40"/>
              <w:rPr>
                <w:rFonts w:eastAsia="Aptos" w:cs="Arial"/>
                <w:sz w:val="20"/>
                <w:szCs w:val="20"/>
                <w:lang w:val="fr-FR"/>
              </w:rPr>
            </w:pPr>
          </w:p>
          <w:p w14:paraId="759F9F60" w14:textId="77777777" w:rsidR="00D15F48" w:rsidRPr="00F7150E" w:rsidRDefault="00230579" w:rsidP="007B1F8A">
            <w:pPr>
              <w:spacing w:before="40" w:after="40"/>
              <w:rPr>
                <w:rFonts w:eastAsia="Aptos" w:cs="Arial"/>
                <w:i/>
                <w:iCs/>
                <w:sz w:val="20"/>
                <w:szCs w:val="20"/>
                <w:lang w:val="fr-FR"/>
              </w:rPr>
            </w:pPr>
            <w:r w:rsidRPr="00F7150E">
              <w:rPr>
                <w:rFonts w:eastAsia="Aptos" w:cs="Arial"/>
                <w:i/>
                <w:iCs/>
                <w:sz w:val="20"/>
                <w:szCs w:val="20"/>
                <w:lang w:val="fr-FR"/>
              </w:rPr>
              <w:t>Période triennale 2026–2029</w:t>
            </w:r>
          </w:p>
        </w:tc>
        <w:tc>
          <w:tcPr>
            <w:tcW w:w="11907" w:type="dxa"/>
            <w:gridSpan w:val="5"/>
          </w:tcPr>
          <w:p w14:paraId="07B20EDA" w14:textId="77777777" w:rsidR="00D15F48" w:rsidRPr="00F7150E" w:rsidRDefault="00230579" w:rsidP="007B1F8A">
            <w:pPr>
              <w:spacing w:before="40" w:after="40"/>
              <w:jc w:val="both"/>
              <w:cnfStyle w:val="100000000000" w:firstRow="1" w:lastRow="0" w:firstColumn="0" w:lastColumn="0" w:oddVBand="0" w:evenVBand="0" w:oddHBand="0" w:evenHBand="0" w:firstRowFirstColumn="0" w:firstRowLastColumn="0" w:lastRowFirstColumn="0" w:lastRowLastColumn="0"/>
              <w:rPr>
                <w:rFonts w:eastAsia="Aptos" w:cs="Arial"/>
                <w:sz w:val="20"/>
                <w:szCs w:val="20"/>
                <w:lang w:val="fr-FR"/>
              </w:rPr>
            </w:pPr>
            <w:r w:rsidRPr="00F7150E">
              <w:rPr>
                <w:sz w:val="20"/>
                <w:szCs w:val="20"/>
                <w:lang w:val="fr-FR"/>
              </w:rPr>
              <w:t xml:space="preserve">Le Groupe de travail sur les voies de migration a pour objectif d’accroître la reconnaissance des voies de migration, de réduire </w:t>
            </w:r>
            <w:r w:rsidRPr="00F7150E">
              <w:rPr>
                <w:rFonts w:eastAsia="Aptos" w:cs="Arial"/>
                <w:sz w:val="20"/>
                <w:szCs w:val="20"/>
                <w:lang w:val="fr-FR"/>
              </w:rPr>
              <w:t xml:space="preserve">la gravité des menaces </w:t>
            </w:r>
            <w:r w:rsidRPr="00F7150E">
              <w:rPr>
                <w:sz w:val="20"/>
                <w:szCs w:val="20"/>
                <w:lang w:val="fr-FR"/>
              </w:rPr>
              <w:t>et d’identifier les activités essentielles qui contribueront à la reconstitution des populations d’oiseaux migrateurs à l’horizon 2029. Le Groupe de travail sur les voies de migration atteindra cet objectif en créant des synergies entre la CMS et d’autres cadres relatifs aux voies de migration afin de mettre en œuvre son Programme de travail. La réalisation de cet objectif contribuera à améliorer l’état de conservation des espèces migratrices en rehaussant le profil des voies de migration, en atténuant les processus menaçants et en démontrant l’importance de la conservation des oiseaux migrateurs et de leurs habitats.</w:t>
            </w:r>
          </w:p>
        </w:tc>
      </w:tr>
      <w:tr w:rsidR="00D15F48" w:rsidRPr="00F7150E" w14:paraId="3F1EF4D7" w14:textId="77777777" w:rsidTr="0063143D">
        <w:trPr>
          <w:cantSplit/>
          <w:trHeight w:val="377"/>
        </w:trPr>
        <w:tc>
          <w:tcPr>
            <w:cnfStyle w:val="001000000000" w:firstRow="0" w:lastRow="0" w:firstColumn="1" w:lastColumn="0" w:oddVBand="0" w:evenVBand="0" w:oddHBand="0" w:evenHBand="0" w:firstRowFirstColumn="0" w:firstRowLastColumn="0" w:lastRowFirstColumn="0" w:lastRowLastColumn="0"/>
            <w:tcW w:w="2518" w:type="dxa"/>
            <w:shd w:val="clear" w:color="auto" w:fill="C1E4F5"/>
          </w:tcPr>
          <w:p w14:paraId="2A7BDC58" w14:textId="77777777" w:rsidR="00D15F48" w:rsidRPr="00F7150E" w:rsidRDefault="00230579" w:rsidP="007B1F8A">
            <w:pPr>
              <w:spacing w:before="40" w:after="40"/>
              <w:rPr>
                <w:rFonts w:eastAsia="Aptos" w:cs="Arial"/>
                <w:sz w:val="20"/>
                <w:szCs w:val="20"/>
                <w:lang w:val="fr-FR"/>
              </w:rPr>
            </w:pPr>
            <w:r w:rsidRPr="00F7150E">
              <w:rPr>
                <w:rFonts w:eastAsia="Aptos" w:cs="Arial"/>
                <w:sz w:val="20"/>
                <w:szCs w:val="20"/>
                <w:lang w:val="fr-FR"/>
              </w:rPr>
              <w:t>Thème :</w:t>
            </w:r>
          </w:p>
        </w:tc>
        <w:tc>
          <w:tcPr>
            <w:tcW w:w="11907" w:type="dxa"/>
            <w:gridSpan w:val="5"/>
            <w:shd w:val="clear" w:color="auto" w:fill="C1E4F5"/>
          </w:tcPr>
          <w:p w14:paraId="6CC0E505" w14:textId="77777777" w:rsidR="00D15F48" w:rsidRPr="00F7150E" w:rsidRDefault="00230579" w:rsidP="007B1F8A">
            <w:pPr>
              <w:spacing w:before="40" w:after="40"/>
              <w:cnfStyle w:val="000000000000" w:firstRow="0" w:lastRow="0" w:firstColumn="0" w:lastColumn="0" w:oddVBand="0" w:evenVBand="0" w:oddHBand="0" w:evenHBand="0" w:firstRowFirstColumn="0" w:firstRowLastColumn="0" w:lastRowFirstColumn="0" w:lastRowLastColumn="0"/>
              <w:rPr>
                <w:rFonts w:eastAsia="Aptos" w:cs="Arial"/>
                <w:i/>
                <w:iCs/>
                <w:sz w:val="20"/>
                <w:szCs w:val="20"/>
                <w:lang w:val="fr-FR"/>
              </w:rPr>
            </w:pPr>
            <w:r w:rsidRPr="00F7150E">
              <w:rPr>
                <w:rFonts w:eastAsia="Aptos" w:cs="Arial"/>
                <w:i/>
                <w:iCs/>
                <w:sz w:val="20"/>
                <w:szCs w:val="20"/>
                <w:lang w:val="fr-FR"/>
              </w:rPr>
              <w:t>Domaine d’intervention spécifique</w:t>
            </w:r>
          </w:p>
        </w:tc>
      </w:tr>
      <w:tr w:rsidR="00D15F48" w:rsidRPr="00F7150E" w14:paraId="31143EEB" w14:textId="77777777" w:rsidTr="0063143D">
        <w:trPr>
          <w:cantSplit/>
          <w:trHeight w:val="2148"/>
        </w:trPr>
        <w:tc>
          <w:tcPr>
            <w:cnfStyle w:val="001000000000" w:firstRow="0" w:lastRow="0" w:firstColumn="1" w:lastColumn="0" w:oddVBand="0" w:evenVBand="0" w:oddHBand="0" w:evenHBand="0" w:firstRowFirstColumn="0" w:firstRowLastColumn="0" w:lastRowFirstColumn="0" w:lastRowLastColumn="0"/>
            <w:tcW w:w="2518" w:type="dxa"/>
            <w:shd w:val="clear" w:color="auto" w:fill="E8E8E8"/>
          </w:tcPr>
          <w:p w14:paraId="21A3B80B" w14:textId="77777777" w:rsidR="00D15F48" w:rsidRPr="00F7150E" w:rsidRDefault="00230579" w:rsidP="007B1F8A">
            <w:pPr>
              <w:spacing w:before="40" w:after="40"/>
              <w:rPr>
                <w:rFonts w:eastAsia="Aptos" w:cs="Arial"/>
                <w:sz w:val="20"/>
                <w:szCs w:val="20"/>
                <w:lang w:val="fr-FR"/>
              </w:rPr>
            </w:pPr>
            <w:r w:rsidRPr="00F7150E">
              <w:rPr>
                <w:rFonts w:eastAsia="Aptos" w:cs="Arial"/>
                <w:sz w:val="20"/>
                <w:szCs w:val="20"/>
                <w:lang w:val="fr-FR"/>
              </w:rPr>
              <w:t>Activité</w:t>
            </w:r>
          </w:p>
        </w:tc>
        <w:tc>
          <w:tcPr>
            <w:tcW w:w="5245" w:type="dxa"/>
            <w:shd w:val="clear" w:color="auto" w:fill="E8E8E8"/>
          </w:tcPr>
          <w:p w14:paraId="20D852F8" w14:textId="77777777" w:rsidR="00D15F48" w:rsidRPr="00F7150E" w:rsidRDefault="00230579" w:rsidP="007B1F8A">
            <w:pPr>
              <w:spacing w:before="40" w:after="40"/>
              <w:cnfStyle w:val="000000000000" w:firstRow="0" w:lastRow="0" w:firstColumn="0" w:lastColumn="0" w:oddVBand="0" w:evenVBand="0" w:oddHBand="0" w:evenHBand="0" w:firstRowFirstColumn="0" w:firstRowLastColumn="0" w:lastRowFirstColumn="0" w:lastRowLastColumn="0"/>
              <w:rPr>
                <w:rFonts w:eastAsia="Aptos" w:cs="Arial"/>
                <w:b/>
                <w:bCs/>
                <w:sz w:val="20"/>
                <w:szCs w:val="20"/>
                <w:lang w:val="fr-FR"/>
              </w:rPr>
            </w:pPr>
            <w:r w:rsidRPr="00F7150E">
              <w:rPr>
                <w:rFonts w:eastAsia="Aptos" w:cs="Arial"/>
                <w:b/>
                <w:bCs/>
                <w:sz w:val="20"/>
                <w:szCs w:val="20"/>
                <w:lang w:val="fr-FR"/>
              </w:rPr>
              <w:t xml:space="preserve">Produits à livrer </w:t>
            </w:r>
          </w:p>
          <w:p w14:paraId="25F3A6D2" w14:textId="77777777" w:rsidR="00D15F48" w:rsidRPr="00F7150E" w:rsidRDefault="00D15F48" w:rsidP="007B1F8A">
            <w:pPr>
              <w:spacing w:before="40" w:after="40"/>
              <w:cnfStyle w:val="000000000000" w:firstRow="0" w:lastRow="0" w:firstColumn="0" w:lastColumn="0" w:oddVBand="0" w:evenVBand="0" w:oddHBand="0" w:evenHBand="0" w:firstRowFirstColumn="0" w:firstRowLastColumn="0" w:lastRowFirstColumn="0" w:lastRowLastColumn="0"/>
              <w:rPr>
                <w:rFonts w:eastAsia="Aptos" w:cs="Arial"/>
                <w:sz w:val="20"/>
                <w:szCs w:val="20"/>
                <w:lang w:val="fr-FR"/>
              </w:rPr>
            </w:pPr>
          </w:p>
          <w:p w14:paraId="0F539F02" w14:textId="77777777" w:rsidR="00D15F48" w:rsidRPr="00F7150E" w:rsidRDefault="00230579" w:rsidP="007B1F8A">
            <w:pPr>
              <w:spacing w:before="40" w:after="40"/>
              <w:cnfStyle w:val="000000000000" w:firstRow="0" w:lastRow="0" w:firstColumn="0" w:lastColumn="0" w:oddVBand="0" w:evenVBand="0" w:oddHBand="0" w:evenHBand="0" w:firstRowFirstColumn="0" w:firstRowLastColumn="0" w:lastRowFirstColumn="0" w:lastRowLastColumn="0"/>
              <w:rPr>
                <w:b/>
                <w:sz w:val="20"/>
                <w:szCs w:val="20"/>
                <w:lang w:val="fr-FR"/>
              </w:rPr>
            </w:pPr>
            <w:r w:rsidRPr="00F7150E">
              <w:rPr>
                <w:sz w:val="20"/>
                <w:szCs w:val="20"/>
                <w:lang w:val="fr-FR"/>
              </w:rPr>
              <w:t>Résultat dans les délais impartis</w:t>
            </w:r>
          </w:p>
        </w:tc>
        <w:tc>
          <w:tcPr>
            <w:tcW w:w="1701" w:type="dxa"/>
            <w:shd w:val="clear" w:color="auto" w:fill="E8E8E8"/>
          </w:tcPr>
          <w:p w14:paraId="1607C59A" w14:textId="77777777" w:rsidR="00D15F48" w:rsidRPr="00F7150E" w:rsidRDefault="00230579" w:rsidP="007B1F8A">
            <w:pPr>
              <w:spacing w:before="40" w:after="40"/>
              <w:cnfStyle w:val="000000000000" w:firstRow="0" w:lastRow="0" w:firstColumn="0" w:lastColumn="0" w:oddVBand="0" w:evenVBand="0" w:oddHBand="0" w:evenHBand="0" w:firstRowFirstColumn="0" w:firstRowLastColumn="0" w:lastRowFirstColumn="0" w:lastRowLastColumn="0"/>
              <w:rPr>
                <w:rFonts w:eastAsia="Aptos" w:cs="Arial"/>
                <w:b/>
                <w:bCs/>
                <w:sz w:val="20"/>
                <w:szCs w:val="20"/>
                <w:lang w:val="fr-FR"/>
              </w:rPr>
            </w:pPr>
            <w:r w:rsidRPr="00F7150E">
              <w:rPr>
                <w:rFonts w:eastAsia="Aptos" w:cs="Arial"/>
                <w:b/>
                <w:bCs/>
                <w:sz w:val="20"/>
                <w:szCs w:val="20"/>
                <w:lang w:val="fr-FR"/>
              </w:rPr>
              <w:t>Mandat</w:t>
            </w:r>
          </w:p>
          <w:p w14:paraId="43346F6D" w14:textId="77777777" w:rsidR="00D15F48" w:rsidRPr="00F7150E" w:rsidRDefault="00D15F48" w:rsidP="007B1F8A">
            <w:pPr>
              <w:spacing w:before="40" w:after="40"/>
              <w:cnfStyle w:val="000000000000" w:firstRow="0" w:lastRow="0" w:firstColumn="0" w:lastColumn="0" w:oddVBand="0" w:evenVBand="0" w:oddHBand="0" w:evenHBand="0" w:firstRowFirstColumn="0" w:firstRowLastColumn="0" w:lastRowFirstColumn="0" w:lastRowLastColumn="0"/>
              <w:rPr>
                <w:rFonts w:eastAsia="Aptos" w:cs="Arial"/>
                <w:sz w:val="20"/>
                <w:szCs w:val="20"/>
                <w:lang w:val="fr-FR"/>
              </w:rPr>
            </w:pPr>
          </w:p>
          <w:p w14:paraId="4DA37134" w14:textId="77777777" w:rsidR="00D15F48" w:rsidRPr="00F7150E" w:rsidRDefault="00230579" w:rsidP="007B1F8A">
            <w:pPr>
              <w:spacing w:before="40" w:after="40"/>
              <w:cnfStyle w:val="000000000000" w:firstRow="0" w:lastRow="0" w:firstColumn="0" w:lastColumn="0" w:oddVBand="0" w:evenVBand="0" w:oddHBand="0" w:evenHBand="0" w:firstRowFirstColumn="0" w:firstRowLastColumn="0" w:lastRowFirstColumn="0" w:lastRowLastColumn="0"/>
              <w:rPr>
                <w:sz w:val="20"/>
                <w:szCs w:val="20"/>
                <w:lang w:val="fr-FR"/>
              </w:rPr>
            </w:pPr>
            <w:proofErr w:type="spellStart"/>
            <w:r w:rsidRPr="00F7150E">
              <w:rPr>
                <w:sz w:val="20"/>
                <w:szCs w:val="20"/>
                <w:lang w:val="fr-FR"/>
              </w:rPr>
              <w:t>Res.XX</w:t>
            </w:r>
            <w:proofErr w:type="spellEnd"/>
          </w:p>
          <w:p w14:paraId="123AB21B" w14:textId="77777777" w:rsidR="00D15F48" w:rsidRPr="00F7150E" w:rsidRDefault="00230579" w:rsidP="007B1F8A">
            <w:pPr>
              <w:spacing w:before="40" w:after="40"/>
              <w:cnfStyle w:val="000000000000" w:firstRow="0" w:lastRow="0" w:firstColumn="0" w:lastColumn="0" w:oddVBand="0" w:evenVBand="0" w:oddHBand="0" w:evenHBand="0" w:firstRowFirstColumn="0" w:firstRowLastColumn="0" w:lastRowFirstColumn="0" w:lastRowLastColumn="0"/>
              <w:rPr>
                <w:rFonts w:eastAsia="Aptos" w:cs="Arial"/>
                <w:sz w:val="20"/>
                <w:szCs w:val="20"/>
                <w:lang w:val="fr-FR"/>
              </w:rPr>
            </w:pPr>
            <w:r w:rsidRPr="00F7150E">
              <w:rPr>
                <w:rFonts w:eastAsia="Aptos" w:cs="Arial"/>
                <w:sz w:val="20"/>
                <w:szCs w:val="20"/>
                <w:lang w:val="fr-FR"/>
              </w:rPr>
              <w:t>Décision XX</w:t>
            </w:r>
          </w:p>
          <w:p w14:paraId="70CF83F5" w14:textId="77777777" w:rsidR="00D15F48" w:rsidRPr="00F7150E" w:rsidRDefault="00230579" w:rsidP="007B1F8A">
            <w:pPr>
              <w:spacing w:before="40" w:after="40"/>
              <w:cnfStyle w:val="000000000000" w:firstRow="0" w:lastRow="0" w:firstColumn="0" w:lastColumn="0" w:oddVBand="0" w:evenVBand="0" w:oddHBand="0" w:evenHBand="0" w:firstRowFirstColumn="0" w:firstRowLastColumn="0" w:lastRowFirstColumn="0" w:lastRowLastColumn="0"/>
              <w:rPr>
                <w:rFonts w:eastAsia="Aptos" w:cs="Arial"/>
                <w:sz w:val="20"/>
                <w:szCs w:val="20"/>
                <w:lang w:val="fr-FR"/>
              </w:rPr>
            </w:pPr>
            <w:proofErr w:type="spellStart"/>
            <w:r w:rsidRPr="00F7150E">
              <w:rPr>
                <w:rFonts w:eastAsia="Aptos" w:cs="Arial"/>
                <w:sz w:val="20"/>
                <w:szCs w:val="20"/>
                <w:lang w:val="fr-FR"/>
              </w:rPr>
              <w:t>MdE</w:t>
            </w:r>
            <w:proofErr w:type="spellEnd"/>
          </w:p>
          <w:p w14:paraId="64063926" w14:textId="77777777" w:rsidR="00D15F48" w:rsidRPr="00F7150E" w:rsidRDefault="00230579" w:rsidP="007B1F8A">
            <w:pPr>
              <w:spacing w:before="40" w:after="40"/>
              <w:cnfStyle w:val="000000000000" w:firstRow="0" w:lastRow="0" w:firstColumn="0" w:lastColumn="0" w:oddVBand="0" w:evenVBand="0" w:oddHBand="0" w:evenHBand="0" w:firstRowFirstColumn="0" w:firstRowLastColumn="0" w:lastRowFirstColumn="0" w:lastRowLastColumn="0"/>
              <w:rPr>
                <w:rFonts w:eastAsia="Aptos" w:cs="Arial"/>
                <w:sz w:val="20"/>
                <w:szCs w:val="20"/>
                <w:lang w:val="fr-FR"/>
              </w:rPr>
            </w:pPr>
            <w:r w:rsidRPr="00F7150E">
              <w:rPr>
                <w:rFonts w:eastAsia="Aptos" w:cs="Arial"/>
                <w:sz w:val="20"/>
                <w:szCs w:val="20"/>
                <w:lang w:val="fr-FR"/>
              </w:rPr>
              <w:t>Plan stratégique</w:t>
            </w:r>
          </w:p>
          <w:p w14:paraId="5DCB5D6A" w14:textId="77777777" w:rsidR="00D15F48" w:rsidRPr="00F7150E" w:rsidRDefault="00230579" w:rsidP="007B1F8A">
            <w:pPr>
              <w:spacing w:before="40" w:after="40"/>
              <w:cnfStyle w:val="000000000000" w:firstRow="0" w:lastRow="0" w:firstColumn="0" w:lastColumn="0" w:oddVBand="0" w:evenVBand="0" w:oddHBand="0" w:evenHBand="0" w:firstRowFirstColumn="0" w:firstRowLastColumn="0" w:lastRowFirstColumn="0" w:lastRowLastColumn="0"/>
              <w:rPr>
                <w:rFonts w:eastAsia="Aptos" w:cs="Arial"/>
                <w:b/>
                <w:bCs/>
                <w:sz w:val="20"/>
                <w:szCs w:val="20"/>
                <w:lang w:val="fr-FR"/>
              </w:rPr>
            </w:pPr>
            <w:r w:rsidRPr="00F7150E">
              <w:rPr>
                <w:rFonts w:eastAsia="Aptos" w:cs="Arial"/>
                <w:sz w:val="20"/>
                <w:szCs w:val="20"/>
                <w:lang w:val="fr-FR"/>
              </w:rPr>
              <w:t>PAPE/AC</w:t>
            </w:r>
          </w:p>
        </w:tc>
        <w:tc>
          <w:tcPr>
            <w:tcW w:w="1134" w:type="dxa"/>
            <w:shd w:val="clear" w:color="auto" w:fill="E8E8E8"/>
          </w:tcPr>
          <w:p w14:paraId="5DCB99F3" w14:textId="77777777" w:rsidR="00D15F48" w:rsidRPr="00F7150E" w:rsidRDefault="00230579" w:rsidP="007B1F8A">
            <w:pPr>
              <w:spacing w:before="40" w:after="40"/>
              <w:cnfStyle w:val="000000000000" w:firstRow="0" w:lastRow="0" w:firstColumn="0" w:lastColumn="0" w:oddVBand="0" w:evenVBand="0" w:oddHBand="0" w:evenHBand="0" w:firstRowFirstColumn="0" w:firstRowLastColumn="0" w:lastRowFirstColumn="0" w:lastRowLastColumn="0"/>
              <w:rPr>
                <w:b/>
                <w:sz w:val="20"/>
                <w:szCs w:val="20"/>
                <w:lang w:val="fr-FR"/>
              </w:rPr>
            </w:pPr>
            <w:r w:rsidRPr="00F7150E">
              <w:rPr>
                <w:b/>
                <w:sz w:val="20"/>
                <w:szCs w:val="20"/>
                <w:lang w:val="fr-FR"/>
              </w:rPr>
              <w:t>Délai</w:t>
            </w:r>
          </w:p>
          <w:p w14:paraId="66DDF570" w14:textId="77777777" w:rsidR="00D15F48" w:rsidRPr="00F7150E" w:rsidRDefault="00D15F48" w:rsidP="007B1F8A">
            <w:pPr>
              <w:spacing w:before="40" w:after="40"/>
              <w:cnfStyle w:val="000000000000" w:firstRow="0" w:lastRow="0" w:firstColumn="0" w:lastColumn="0" w:oddVBand="0" w:evenVBand="0" w:oddHBand="0" w:evenHBand="0" w:firstRowFirstColumn="0" w:firstRowLastColumn="0" w:lastRowFirstColumn="0" w:lastRowLastColumn="0"/>
              <w:rPr>
                <w:rFonts w:eastAsia="Aptos" w:cs="Arial"/>
                <w:sz w:val="20"/>
                <w:szCs w:val="20"/>
                <w:lang w:val="fr-FR"/>
              </w:rPr>
            </w:pPr>
          </w:p>
          <w:p w14:paraId="6C1DB4AF" w14:textId="77777777" w:rsidR="00D15F48" w:rsidRPr="00F7150E" w:rsidRDefault="00230579" w:rsidP="007B1F8A">
            <w:pPr>
              <w:spacing w:before="40" w:after="40"/>
              <w:cnfStyle w:val="000000000000" w:firstRow="0" w:lastRow="0" w:firstColumn="0" w:lastColumn="0" w:oddVBand="0" w:evenVBand="0" w:oddHBand="0" w:evenHBand="0" w:firstRowFirstColumn="0" w:firstRowLastColumn="0" w:lastRowFirstColumn="0" w:lastRowLastColumn="0"/>
              <w:rPr>
                <w:rFonts w:eastAsia="Aptos" w:cs="Arial"/>
                <w:b/>
                <w:bCs/>
                <w:sz w:val="20"/>
                <w:szCs w:val="20"/>
                <w:lang w:val="fr-FR"/>
              </w:rPr>
            </w:pPr>
            <w:r w:rsidRPr="00F7150E">
              <w:rPr>
                <w:rFonts w:eastAsia="Aptos" w:cs="Arial"/>
                <w:sz w:val="20"/>
                <w:szCs w:val="20"/>
                <w:lang w:val="fr-FR"/>
              </w:rPr>
              <w:t>Période triennale 2026–2029</w:t>
            </w:r>
          </w:p>
        </w:tc>
        <w:tc>
          <w:tcPr>
            <w:tcW w:w="2410" w:type="dxa"/>
            <w:shd w:val="clear" w:color="auto" w:fill="E8E8E8"/>
          </w:tcPr>
          <w:p w14:paraId="4AA98619" w14:textId="77777777" w:rsidR="00D15F48" w:rsidRPr="00F7150E" w:rsidRDefault="00230579" w:rsidP="007B1F8A">
            <w:pPr>
              <w:spacing w:before="40" w:after="40"/>
              <w:cnfStyle w:val="000000000000" w:firstRow="0" w:lastRow="0" w:firstColumn="0" w:lastColumn="0" w:oddVBand="0" w:evenVBand="0" w:oddHBand="0" w:evenHBand="0" w:firstRowFirstColumn="0" w:firstRowLastColumn="0" w:lastRowFirstColumn="0" w:lastRowLastColumn="0"/>
              <w:rPr>
                <w:rFonts w:eastAsia="Aptos" w:cs="Arial"/>
                <w:b/>
                <w:bCs/>
                <w:sz w:val="20"/>
                <w:szCs w:val="20"/>
                <w:lang w:val="fr-FR"/>
              </w:rPr>
            </w:pPr>
            <w:r w:rsidRPr="00F7150E">
              <w:rPr>
                <w:rFonts w:eastAsia="Aptos" w:cs="Arial"/>
                <w:b/>
                <w:bCs/>
                <w:sz w:val="20"/>
                <w:szCs w:val="20"/>
                <w:lang w:val="fr-FR"/>
              </w:rPr>
              <w:t>Entité responsable et partenaires de soutien</w:t>
            </w:r>
          </w:p>
          <w:p w14:paraId="648A55E8" w14:textId="77777777" w:rsidR="00D15F48" w:rsidRPr="00F7150E" w:rsidRDefault="00D15F48" w:rsidP="007B1F8A">
            <w:pPr>
              <w:spacing w:before="40" w:after="40"/>
              <w:cnfStyle w:val="000000000000" w:firstRow="0" w:lastRow="0" w:firstColumn="0" w:lastColumn="0" w:oddVBand="0" w:evenVBand="0" w:oddHBand="0" w:evenHBand="0" w:firstRowFirstColumn="0" w:firstRowLastColumn="0" w:lastRowFirstColumn="0" w:lastRowLastColumn="0"/>
              <w:rPr>
                <w:rFonts w:eastAsia="Aptos" w:cs="Arial"/>
                <w:sz w:val="20"/>
                <w:szCs w:val="20"/>
                <w:lang w:val="fr-FR"/>
              </w:rPr>
            </w:pPr>
          </w:p>
          <w:p w14:paraId="2A0E838B" w14:textId="77777777" w:rsidR="00D15F48" w:rsidRPr="00F7150E" w:rsidRDefault="00230579" w:rsidP="007B1F8A">
            <w:pPr>
              <w:spacing w:before="40" w:after="40"/>
              <w:cnfStyle w:val="000000000000" w:firstRow="0" w:lastRow="0" w:firstColumn="0" w:lastColumn="0" w:oddVBand="0" w:evenVBand="0" w:oddHBand="0" w:evenHBand="0" w:firstRowFirstColumn="0" w:firstRowLastColumn="0" w:lastRowFirstColumn="0" w:lastRowLastColumn="0"/>
              <w:rPr>
                <w:rFonts w:eastAsia="Aptos" w:cs="Arial"/>
                <w:sz w:val="20"/>
                <w:szCs w:val="20"/>
                <w:lang w:val="fr-FR"/>
              </w:rPr>
            </w:pPr>
            <w:r w:rsidRPr="00F7150E">
              <w:rPr>
                <w:rFonts w:eastAsia="Aptos" w:cs="Arial"/>
                <w:sz w:val="20"/>
                <w:szCs w:val="20"/>
                <w:lang w:val="fr-FR"/>
              </w:rPr>
              <w:t>Secrétariat</w:t>
            </w:r>
          </w:p>
          <w:p w14:paraId="09D9324F" w14:textId="77777777" w:rsidR="00D15F48" w:rsidRPr="00F7150E" w:rsidRDefault="00230579" w:rsidP="007B1F8A">
            <w:pPr>
              <w:spacing w:before="40" w:after="40"/>
              <w:cnfStyle w:val="000000000000" w:firstRow="0" w:lastRow="0" w:firstColumn="0" w:lastColumn="0" w:oddVBand="0" w:evenVBand="0" w:oddHBand="0" w:evenHBand="0" w:firstRowFirstColumn="0" w:firstRowLastColumn="0" w:lastRowFirstColumn="0" w:lastRowLastColumn="0"/>
              <w:rPr>
                <w:rFonts w:eastAsia="Aptos" w:cs="Arial"/>
                <w:sz w:val="20"/>
                <w:szCs w:val="20"/>
                <w:lang w:val="fr-FR"/>
              </w:rPr>
            </w:pPr>
            <w:r w:rsidRPr="00F7150E">
              <w:rPr>
                <w:rFonts w:eastAsia="Aptos" w:cs="Arial"/>
                <w:sz w:val="20"/>
                <w:szCs w:val="20"/>
                <w:lang w:val="fr-FR"/>
              </w:rPr>
              <w:t>Partie</w:t>
            </w:r>
          </w:p>
          <w:p w14:paraId="6C6BA6C3" w14:textId="77777777" w:rsidR="00D15F48" w:rsidRPr="00F7150E" w:rsidRDefault="00230579" w:rsidP="007B1F8A">
            <w:pPr>
              <w:spacing w:before="40" w:after="40"/>
              <w:cnfStyle w:val="000000000000" w:firstRow="0" w:lastRow="0" w:firstColumn="0" w:lastColumn="0" w:oddVBand="0" w:evenVBand="0" w:oddHBand="0" w:evenHBand="0" w:firstRowFirstColumn="0" w:firstRowLastColumn="0" w:lastRowFirstColumn="0" w:lastRowLastColumn="0"/>
              <w:rPr>
                <w:rFonts w:eastAsia="Aptos" w:cs="Arial"/>
                <w:sz w:val="20"/>
                <w:szCs w:val="20"/>
                <w:lang w:val="fr-FR"/>
              </w:rPr>
            </w:pPr>
            <w:r w:rsidRPr="00F7150E">
              <w:rPr>
                <w:rFonts w:eastAsia="Aptos" w:cs="Arial"/>
                <w:sz w:val="20"/>
                <w:szCs w:val="20"/>
                <w:lang w:val="fr-FR"/>
              </w:rPr>
              <w:t>Non-Partie</w:t>
            </w:r>
          </w:p>
          <w:p w14:paraId="78E96B2A" w14:textId="77777777" w:rsidR="00D15F48" w:rsidRPr="00F7150E" w:rsidRDefault="00230579" w:rsidP="007B1F8A">
            <w:pPr>
              <w:spacing w:before="40" w:after="40"/>
              <w:cnfStyle w:val="000000000000" w:firstRow="0" w:lastRow="0" w:firstColumn="0" w:lastColumn="0" w:oddVBand="0" w:evenVBand="0" w:oddHBand="0" w:evenHBand="0" w:firstRowFirstColumn="0" w:firstRowLastColumn="0" w:lastRowFirstColumn="0" w:lastRowLastColumn="0"/>
              <w:rPr>
                <w:rFonts w:eastAsia="Aptos" w:cs="Arial"/>
                <w:sz w:val="20"/>
                <w:szCs w:val="20"/>
                <w:lang w:val="fr-FR"/>
              </w:rPr>
            </w:pPr>
            <w:r w:rsidRPr="00F7150E">
              <w:rPr>
                <w:rFonts w:eastAsia="Aptos" w:cs="Arial"/>
                <w:sz w:val="20"/>
                <w:szCs w:val="20"/>
                <w:lang w:val="fr-FR"/>
              </w:rPr>
              <w:t>Groupe de travail sur les voies de migration</w:t>
            </w:r>
          </w:p>
          <w:p w14:paraId="2DC132DB" w14:textId="77777777" w:rsidR="00D15F48" w:rsidRPr="00F7150E" w:rsidRDefault="00230579" w:rsidP="007B1F8A">
            <w:pPr>
              <w:spacing w:before="40" w:after="40"/>
              <w:cnfStyle w:val="000000000000" w:firstRow="0" w:lastRow="0" w:firstColumn="0" w:lastColumn="0" w:oddVBand="0" w:evenVBand="0" w:oddHBand="0" w:evenHBand="0" w:firstRowFirstColumn="0" w:firstRowLastColumn="0" w:lastRowFirstColumn="0" w:lastRowLastColumn="0"/>
              <w:rPr>
                <w:rFonts w:eastAsia="Aptos" w:cs="Arial"/>
                <w:sz w:val="20"/>
                <w:szCs w:val="20"/>
                <w:lang w:val="fr-FR"/>
              </w:rPr>
            </w:pPr>
            <w:r w:rsidRPr="00F7150E">
              <w:rPr>
                <w:rFonts w:eastAsia="Aptos" w:cs="Arial"/>
                <w:sz w:val="20"/>
                <w:szCs w:val="20"/>
                <w:lang w:val="fr-FR"/>
              </w:rPr>
              <w:t>Société civile</w:t>
            </w:r>
          </w:p>
          <w:p w14:paraId="67C8B421" w14:textId="77777777" w:rsidR="00D15F48" w:rsidRPr="00F7150E" w:rsidRDefault="00230579" w:rsidP="007B1F8A">
            <w:pPr>
              <w:spacing w:before="40" w:after="40"/>
              <w:cnfStyle w:val="000000000000" w:firstRow="0" w:lastRow="0" w:firstColumn="0" w:lastColumn="0" w:oddVBand="0" w:evenVBand="0" w:oddHBand="0" w:evenHBand="0" w:firstRowFirstColumn="0" w:firstRowLastColumn="0" w:lastRowFirstColumn="0" w:lastRowLastColumn="0"/>
              <w:rPr>
                <w:rFonts w:eastAsia="Aptos" w:cs="Arial"/>
                <w:b/>
                <w:bCs/>
                <w:sz w:val="20"/>
                <w:szCs w:val="20"/>
                <w:lang w:val="fr-FR"/>
              </w:rPr>
            </w:pPr>
            <w:r w:rsidRPr="00F7150E">
              <w:rPr>
                <w:rFonts w:eastAsia="Aptos" w:cs="Arial"/>
                <w:sz w:val="20"/>
                <w:szCs w:val="20"/>
                <w:lang w:val="fr-FR"/>
              </w:rPr>
              <w:t>Experts</w:t>
            </w:r>
          </w:p>
          <w:p w14:paraId="19B33526" w14:textId="6795E93C" w:rsidR="00633615" w:rsidRPr="00F7150E" w:rsidRDefault="00230579" w:rsidP="007B1F8A">
            <w:pPr>
              <w:spacing w:before="40" w:after="40"/>
              <w:cnfStyle w:val="000000000000" w:firstRow="0" w:lastRow="0" w:firstColumn="0" w:lastColumn="0" w:oddVBand="0" w:evenVBand="0" w:oddHBand="0" w:evenHBand="0" w:firstRowFirstColumn="0" w:firstRowLastColumn="0" w:lastRowFirstColumn="0" w:lastRowLastColumn="0"/>
              <w:rPr>
                <w:rFonts w:eastAsia="Aptos" w:cs="Arial"/>
                <w:sz w:val="20"/>
                <w:szCs w:val="20"/>
                <w:lang w:val="fr-FR"/>
              </w:rPr>
            </w:pPr>
            <w:r w:rsidRPr="00F7150E">
              <w:rPr>
                <w:rFonts w:eastAsia="Aptos" w:cs="Arial"/>
                <w:sz w:val="20"/>
                <w:szCs w:val="20"/>
                <w:lang w:val="fr-FR"/>
              </w:rPr>
              <w:t xml:space="preserve">Groupes d’entreprises/industries </w:t>
            </w:r>
          </w:p>
        </w:tc>
        <w:tc>
          <w:tcPr>
            <w:tcW w:w="1417" w:type="dxa"/>
            <w:shd w:val="clear" w:color="auto" w:fill="E8E8E8"/>
          </w:tcPr>
          <w:p w14:paraId="0B0AC082" w14:textId="77777777" w:rsidR="00D15F48" w:rsidRPr="00F7150E" w:rsidRDefault="00230579" w:rsidP="007B1F8A">
            <w:pPr>
              <w:spacing w:before="40" w:after="40"/>
              <w:cnfStyle w:val="000000000000" w:firstRow="0" w:lastRow="0" w:firstColumn="0" w:lastColumn="0" w:oddVBand="0" w:evenVBand="0" w:oddHBand="0" w:evenHBand="0" w:firstRowFirstColumn="0" w:firstRowLastColumn="0" w:lastRowFirstColumn="0" w:lastRowLastColumn="0"/>
              <w:rPr>
                <w:rFonts w:eastAsia="Aptos" w:cs="Arial"/>
                <w:b/>
                <w:bCs/>
                <w:sz w:val="20"/>
                <w:szCs w:val="20"/>
                <w:lang w:val="fr-FR"/>
              </w:rPr>
            </w:pPr>
            <w:r w:rsidRPr="00F7150E">
              <w:rPr>
                <w:rFonts w:eastAsia="Aptos" w:cs="Arial"/>
                <w:b/>
                <w:bCs/>
                <w:sz w:val="20"/>
                <w:szCs w:val="20"/>
                <w:lang w:val="fr-FR"/>
              </w:rPr>
              <w:t>Besoins de financement</w:t>
            </w:r>
          </w:p>
          <w:p w14:paraId="3687FC91" w14:textId="77777777" w:rsidR="00D15F48" w:rsidRPr="00F7150E" w:rsidRDefault="00D15F48" w:rsidP="007B1F8A">
            <w:pPr>
              <w:spacing w:before="40" w:after="40"/>
              <w:cnfStyle w:val="000000000000" w:firstRow="0" w:lastRow="0" w:firstColumn="0" w:lastColumn="0" w:oddVBand="0" w:evenVBand="0" w:oddHBand="0" w:evenHBand="0" w:firstRowFirstColumn="0" w:firstRowLastColumn="0" w:lastRowFirstColumn="0" w:lastRowLastColumn="0"/>
              <w:rPr>
                <w:rFonts w:eastAsia="Aptos" w:cs="Arial"/>
                <w:sz w:val="20"/>
                <w:szCs w:val="20"/>
                <w:lang w:val="fr-FR"/>
              </w:rPr>
            </w:pPr>
          </w:p>
          <w:p w14:paraId="19F10924" w14:textId="77777777" w:rsidR="00D15F48" w:rsidRPr="00F7150E" w:rsidRDefault="00230579" w:rsidP="007B1F8A">
            <w:pPr>
              <w:spacing w:before="40" w:after="40"/>
              <w:cnfStyle w:val="000000000000" w:firstRow="0" w:lastRow="0" w:firstColumn="0" w:lastColumn="0" w:oddVBand="0" w:evenVBand="0" w:oddHBand="0" w:evenHBand="0" w:firstRowFirstColumn="0" w:firstRowLastColumn="0" w:lastRowFirstColumn="0" w:lastRowLastColumn="0"/>
              <w:rPr>
                <w:rFonts w:eastAsia="Aptos" w:cs="Arial"/>
                <w:sz w:val="20"/>
                <w:szCs w:val="20"/>
                <w:lang w:val="fr-FR"/>
              </w:rPr>
            </w:pPr>
            <w:r w:rsidRPr="00F7150E">
              <w:rPr>
                <w:rFonts w:eastAsia="Aptos" w:cs="Arial"/>
                <w:sz w:val="20"/>
                <w:szCs w:val="20"/>
                <w:lang w:val="fr-FR"/>
              </w:rPr>
              <w:t>Ressources de base</w:t>
            </w:r>
          </w:p>
          <w:p w14:paraId="4EF861F9" w14:textId="77777777" w:rsidR="00D15F48" w:rsidRPr="00F7150E" w:rsidRDefault="00230579" w:rsidP="007B1F8A">
            <w:pPr>
              <w:spacing w:before="40" w:after="40"/>
              <w:cnfStyle w:val="000000000000" w:firstRow="0" w:lastRow="0" w:firstColumn="0" w:lastColumn="0" w:oddVBand="0" w:evenVBand="0" w:oddHBand="0" w:evenHBand="0" w:firstRowFirstColumn="0" w:firstRowLastColumn="0" w:lastRowFirstColumn="0" w:lastRowLastColumn="0"/>
              <w:rPr>
                <w:rFonts w:eastAsia="Aptos" w:cs="Arial"/>
                <w:sz w:val="20"/>
                <w:szCs w:val="20"/>
                <w:lang w:val="fr-FR"/>
              </w:rPr>
            </w:pPr>
            <w:r w:rsidRPr="00F7150E">
              <w:rPr>
                <w:rFonts w:eastAsia="Aptos" w:cs="Arial"/>
                <w:sz w:val="20"/>
                <w:szCs w:val="20"/>
                <w:lang w:val="fr-FR"/>
              </w:rPr>
              <w:t>En nature</w:t>
            </w:r>
          </w:p>
          <w:p w14:paraId="29D37AA1" w14:textId="77777777" w:rsidR="00D15F48" w:rsidRPr="00F7150E" w:rsidRDefault="00230579" w:rsidP="007B1F8A">
            <w:pPr>
              <w:spacing w:before="40" w:after="40"/>
              <w:cnfStyle w:val="000000000000" w:firstRow="0" w:lastRow="0" w:firstColumn="0" w:lastColumn="0" w:oddVBand="0" w:evenVBand="0" w:oddHBand="0" w:evenHBand="0" w:firstRowFirstColumn="0" w:firstRowLastColumn="0" w:lastRowFirstColumn="0" w:lastRowLastColumn="0"/>
              <w:rPr>
                <w:rFonts w:eastAsia="Aptos" w:cs="Arial"/>
                <w:b/>
                <w:bCs/>
                <w:sz w:val="20"/>
                <w:szCs w:val="20"/>
                <w:lang w:val="fr-FR"/>
              </w:rPr>
            </w:pPr>
            <w:r w:rsidRPr="00F7150E">
              <w:rPr>
                <w:rFonts w:eastAsia="Aptos" w:cs="Arial"/>
                <w:sz w:val="20"/>
                <w:szCs w:val="20"/>
                <w:lang w:val="fr-FR"/>
              </w:rPr>
              <w:t>Sous réserve de ressources externes</w:t>
            </w:r>
          </w:p>
        </w:tc>
      </w:tr>
    </w:tbl>
    <w:p w14:paraId="0B9A09A7" w14:textId="77777777" w:rsidR="00633615" w:rsidRDefault="00633615">
      <w:r>
        <w:rPr>
          <w:b/>
          <w:bCs/>
        </w:rPr>
        <w:br w:type="page"/>
      </w:r>
    </w:p>
    <w:tbl>
      <w:tblPr>
        <w:tblStyle w:val="GridTable4-Accent41"/>
        <w:tblW w:w="14425" w:type="dxa"/>
        <w:tblLayout w:type="fixed"/>
        <w:tblLook w:val="06A0" w:firstRow="1" w:lastRow="0" w:firstColumn="1" w:lastColumn="0" w:noHBand="1" w:noVBand="1"/>
      </w:tblPr>
      <w:tblGrid>
        <w:gridCol w:w="2518"/>
        <w:gridCol w:w="5245"/>
        <w:gridCol w:w="1701"/>
        <w:gridCol w:w="1134"/>
        <w:gridCol w:w="2410"/>
        <w:gridCol w:w="1417"/>
      </w:tblGrid>
      <w:tr w:rsidR="00D15F48" w:rsidRPr="00F7150E" w14:paraId="32144519" w14:textId="77777777" w:rsidTr="0063143D">
        <w:trPr>
          <w:cnfStyle w:val="100000000000" w:firstRow="1" w:lastRow="0" w:firstColumn="0" w:lastColumn="0" w:oddVBand="0" w:evenVBand="0" w:oddHBand="0" w:evenHBand="0" w:firstRowFirstColumn="0" w:firstRowLastColumn="0" w:lastRowFirstColumn="0" w:lastRowLastColumn="0"/>
          <w:cantSplit/>
          <w:trHeight w:val="413"/>
        </w:trPr>
        <w:tc>
          <w:tcPr>
            <w:cnfStyle w:val="001000000000" w:firstRow="0" w:lastRow="0" w:firstColumn="1" w:lastColumn="0" w:oddVBand="0" w:evenVBand="0" w:oddHBand="0" w:evenHBand="0" w:firstRowFirstColumn="0" w:firstRowLastColumn="0" w:lastRowFirstColumn="0" w:lastRowLastColumn="0"/>
            <w:tcW w:w="2518" w:type="dxa"/>
            <w:shd w:val="clear" w:color="auto" w:fill="C1E4F5"/>
          </w:tcPr>
          <w:p w14:paraId="70BE7B56" w14:textId="7D218FE4" w:rsidR="00D15F48" w:rsidRPr="00F7150E" w:rsidRDefault="00230579" w:rsidP="007B1F8A">
            <w:pPr>
              <w:spacing w:before="40" w:after="40"/>
              <w:rPr>
                <w:rFonts w:eastAsia="Aptos" w:cs="Arial"/>
                <w:i/>
                <w:iCs/>
                <w:sz w:val="20"/>
                <w:szCs w:val="20"/>
                <w:lang w:val="fr-FR"/>
              </w:rPr>
            </w:pPr>
            <w:r w:rsidRPr="00633615">
              <w:rPr>
                <w:rFonts w:eastAsia="Aptos" w:cs="Arial"/>
                <w:i/>
                <w:iCs/>
                <w:color w:val="auto"/>
                <w:sz w:val="20"/>
                <w:szCs w:val="20"/>
                <w:lang w:val="fr-FR"/>
              </w:rPr>
              <w:lastRenderedPageBreak/>
              <w:t>Thème 1</w:t>
            </w:r>
            <w:r w:rsidRPr="00F7150E">
              <w:rPr>
                <w:rFonts w:eastAsia="Aptos" w:cs="Arial"/>
                <w:i/>
                <w:iCs/>
                <w:sz w:val="20"/>
                <w:szCs w:val="20"/>
                <w:lang w:val="fr-FR"/>
              </w:rPr>
              <w:t xml:space="preserve"> :</w:t>
            </w:r>
          </w:p>
        </w:tc>
        <w:tc>
          <w:tcPr>
            <w:tcW w:w="11907" w:type="dxa"/>
            <w:gridSpan w:val="5"/>
            <w:shd w:val="clear" w:color="auto" w:fill="C1E4F5"/>
          </w:tcPr>
          <w:p w14:paraId="568E7466" w14:textId="77777777" w:rsidR="00D15F48" w:rsidRPr="00F7150E" w:rsidRDefault="00230579" w:rsidP="007B1F8A">
            <w:pPr>
              <w:spacing w:before="40" w:after="40"/>
              <w:cnfStyle w:val="100000000000" w:firstRow="1" w:lastRow="0" w:firstColumn="0" w:lastColumn="0" w:oddVBand="0" w:evenVBand="0" w:oddHBand="0" w:evenHBand="0" w:firstRowFirstColumn="0" w:firstRowLastColumn="0" w:lastRowFirstColumn="0" w:lastRowLastColumn="0"/>
              <w:rPr>
                <w:i/>
                <w:sz w:val="20"/>
                <w:szCs w:val="20"/>
                <w:lang w:val="fr-FR"/>
              </w:rPr>
            </w:pPr>
            <w:r w:rsidRPr="00F7150E">
              <w:rPr>
                <w:i/>
                <w:sz w:val="20"/>
                <w:szCs w:val="20"/>
                <w:lang w:val="fr-FR"/>
              </w:rPr>
              <w:t>S’attaquer aux causes de la surmortalité des oiseaux migrateurs sur toutes les voies de migration</w:t>
            </w:r>
          </w:p>
        </w:tc>
      </w:tr>
      <w:tr w:rsidR="00D15F48" w:rsidRPr="00F7150E" w14:paraId="448D1076" w14:textId="77777777" w:rsidTr="0063143D">
        <w:trPr>
          <w:cantSplit/>
        </w:trPr>
        <w:tc>
          <w:tcPr>
            <w:cnfStyle w:val="001000000000" w:firstRow="0" w:lastRow="0" w:firstColumn="1" w:lastColumn="0" w:oddVBand="0" w:evenVBand="0" w:oddHBand="0" w:evenHBand="0" w:firstRowFirstColumn="0" w:firstRowLastColumn="0" w:lastRowFirstColumn="0" w:lastRowLastColumn="0"/>
            <w:tcW w:w="2518" w:type="dxa"/>
          </w:tcPr>
          <w:p w14:paraId="4EAB93F7" w14:textId="77777777" w:rsidR="00D15F48" w:rsidRPr="00F7150E" w:rsidRDefault="00230579" w:rsidP="007B1F8A">
            <w:pPr>
              <w:tabs>
                <w:tab w:val="left" w:pos="1601"/>
              </w:tabs>
              <w:spacing w:before="40" w:after="40"/>
              <w:rPr>
                <w:rFonts w:eastAsia="Aptos" w:cs="Arial"/>
                <w:i/>
                <w:iCs/>
                <w:sz w:val="20"/>
                <w:szCs w:val="20"/>
                <w:lang w:val="fr-FR"/>
              </w:rPr>
            </w:pPr>
            <w:r w:rsidRPr="00F7150E">
              <w:rPr>
                <w:rFonts w:eastAsia="Aptos" w:cs="Arial"/>
                <w:i/>
                <w:iCs/>
                <w:sz w:val="20"/>
                <w:szCs w:val="20"/>
                <w:lang w:val="fr-FR"/>
              </w:rPr>
              <w:t>1.1 Soutenir les efforts visant à réduire au minimum les prélèvements illégaux d’oiseaux migrateurs</w:t>
            </w:r>
          </w:p>
        </w:tc>
        <w:tc>
          <w:tcPr>
            <w:tcW w:w="5245" w:type="dxa"/>
          </w:tcPr>
          <w:p w14:paraId="27585A4D" w14:textId="77777777" w:rsidR="00D15F48" w:rsidRPr="00F7150E" w:rsidRDefault="00230579" w:rsidP="007B1F8A">
            <w:pPr>
              <w:spacing w:before="40" w:after="40"/>
              <w:jc w:val="both"/>
              <w:cnfStyle w:val="000000000000" w:firstRow="0" w:lastRow="0" w:firstColumn="0" w:lastColumn="0" w:oddVBand="0" w:evenVBand="0" w:oddHBand="0" w:evenHBand="0" w:firstRowFirstColumn="0" w:firstRowLastColumn="0" w:lastRowFirstColumn="0" w:lastRowLastColumn="0"/>
              <w:rPr>
                <w:i/>
                <w:sz w:val="20"/>
                <w:szCs w:val="20"/>
                <w:lang w:val="fr-FR"/>
              </w:rPr>
            </w:pPr>
            <w:r w:rsidRPr="00F7150E">
              <w:rPr>
                <w:i/>
                <w:sz w:val="20"/>
                <w:szCs w:val="20"/>
                <w:lang w:val="fr-FR"/>
              </w:rPr>
              <w:t>Coopérer avec les groupes d’études de la CMS engagés dans la lutte contre les prélèvements illégaux d’oiseaux afin de les aider à mettre en œuvre leurs programmes de travail, notamment en facilitant les synergies entre eux et avec d’autres processus</w:t>
            </w:r>
            <w:r w:rsidRPr="00F7150E">
              <w:rPr>
                <w:rFonts w:eastAsia="Aptos" w:cs="Arial"/>
                <w:i/>
                <w:iCs/>
                <w:sz w:val="20"/>
                <w:szCs w:val="20"/>
                <w:lang w:val="fr-FR"/>
              </w:rPr>
              <w:t xml:space="preserve">, par exemple en partageant les connaissances entre les régions </w:t>
            </w:r>
            <w:r w:rsidRPr="00F7150E">
              <w:rPr>
                <w:i/>
                <w:sz w:val="20"/>
                <w:szCs w:val="20"/>
                <w:lang w:val="fr-FR"/>
              </w:rPr>
              <w:t>sur les actions efficaces visant à atténuer les prélèvements illégaux et non réglementés.</w:t>
            </w:r>
          </w:p>
          <w:p w14:paraId="537421CC" w14:textId="77777777" w:rsidR="00D15F48" w:rsidRPr="00F7150E" w:rsidRDefault="00230579" w:rsidP="007B1F8A">
            <w:pPr>
              <w:spacing w:before="40" w:after="40"/>
              <w:jc w:val="both"/>
              <w:cnfStyle w:val="000000000000" w:firstRow="0" w:lastRow="0" w:firstColumn="0" w:lastColumn="0" w:oddVBand="0" w:evenVBand="0" w:oddHBand="0" w:evenHBand="0" w:firstRowFirstColumn="0" w:firstRowLastColumn="0" w:lastRowFirstColumn="0" w:lastRowLastColumn="0"/>
              <w:rPr>
                <w:i/>
                <w:sz w:val="20"/>
                <w:szCs w:val="20"/>
                <w:lang w:val="fr-FR"/>
              </w:rPr>
            </w:pPr>
            <w:r w:rsidRPr="00F7150E">
              <w:rPr>
                <w:i/>
                <w:sz w:val="20"/>
                <w:szCs w:val="20"/>
                <w:lang w:val="fr-FR"/>
              </w:rPr>
              <w:t xml:space="preserve">D’ici la ScC-SC10, fournir des conseils au Conseil scientifique sur les voies de migration prioritaires supplémentaires et les régions à prendre en considération pour soutenir une action ciblée visant à </w:t>
            </w:r>
            <w:r w:rsidRPr="00F7150E">
              <w:rPr>
                <w:rFonts w:eastAsia="Aptos" w:cs="Arial"/>
                <w:i/>
                <w:iCs/>
                <w:sz w:val="20"/>
                <w:szCs w:val="20"/>
                <w:lang w:val="fr-FR"/>
              </w:rPr>
              <w:t>réduire au minimum</w:t>
            </w:r>
            <w:r w:rsidRPr="00F7150E">
              <w:rPr>
                <w:i/>
                <w:sz w:val="20"/>
                <w:szCs w:val="20"/>
                <w:lang w:val="fr-FR"/>
              </w:rPr>
              <w:t xml:space="preserve"> les prélèvements illégaux et non réglementés d’oiseaux migrateurs.</w:t>
            </w:r>
          </w:p>
        </w:tc>
        <w:tc>
          <w:tcPr>
            <w:tcW w:w="1701" w:type="dxa"/>
          </w:tcPr>
          <w:p w14:paraId="29417D41" w14:textId="77777777" w:rsidR="00D15F48" w:rsidRPr="00F7150E" w:rsidRDefault="00230579" w:rsidP="007B1F8A">
            <w:pPr>
              <w:spacing w:before="40" w:after="40"/>
              <w:cnfStyle w:val="000000000000" w:firstRow="0" w:lastRow="0" w:firstColumn="0" w:lastColumn="0" w:oddVBand="0" w:evenVBand="0" w:oddHBand="0" w:evenHBand="0" w:firstRowFirstColumn="0" w:firstRowLastColumn="0" w:lastRowFirstColumn="0" w:lastRowLastColumn="0"/>
              <w:rPr>
                <w:rFonts w:eastAsia="Aptos" w:cs="Arial"/>
                <w:i/>
                <w:iCs/>
                <w:sz w:val="20"/>
                <w:szCs w:val="20"/>
                <w:lang w:val="fr-FR"/>
              </w:rPr>
            </w:pPr>
            <w:proofErr w:type="spellStart"/>
            <w:r w:rsidRPr="00F7150E">
              <w:rPr>
                <w:rFonts w:eastAsia="Aptos" w:cs="Arial"/>
                <w:i/>
                <w:iCs/>
                <w:sz w:val="20"/>
                <w:szCs w:val="20"/>
                <w:lang w:val="fr-FR"/>
              </w:rPr>
              <w:t>Rés</w:t>
            </w:r>
            <w:proofErr w:type="spellEnd"/>
            <w:r w:rsidRPr="00F7150E">
              <w:rPr>
                <w:rFonts w:eastAsia="Aptos" w:cs="Arial"/>
                <w:i/>
                <w:iCs/>
                <w:sz w:val="20"/>
                <w:szCs w:val="20"/>
                <w:lang w:val="fr-FR"/>
              </w:rPr>
              <w:t>. 11.16 (Rev.COP14) Prévention de l’abattage, du prélèvement et du commerce illégaux d’oiseaux migrateurs</w:t>
            </w:r>
          </w:p>
          <w:p w14:paraId="506F00E7" w14:textId="77777777" w:rsidR="00D15F48" w:rsidRPr="00F7150E" w:rsidRDefault="00D15F48" w:rsidP="007B1F8A">
            <w:pPr>
              <w:spacing w:before="40" w:after="40"/>
              <w:cnfStyle w:val="000000000000" w:firstRow="0" w:lastRow="0" w:firstColumn="0" w:lastColumn="0" w:oddVBand="0" w:evenVBand="0" w:oddHBand="0" w:evenHBand="0" w:firstRowFirstColumn="0" w:firstRowLastColumn="0" w:lastRowFirstColumn="0" w:lastRowLastColumn="0"/>
              <w:rPr>
                <w:rFonts w:eastAsia="Aptos" w:cs="Arial"/>
                <w:i/>
                <w:iCs/>
                <w:sz w:val="20"/>
                <w:szCs w:val="20"/>
                <w:lang w:val="fr-FR"/>
              </w:rPr>
            </w:pPr>
          </w:p>
          <w:p w14:paraId="4D827309" w14:textId="77777777" w:rsidR="00D15F48" w:rsidRPr="00F7150E" w:rsidRDefault="00230579" w:rsidP="007B1F8A">
            <w:pPr>
              <w:spacing w:before="40" w:after="40"/>
              <w:cnfStyle w:val="000000000000" w:firstRow="0" w:lastRow="0" w:firstColumn="0" w:lastColumn="0" w:oddVBand="0" w:evenVBand="0" w:oddHBand="0" w:evenHBand="0" w:firstRowFirstColumn="0" w:firstRowLastColumn="0" w:lastRowFirstColumn="0" w:lastRowLastColumn="0"/>
              <w:rPr>
                <w:rFonts w:eastAsia="Aptos" w:cs="Arial"/>
                <w:i/>
                <w:iCs/>
                <w:sz w:val="20"/>
                <w:szCs w:val="20"/>
                <w:lang w:val="fr-FR"/>
              </w:rPr>
            </w:pPr>
            <w:r w:rsidRPr="00F7150E">
              <w:rPr>
                <w:rFonts w:eastAsia="Aptos" w:cs="Arial"/>
                <w:i/>
                <w:iCs/>
                <w:sz w:val="20"/>
                <w:szCs w:val="20"/>
                <w:lang w:val="fr-FR"/>
              </w:rPr>
              <w:t>SPMS, Cible 3.1</w:t>
            </w:r>
          </w:p>
        </w:tc>
        <w:tc>
          <w:tcPr>
            <w:tcW w:w="1134" w:type="dxa"/>
          </w:tcPr>
          <w:p w14:paraId="2084074C" w14:textId="77777777" w:rsidR="00D15F48" w:rsidRPr="00F7150E" w:rsidRDefault="00230579" w:rsidP="007B1F8A">
            <w:pPr>
              <w:spacing w:before="40" w:after="40"/>
              <w:cnfStyle w:val="000000000000" w:firstRow="0" w:lastRow="0" w:firstColumn="0" w:lastColumn="0" w:oddVBand="0" w:evenVBand="0" w:oddHBand="0" w:evenHBand="0" w:firstRowFirstColumn="0" w:firstRowLastColumn="0" w:lastRowFirstColumn="0" w:lastRowLastColumn="0"/>
              <w:rPr>
                <w:rFonts w:eastAsia="Aptos" w:cs="Arial"/>
                <w:i/>
                <w:iCs/>
                <w:sz w:val="20"/>
                <w:szCs w:val="20"/>
                <w:lang w:val="fr-FR"/>
              </w:rPr>
            </w:pPr>
            <w:r w:rsidRPr="00F7150E">
              <w:rPr>
                <w:rFonts w:eastAsia="Aptos" w:cs="Arial"/>
                <w:i/>
                <w:iCs/>
                <w:sz w:val="20"/>
                <w:szCs w:val="20"/>
                <w:lang w:val="fr-FR"/>
              </w:rPr>
              <w:t>2026-2029</w:t>
            </w:r>
          </w:p>
        </w:tc>
        <w:tc>
          <w:tcPr>
            <w:tcW w:w="2410" w:type="dxa"/>
          </w:tcPr>
          <w:p w14:paraId="4467659D" w14:textId="0240270C" w:rsidR="00D15F48" w:rsidRPr="00F7150E" w:rsidRDefault="00230579" w:rsidP="007B1F8A">
            <w:pPr>
              <w:spacing w:before="40" w:after="40"/>
              <w:cnfStyle w:val="000000000000" w:firstRow="0" w:lastRow="0" w:firstColumn="0" w:lastColumn="0" w:oddVBand="0" w:evenVBand="0" w:oddHBand="0" w:evenHBand="0" w:firstRowFirstColumn="0" w:firstRowLastColumn="0" w:lastRowFirstColumn="0" w:lastRowLastColumn="0"/>
              <w:rPr>
                <w:rFonts w:eastAsia="Aptos" w:cs="Arial"/>
                <w:i/>
                <w:iCs/>
                <w:sz w:val="20"/>
                <w:szCs w:val="20"/>
                <w:lang w:val="fr-FR"/>
              </w:rPr>
            </w:pPr>
            <w:r w:rsidRPr="00F7150E">
              <w:rPr>
                <w:rFonts w:eastAsia="Aptos" w:cs="Arial"/>
                <w:i/>
                <w:iCs/>
                <w:sz w:val="20"/>
                <w:szCs w:val="20"/>
                <w:lang w:val="fr-FR"/>
              </w:rPr>
              <w:t>Groupe de travail sur les voies de migration, Parties concernées (chef de file)</w:t>
            </w:r>
          </w:p>
          <w:p w14:paraId="4DB221D5" w14:textId="77777777" w:rsidR="00D15F48" w:rsidRPr="00F7150E" w:rsidRDefault="00230579" w:rsidP="007B1F8A">
            <w:pPr>
              <w:spacing w:before="40" w:after="40"/>
              <w:cnfStyle w:val="000000000000" w:firstRow="0" w:lastRow="0" w:firstColumn="0" w:lastColumn="0" w:oddVBand="0" w:evenVBand="0" w:oddHBand="0" w:evenHBand="0" w:firstRowFirstColumn="0" w:firstRowLastColumn="0" w:lastRowFirstColumn="0" w:lastRowLastColumn="0"/>
              <w:rPr>
                <w:rFonts w:eastAsia="Aptos" w:cs="Arial"/>
                <w:i/>
                <w:iCs/>
                <w:sz w:val="20"/>
                <w:szCs w:val="20"/>
                <w:lang w:val="fr-FR"/>
              </w:rPr>
            </w:pPr>
            <w:r w:rsidRPr="00F7150E">
              <w:rPr>
                <w:rFonts w:eastAsia="Aptos" w:cs="Arial"/>
                <w:i/>
                <w:iCs/>
                <w:sz w:val="20"/>
                <w:szCs w:val="20"/>
                <w:lang w:val="fr-FR"/>
              </w:rPr>
              <w:t>Non-partie et Secrétariat (soutien)</w:t>
            </w:r>
          </w:p>
        </w:tc>
        <w:tc>
          <w:tcPr>
            <w:tcW w:w="1417" w:type="dxa"/>
          </w:tcPr>
          <w:p w14:paraId="45C8D480" w14:textId="77777777" w:rsidR="00D15F48" w:rsidRPr="00F7150E" w:rsidRDefault="00230579" w:rsidP="007B1F8A">
            <w:pPr>
              <w:spacing w:before="40" w:after="40"/>
              <w:cnfStyle w:val="000000000000" w:firstRow="0" w:lastRow="0" w:firstColumn="0" w:lastColumn="0" w:oddVBand="0" w:evenVBand="0" w:oddHBand="0" w:evenHBand="0" w:firstRowFirstColumn="0" w:firstRowLastColumn="0" w:lastRowFirstColumn="0" w:lastRowLastColumn="0"/>
              <w:rPr>
                <w:rFonts w:eastAsia="Aptos" w:cs="Arial"/>
                <w:sz w:val="20"/>
                <w:szCs w:val="20"/>
                <w:lang w:val="fr-FR"/>
              </w:rPr>
            </w:pPr>
            <w:r w:rsidRPr="00F7150E">
              <w:rPr>
                <w:rFonts w:eastAsia="Aptos" w:cs="Arial"/>
                <w:i/>
                <w:iCs/>
                <w:sz w:val="20"/>
                <w:szCs w:val="20"/>
                <w:lang w:val="fr-FR"/>
              </w:rPr>
              <w:t>Sous réserve de ressources externes</w:t>
            </w:r>
          </w:p>
        </w:tc>
      </w:tr>
      <w:tr w:rsidR="00D15F48" w:rsidRPr="00F7150E" w14:paraId="43C9730D" w14:textId="77777777" w:rsidTr="0063143D">
        <w:trPr>
          <w:cantSplit/>
        </w:trPr>
        <w:tc>
          <w:tcPr>
            <w:cnfStyle w:val="001000000000" w:firstRow="0" w:lastRow="0" w:firstColumn="1" w:lastColumn="0" w:oddVBand="0" w:evenVBand="0" w:oddHBand="0" w:evenHBand="0" w:firstRowFirstColumn="0" w:firstRowLastColumn="0" w:lastRowFirstColumn="0" w:lastRowLastColumn="0"/>
            <w:tcW w:w="2518" w:type="dxa"/>
          </w:tcPr>
          <w:p w14:paraId="72BD5029" w14:textId="77777777" w:rsidR="00D15F48" w:rsidRPr="00F7150E" w:rsidRDefault="00230579" w:rsidP="007B1F8A">
            <w:pPr>
              <w:tabs>
                <w:tab w:val="left" w:pos="1601"/>
              </w:tabs>
              <w:spacing w:before="40" w:after="40"/>
              <w:rPr>
                <w:rFonts w:eastAsia="Aptos" w:cs="Arial"/>
                <w:i/>
                <w:iCs/>
                <w:sz w:val="20"/>
                <w:szCs w:val="20"/>
                <w:lang w:val="fr-FR"/>
              </w:rPr>
            </w:pPr>
            <w:r w:rsidRPr="00F7150E">
              <w:rPr>
                <w:rFonts w:eastAsia="Aptos" w:cs="Arial"/>
                <w:i/>
                <w:iCs/>
                <w:sz w:val="20"/>
                <w:szCs w:val="20"/>
                <w:lang w:val="fr-FR"/>
              </w:rPr>
              <w:lastRenderedPageBreak/>
              <w:t>1.2 Soutenir le Groupe d’étude de l’énergie dans la réduction la mortalité directe et les autres impacts sur les oiseaux migrateurs</w:t>
            </w:r>
          </w:p>
        </w:tc>
        <w:tc>
          <w:tcPr>
            <w:tcW w:w="5245" w:type="dxa"/>
          </w:tcPr>
          <w:p w14:paraId="63B9382B" w14:textId="77777777" w:rsidR="00D15F48" w:rsidRPr="00F7150E" w:rsidRDefault="00230579" w:rsidP="007B1F8A">
            <w:pPr>
              <w:spacing w:before="40" w:after="40"/>
              <w:jc w:val="both"/>
              <w:cnfStyle w:val="000000000000" w:firstRow="0" w:lastRow="0" w:firstColumn="0" w:lastColumn="0" w:oddVBand="0" w:evenVBand="0" w:oddHBand="0" w:evenHBand="0" w:firstRowFirstColumn="0" w:firstRowLastColumn="0" w:lastRowFirstColumn="0" w:lastRowLastColumn="0"/>
              <w:rPr>
                <w:i/>
                <w:sz w:val="20"/>
                <w:szCs w:val="20"/>
                <w:lang w:val="fr-FR"/>
              </w:rPr>
            </w:pPr>
            <w:r w:rsidRPr="00F7150E">
              <w:rPr>
                <w:rFonts w:eastAsia="Aptos" w:cs="Arial"/>
                <w:i/>
                <w:iCs/>
                <w:sz w:val="20"/>
                <w:szCs w:val="20"/>
                <w:lang w:val="fr-FR"/>
              </w:rPr>
              <w:t xml:space="preserve">Devenir membre/observateur et </w:t>
            </w:r>
            <w:r w:rsidRPr="00F7150E">
              <w:rPr>
                <w:i/>
                <w:sz w:val="20"/>
                <w:szCs w:val="20"/>
                <w:lang w:val="fr-FR"/>
              </w:rPr>
              <w:t>participer aux réunions du Groupe d’étude de l’énergie notamment, pour faciliter les synergies avec d’autres processus et partager les connaissances utiles des régions qui ne sont pas encore actives dans le Groupe d’étude de l’énergie sur les actions efficaces pour réduire au minimum les impacts de l’infrastructure énergétique sur les oiseaux migrateurs.</w:t>
            </w:r>
          </w:p>
          <w:p w14:paraId="53ACAC73" w14:textId="77777777" w:rsidR="00D15F48" w:rsidRPr="00F7150E" w:rsidRDefault="00D15F48" w:rsidP="007B1F8A">
            <w:pPr>
              <w:spacing w:before="40" w:after="40"/>
              <w:jc w:val="both"/>
              <w:cnfStyle w:val="000000000000" w:firstRow="0" w:lastRow="0" w:firstColumn="0" w:lastColumn="0" w:oddVBand="0" w:evenVBand="0" w:oddHBand="0" w:evenHBand="0" w:firstRowFirstColumn="0" w:firstRowLastColumn="0" w:lastRowFirstColumn="0" w:lastRowLastColumn="0"/>
              <w:rPr>
                <w:rFonts w:eastAsia="Aptos" w:cs="Arial"/>
                <w:i/>
                <w:iCs/>
                <w:sz w:val="20"/>
                <w:szCs w:val="20"/>
                <w:lang w:val="fr-FR"/>
              </w:rPr>
            </w:pPr>
          </w:p>
          <w:p w14:paraId="2260A806" w14:textId="77777777" w:rsidR="00D15F48" w:rsidRPr="00F7150E" w:rsidRDefault="00230579" w:rsidP="007B1F8A">
            <w:pPr>
              <w:spacing w:before="40" w:after="40"/>
              <w:jc w:val="both"/>
              <w:cnfStyle w:val="000000000000" w:firstRow="0" w:lastRow="0" w:firstColumn="0" w:lastColumn="0" w:oddVBand="0" w:evenVBand="0" w:oddHBand="0" w:evenHBand="0" w:firstRowFirstColumn="0" w:firstRowLastColumn="0" w:lastRowFirstColumn="0" w:lastRowLastColumn="0"/>
              <w:rPr>
                <w:i/>
                <w:sz w:val="20"/>
                <w:szCs w:val="20"/>
                <w:lang w:val="fr-FR"/>
              </w:rPr>
            </w:pPr>
            <w:r w:rsidRPr="00F7150E">
              <w:rPr>
                <w:i/>
                <w:sz w:val="20"/>
                <w:szCs w:val="20"/>
                <w:lang w:val="fr-FR"/>
              </w:rPr>
              <w:t>Soutenir la mise en œuvre du Programme de travail du Groupe d’étude de l’énergie dans toutes les voies de migration.</w:t>
            </w:r>
          </w:p>
          <w:p w14:paraId="711AA566" w14:textId="77777777" w:rsidR="00D15F48" w:rsidRPr="00F7150E" w:rsidRDefault="00D15F48" w:rsidP="007B1F8A">
            <w:pPr>
              <w:spacing w:before="40" w:after="40"/>
              <w:jc w:val="both"/>
              <w:cnfStyle w:val="000000000000" w:firstRow="0" w:lastRow="0" w:firstColumn="0" w:lastColumn="0" w:oddVBand="0" w:evenVBand="0" w:oddHBand="0" w:evenHBand="0" w:firstRowFirstColumn="0" w:firstRowLastColumn="0" w:lastRowFirstColumn="0" w:lastRowLastColumn="0"/>
              <w:rPr>
                <w:rFonts w:eastAsia="Aptos" w:cs="Arial"/>
                <w:i/>
                <w:iCs/>
                <w:sz w:val="20"/>
                <w:szCs w:val="20"/>
                <w:lang w:val="fr-FR"/>
              </w:rPr>
            </w:pPr>
          </w:p>
          <w:p w14:paraId="2648353D" w14:textId="77777777" w:rsidR="00D15F48" w:rsidRPr="00F7150E" w:rsidRDefault="00230579" w:rsidP="007B1F8A">
            <w:pPr>
              <w:spacing w:before="40" w:after="40"/>
              <w:jc w:val="both"/>
              <w:cnfStyle w:val="000000000000" w:firstRow="0" w:lastRow="0" w:firstColumn="0" w:lastColumn="0" w:oddVBand="0" w:evenVBand="0" w:oddHBand="0" w:evenHBand="0" w:firstRowFirstColumn="0" w:firstRowLastColumn="0" w:lastRowFirstColumn="0" w:lastRowLastColumn="0"/>
              <w:rPr>
                <w:rFonts w:eastAsia="Aptos" w:cs="Arial"/>
                <w:i/>
                <w:iCs/>
                <w:sz w:val="20"/>
                <w:szCs w:val="20"/>
                <w:lang w:val="fr-FR"/>
              </w:rPr>
            </w:pPr>
            <w:r w:rsidRPr="00F7150E">
              <w:rPr>
                <w:rFonts w:eastAsia="Aptos" w:cs="Arial"/>
                <w:i/>
                <w:iCs/>
                <w:sz w:val="20"/>
                <w:szCs w:val="20"/>
                <w:lang w:val="fr-FR"/>
              </w:rPr>
              <w:t>Contribuer, notamment dans les domaines non couverts par les membres actuels du Groupe d’étude de l’énergie, à la diffusion d’outils et d’orientations pour l’évaluation et l’atténuation des impacts des énergies renouvelables et de la construction de lignes électriques sur les oiseaux migrateurs, y compris des approches normalisées pour la surveillance post-construction des projets d’énergie renouvelable, un examen des outils existants, tels que AVISTEP et les cadres d’évaluation des impacts cumulatifs des meilleures pratiques.</w:t>
            </w:r>
          </w:p>
        </w:tc>
        <w:tc>
          <w:tcPr>
            <w:tcW w:w="1701" w:type="dxa"/>
          </w:tcPr>
          <w:p w14:paraId="3B2F3050" w14:textId="77777777" w:rsidR="00D15F48" w:rsidRPr="00F7150E" w:rsidRDefault="00230579" w:rsidP="007B1F8A">
            <w:pPr>
              <w:spacing w:before="40" w:after="40"/>
              <w:cnfStyle w:val="000000000000" w:firstRow="0" w:lastRow="0" w:firstColumn="0" w:lastColumn="0" w:oddVBand="0" w:evenVBand="0" w:oddHBand="0" w:evenHBand="0" w:firstRowFirstColumn="0" w:firstRowLastColumn="0" w:lastRowFirstColumn="0" w:lastRowLastColumn="0"/>
              <w:rPr>
                <w:rFonts w:eastAsia="Aptos" w:cs="Arial"/>
                <w:i/>
                <w:iCs/>
                <w:sz w:val="20"/>
                <w:szCs w:val="20"/>
                <w:lang w:val="fr-FR"/>
              </w:rPr>
            </w:pPr>
            <w:proofErr w:type="spellStart"/>
            <w:r w:rsidRPr="00F7150E">
              <w:rPr>
                <w:rFonts w:eastAsia="Aptos" w:cs="Arial"/>
                <w:i/>
                <w:iCs/>
                <w:sz w:val="20"/>
                <w:szCs w:val="20"/>
                <w:lang w:val="fr-FR"/>
              </w:rPr>
              <w:t>Rés</w:t>
            </w:r>
            <w:proofErr w:type="spellEnd"/>
            <w:r w:rsidRPr="00F7150E">
              <w:rPr>
                <w:rFonts w:eastAsia="Aptos" w:cs="Arial"/>
                <w:i/>
                <w:iCs/>
                <w:sz w:val="20"/>
                <w:szCs w:val="20"/>
                <w:lang w:val="fr-FR"/>
              </w:rPr>
              <w:t>. 11.27 (Rev.COP13) Énergies renouvelables et espèces migratrices</w:t>
            </w:r>
          </w:p>
          <w:p w14:paraId="1C5D4E06" w14:textId="77777777" w:rsidR="00D15F48" w:rsidRPr="00F7150E" w:rsidRDefault="00D15F48" w:rsidP="007B1F8A">
            <w:pPr>
              <w:spacing w:before="40" w:after="40"/>
              <w:cnfStyle w:val="000000000000" w:firstRow="0" w:lastRow="0" w:firstColumn="0" w:lastColumn="0" w:oddVBand="0" w:evenVBand="0" w:oddHBand="0" w:evenHBand="0" w:firstRowFirstColumn="0" w:firstRowLastColumn="0" w:lastRowFirstColumn="0" w:lastRowLastColumn="0"/>
              <w:rPr>
                <w:rFonts w:eastAsia="Aptos" w:cs="Arial"/>
                <w:i/>
                <w:iCs/>
                <w:sz w:val="20"/>
                <w:szCs w:val="20"/>
                <w:lang w:val="fr-FR"/>
              </w:rPr>
            </w:pPr>
          </w:p>
          <w:p w14:paraId="4286F14E" w14:textId="77777777" w:rsidR="00D15F48" w:rsidRPr="00F7150E" w:rsidRDefault="00230579" w:rsidP="007B1F8A">
            <w:pPr>
              <w:spacing w:before="40" w:after="40"/>
              <w:cnfStyle w:val="000000000000" w:firstRow="0" w:lastRow="0" w:firstColumn="0" w:lastColumn="0" w:oddVBand="0" w:evenVBand="0" w:oddHBand="0" w:evenHBand="0" w:firstRowFirstColumn="0" w:firstRowLastColumn="0" w:lastRowFirstColumn="0" w:lastRowLastColumn="0"/>
              <w:rPr>
                <w:rFonts w:eastAsia="Aptos" w:cs="Arial"/>
                <w:i/>
                <w:iCs/>
                <w:sz w:val="20"/>
                <w:szCs w:val="20"/>
                <w:lang w:val="fr-FR"/>
              </w:rPr>
            </w:pPr>
            <w:r w:rsidRPr="00F7150E">
              <w:rPr>
                <w:rFonts w:eastAsia="Aptos" w:cs="Arial"/>
                <w:i/>
                <w:iCs/>
                <w:sz w:val="20"/>
                <w:szCs w:val="20"/>
                <w:lang w:val="fr-FR"/>
              </w:rPr>
              <w:t>SPMS, Cible 3.2</w:t>
            </w:r>
          </w:p>
        </w:tc>
        <w:tc>
          <w:tcPr>
            <w:tcW w:w="1134" w:type="dxa"/>
          </w:tcPr>
          <w:p w14:paraId="4DE40EDB" w14:textId="77777777" w:rsidR="00D15F48" w:rsidRPr="00F7150E" w:rsidRDefault="00230579" w:rsidP="007B1F8A">
            <w:pPr>
              <w:spacing w:before="40" w:after="40"/>
              <w:cnfStyle w:val="000000000000" w:firstRow="0" w:lastRow="0" w:firstColumn="0" w:lastColumn="0" w:oddVBand="0" w:evenVBand="0" w:oddHBand="0" w:evenHBand="0" w:firstRowFirstColumn="0" w:firstRowLastColumn="0" w:lastRowFirstColumn="0" w:lastRowLastColumn="0"/>
              <w:rPr>
                <w:rFonts w:eastAsia="Aptos" w:cs="Arial"/>
                <w:i/>
                <w:iCs/>
                <w:sz w:val="20"/>
                <w:szCs w:val="20"/>
                <w:lang w:val="fr-FR"/>
              </w:rPr>
            </w:pPr>
            <w:r w:rsidRPr="00F7150E">
              <w:rPr>
                <w:rFonts w:eastAsia="Aptos" w:cs="Arial"/>
                <w:i/>
                <w:iCs/>
                <w:sz w:val="20"/>
                <w:szCs w:val="20"/>
                <w:lang w:val="fr-FR"/>
              </w:rPr>
              <w:t>2026-2029</w:t>
            </w:r>
          </w:p>
        </w:tc>
        <w:tc>
          <w:tcPr>
            <w:tcW w:w="2410" w:type="dxa"/>
          </w:tcPr>
          <w:p w14:paraId="411AD960" w14:textId="77777777" w:rsidR="00D15F48" w:rsidRPr="00F7150E" w:rsidRDefault="00230579" w:rsidP="007B1F8A">
            <w:pPr>
              <w:spacing w:before="40" w:after="40"/>
              <w:cnfStyle w:val="000000000000" w:firstRow="0" w:lastRow="0" w:firstColumn="0" w:lastColumn="0" w:oddVBand="0" w:evenVBand="0" w:oddHBand="0" w:evenHBand="0" w:firstRowFirstColumn="0" w:firstRowLastColumn="0" w:lastRowFirstColumn="0" w:lastRowLastColumn="0"/>
              <w:rPr>
                <w:rFonts w:eastAsia="Aptos" w:cs="Arial"/>
                <w:i/>
                <w:iCs/>
                <w:sz w:val="20"/>
                <w:szCs w:val="20"/>
                <w:lang w:val="fr-FR"/>
              </w:rPr>
            </w:pPr>
            <w:r w:rsidRPr="00F7150E">
              <w:rPr>
                <w:rFonts w:eastAsia="Aptos" w:cs="Arial"/>
                <w:i/>
                <w:iCs/>
                <w:sz w:val="20"/>
                <w:szCs w:val="20"/>
                <w:lang w:val="fr-FR"/>
              </w:rPr>
              <w:t xml:space="preserve">Groupe de travail sur les voies de migration, Parties concernées, </w:t>
            </w:r>
            <w:proofErr w:type="spellStart"/>
            <w:r w:rsidRPr="00F7150E">
              <w:rPr>
                <w:rFonts w:eastAsia="Aptos" w:cs="Arial"/>
                <w:i/>
                <w:iCs/>
                <w:sz w:val="20"/>
                <w:szCs w:val="20"/>
                <w:lang w:val="fr-FR"/>
              </w:rPr>
              <w:t>Birdlife</w:t>
            </w:r>
            <w:proofErr w:type="spellEnd"/>
            <w:r w:rsidRPr="00F7150E">
              <w:rPr>
                <w:rFonts w:eastAsia="Aptos" w:cs="Arial"/>
                <w:i/>
                <w:iCs/>
                <w:sz w:val="20"/>
                <w:szCs w:val="20"/>
                <w:lang w:val="fr-FR"/>
              </w:rPr>
              <w:t xml:space="preserve"> International (chef de file)</w:t>
            </w:r>
          </w:p>
          <w:p w14:paraId="3E120E58" w14:textId="77777777" w:rsidR="00D15F48" w:rsidRPr="00F7150E" w:rsidRDefault="00D15F48" w:rsidP="007B1F8A">
            <w:pPr>
              <w:spacing w:before="40" w:after="40"/>
              <w:cnfStyle w:val="000000000000" w:firstRow="0" w:lastRow="0" w:firstColumn="0" w:lastColumn="0" w:oddVBand="0" w:evenVBand="0" w:oddHBand="0" w:evenHBand="0" w:firstRowFirstColumn="0" w:firstRowLastColumn="0" w:lastRowFirstColumn="0" w:lastRowLastColumn="0"/>
              <w:rPr>
                <w:rFonts w:eastAsia="Aptos" w:cs="Arial"/>
                <w:i/>
                <w:iCs/>
                <w:sz w:val="20"/>
                <w:szCs w:val="20"/>
                <w:lang w:val="fr-FR"/>
              </w:rPr>
            </w:pPr>
          </w:p>
          <w:p w14:paraId="55BD10F9" w14:textId="77777777" w:rsidR="00D15F48" w:rsidRPr="00F7150E" w:rsidRDefault="00230579" w:rsidP="007B1F8A">
            <w:pPr>
              <w:spacing w:before="40" w:after="40"/>
              <w:cnfStyle w:val="000000000000" w:firstRow="0" w:lastRow="0" w:firstColumn="0" w:lastColumn="0" w:oddVBand="0" w:evenVBand="0" w:oddHBand="0" w:evenHBand="0" w:firstRowFirstColumn="0" w:firstRowLastColumn="0" w:lastRowFirstColumn="0" w:lastRowLastColumn="0"/>
              <w:rPr>
                <w:rFonts w:eastAsia="Aptos" w:cs="Arial"/>
                <w:i/>
                <w:iCs/>
                <w:sz w:val="20"/>
                <w:szCs w:val="20"/>
                <w:lang w:val="fr-FR"/>
              </w:rPr>
            </w:pPr>
            <w:r w:rsidRPr="00F7150E">
              <w:rPr>
                <w:rFonts w:eastAsia="Aptos" w:cs="Arial"/>
                <w:i/>
                <w:iCs/>
                <w:sz w:val="20"/>
                <w:szCs w:val="20"/>
                <w:lang w:val="fr-FR"/>
              </w:rPr>
              <w:t>Non-Parties, groupes industriels et Secrétariat (soutien)</w:t>
            </w:r>
          </w:p>
        </w:tc>
        <w:tc>
          <w:tcPr>
            <w:tcW w:w="1417" w:type="dxa"/>
          </w:tcPr>
          <w:p w14:paraId="5140F37A" w14:textId="77777777" w:rsidR="00D15F48" w:rsidRPr="00F7150E" w:rsidRDefault="00230579" w:rsidP="007B1F8A">
            <w:pPr>
              <w:spacing w:before="40" w:after="40"/>
              <w:cnfStyle w:val="000000000000" w:firstRow="0" w:lastRow="0" w:firstColumn="0" w:lastColumn="0" w:oddVBand="0" w:evenVBand="0" w:oddHBand="0" w:evenHBand="0" w:firstRowFirstColumn="0" w:firstRowLastColumn="0" w:lastRowFirstColumn="0" w:lastRowLastColumn="0"/>
              <w:rPr>
                <w:rFonts w:eastAsia="Aptos" w:cs="Arial"/>
                <w:sz w:val="20"/>
                <w:szCs w:val="20"/>
                <w:lang w:val="fr-FR"/>
              </w:rPr>
            </w:pPr>
            <w:r w:rsidRPr="00F7150E">
              <w:rPr>
                <w:rFonts w:eastAsia="Aptos" w:cs="Arial"/>
                <w:i/>
                <w:iCs/>
                <w:sz w:val="20"/>
                <w:szCs w:val="20"/>
                <w:lang w:val="fr-FR"/>
              </w:rPr>
              <w:t>Sous réserve de ressources externes</w:t>
            </w:r>
          </w:p>
        </w:tc>
      </w:tr>
      <w:tr w:rsidR="00D15F48" w:rsidRPr="00F7150E" w14:paraId="51363D1E" w14:textId="77777777" w:rsidTr="0063143D">
        <w:trPr>
          <w:cantSplit/>
        </w:trPr>
        <w:tc>
          <w:tcPr>
            <w:cnfStyle w:val="001000000000" w:firstRow="0" w:lastRow="0" w:firstColumn="1" w:lastColumn="0" w:oddVBand="0" w:evenVBand="0" w:oddHBand="0" w:evenHBand="0" w:firstRowFirstColumn="0" w:firstRowLastColumn="0" w:lastRowFirstColumn="0" w:lastRowLastColumn="0"/>
            <w:tcW w:w="2518" w:type="dxa"/>
          </w:tcPr>
          <w:p w14:paraId="224F8A7F" w14:textId="77777777" w:rsidR="00D15F48" w:rsidRPr="00F7150E" w:rsidRDefault="00230579" w:rsidP="007B1F8A">
            <w:pPr>
              <w:spacing w:before="40" w:after="40"/>
              <w:rPr>
                <w:rFonts w:eastAsia="Aptos" w:cs="Arial"/>
                <w:i/>
                <w:iCs/>
                <w:sz w:val="20"/>
                <w:szCs w:val="20"/>
                <w:lang w:val="fr-FR"/>
              </w:rPr>
            </w:pPr>
            <w:r w:rsidRPr="00F7150E">
              <w:rPr>
                <w:rFonts w:eastAsia="Aptos" w:cs="Arial"/>
                <w:i/>
                <w:iCs/>
                <w:sz w:val="20"/>
                <w:szCs w:val="20"/>
                <w:lang w:val="fr-FR"/>
              </w:rPr>
              <w:lastRenderedPageBreak/>
              <w:t>1.3 Soutenir le Groupe de travail sur les espèces migratrices et la santé du Conseil scientifique de la CMS et le Groupe d’étude scientifique sur la Grippe aviaire et la faune sauvage</w:t>
            </w:r>
          </w:p>
        </w:tc>
        <w:tc>
          <w:tcPr>
            <w:tcW w:w="5245" w:type="dxa"/>
          </w:tcPr>
          <w:p w14:paraId="6080FCA2" w14:textId="77777777" w:rsidR="00D15F48" w:rsidRPr="00F7150E" w:rsidRDefault="00230579" w:rsidP="007B1F8A">
            <w:pPr>
              <w:spacing w:before="40" w:after="40"/>
              <w:jc w:val="both"/>
              <w:cnfStyle w:val="000000000000" w:firstRow="0" w:lastRow="0" w:firstColumn="0" w:lastColumn="0" w:oddVBand="0" w:evenVBand="0" w:oddHBand="0" w:evenHBand="0" w:firstRowFirstColumn="0" w:firstRowLastColumn="0" w:lastRowFirstColumn="0" w:lastRowLastColumn="0"/>
              <w:rPr>
                <w:i/>
                <w:sz w:val="20"/>
                <w:szCs w:val="20"/>
                <w:lang w:val="fr-FR"/>
              </w:rPr>
            </w:pPr>
            <w:r w:rsidRPr="00F7150E">
              <w:rPr>
                <w:i/>
                <w:sz w:val="20"/>
                <w:szCs w:val="20"/>
                <w:lang w:val="fr-FR"/>
              </w:rPr>
              <w:t>Participer aux réunions du Groupe de travail sur les espèces migratrices et la santé du Conseil scientifique de la CMS et du Groupe d’étude scientifique sur la Grippe aviaire et la faune sauvage.</w:t>
            </w:r>
          </w:p>
          <w:p w14:paraId="4F68AC2A" w14:textId="77777777" w:rsidR="00D15F48" w:rsidRPr="00F7150E" w:rsidRDefault="00D15F48" w:rsidP="007B1F8A">
            <w:pPr>
              <w:spacing w:before="40" w:after="40"/>
              <w:jc w:val="both"/>
              <w:cnfStyle w:val="000000000000" w:firstRow="0" w:lastRow="0" w:firstColumn="0" w:lastColumn="0" w:oddVBand="0" w:evenVBand="0" w:oddHBand="0" w:evenHBand="0" w:firstRowFirstColumn="0" w:firstRowLastColumn="0" w:lastRowFirstColumn="0" w:lastRowLastColumn="0"/>
              <w:rPr>
                <w:rFonts w:eastAsia="Aptos" w:cs="Arial"/>
                <w:i/>
                <w:iCs/>
                <w:sz w:val="20"/>
                <w:szCs w:val="20"/>
                <w:lang w:val="fr-FR"/>
              </w:rPr>
            </w:pPr>
          </w:p>
          <w:p w14:paraId="7DA1B4E0" w14:textId="77777777" w:rsidR="00D15F48" w:rsidRPr="00F7150E" w:rsidRDefault="00230579" w:rsidP="007B1F8A">
            <w:pPr>
              <w:spacing w:before="40" w:after="40"/>
              <w:jc w:val="both"/>
              <w:cnfStyle w:val="000000000000" w:firstRow="0" w:lastRow="0" w:firstColumn="0" w:lastColumn="0" w:oddVBand="0" w:evenVBand="0" w:oddHBand="0" w:evenHBand="0" w:firstRowFirstColumn="0" w:firstRowLastColumn="0" w:lastRowFirstColumn="0" w:lastRowLastColumn="0"/>
              <w:rPr>
                <w:i/>
                <w:sz w:val="20"/>
                <w:szCs w:val="20"/>
                <w:lang w:val="fr-FR"/>
              </w:rPr>
            </w:pPr>
            <w:r w:rsidRPr="00F7150E">
              <w:rPr>
                <w:i/>
                <w:sz w:val="20"/>
                <w:szCs w:val="20"/>
                <w:lang w:val="fr-FR"/>
              </w:rPr>
              <w:t>Apporter un soutien à la mise en œuvre des programmes de travail, notamment en commandant des études ou en organisant des ateliers sur les voies de migration ou des ateliers régionaux, le cas échéant.</w:t>
            </w:r>
          </w:p>
          <w:p w14:paraId="3FA4EB9D" w14:textId="77777777" w:rsidR="00D15F48" w:rsidRPr="00F7150E" w:rsidRDefault="00D15F48" w:rsidP="007B1F8A">
            <w:pPr>
              <w:spacing w:before="40" w:after="40"/>
              <w:jc w:val="both"/>
              <w:cnfStyle w:val="000000000000" w:firstRow="0" w:lastRow="0" w:firstColumn="0" w:lastColumn="0" w:oddVBand="0" w:evenVBand="0" w:oddHBand="0" w:evenHBand="0" w:firstRowFirstColumn="0" w:firstRowLastColumn="0" w:lastRowFirstColumn="0" w:lastRowLastColumn="0"/>
              <w:rPr>
                <w:rFonts w:eastAsia="Aptos" w:cs="Arial"/>
                <w:i/>
                <w:iCs/>
                <w:sz w:val="20"/>
                <w:szCs w:val="20"/>
                <w:lang w:val="fr-FR"/>
              </w:rPr>
            </w:pPr>
          </w:p>
          <w:p w14:paraId="34EFB1CA" w14:textId="77777777" w:rsidR="00D15F48" w:rsidRPr="00F7150E" w:rsidRDefault="00230579" w:rsidP="007B1F8A">
            <w:pPr>
              <w:spacing w:before="40" w:after="40"/>
              <w:jc w:val="both"/>
              <w:cnfStyle w:val="000000000000" w:firstRow="0" w:lastRow="0" w:firstColumn="0" w:lastColumn="0" w:oddVBand="0" w:evenVBand="0" w:oddHBand="0" w:evenHBand="0" w:firstRowFirstColumn="0" w:firstRowLastColumn="0" w:lastRowFirstColumn="0" w:lastRowLastColumn="0"/>
              <w:rPr>
                <w:i/>
                <w:sz w:val="20"/>
                <w:szCs w:val="20"/>
                <w:lang w:val="fr-FR"/>
              </w:rPr>
            </w:pPr>
            <w:r w:rsidRPr="00F7150E">
              <w:rPr>
                <w:i/>
                <w:sz w:val="20"/>
                <w:szCs w:val="20"/>
                <w:lang w:val="fr-FR"/>
              </w:rPr>
              <w:t xml:space="preserve">Diffuser l’étude sur les espèces migratrices et la santé et encourager la mise en œuvre </w:t>
            </w:r>
            <w:r w:rsidRPr="00F7150E">
              <w:rPr>
                <w:rFonts w:eastAsia="Aptos" w:cs="Arial"/>
                <w:i/>
                <w:iCs/>
                <w:sz w:val="20"/>
                <w:szCs w:val="20"/>
                <w:lang w:val="fr-FR"/>
              </w:rPr>
              <w:t xml:space="preserve">de </w:t>
            </w:r>
            <w:r w:rsidRPr="00F7150E">
              <w:rPr>
                <w:i/>
                <w:sz w:val="20"/>
                <w:szCs w:val="20"/>
                <w:lang w:val="fr-FR"/>
              </w:rPr>
              <w:t>ses principales recommandations dans les voies de migration.</w:t>
            </w:r>
          </w:p>
          <w:p w14:paraId="6A845E5C" w14:textId="77777777" w:rsidR="00D15F48" w:rsidRPr="00F7150E" w:rsidRDefault="00D15F48" w:rsidP="007B1F8A">
            <w:pPr>
              <w:spacing w:before="40" w:after="40"/>
              <w:jc w:val="both"/>
              <w:cnfStyle w:val="000000000000" w:firstRow="0" w:lastRow="0" w:firstColumn="0" w:lastColumn="0" w:oddVBand="0" w:evenVBand="0" w:oddHBand="0" w:evenHBand="0" w:firstRowFirstColumn="0" w:firstRowLastColumn="0" w:lastRowFirstColumn="0" w:lastRowLastColumn="0"/>
              <w:rPr>
                <w:rFonts w:eastAsia="Aptos" w:cs="Arial"/>
                <w:i/>
                <w:iCs/>
                <w:sz w:val="20"/>
                <w:szCs w:val="20"/>
                <w:lang w:val="fr-FR"/>
              </w:rPr>
            </w:pPr>
          </w:p>
          <w:p w14:paraId="7324D04D" w14:textId="77777777" w:rsidR="00D15F48" w:rsidRPr="00F7150E" w:rsidRDefault="00230579" w:rsidP="007B1F8A">
            <w:pPr>
              <w:spacing w:before="40" w:after="40"/>
              <w:jc w:val="both"/>
              <w:cnfStyle w:val="000000000000" w:firstRow="0" w:lastRow="0" w:firstColumn="0" w:lastColumn="0" w:oddVBand="0" w:evenVBand="0" w:oddHBand="0" w:evenHBand="0" w:firstRowFirstColumn="0" w:firstRowLastColumn="0" w:lastRowFirstColumn="0" w:lastRowLastColumn="0"/>
              <w:rPr>
                <w:rFonts w:eastAsia="Aptos" w:cs="Arial"/>
                <w:i/>
                <w:iCs/>
                <w:sz w:val="20"/>
                <w:szCs w:val="20"/>
                <w:lang w:val="fr-FR"/>
              </w:rPr>
            </w:pPr>
            <w:r w:rsidRPr="00F7150E">
              <w:rPr>
                <w:rFonts w:eastAsia="Aptos" w:cs="Arial"/>
                <w:i/>
                <w:iCs/>
                <w:sz w:val="20"/>
                <w:szCs w:val="20"/>
                <w:lang w:val="fr-FR"/>
              </w:rPr>
              <w:t>Diffuser les déclarations du Groupe d’étude scientifique sur la Grippe aviaire et la faune sauvage et encourager la mise en œuvre des principales recommandations dans les voies de migration.</w:t>
            </w:r>
          </w:p>
        </w:tc>
        <w:tc>
          <w:tcPr>
            <w:tcW w:w="1701" w:type="dxa"/>
          </w:tcPr>
          <w:p w14:paraId="665814DA" w14:textId="77777777" w:rsidR="00D15F48" w:rsidRPr="00F7150E" w:rsidRDefault="00230579" w:rsidP="007B1F8A">
            <w:pPr>
              <w:spacing w:before="40" w:after="40"/>
              <w:cnfStyle w:val="000000000000" w:firstRow="0" w:lastRow="0" w:firstColumn="0" w:lastColumn="0" w:oddVBand="0" w:evenVBand="0" w:oddHBand="0" w:evenHBand="0" w:firstRowFirstColumn="0" w:firstRowLastColumn="0" w:lastRowFirstColumn="0" w:lastRowLastColumn="0"/>
              <w:rPr>
                <w:rFonts w:eastAsia="Aptos" w:cs="Arial"/>
                <w:i/>
                <w:iCs/>
                <w:sz w:val="20"/>
                <w:szCs w:val="20"/>
                <w:lang w:val="fr-FR"/>
              </w:rPr>
            </w:pPr>
            <w:proofErr w:type="spellStart"/>
            <w:r w:rsidRPr="00F7150E">
              <w:rPr>
                <w:rFonts w:eastAsia="Aptos" w:cs="Arial"/>
                <w:i/>
                <w:iCs/>
                <w:sz w:val="20"/>
                <w:szCs w:val="20"/>
                <w:lang w:val="fr-FR"/>
              </w:rPr>
              <w:t>Rés</w:t>
            </w:r>
            <w:proofErr w:type="spellEnd"/>
            <w:r w:rsidRPr="00F7150E">
              <w:rPr>
                <w:rFonts w:eastAsia="Aptos" w:cs="Arial"/>
                <w:i/>
                <w:iCs/>
                <w:sz w:val="20"/>
                <w:szCs w:val="20"/>
                <w:lang w:val="fr-FR"/>
              </w:rPr>
              <w:t>. 14.18 Grippe aviaire</w:t>
            </w:r>
          </w:p>
          <w:p w14:paraId="5C24EB33" w14:textId="77777777" w:rsidR="00D15F48" w:rsidRPr="00F7150E" w:rsidRDefault="00D15F48" w:rsidP="007B1F8A">
            <w:pPr>
              <w:spacing w:before="40" w:after="40"/>
              <w:cnfStyle w:val="000000000000" w:firstRow="0" w:lastRow="0" w:firstColumn="0" w:lastColumn="0" w:oddVBand="0" w:evenVBand="0" w:oddHBand="0" w:evenHBand="0" w:firstRowFirstColumn="0" w:firstRowLastColumn="0" w:lastRowFirstColumn="0" w:lastRowLastColumn="0"/>
              <w:rPr>
                <w:rFonts w:eastAsia="Aptos" w:cs="Arial"/>
                <w:i/>
                <w:iCs/>
                <w:sz w:val="20"/>
                <w:szCs w:val="20"/>
                <w:lang w:val="fr-FR"/>
              </w:rPr>
            </w:pPr>
          </w:p>
          <w:p w14:paraId="0F5FF4F9" w14:textId="77777777" w:rsidR="00D15F48" w:rsidRPr="00F7150E" w:rsidRDefault="00230579" w:rsidP="007B1F8A">
            <w:pPr>
              <w:spacing w:before="40" w:after="40"/>
              <w:cnfStyle w:val="000000000000" w:firstRow="0" w:lastRow="0" w:firstColumn="0" w:lastColumn="0" w:oddVBand="0" w:evenVBand="0" w:oddHBand="0" w:evenHBand="0" w:firstRowFirstColumn="0" w:firstRowLastColumn="0" w:lastRowFirstColumn="0" w:lastRowLastColumn="0"/>
              <w:rPr>
                <w:rFonts w:eastAsia="Aptos" w:cs="Arial"/>
                <w:i/>
                <w:iCs/>
                <w:sz w:val="20"/>
                <w:szCs w:val="20"/>
                <w:lang w:val="fr-FR"/>
              </w:rPr>
            </w:pPr>
            <w:proofErr w:type="spellStart"/>
            <w:r w:rsidRPr="00F7150E">
              <w:rPr>
                <w:rFonts w:eastAsia="Aptos" w:cs="Arial"/>
                <w:i/>
                <w:iCs/>
                <w:sz w:val="20"/>
                <w:szCs w:val="20"/>
                <w:lang w:val="fr-FR"/>
              </w:rPr>
              <w:t>Rés</w:t>
            </w:r>
            <w:proofErr w:type="spellEnd"/>
            <w:r w:rsidRPr="00F7150E">
              <w:rPr>
                <w:rFonts w:eastAsia="Aptos" w:cs="Arial"/>
                <w:i/>
                <w:iCs/>
                <w:sz w:val="20"/>
                <w:szCs w:val="20"/>
                <w:lang w:val="fr-FR"/>
              </w:rPr>
              <w:t>. 12.6 (Rev.COP14) Santé de la faune sauvage et espèces migratrices</w:t>
            </w:r>
          </w:p>
          <w:p w14:paraId="6F45A814" w14:textId="77777777" w:rsidR="00D15F48" w:rsidRPr="00F7150E" w:rsidRDefault="00D15F48" w:rsidP="007B1F8A">
            <w:pPr>
              <w:spacing w:before="40" w:after="40"/>
              <w:cnfStyle w:val="000000000000" w:firstRow="0" w:lastRow="0" w:firstColumn="0" w:lastColumn="0" w:oddVBand="0" w:evenVBand="0" w:oddHBand="0" w:evenHBand="0" w:firstRowFirstColumn="0" w:firstRowLastColumn="0" w:lastRowFirstColumn="0" w:lastRowLastColumn="0"/>
              <w:rPr>
                <w:rFonts w:eastAsia="Aptos" w:cs="Arial"/>
                <w:i/>
                <w:iCs/>
                <w:sz w:val="20"/>
                <w:szCs w:val="20"/>
                <w:lang w:val="fr-FR"/>
              </w:rPr>
            </w:pPr>
          </w:p>
          <w:p w14:paraId="5E4E0D3C" w14:textId="77777777" w:rsidR="00D15F48" w:rsidRPr="00F7150E" w:rsidRDefault="00230579" w:rsidP="007B1F8A">
            <w:pPr>
              <w:spacing w:before="40" w:after="40"/>
              <w:cnfStyle w:val="000000000000" w:firstRow="0" w:lastRow="0" w:firstColumn="0" w:lastColumn="0" w:oddVBand="0" w:evenVBand="0" w:oddHBand="0" w:evenHBand="0" w:firstRowFirstColumn="0" w:firstRowLastColumn="0" w:lastRowFirstColumn="0" w:lastRowLastColumn="0"/>
              <w:rPr>
                <w:rFonts w:eastAsia="Aptos" w:cs="Arial"/>
                <w:i/>
                <w:iCs/>
                <w:sz w:val="20"/>
                <w:szCs w:val="20"/>
                <w:lang w:val="fr-FR"/>
              </w:rPr>
            </w:pPr>
            <w:r w:rsidRPr="00F7150E">
              <w:rPr>
                <w:rFonts w:eastAsia="Aptos" w:cs="Arial"/>
                <w:i/>
                <w:iCs/>
                <w:sz w:val="20"/>
                <w:szCs w:val="20"/>
                <w:lang w:val="fr-FR"/>
              </w:rPr>
              <w:t>SPMS, Cibles 3.1, 3.2, 3.3, 3.4 et 3.5</w:t>
            </w:r>
          </w:p>
        </w:tc>
        <w:tc>
          <w:tcPr>
            <w:tcW w:w="1134" w:type="dxa"/>
          </w:tcPr>
          <w:p w14:paraId="735EAE4E" w14:textId="77777777" w:rsidR="00D15F48" w:rsidRPr="00F7150E" w:rsidRDefault="00230579" w:rsidP="007B1F8A">
            <w:pPr>
              <w:spacing w:before="40" w:after="40"/>
              <w:cnfStyle w:val="000000000000" w:firstRow="0" w:lastRow="0" w:firstColumn="0" w:lastColumn="0" w:oddVBand="0" w:evenVBand="0" w:oddHBand="0" w:evenHBand="0" w:firstRowFirstColumn="0" w:firstRowLastColumn="0" w:lastRowFirstColumn="0" w:lastRowLastColumn="0"/>
              <w:rPr>
                <w:rFonts w:eastAsia="Aptos" w:cs="Arial"/>
                <w:i/>
                <w:iCs/>
                <w:sz w:val="20"/>
                <w:szCs w:val="20"/>
                <w:lang w:val="fr-FR"/>
              </w:rPr>
            </w:pPr>
            <w:r w:rsidRPr="00F7150E">
              <w:rPr>
                <w:rFonts w:eastAsia="Aptos" w:cs="Arial"/>
                <w:i/>
                <w:iCs/>
                <w:sz w:val="20"/>
                <w:szCs w:val="20"/>
                <w:lang w:val="fr-FR"/>
              </w:rPr>
              <w:t>2026-2029</w:t>
            </w:r>
          </w:p>
        </w:tc>
        <w:tc>
          <w:tcPr>
            <w:tcW w:w="2410" w:type="dxa"/>
          </w:tcPr>
          <w:p w14:paraId="1251DBAD" w14:textId="77777777" w:rsidR="00D15F48" w:rsidRPr="00F7150E" w:rsidRDefault="00230579" w:rsidP="007B1F8A">
            <w:pPr>
              <w:spacing w:before="40" w:after="40"/>
              <w:cnfStyle w:val="000000000000" w:firstRow="0" w:lastRow="0" w:firstColumn="0" w:lastColumn="0" w:oddVBand="0" w:evenVBand="0" w:oddHBand="0" w:evenHBand="0" w:firstRowFirstColumn="0" w:firstRowLastColumn="0" w:lastRowFirstColumn="0" w:lastRowLastColumn="0"/>
              <w:rPr>
                <w:rFonts w:eastAsia="Aptos" w:cs="Arial"/>
                <w:i/>
                <w:iCs/>
                <w:sz w:val="20"/>
                <w:szCs w:val="20"/>
                <w:lang w:val="fr-FR"/>
              </w:rPr>
            </w:pPr>
            <w:r w:rsidRPr="00F7150E">
              <w:rPr>
                <w:rFonts w:eastAsia="Aptos" w:cs="Arial"/>
                <w:i/>
                <w:iCs/>
                <w:sz w:val="20"/>
                <w:szCs w:val="20"/>
                <w:lang w:val="fr-FR"/>
              </w:rPr>
              <w:t>Groupe de travail sur les voies de migration (chef de file)</w:t>
            </w:r>
          </w:p>
          <w:p w14:paraId="696540B4" w14:textId="77777777" w:rsidR="00D15F48" w:rsidRPr="00F7150E" w:rsidRDefault="00D15F48" w:rsidP="007B1F8A">
            <w:pPr>
              <w:spacing w:before="40" w:after="40"/>
              <w:cnfStyle w:val="000000000000" w:firstRow="0" w:lastRow="0" w:firstColumn="0" w:lastColumn="0" w:oddVBand="0" w:evenVBand="0" w:oddHBand="0" w:evenHBand="0" w:firstRowFirstColumn="0" w:firstRowLastColumn="0" w:lastRowFirstColumn="0" w:lastRowLastColumn="0"/>
              <w:rPr>
                <w:rFonts w:eastAsia="Aptos" w:cs="Arial"/>
                <w:i/>
                <w:iCs/>
                <w:sz w:val="20"/>
                <w:szCs w:val="20"/>
                <w:lang w:val="fr-FR"/>
              </w:rPr>
            </w:pPr>
          </w:p>
          <w:p w14:paraId="6C7036D1" w14:textId="77777777" w:rsidR="00D15F48" w:rsidRPr="00F7150E" w:rsidRDefault="00230579" w:rsidP="007B1F8A">
            <w:pPr>
              <w:spacing w:before="40" w:after="40"/>
              <w:cnfStyle w:val="000000000000" w:firstRow="0" w:lastRow="0" w:firstColumn="0" w:lastColumn="0" w:oddVBand="0" w:evenVBand="0" w:oddHBand="0" w:evenHBand="0" w:firstRowFirstColumn="0" w:firstRowLastColumn="0" w:lastRowFirstColumn="0" w:lastRowLastColumn="0"/>
              <w:rPr>
                <w:rFonts w:eastAsia="Aptos" w:cs="Arial"/>
                <w:i/>
                <w:iCs/>
                <w:sz w:val="20"/>
                <w:szCs w:val="20"/>
                <w:lang w:val="fr-FR"/>
              </w:rPr>
            </w:pPr>
            <w:r w:rsidRPr="00F7150E">
              <w:rPr>
                <w:rFonts w:eastAsia="Aptos" w:cs="Arial"/>
                <w:i/>
                <w:iCs/>
                <w:sz w:val="20"/>
                <w:szCs w:val="20"/>
                <w:lang w:val="fr-FR"/>
              </w:rPr>
              <w:t>Secrétariat (soutien)</w:t>
            </w:r>
          </w:p>
        </w:tc>
        <w:tc>
          <w:tcPr>
            <w:tcW w:w="1417" w:type="dxa"/>
          </w:tcPr>
          <w:p w14:paraId="27F3F2AD" w14:textId="77777777" w:rsidR="00D15F48" w:rsidRPr="00F7150E" w:rsidRDefault="00230579" w:rsidP="007B1F8A">
            <w:pPr>
              <w:spacing w:before="40" w:after="40"/>
              <w:cnfStyle w:val="000000000000" w:firstRow="0" w:lastRow="0" w:firstColumn="0" w:lastColumn="0" w:oddVBand="0" w:evenVBand="0" w:oddHBand="0" w:evenHBand="0" w:firstRowFirstColumn="0" w:firstRowLastColumn="0" w:lastRowFirstColumn="0" w:lastRowLastColumn="0"/>
              <w:rPr>
                <w:rFonts w:eastAsia="Aptos" w:cs="Arial"/>
                <w:i/>
                <w:iCs/>
                <w:sz w:val="20"/>
                <w:szCs w:val="20"/>
                <w:lang w:val="fr-FR"/>
              </w:rPr>
            </w:pPr>
            <w:r w:rsidRPr="00F7150E">
              <w:rPr>
                <w:rFonts w:eastAsia="Aptos" w:cs="Arial"/>
                <w:i/>
                <w:iCs/>
                <w:sz w:val="20"/>
                <w:szCs w:val="20"/>
                <w:lang w:val="fr-FR"/>
              </w:rPr>
              <w:t>En nature</w:t>
            </w:r>
          </w:p>
          <w:p w14:paraId="54B1AF56" w14:textId="77777777" w:rsidR="00D15F48" w:rsidRPr="00F7150E" w:rsidRDefault="00D15F48" w:rsidP="007B1F8A">
            <w:pPr>
              <w:spacing w:before="40" w:after="40"/>
              <w:cnfStyle w:val="000000000000" w:firstRow="0" w:lastRow="0" w:firstColumn="0" w:lastColumn="0" w:oddVBand="0" w:evenVBand="0" w:oddHBand="0" w:evenHBand="0" w:firstRowFirstColumn="0" w:firstRowLastColumn="0" w:lastRowFirstColumn="0" w:lastRowLastColumn="0"/>
              <w:rPr>
                <w:rFonts w:eastAsia="Aptos" w:cs="Arial"/>
                <w:i/>
                <w:iCs/>
                <w:sz w:val="20"/>
                <w:szCs w:val="20"/>
                <w:lang w:val="fr-FR"/>
              </w:rPr>
            </w:pPr>
          </w:p>
          <w:p w14:paraId="3FA063F0" w14:textId="77777777" w:rsidR="00D15F48" w:rsidRPr="00F7150E" w:rsidRDefault="00D15F48" w:rsidP="007B1F8A">
            <w:pPr>
              <w:spacing w:before="40" w:after="40"/>
              <w:cnfStyle w:val="000000000000" w:firstRow="0" w:lastRow="0" w:firstColumn="0" w:lastColumn="0" w:oddVBand="0" w:evenVBand="0" w:oddHBand="0" w:evenHBand="0" w:firstRowFirstColumn="0" w:firstRowLastColumn="0" w:lastRowFirstColumn="0" w:lastRowLastColumn="0"/>
              <w:rPr>
                <w:rFonts w:eastAsia="Aptos" w:cs="Arial"/>
                <w:i/>
                <w:iCs/>
                <w:sz w:val="20"/>
                <w:szCs w:val="20"/>
                <w:lang w:val="fr-FR"/>
              </w:rPr>
            </w:pPr>
          </w:p>
          <w:p w14:paraId="0726C508" w14:textId="77777777" w:rsidR="00D15F48" w:rsidRPr="00F7150E" w:rsidRDefault="00D15F48" w:rsidP="007B1F8A">
            <w:pPr>
              <w:spacing w:before="40" w:after="40"/>
              <w:cnfStyle w:val="000000000000" w:firstRow="0" w:lastRow="0" w:firstColumn="0" w:lastColumn="0" w:oddVBand="0" w:evenVBand="0" w:oddHBand="0" w:evenHBand="0" w:firstRowFirstColumn="0" w:firstRowLastColumn="0" w:lastRowFirstColumn="0" w:lastRowLastColumn="0"/>
              <w:rPr>
                <w:rFonts w:eastAsia="Aptos" w:cs="Arial"/>
                <w:i/>
                <w:iCs/>
                <w:sz w:val="20"/>
                <w:szCs w:val="20"/>
                <w:lang w:val="fr-FR"/>
              </w:rPr>
            </w:pPr>
          </w:p>
          <w:p w14:paraId="75618B63" w14:textId="77777777" w:rsidR="00D15F48" w:rsidRPr="00F7150E" w:rsidRDefault="00D15F48" w:rsidP="007B1F8A">
            <w:pPr>
              <w:spacing w:before="40" w:after="40"/>
              <w:cnfStyle w:val="000000000000" w:firstRow="0" w:lastRow="0" w:firstColumn="0" w:lastColumn="0" w:oddVBand="0" w:evenVBand="0" w:oddHBand="0" w:evenHBand="0" w:firstRowFirstColumn="0" w:firstRowLastColumn="0" w:lastRowFirstColumn="0" w:lastRowLastColumn="0"/>
              <w:rPr>
                <w:rFonts w:eastAsia="Aptos" w:cs="Arial"/>
                <w:i/>
                <w:iCs/>
                <w:sz w:val="20"/>
                <w:szCs w:val="20"/>
                <w:lang w:val="fr-FR"/>
              </w:rPr>
            </w:pPr>
          </w:p>
          <w:p w14:paraId="3A2D39BE" w14:textId="77777777" w:rsidR="00D15F48" w:rsidRPr="00F7150E" w:rsidRDefault="00D15F48" w:rsidP="007B1F8A">
            <w:pPr>
              <w:spacing w:before="40" w:after="40"/>
              <w:cnfStyle w:val="000000000000" w:firstRow="0" w:lastRow="0" w:firstColumn="0" w:lastColumn="0" w:oddVBand="0" w:evenVBand="0" w:oddHBand="0" w:evenHBand="0" w:firstRowFirstColumn="0" w:firstRowLastColumn="0" w:lastRowFirstColumn="0" w:lastRowLastColumn="0"/>
              <w:rPr>
                <w:rFonts w:eastAsia="Aptos" w:cs="Arial"/>
                <w:i/>
                <w:iCs/>
                <w:sz w:val="20"/>
                <w:szCs w:val="20"/>
                <w:lang w:val="fr-FR"/>
              </w:rPr>
            </w:pPr>
          </w:p>
          <w:p w14:paraId="740D13B3" w14:textId="77777777" w:rsidR="00D15F48" w:rsidRPr="00F7150E" w:rsidRDefault="00D15F48" w:rsidP="007B1F8A">
            <w:pPr>
              <w:spacing w:before="40" w:after="40"/>
              <w:cnfStyle w:val="000000000000" w:firstRow="0" w:lastRow="0" w:firstColumn="0" w:lastColumn="0" w:oddVBand="0" w:evenVBand="0" w:oddHBand="0" w:evenHBand="0" w:firstRowFirstColumn="0" w:firstRowLastColumn="0" w:lastRowFirstColumn="0" w:lastRowLastColumn="0"/>
              <w:rPr>
                <w:rFonts w:eastAsia="Aptos" w:cs="Arial"/>
                <w:i/>
                <w:iCs/>
                <w:sz w:val="20"/>
                <w:szCs w:val="20"/>
                <w:lang w:val="fr-FR"/>
              </w:rPr>
            </w:pPr>
          </w:p>
          <w:p w14:paraId="34B9A686" w14:textId="77777777" w:rsidR="00D15F48" w:rsidRPr="00F7150E" w:rsidRDefault="00230579" w:rsidP="007B1F8A">
            <w:pPr>
              <w:spacing w:before="40" w:after="40"/>
              <w:cnfStyle w:val="000000000000" w:firstRow="0" w:lastRow="0" w:firstColumn="0" w:lastColumn="0" w:oddVBand="0" w:evenVBand="0" w:oddHBand="0" w:evenHBand="0" w:firstRowFirstColumn="0" w:firstRowLastColumn="0" w:lastRowFirstColumn="0" w:lastRowLastColumn="0"/>
              <w:rPr>
                <w:rFonts w:eastAsia="Aptos" w:cs="Arial"/>
                <w:sz w:val="20"/>
                <w:szCs w:val="20"/>
                <w:lang w:val="fr-FR"/>
              </w:rPr>
            </w:pPr>
            <w:r w:rsidRPr="00F7150E">
              <w:rPr>
                <w:rFonts w:eastAsia="Aptos" w:cs="Arial"/>
                <w:i/>
                <w:iCs/>
                <w:sz w:val="20"/>
                <w:szCs w:val="20"/>
                <w:lang w:val="fr-FR"/>
              </w:rPr>
              <w:t>Sous réserve de ressources externes</w:t>
            </w:r>
          </w:p>
        </w:tc>
      </w:tr>
      <w:tr w:rsidR="00D15F48" w:rsidRPr="00F7150E" w14:paraId="780E68C5" w14:textId="77777777" w:rsidTr="0063143D">
        <w:trPr>
          <w:cantSplit/>
        </w:trPr>
        <w:tc>
          <w:tcPr>
            <w:cnfStyle w:val="001000000000" w:firstRow="0" w:lastRow="0" w:firstColumn="1" w:lastColumn="0" w:oddVBand="0" w:evenVBand="0" w:oddHBand="0" w:evenHBand="0" w:firstRowFirstColumn="0" w:firstRowLastColumn="0" w:lastRowFirstColumn="0" w:lastRowLastColumn="0"/>
            <w:tcW w:w="2518" w:type="dxa"/>
          </w:tcPr>
          <w:p w14:paraId="28D38AF5" w14:textId="77777777" w:rsidR="00D15F48" w:rsidRPr="00F7150E" w:rsidRDefault="00230579" w:rsidP="007B1F8A">
            <w:pPr>
              <w:tabs>
                <w:tab w:val="left" w:pos="1601"/>
              </w:tabs>
              <w:spacing w:before="40" w:after="40"/>
              <w:rPr>
                <w:i/>
                <w:sz w:val="20"/>
                <w:szCs w:val="20"/>
                <w:lang w:val="fr-FR"/>
              </w:rPr>
            </w:pPr>
            <w:r w:rsidRPr="00F7150E">
              <w:rPr>
                <w:i/>
                <w:sz w:val="20"/>
                <w:szCs w:val="20"/>
                <w:lang w:val="fr-FR"/>
              </w:rPr>
              <w:lastRenderedPageBreak/>
              <w:t>1.4 Soutenir l’opérationnalisation</w:t>
            </w:r>
            <w:r w:rsidRPr="00F7150E">
              <w:rPr>
                <w:sz w:val="20"/>
                <w:szCs w:val="20"/>
                <w:lang w:val="fr-FR"/>
              </w:rPr>
              <w:t xml:space="preserve"> </w:t>
            </w:r>
            <w:r w:rsidRPr="00F7150E">
              <w:rPr>
                <w:i/>
                <w:sz w:val="20"/>
                <w:szCs w:val="20"/>
                <w:lang w:val="fr-FR"/>
              </w:rPr>
              <w:t>du Groupe d’étude sur le plomb de la CMS et réexaminer les attributions du Groupe de travail sur la prévention de l’empoisonnement des oiseaux migrateurs en vue d’une éventuelle réaffectation du travail</w:t>
            </w:r>
          </w:p>
        </w:tc>
        <w:tc>
          <w:tcPr>
            <w:tcW w:w="5245" w:type="dxa"/>
          </w:tcPr>
          <w:p w14:paraId="5686916D" w14:textId="77777777" w:rsidR="00D15F48" w:rsidRPr="00F7150E" w:rsidRDefault="00230579" w:rsidP="007B1F8A">
            <w:pPr>
              <w:spacing w:before="40" w:after="40"/>
              <w:jc w:val="both"/>
              <w:cnfStyle w:val="000000000000" w:firstRow="0" w:lastRow="0" w:firstColumn="0" w:lastColumn="0" w:oddVBand="0" w:evenVBand="0" w:oddHBand="0" w:evenHBand="0" w:firstRowFirstColumn="0" w:firstRowLastColumn="0" w:lastRowFirstColumn="0" w:lastRowLastColumn="0"/>
              <w:rPr>
                <w:rFonts w:eastAsia="Aptos" w:cs="Arial"/>
                <w:i/>
                <w:iCs/>
                <w:sz w:val="20"/>
                <w:szCs w:val="20"/>
                <w:lang w:val="fr-FR"/>
              </w:rPr>
            </w:pPr>
            <w:r w:rsidRPr="00F7150E">
              <w:rPr>
                <w:rFonts w:eastAsia="Aptos" w:cs="Arial"/>
                <w:i/>
                <w:iCs/>
                <w:sz w:val="20"/>
                <w:szCs w:val="20"/>
                <w:lang w:val="fr-FR"/>
              </w:rPr>
              <w:t>Soutenir la mise en œuvre des Lignes directrices sur la prévention de l’empoisonnement dans toutes les voies de migration.</w:t>
            </w:r>
          </w:p>
          <w:p w14:paraId="0385D3D3" w14:textId="77777777" w:rsidR="00D15F48" w:rsidRPr="00F7150E" w:rsidRDefault="00230579" w:rsidP="007B1F8A">
            <w:pPr>
              <w:spacing w:before="40" w:after="40"/>
              <w:jc w:val="both"/>
              <w:cnfStyle w:val="000000000000" w:firstRow="0" w:lastRow="0" w:firstColumn="0" w:lastColumn="0" w:oddVBand="0" w:evenVBand="0" w:oddHBand="0" w:evenHBand="0" w:firstRowFirstColumn="0" w:firstRowLastColumn="0" w:lastRowFirstColumn="0" w:lastRowLastColumn="0"/>
              <w:rPr>
                <w:i/>
                <w:sz w:val="20"/>
                <w:szCs w:val="20"/>
                <w:lang w:val="fr-FR"/>
              </w:rPr>
            </w:pPr>
            <w:r w:rsidRPr="00F7150E">
              <w:rPr>
                <w:sz w:val="20"/>
                <w:szCs w:val="20"/>
                <w:lang w:val="fr-FR"/>
              </w:rPr>
              <w:br/>
            </w:r>
            <w:r w:rsidRPr="00F7150E">
              <w:rPr>
                <w:i/>
                <w:iCs/>
                <w:sz w:val="20"/>
                <w:szCs w:val="20"/>
                <w:lang w:val="fr-FR"/>
              </w:rPr>
              <w:t>Soutenir un examen</w:t>
            </w:r>
            <w:r w:rsidRPr="00F7150E">
              <w:rPr>
                <w:sz w:val="20"/>
                <w:szCs w:val="20"/>
                <w:lang w:val="fr-FR"/>
              </w:rPr>
              <w:t xml:space="preserve"> </w:t>
            </w:r>
            <w:r w:rsidRPr="00F7150E">
              <w:rPr>
                <w:i/>
                <w:sz w:val="20"/>
                <w:szCs w:val="20"/>
                <w:lang w:val="fr-FR"/>
              </w:rPr>
              <w:t>du mandat du Groupe de travail sur la prévention de l’empoisonnement des oiseaux migrateurs de la CMS et contribuer à la définition de recommandations au Conseil scientifique sur la façon de faire avancer le travail qui a été mandaté, notamment, éventuellement : – recommander l’opérationnalisation du Groupe d’étude sur le plomb de la CMS.</w:t>
            </w:r>
          </w:p>
          <w:p w14:paraId="401BF53B" w14:textId="77777777" w:rsidR="00D15F48" w:rsidRPr="00F7150E" w:rsidRDefault="00230579" w:rsidP="007B1F8A">
            <w:pPr>
              <w:spacing w:before="40" w:after="40"/>
              <w:jc w:val="both"/>
              <w:cnfStyle w:val="000000000000" w:firstRow="0" w:lastRow="0" w:firstColumn="0" w:lastColumn="0" w:oddVBand="0" w:evenVBand="0" w:oddHBand="0" w:evenHBand="0" w:firstRowFirstColumn="0" w:firstRowLastColumn="0" w:lastRowFirstColumn="0" w:lastRowLastColumn="0"/>
              <w:rPr>
                <w:i/>
                <w:sz w:val="20"/>
                <w:szCs w:val="20"/>
                <w:lang w:val="fr-FR"/>
              </w:rPr>
            </w:pPr>
            <w:r w:rsidRPr="00F7150E">
              <w:rPr>
                <w:i/>
                <w:sz w:val="20"/>
                <w:szCs w:val="20"/>
                <w:lang w:val="fr-FR"/>
              </w:rPr>
              <w:t>– recommander l’établissement et la mise en œuvre du Groupe de travail sur les vautours de la CMS, dont le champ d’application peut inclure le mandat du Groupe de travail sur la prévention de l’empoisonnement par les médicaments anti-inflammatoires non stéroïdiens.</w:t>
            </w:r>
          </w:p>
          <w:p w14:paraId="0B9BBF63" w14:textId="77777777" w:rsidR="00D15F48" w:rsidRPr="00F7150E" w:rsidRDefault="00230579" w:rsidP="007B1F8A">
            <w:pPr>
              <w:spacing w:before="40" w:after="40"/>
              <w:jc w:val="both"/>
              <w:cnfStyle w:val="000000000000" w:firstRow="0" w:lastRow="0" w:firstColumn="0" w:lastColumn="0" w:oddVBand="0" w:evenVBand="0" w:oddHBand="0" w:evenHBand="0" w:firstRowFirstColumn="0" w:firstRowLastColumn="0" w:lastRowFirstColumn="0" w:lastRowLastColumn="0"/>
              <w:rPr>
                <w:rFonts w:eastAsia="Aptos" w:cs="Arial"/>
                <w:i/>
                <w:iCs/>
                <w:sz w:val="20"/>
                <w:szCs w:val="20"/>
                <w:lang w:val="fr-FR"/>
              </w:rPr>
            </w:pPr>
            <w:r w:rsidRPr="00F7150E">
              <w:rPr>
                <w:rFonts w:eastAsia="Aptos" w:cs="Arial"/>
                <w:i/>
                <w:iCs/>
                <w:sz w:val="20"/>
                <w:szCs w:val="20"/>
                <w:lang w:val="fr-FR"/>
              </w:rPr>
              <w:t>– recommander que les Groupes d’étude sur les prélèvements illégaux, le Groupe de travail sur les vautours, l’Initiative sur les voies de migration d’Asie centrale et le Cadre des voies de migration des Amériques de la CMS envisagent de mettre en œuvre le mandat du Groupe de travail sur la prévention de l’empoisonnement au moyen d’appâts empoisonnés.</w:t>
            </w:r>
          </w:p>
          <w:p w14:paraId="710A0278" w14:textId="77777777" w:rsidR="00D15F48" w:rsidRPr="00F7150E" w:rsidRDefault="00230579" w:rsidP="007B1F8A">
            <w:pPr>
              <w:spacing w:before="40" w:after="40"/>
              <w:jc w:val="both"/>
              <w:cnfStyle w:val="000000000000" w:firstRow="0" w:lastRow="0" w:firstColumn="0" w:lastColumn="0" w:oddVBand="0" w:evenVBand="0" w:oddHBand="0" w:evenHBand="0" w:firstRowFirstColumn="0" w:firstRowLastColumn="0" w:lastRowFirstColumn="0" w:lastRowLastColumn="0"/>
              <w:rPr>
                <w:rFonts w:eastAsia="Aptos" w:cs="Arial"/>
                <w:i/>
                <w:iCs/>
                <w:sz w:val="20"/>
                <w:szCs w:val="20"/>
                <w:lang w:val="fr-FR"/>
              </w:rPr>
            </w:pPr>
            <w:r w:rsidRPr="00F7150E">
              <w:rPr>
                <w:rFonts w:eastAsia="Aptos" w:cs="Arial"/>
                <w:i/>
                <w:iCs/>
                <w:sz w:val="20"/>
                <w:szCs w:val="20"/>
                <w:lang w:val="fr-FR"/>
              </w:rPr>
              <w:t xml:space="preserve">– recommander que le </w:t>
            </w:r>
            <w:proofErr w:type="spellStart"/>
            <w:r w:rsidRPr="00F7150E">
              <w:rPr>
                <w:rFonts w:eastAsia="Aptos" w:cs="Arial"/>
                <w:i/>
                <w:iCs/>
                <w:sz w:val="20"/>
                <w:szCs w:val="20"/>
                <w:lang w:val="fr-FR"/>
              </w:rPr>
              <w:t>MdE</w:t>
            </w:r>
            <w:proofErr w:type="spellEnd"/>
            <w:r w:rsidRPr="00F7150E">
              <w:rPr>
                <w:rFonts w:eastAsia="Aptos" w:cs="Arial"/>
                <w:i/>
                <w:iCs/>
                <w:sz w:val="20"/>
                <w:szCs w:val="20"/>
                <w:lang w:val="fr-FR"/>
              </w:rPr>
              <w:t xml:space="preserve"> Rapaces et le Cadre des voies de migration des Amériques envisagent de mettre en œuvre le mandat du Groupe de travail sur la prévention de l’empoisonnement par les rodenticides.</w:t>
            </w:r>
          </w:p>
          <w:p w14:paraId="280D96B4" w14:textId="77777777" w:rsidR="00D15F48" w:rsidRPr="00F7150E" w:rsidRDefault="00D15F48" w:rsidP="007B1F8A">
            <w:pPr>
              <w:spacing w:before="40" w:after="40"/>
              <w:jc w:val="both"/>
              <w:cnfStyle w:val="000000000000" w:firstRow="0" w:lastRow="0" w:firstColumn="0" w:lastColumn="0" w:oddVBand="0" w:evenVBand="0" w:oddHBand="0" w:evenHBand="0" w:firstRowFirstColumn="0" w:firstRowLastColumn="0" w:lastRowFirstColumn="0" w:lastRowLastColumn="0"/>
              <w:rPr>
                <w:rFonts w:eastAsia="Aptos" w:cs="Arial"/>
                <w:i/>
                <w:iCs/>
                <w:sz w:val="20"/>
                <w:szCs w:val="20"/>
                <w:lang w:val="fr-FR"/>
              </w:rPr>
            </w:pPr>
          </w:p>
          <w:p w14:paraId="2C5B3A74" w14:textId="77777777" w:rsidR="00D15F48" w:rsidRPr="00F7150E" w:rsidRDefault="00230579" w:rsidP="007B1F8A">
            <w:pPr>
              <w:spacing w:before="40" w:after="40"/>
              <w:jc w:val="both"/>
              <w:cnfStyle w:val="000000000000" w:firstRow="0" w:lastRow="0" w:firstColumn="0" w:lastColumn="0" w:oddVBand="0" w:evenVBand="0" w:oddHBand="0" w:evenHBand="0" w:firstRowFirstColumn="0" w:firstRowLastColumn="0" w:lastRowFirstColumn="0" w:lastRowLastColumn="0"/>
              <w:rPr>
                <w:i/>
                <w:sz w:val="20"/>
                <w:szCs w:val="20"/>
                <w:lang w:val="fr-FR"/>
              </w:rPr>
            </w:pPr>
            <w:r w:rsidRPr="00F7150E">
              <w:rPr>
                <w:i/>
                <w:sz w:val="20"/>
                <w:szCs w:val="20"/>
                <w:lang w:val="fr-FR"/>
              </w:rPr>
              <w:t>Soutenir une discussion au sein du Groupe de travail sur les oiseaux migrateurs d’Afrique-Eurasie concernant une action sur la réduction au minimum de l’impact des pesticides agricoles sur les oiseaux terrestres conformément au Plan d’action pour les oiseaux terrestres migrateurs d’Afrique-Eurasie, y compris la prise en considération du mandat du Groupe de travail sur la prévention de l’empoisonnement par les pesticides.</w:t>
            </w:r>
          </w:p>
        </w:tc>
        <w:tc>
          <w:tcPr>
            <w:tcW w:w="1701" w:type="dxa"/>
          </w:tcPr>
          <w:p w14:paraId="42DE3D6C" w14:textId="77777777" w:rsidR="00D15F48" w:rsidRPr="00F7150E" w:rsidRDefault="00230579" w:rsidP="007B1F8A">
            <w:pPr>
              <w:spacing w:before="40" w:after="40"/>
              <w:cnfStyle w:val="000000000000" w:firstRow="0" w:lastRow="0" w:firstColumn="0" w:lastColumn="0" w:oddVBand="0" w:evenVBand="0" w:oddHBand="0" w:evenHBand="0" w:firstRowFirstColumn="0" w:firstRowLastColumn="0" w:lastRowFirstColumn="0" w:lastRowLastColumn="0"/>
              <w:rPr>
                <w:rFonts w:eastAsia="Aptos" w:cs="Arial"/>
                <w:i/>
                <w:iCs/>
                <w:sz w:val="20"/>
                <w:szCs w:val="20"/>
                <w:lang w:val="fr-FR"/>
              </w:rPr>
            </w:pPr>
            <w:proofErr w:type="spellStart"/>
            <w:r w:rsidRPr="00F7150E">
              <w:rPr>
                <w:rFonts w:eastAsia="Aptos" w:cs="Arial"/>
                <w:i/>
                <w:iCs/>
                <w:sz w:val="20"/>
                <w:szCs w:val="20"/>
                <w:lang w:val="fr-FR"/>
              </w:rPr>
              <w:t>Rés</w:t>
            </w:r>
            <w:proofErr w:type="spellEnd"/>
            <w:r w:rsidRPr="00F7150E">
              <w:rPr>
                <w:rFonts w:eastAsia="Aptos" w:cs="Arial"/>
                <w:i/>
                <w:iCs/>
                <w:sz w:val="20"/>
                <w:szCs w:val="20"/>
                <w:lang w:val="fr-FR"/>
              </w:rPr>
              <w:t>. 11.15 (Rev.COP14) Prévenir l’empoisonnement des oiseaux migrateurs</w:t>
            </w:r>
          </w:p>
          <w:p w14:paraId="62E7246F" w14:textId="77777777" w:rsidR="00D15F48" w:rsidRPr="00F7150E" w:rsidRDefault="00D15F48" w:rsidP="007B1F8A">
            <w:pPr>
              <w:spacing w:before="40" w:after="40"/>
              <w:cnfStyle w:val="000000000000" w:firstRow="0" w:lastRow="0" w:firstColumn="0" w:lastColumn="0" w:oddVBand="0" w:evenVBand="0" w:oddHBand="0" w:evenHBand="0" w:firstRowFirstColumn="0" w:firstRowLastColumn="0" w:lastRowFirstColumn="0" w:lastRowLastColumn="0"/>
              <w:rPr>
                <w:rFonts w:eastAsia="Aptos" w:cs="Arial"/>
                <w:i/>
                <w:iCs/>
                <w:sz w:val="20"/>
                <w:szCs w:val="20"/>
                <w:lang w:val="fr-FR"/>
              </w:rPr>
            </w:pPr>
          </w:p>
          <w:p w14:paraId="586DAC1C" w14:textId="77777777" w:rsidR="00D15F48" w:rsidRPr="00F7150E" w:rsidRDefault="00230579" w:rsidP="007B1F8A">
            <w:pPr>
              <w:spacing w:before="40" w:after="40"/>
              <w:cnfStyle w:val="000000000000" w:firstRow="0" w:lastRow="0" w:firstColumn="0" w:lastColumn="0" w:oddVBand="0" w:evenVBand="0" w:oddHBand="0" w:evenHBand="0" w:firstRowFirstColumn="0" w:firstRowLastColumn="0" w:lastRowFirstColumn="0" w:lastRowLastColumn="0"/>
              <w:rPr>
                <w:rFonts w:eastAsia="Aptos" w:cs="Arial"/>
                <w:i/>
                <w:iCs/>
                <w:sz w:val="20"/>
                <w:szCs w:val="20"/>
              </w:rPr>
            </w:pPr>
            <w:r w:rsidRPr="00F7150E">
              <w:rPr>
                <w:rFonts w:eastAsia="Aptos" w:cs="Arial"/>
                <w:i/>
                <w:iCs/>
                <w:sz w:val="20"/>
                <w:szCs w:val="20"/>
              </w:rPr>
              <w:t>AEMLAP</w:t>
            </w:r>
          </w:p>
          <w:p w14:paraId="02709CB2" w14:textId="77777777" w:rsidR="00D15F48" w:rsidRPr="00F7150E" w:rsidRDefault="00D15F48" w:rsidP="007B1F8A">
            <w:pPr>
              <w:spacing w:before="40" w:after="40"/>
              <w:cnfStyle w:val="000000000000" w:firstRow="0" w:lastRow="0" w:firstColumn="0" w:lastColumn="0" w:oddVBand="0" w:evenVBand="0" w:oddHBand="0" w:evenHBand="0" w:firstRowFirstColumn="0" w:firstRowLastColumn="0" w:lastRowFirstColumn="0" w:lastRowLastColumn="0"/>
              <w:rPr>
                <w:rFonts w:eastAsia="Aptos" w:cs="Arial"/>
                <w:i/>
                <w:iCs/>
                <w:sz w:val="20"/>
                <w:szCs w:val="20"/>
                <w:lang w:val="fr-FR"/>
              </w:rPr>
            </w:pPr>
          </w:p>
          <w:p w14:paraId="35380912" w14:textId="77777777" w:rsidR="00D15F48" w:rsidRPr="00F7150E" w:rsidRDefault="00230579" w:rsidP="007B1F8A">
            <w:pPr>
              <w:spacing w:before="40" w:after="40"/>
              <w:cnfStyle w:val="000000000000" w:firstRow="0" w:lastRow="0" w:firstColumn="0" w:lastColumn="0" w:oddVBand="0" w:evenVBand="0" w:oddHBand="0" w:evenHBand="0" w:firstRowFirstColumn="0" w:firstRowLastColumn="0" w:lastRowFirstColumn="0" w:lastRowLastColumn="0"/>
              <w:rPr>
                <w:rFonts w:eastAsia="Aptos" w:cs="Arial"/>
                <w:i/>
                <w:iCs/>
                <w:sz w:val="20"/>
                <w:szCs w:val="20"/>
                <w:lang w:val="fr-FR"/>
              </w:rPr>
            </w:pPr>
            <w:r w:rsidRPr="00F7150E">
              <w:rPr>
                <w:rFonts w:eastAsia="Aptos" w:cs="Arial"/>
                <w:i/>
                <w:iCs/>
                <w:sz w:val="20"/>
                <w:szCs w:val="20"/>
                <w:lang w:val="fr-FR"/>
              </w:rPr>
              <w:t>Décision 14.136</w:t>
            </w:r>
          </w:p>
          <w:p w14:paraId="41C0B80E" w14:textId="77777777" w:rsidR="00D15F48" w:rsidRPr="00F7150E" w:rsidRDefault="00D15F48" w:rsidP="007B1F8A">
            <w:pPr>
              <w:spacing w:before="40" w:after="40"/>
              <w:cnfStyle w:val="000000000000" w:firstRow="0" w:lastRow="0" w:firstColumn="0" w:lastColumn="0" w:oddVBand="0" w:evenVBand="0" w:oddHBand="0" w:evenHBand="0" w:firstRowFirstColumn="0" w:firstRowLastColumn="0" w:lastRowFirstColumn="0" w:lastRowLastColumn="0"/>
              <w:rPr>
                <w:rFonts w:eastAsia="Aptos" w:cs="Arial"/>
                <w:i/>
                <w:iCs/>
                <w:sz w:val="20"/>
                <w:szCs w:val="20"/>
                <w:lang w:val="fr-FR"/>
              </w:rPr>
            </w:pPr>
          </w:p>
          <w:p w14:paraId="1961CAA1" w14:textId="77777777" w:rsidR="00D15F48" w:rsidRPr="00F7150E" w:rsidRDefault="00230579" w:rsidP="007B1F8A">
            <w:pPr>
              <w:spacing w:before="40" w:after="40"/>
              <w:cnfStyle w:val="000000000000" w:firstRow="0" w:lastRow="0" w:firstColumn="0" w:lastColumn="0" w:oddVBand="0" w:evenVBand="0" w:oddHBand="0" w:evenHBand="0" w:firstRowFirstColumn="0" w:firstRowLastColumn="0" w:lastRowFirstColumn="0" w:lastRowLastColumn="0"/>
              <w:rPr>
                <w:rFonts w:eastAsia="Aptos" w:cs="Arial"/>
                <w:i/>
                <w:iCs/>
                <w:sz w:val="20"/>
                <w:szCs w:val="20"/>
                <w:lang w:val="fr-FR"/>
              </w:rPr>
            </w:pPr>
            <w:r w:rsidRPr="00F7150E">
              <w:rPr>
                <w:rFonts w:eastAsia="Aptos" w:cs="Arial"/>
                <w:i/>
                <w:iCs/>
                <w:sz w:val="20"/>
                <w:szCs w:val="20"/>
                <w:lang w:val="fr-FR"/>
              </w:rPr>
              <w:t>SPMS, Cible 3.3</w:t>
            </w:r>
          </w:p>
        </w:tc>
        <w:tc>
          <w:tcPr>
            <w:tcW w:w="1134" w:type="dxa"/>
          </w:tcPr>
          <w:p w14:paraId="57A73849" w14:textId="77777777" w:rsidR="00D15F48" w:rsidRPr="00F7150E" w:rsidRDefault="00230579" w:rsidP="007B1F8A">
            <w:pPr>
              <w:spacing w:before="40" w:after="40"/>
              <w:cnfStyle w:val="000000000000" w:firstRow="0" w:lastRow="0" w:firstColumn="0" w:lastColumn="0" w:oddVBand="0" w:evenVBand="0" w:oddHBand="0" w:evenHBand="0" w:firstRowFirstColumn="0" w:firstRowLastColumn="0" w:lastRowFirstColumn="0" w:lastRowLastColumn="0"/>
              <w:rPr>
                <w:rFonts w:eastAsia="Aptos" w:cs="Arial"/>
                <w:i/>
                <w:iCs/>
                <w:sz w:val="20"/>
                <w:szCs w:val="20"/>
                <w:lang w:val="fr-FR"/>
              </w:rPr>
            </w:pPr>
            <w:r w:rsidRPr="00F7150E">
              <w:rPr>
                <w:rFonts w:eastAsia="Aptos" w:cs="Arial"/>
                <w:i/>
                <w:iCs/>
                <w:sz w:val="20"/>
                <w:szCs w:val="20"/>
                <w:lang w:val="fr-FR"/>
              </w:rPr>
              <w:t>2026-2029</w:t>
            </w:r>
          </w:p>
        </w:tc>
        <w:tc>
          <w:tcPr>
            <w:tcW w:w="2410" w:type="dxa"/>
          </w:tcPr>
          <w:p w14:paraId="45273265" w14:textId="77777777" w:rsidR="00D15F48" w:rsidRPr="00F7150E" w:rsidRDefault="00230579" w:rsidP="007B1F8A">
            <w:pPr>
              <w:spacing w:before="40" w:after="40"/>
              <w:cnfStyle w:val="000000000000" w:firstRow="0" w:lastRow="0" w:firstColumn="0" w:lastColumn="0" w:oddVBand="0" w:evenVBand="0" w:oddHBand="0" w:evenHBand="0" w:firstRowFirstColumn="0" w:firstRowLastColumn="0" w:lastRowFirstColumn="0" w:lastRowLastColumn="0"/>
              <w:rPr>
                <w:rFonts w:eastAsia="Aptos" w:cs="Arial"/>
                <w:i/>
                <w:iCs/>
                <w:sz w:val="20"/>
                <w:szCs w:val="20"/>
                <w:lang w:val="fr-FR"/>
              </w:rPr>
            </w:pPr>
            <w:r w:rsidRPr="00F7150E">
              <w:rPr>
                <w:rFonts w:eastAsia="Aptos" w:cs="Arial"/>
                <w:i/>
                <w:iCs/>
                <w:sz w:val="20"/>
                <w:szCs w:val="20"/>
                <w:lang w:val="fr-FR"/>
              </w:rPr>
              <w:t>Groupe de travail sur les voies de migration, Parties concernées (chef de file)</w:t>
            </w:r>
          </w:p>
          <w:p w14:paraId="0BC5196C" w14:textId="77777777" w:rsidR="00D15F48" w:rsidRPr="00F7150E" w:rsidRDefault="00D15F48" w:rsidP="007B1F8A">
            <w:pPr>
              <w:spacing w:before="40" w:after="40"/>
              <w:cnfStyle w:val="000000000000" w:firstRow="0" w:lastRow="0" w:firstColumn="0" w:lastColumn="0" w:oddVBand="0" w:evenVBand="0" w:oddHBand="0" w:evenHBand="0" w:firstRowFirstColumn="0" w:firstRowLastColumn="0" w:lastRowFirstColumn="0" w:lastRowLastColumn="0"/>
              <w:rPr>
                <w:rFonts w:eastAsia="Aptos" w:cs="Arial"/>
                <w:i/>
                <w:iCs/>
                <w:sz w:val="20"/>
                <w:szCs w:val="20"/>
                <w:lang w:val="fr-FR"/>
              </w:rPr>
            </w:pPr>
          </w:p>
          <w:p w14:paraId="236CF7B6" w14:textId="77777777" w:rsidR="00D15F48" w:rsidRPr="00F7150E" w:rsidRDefault="00230579" w:rsidP="007B1F8A">
            <w:pPr>
              <w:spacing w:before="40" w:after="40"/>
              <w:cnfStyle w:val="000000000000" w:firstRow="0" w:lastRow="0" w:firstColumn="0" w:lastColumn="0" w:oddVBand="0" w:evenVBand="0" w:oddHBand="0" w:evenHBand="0" w:firstRowFirstColumn="0" w:firstRowLastColumn="0" w:lastRowFirstColumn="0" w:lastRowLastColumn="0"/>
              <w:rPr>
                <w:rFonts w:eastAsia="Aptos" w:cs="Arial"/>
                <w:i/>
                <w:iCs/>
                <w:sz w:val="20"/>
                <w:szCs w:val="20"/>
                <w:lang w:val="fr-FR"/>
              </w:rPr>
            </w:pPr>
            <w:r w:rsidRPr="00F7150E">
              <w:rPr>
                <w:rFonts w:eastAsia="Aptos" w:cs="Arial"/>
                <w:i/>
                <w:iCs/>
                <w:sz w:val="20"/>
                <w:szCs w:val="20"/>
                <w:lang w:val="fr-FR"/>
              </w:rPr>
              <w:t xml:space="preserve">Non-Partie, </w:t>
            </w:r>
            <w:proofErr w:type="spellStart"/>
            <w:r w:rsidRPr="00F7150E">
              <w:rPr>
                <w:rFonts w:eastAsia="Aptos" w:cs="Arial"/>
                <w:i/>
                <w:iCs/>
                <w:sz w:val="20"/>
                <w:szCs w:val="20"/>
                <w:lang w:val="fr-FR"/>
              </w:rPr>
              <w:t>Birdlife</w:t>
            </w:r>
            <w:proofErr w:type="spellEnd"/>
            <w:r w:rsidRPr="00F7150E">
              <w:rPr>
                <w:rFonts w:eastAsia="Aptos" w:cs="Arial"/>
                <w:i/>
                <w:iCs/>
                <w:sz w:val="20"/>
                <w:szCs w:val="20"/>
                <w:lang w:val="fr-FR"/>
              </w:rPr>
              <w:t xml:space="preserve"> International et Secrétariat (soutien)</w:t>
            </w:r>
          </w:p>
        </w:tc>
        <w:tc>
          <w:tcPr>
            <w:tcW w:w="1417" w:type="dxa"/>
          </w:tcPr>
          <w:p w14:paraId="2667D2CA" w14:textId="77777777" w:rsidR="00D15F48" w:rsidRPr="00F7150E" w:rsidRDefault="00230579" w:rsidP="007B1F8A">
            <w:pPr>
              <w:spacing w:before="40" w:after="40"/>
              <w:cnfStyle w:val="000000000000" w:firstRow="0" w:lastRow="0" w:firstColumn="0" w:lastColumn="0" w:oddVBand="0" w:evenVBand="0" w:oddHBand="0" w:evenHBand="0" w:firstRowFirstColumn="0" w:firstRowLastColumn="0" w:lastRowFirstColumn="0" w:lastRowLastColumn="0"/>
              <w:rPr>
                <w:rFonts w:eastAsia="Aptos" w:cs="Arial"/>
                <w:sz w:val="20"/>
                <w:szCs w:val="20"/>
                <w:lang w:val="fr-FR"/>
              </w:rPr>
            </w:pPr>
            <w:r w:rsidRPr="00F7150E">
              <w:rPr>
                <w:rFonts w:eastAsia="Aptos" w:cs="Arial"/>
                <w:i/>
                <w:iCs/>
                <w:sz w:val="20"/>
                <w:szCs w:val="20"/>
                <w:lang w:val="fr-FR"/>
              </w:rPr>
              <w:t>Sous réserve de ressources externes</w:t>
            </w:r>
          </w:p>
        </w:tc>
      </w:tr>
      <w:tr w:rsidR="00D15F48" w:rsidRPr="00F7150E" w14:paraId="64491904" w14:textId="77777777" w:rsidTr="0063143D">
        <w:trPr>
          <w:cantSplit/>
        </w:trPr>
        <w:tc>
          <w:tcPr>
            <w:cnfStyle w:val="001000000000" w:firstRow="0" w:lastRow="0" w:firstColumn="1" w:lastColumn="0" w:oddVBand="0" w:evenVBand="0" w:oddHBand="0" w:evenHBand="0" w:firstRowFirstColumn="0" w:firstRowLastColumn="0" w:lastRowFirstColumn="0" w:lastRowLastColumn="0"/>
            <w:tcW w:w="2518" w:type="dxa"/>
            <w:shd w:val="clear" w:color="auto" w:fill="C1E4F5"/>
          </w:tcPr>
          <w:p w14:paraId="5BD64227" w14:textId="77777777" w:rsidR="00D15F48" w:rsidRPr="00F7150E" w:rsidRDefault="00230579" w:rsidP="007B1F8A">
            <w:pPr>
              <w:tabs>
                <w:tab w:val="left" w:pos="1601"/>
              </w:tabs>
              <w:spacing w:before="40" w:after="40"/>
              <w:rPr>
                <w:rFonts w:eastAsia="Aptos" w:cs="Arial"/>
                <w:i/>
                <w:iCs/>
                <w:sz w:val="20"/>
                <w:szCs w:val="20"/>
                <w:lang w:val="fr-FR"/>
              </w:rPr>
            </w:pPr>
            <w:r w:rsidRPr="00F7150E">
              <w:rPr>
                <w:rFonts w:eastAsia="Aptos" w:cs="Arial"/>
                <w:i/>
                <w:iCs/>
                <w:sz w:val="20"/>
                <w:szCs w:val="20"/>
                <w:lang w:val="fr-FR"/>
              </w:rPr>
              <w:lastRenderedPageBreak/>
              <w:t>Thème 2 :</w:t>
            </w:r>
          </w:p>
        </w:tc>
        <w:tc>
          <w:tcPr>
            <w:tcW w:w="11907" w:type="dxa"/>
            <w:gridSpan w:val="5"/>
            <w:shd w:val="clear" w:color="auto" w:fill="C1E4F5"/>
          </w:tcPr>
          <w:p w14:paraId="42DAF07F" w14:textId="04F0BBEF" w:rsidR="00D15F48" w:rsidRPr="00F7150E" w:rsidRDefault="00230579" w:rsidP="007B1F8A">
            <w:pPr>
              <w:spacing w:before="40" w:after="40"/>
              <w:jc w:val="both"/>
              <w:cnfStyle w:val="000000000000" w:firstRow="0" w:lastRow="0" w:firstColumn="0" w:lastColumn="0" w:oddVBand="0" w:evenVBand="0" w:oddHBand="0" w:evenHBand="0" w:firstRowFirstColumn="0" w:firstRowLastColumn="0" w:lastRowFirstColumn="0" w:lastRowLastColumn="0"/>
              <w:rPr>
                <w:rFonts w:eastAsia="Aptos" w:cs="Arial"/>
                <w:i/>
                <w:iCs/>
                <w:sz w:val="20"/>
                <w:szCs w:val="20"/>
                <w:lang w:val="fr-FR"/>
              </w:rPr>
            </w:pPr>
            <w:r w:rsidRPr="00F7150E">
              <w:rPr>
                <w:rFonts w:eastAsia="Aptos" w:cs="Arial"/>
                <w:i/>
                <w:iCs/>
                <w:sz w:val="20"/>
                <w:szCs w:val="20"/>
                <w:lang w:val="fr-FR"/>
              </w:rPr>
              <w:t>Lutter contre les menaces pesant sur l’habitat et la disponibilité alimentaire des oiseaux migrateurs dans toutes les voies de migration</w:t>
            </w:r>
          </w:p>
        </w:tc>
      </w:tr>
      <w:tr w:rsidR="00D15F48" w:rsidRPr="00F7150E" w14:paraId="52A5891E" w14:textId="77777777" w:rsidTr="0063143D">
        <w:trPr>
          <w:cantSplit/>
        </w:trPr>
        <w:tc>
          <w:tcPr>
            <w:cnfStyle w:val="001000000000" w:firstRow="0" w:lastRow="0" w:firstColumn="1" w:lastColumn="0" w:oddVBand="0" w:evenVBand="0" w:oddHBand="0" w:evenHBand="0" w:firstRowFirstColumn="0" w:firstRowLastColumn="0" w:lastRowFirstColumn="0" w:lastRowLastColumn="0"/>
            <w:tcW w:w="2518" w:type="dxa"/>
          </w:tcPr>
          <w:p w14:paraId="6351A955" w14:textId="77777777" w:rsidR="00D15F48" w:rsidRPr="00F7150E" w:rsidRDefault="00230579" w:rsidP="007B1F8A">
            <w:pPr>
              <w:tabs>
                <w:tab w:val="left" w:pos="1601"/>
              </w:tabs>
              <w:spacing w:before="40" w:after="40"/>
              <w:rPr>
                <w:rFonts w:eastAsia="Aptos" w:cs="Arial"/>
                <w:i/>
                <w:iCs/>
                <w:sz w:val="20"/>
                <w:szCs w:val="20"/>
                <w:lang w:val="fr-FR"/>
              </w:rPr>
            </w:pPr>
            <w:r w:rsidRPr="00F7150E">
              <w:rPr>
                <w:rFonts w:eastAsia="Aptos" w:cs="Arial"/>
                <w:i/>
                <w:iCs/>
                <w:sz w:val="20"/>
                <w:szCs w:val="20"/>
                <w:lang w:val="fr-FR"/>
              </w:rPr>
              <w:t>2.1 Promouvoir des mesures de conservation par zone pour soutenir les oiseaux migrateurs</w:t>
            </w:r>
          </w:p>
        </w:tc>
        <w:tc>
          <w:tcPr>
            <w:tcW w:w="5245" w:type="dxa"/>
          </w:tcPr>
          <w:p w14:paraId="4EDA1DE2" w14:textId="77777777" w:rsidR="00D15F48" w:rsidRPr="00F7150E" w:rsidRDefault="00230579" w:rsidP="007B1F8A">
            <w:pPr>
              <w:spacing w:before="40" w:after="40"/>
              <w:jc w:val="both"/>
              <w:cnfStyle w:val="000000000000" w:firstRow="0" w:lastRow="0" w:firstColumn="0" w:lastColumn="0" w:oddVBand="0" w:evenVBand="0" w:oddHBand="0" w:evenHBand="0" w:firstRowFirstColumn="0" w:firstRowLastColumn="0" w:lastRowFirstColumn="0" w:lastRowLastColumn="0"/>
              <w:rPr>
                <w:i/>
                <w:sz w:val="20"/>
                <w:szCs w:val="20"/>
                <w:lang w:val="fr-FR"/>
              </w:rPr>
            </w:pPr>
            <w:r w:rsidRPr="00F7150E">
              <w:rPr>
                <w:i/>
                <w:sz w:val="20"/>
                <w:szCs w:val="20"/>
                <w:lang w:val="fr-FR"/>
              </w:rPr>
              <w:t>D’ici la ScC-SC10, fournir des conseils sur les actions visant à renforcer la coopération à l’échelle des voies de migration afin de maintenir et d’améliorer la connectivité des itinéraires migratoires.</w:t>
            </w:r>
          </w:p>
          <w:p w14:paraId="20B9588C" w14:textId="77777777" w:rsidR="00D15F48" w:rsidRPr="00F7150E" w:rsidRDefault="00D15F48" w:rsidP="007B1F8A">
            <w:pPr>
              <w:spacing w:before="40" w:after="40"/>
              <w:jc w:val="both"/>
              <w:cnfStyle w:val="000000000000" w:firstRow="0" w:lastRow="0" w:firstColumn="0" w:lastColumn="0" w:oddVBand="0" w:evenVBand="0" w:oddHBand="0" w:evenHBand="0" w:firstRowFirstColumn="0" w:firstRowLastColumn="0" w:lastRowFirstColumn="0" w:lastRowLastColumn="0"/>
              <w:rPr>
                <w:rFonts w:eastAsia="Aptos" w:cs="Arial"/>
                <w:i/>
                <w:iCs/>
                <w:sz w:val="20"/>
                <w:szCs w:val="20"/>
                <w:lang w:val="fr-FR"/>
              </w:rPr>
            </w:pPr>
          </w:p>
          <w:p w14:paraId="0186A67D" w14:textId="77777777" w:rsidR="00D15F48" w:rsidRPr="00F7150E" w:rsidRDefault="00230579" w:rsidP="007B1F8A">
            <w:pPr>
              <w:spacing w:before="40" w:after="40"/>
              <w:jc w:val="both"/>
              <w:cnfStyle w:val="000000000000" w:firstRow="0" w:lastRow="0" w:firstColumn="0" w:lastColumn="0" w:oddVBand="0" w:evenVBand="0" w:oddHBand="0" w:evenHBand="0" w:firstRowFirstColumn="0" w:firstRowLastColumn="0" w:lastRowFirstColumn="0" w:lastRowLastColumn="0"/>
              <w:rPr>
                <w:i/>
                <w:sz w:val="20"/>
                <w:szCs w:val="20"/>
                <w:lang w:val="fr-FR"/>
              </w:rPr>
            </w:pPr>
            <w:r w:rsidRPr="00F7150E">
              <w:rPr>
                <w:i/>
                <w:sz w:val="20"/>
                <w:szCs w:val="20"/>
                <w:lang w:val="fr-FR"/>
              </w:rPr>
              <w:t xml:space="preserve">Soutenir le Conseil scientifique dans un projet proposé impliquant l’UICN, </w:t>
            </w:r>
            <w:proofErr w:type="spellStart"/>
            <w:r w:rsidRPr="00F7150E">
              <w:rPr>
                <w:i/>
                <w:sz w:val="20"/>
                <w:szCs w:val="20"/>
                <w:lang w:val="fr-FR"/>
              </w:rPr>
              <w:t>BirdLife</w:t>
            </w:r>
            <w:proofErr w:type="spellEnd"/>
            <w:r w:rsidRPr="00F7150E">
              <w:rPr>
                <w:i/>
                <w:sz w:val="20"/>
                <w:szCs w:val="20"/>
                <w:lang w:val="fr-FR"/>
              </w:rPr>
              <w:t xml:space="preserve"> International et les cadres correspondants afin d’identifier les réseaux écologiques des voies de migration, qui regroupent les paysages, les habitats, les sites et les corridors entre eux, dont l’importance mondiale est la plus grande pour la conservation des oiseaux migrateurs.</w:t>
            </w:r>
          </w:p>
          <w:p w14:paraId="25ADC2A8" w14:textId="77777777" w:rsidR="00D15F48" w:rsidRPr="00F7150E" w:rsidRDefault="00D15F48" w:rsidP="007B1F8A">
            <w:pPr>
              <w:spacing w:before="40" w:after="40"/>
              <w:jc w:val="both"/>
              <w:cnfStyle w:val="000000000000" w:firstRow="0" w:lastRow="0" w:firstColumn="0" w:lastColumn="0" w:oddVBand="0" w:evenVBand="0" w:oddHBand="0" w:evenHBand="0" w:firstRowFirstColumn="0" w:firstRowLastColumn="0" w:lastRowFirstColumn="0" w:lastRowLastColumn="0"/>
              <w:rPr>
                <w:rFonts w:eastAsia="Aptos" w:cs="Arial"/>
                <w:i/>
                <w:iCs/>
                <w:sz w:val="20"/>
                <w:szCs w:val="20"/>
                <w:lang w:val="fr-FR"/>
              </w:rPr>
            </w:pPr>
          </w:p>
          <w:p w14:paraId="1611782F" w14:textId="77777777" w:rsidR="00D15F48" w:rsidRPr="00F7150E" w:rsidRDefault="00230579" w:rsidP="007B1F8A">
            <w:pPr>
              <w:spacing w:before="40" w:after="40"/>
              <w:jc w:val="both"/>
              <w:cnfStyle w:val="000000000000" w:firstRow="0" w:lastRow="0" w:firstColumn="0" w:lastColumn="0" w:oddVBand="0" w:evenVBand="0" w:oddHBand="0" w:evenHBand="0" w:firstRowFirstColumn="0" w:firstRowLastColumn="0" w:lastRowFirstColumn="0" w:lastRowLastColumn="0"/>
              <w:rPr>
                <w:rFonts w:eastAsia="Aptos" w:cs="Arial"/>
                <w:i/>
                <w:iCs/>
                <w:sz w:val="20"/>
                <w:szCs w:val="20"/>
                <w:lang w:val="fr-FR"/>
              </w:rPr>
            </w:pPr>
            <w:r w:rsidRPr="00F7150E">
              <w:rPr>
                <w:rFonts w:eastAsia="Aptos" w:cs="Arial"/>
                <w:i/>
                <w:iCs/>
                <w:sz w:val="20"/>
                <w:szCs w:val="20"/>
                <w:lang w:val="fr-FR"/>
              </w:rPr>
              <w:t>Rapport sur les actions à mener à la ScC-SC9 et à la ScC-SC10.</w:t>
            </w:r>
          </w:p>
        </w:tc>
        <w:tc>
          <w:tcPr>
            <w:tcW w:w="1701" w:type="dxa"/>
          </w:tcPr>
          <w:p w14:paraId="373C5730" w14:textId="77777777" w:rsidR="00D15F48" w:rsidRPr="00F7150E" w:rsidRDefault="00230579" w:rsidP="007B1F8A">
            <w:pPr>
              <w:spacing w:before="40" w:after="40"/>
              <w:cnfStyle w:val="000000000000" w:firstRow="0" w:lastRow="0" w:firstColumn="0" w:lastColumn="0" w:oddVBand="0" w:evenVBand="0" w:oddHBand="0" w:evenHBand="0" w:firstRowFirstColumn="0" w:firstRowLastColumn="0" w:lastRowFirstColumn="0" w:lastRowLastColumn="0"/>
              <w:rPr>
                <w:rFonts w:eastAsia="Aptos" w:cs="Arial"/>
                <w:i/>
                <w:iCs/>
                <w:sz w:val="20"/>
                <w:szCs w:val="20"/>
                <w:lang w:val="fr-FR"/>
              </w:rPr>
            </w:pPr>
            <w:proofErr w:type="spellStart"/>
            <w:r w:rsidRPr="00F7150E">
              <w:rPr>
                <w:rFonts w:eastAsia="Aptos" w:cs="Arial"/>
                <w:i/>
                <w:iCs/>
                <w:sz w:val="20"/>
                <w:szCs w:val="20"/>
                <w:lang w:val="fr-FR"/>
              </w:rPr>
              <w:t>Rés</w:t>
            </w:r>
            <w:proofErr w:type="spellEnd"/>
            <w:r w:rsidRPr="00F7150E">
              <w:rPr>
                <w:rFonts w:eastAsia="Aptos" w:cs="Arial"/>
                <w:i/>
                <w:iCs/>
                <w:sz w:val="20"/>
                <w:szCs w:val="20"/>
                <w:lang w:val="fr-FR"/>
              </w:rPr>
              <w:t>. 14.16 Connectivité écologique</w:t>
            </w:r>
          </w:p>
          <w:p w14:paraId="20E99FCC" w14:textId="77777777" w:rsidR="00D15F48" w:rsidRPr="00F7150E" w:rsidRDefault="00D15F48" w:rsidP="007B1F8A">
            <w:pPr>
              <w:spacing w:before="40" w:after="40"/>
              <w:cnfStyle w:val="000000000000" w:firstRow="0" w:lastRow="0" w:firstColumn="0" w:lastColumn="0" w:oddVBand="0" w:evenVBand="0" w:oddHBand="0" w:evenHBand="0" w:firstRowFirstColumn="0" w:firstRowLastColumn="0" w:lastRowFirstColumn="0" w:lastRowLastColumn="0"/>
              <w:rPr>
                <w:rFonts w:eastAsia="Aptos" w:cs="Arial"/>
                <w:i/>
                <w:iCs/>
                <w:sz w:val="20"/>
                <w:szCs w:val="20"/>
                <w:lang w:val="fr-FR"/>
              </w:rPr>
            </w:pPr>
          </w:p>
          <w:p w14:paraId="3DA41EB0" w14:textId="77777777" w:rsidR="00D15F48" w:rsidRPr="00F7150E" w:rsidRDefault="00230579" w:rsidP="007B1F8A">
            <w:pPr>
              <w:spacing w:before="40" w:after="40"/>
              <w:cnfStyle w:val="000000000000" w:firstRow="0" w:lastRow="0" w:firstColumn="0" w:lastColumn="0" w:oddVBand="0" w:evenVBand="0" w:oddHBand="0" w:evenHBand="0" w:firstRowFirstColumn="0" w:firstRowLastColumn="0" w:lastRowFirstColumn="0" w:lastRowLastColumn="0"/>
              <w:rPr>
                <w:rFonts w:eastAsia="Aptos" w:cs="Arial"/>
                <w:i/>
                <w:iCs/>
                <w:sz w:val="20"/>
                <w:szCs w:val="20"/>
                <w:lang w:val="fr-FR"/>
              </w:rPr>
            </w:pPr>
            <w:r w:rsidRPr="00F7150E">
              <w:rPr>
                <w:rFonts w:eastAsia="Aptos" w:cs="Arial"/>
                <w:i/>
                <w:iCs/>
                <w:sz w:val="20"/>
                <w:szCs w:val="20"/>
                <w:lang w:val="fr-FR"/>
              </w:rPr>
              <w:t>Décisions 14.195 et 14.196</w:t>
            </w:r>
          </w:p>
          <w:p w14:paraId="5C3A2E03" w14:textId="77777777" w:rsidR="00D15F48" w:rsidRPr="00F7150E" w:rsidRDefault="00D15F48" w:rsidP="007B1F8A">
            <w:pPr>
              <w:spacing w:before="40" w:after="40"/>
              <w:cnfStyle w:val="000000000000" w:firstRow="0" w:lastRow="0" w:firstColumn="0" w:lastColumn="0" w:oddVBand="0" w:evenVBand="0" w:oddHBand="0" w:evenHBand="0" w:firstRowFirstColumn="0" w:firstRowLastColumn="0" w:lastRowFirstColumn="0" w:lastRowLastColumn="0"/>
              <w:rPr>
                <w:rFonts w:eastAsia="Aptos" w:cs="Arial"/>
                <w:i/>
                <w:iCs/>
                <w:sz w:val="20"/>
                <w:szCs w:val="20"/>
                <w:lang w:val="fr-FR"/>
              </w:rPr>
            </w:pPr>
          </w:p>
          <w:p w14:paraId="3F040E65" w14:textId="77777777" w:rsidR="00D15F48" w:rsidRPr="00F7150E" w:rsidRDefault="00230579" w:rsidP="007B1F8A">
            <w:pPr>
              <w:spacing w:before="40" w:after="40"/>
              <w:cnfStyle w:val="000000000000" w:firstRow="0" w:lastRow="0" w:firstColumn="0" w:lastColumn="0" w:oddVBand="0" w:evenVBand="0" w:oddHBand="0" w:evenHBand="0" w:firstRowFirstColumn="0" w:firstRowLastColumn="0" w:lastRowFirstColumn="0" w:lastRowLastColumn="0"/>
              <w:rPr>
                <w:rFonts w:eastAsia="Aptos" w:cs="Arial"/>
                <w:i/>
                <w:iCs/>
                <w:sz w:val="20"/>
                <w:szCs w:val="20"/>
                <w:lang w:val="fr-FR"/>
              </w:rPr>
            </w:pPr>
            <w:r w:rsidRPr="00F7150E">
              <w:rPr>
                <w:rFonts w:eastAsia="Aptos" w:cs="Arial"/>
                <w:i/>
                <w:iCs/>
                <w:sz w:val="20"/>
                <w:szCs w:val="20"/>
                <w:lang w:val="fr-FR"/>
              </w:rPr>
              <w:t>SPMS, Cibles 2.1, 2.2, 2.3</w:t>
            </w:r>
          </w:p>
        </w:tc>
        <w:tc>
          <w:tcPr>
            <w:tcW w:w="1134" w:type="dxa"/>
          </w:tcPr>
          <w:p w14:paraId="19A90259" w14:textId="77777777" w:rsidR="00D15F48" w:rsidRPr="00F7150E" w:rsidRDefault="00230579" w:rsidP="007B1F8A">
            <w:pPr>
              <w:spacing w:before="40" w:after="40"/>
              <w:cnfStyle w:val="000000000000" w:firstRow="0" w:lastRow="0" w:firstColumn="0" w:lastColumn="0" w:oddVBand="0" w:evenVBand="0" w:oddHBand="0" w:evenHBand="0" w:firstRowFirstColumn="0" w:firstRowLastColumn="0" w:lastRowFirstColumn="0" w:lastRowLastColumn="0"/>
              <w:rPr>
                <w:rFonts w:eastAsia="Aptos" w:cs="Arial"/>
                <w:i/>
                <w:iCs/>
                <w:sz w:val="20"/>
                <w:szCs w:val="20"/>
                <w:lang w:val="fr-FR"/>
              </w:rPr>
            </w:pPr>
            <w:r w:rsidRPr="00F7150E">
              <w:rPr>
                <w:rFonts w:eastAsia="Aptos" w:cs="Arial"/>
                <w:i/>
                <w:iCs/>
                <w:sz w:val="20"/>
                <w:szCs w:val="20"/>
                <w:lang w:val="fr-FR"/>
              </w:rPr>
              <w:t>2026-2029</w:t>
            </w:r>
          </w:p>
        </w:tc>
        <w:tc>
          <w:tcPr>
            <w:tcW w:w="2410" w:type="dxa"/>
          </w:tcPr>
          <w:p w14:paraId="03CBD904" w14:textId="77777777" w:rsidR="00D15F48" w:rsidRPr="00F7150E" w:rsidRDefault="00230579" w:rsidP="007B1F8A">
            <w:pPr>
              <w:spacing w:before="40" w:after="40"/>
              <w:cnfStyle w:val="000000000000" w:firstRow="0" w:lastRow="0" w:firstColumn="0" w:lastColumn="0" w:oddVBand="0" w:evenVBand="0" w:oddHBand="0" w:evenHBand="0" w:firstRowFirstColumn="0" w:firstRowLastColumn="0" w:lastRowFirstColumn="0" w:lastRowLastColumn="0"/>
              <w:rPr>
                <w:rFonts w:eastAsia="Aptos" w:cs="Arial"/>
                <w:i/>
                <w:iCs/>
                <w:sz w:val="20"/>
                <w:szCs w:val="20"/>
                <w:lang w:val="fr-FR"/>
              </w:rPr>
            </w:pPr>
            <w:r w:rsidRPr="00F7150E">
              <w:rPr>
                <w:rFonts w:eastAsia="Aptos" w:cs="Arial"/>
                <w:i/>
                <w:iCs/>
                <w:sz w:val="20"/>
                <w:szCs w:val="20"/>
                <w:lang w:val="fr-FR"/>
              </w:rPr>
              <w:t>Groupe de travail sur les voies de migration (chef de file)</w:t>
            </w:r>
          </w:p>
          <w:p w14:paraId="3E512946" w14:textId="77777777" w:rsidR="00D15F48" w:rsidRPr="00F7150E" w:rsidRDefault="00D15F48" w:rsidP="007B1F8A">
            <w:pPr>
              <w:spacing w:before="40" w:after="40"/>
              <w:cnfStyle w:val="000000000000" w:firstRow="0" w:lastRow="0" w:firstColumn="0" w:lastColumn="0" w:oddVBand="0" w:evenVBand="0" w:oddHBand="0" w:evenHBand="0" w:firstRowFirstColumn="0" w:firstRowLastColumn="0" w:lastRowFirstColumn="0" w:lastRowLastColumn="0"/>
              <w:rPr>
                <w:rFonts w:eastAsia="Aptos" w:cs="Arial"/>
                <w:i/>
                <w:iCs/>
                <w:sz w:val="20"/>
                <w:szCs w:val="20"/>
                <w:lang w:val="fr-FR"/>
              </w:rPr>
            </w:pPr>
          </w:p>
          <w:p w14:paraId="4AA92C75" w14:textId="77777777" w:rsidR="00D15F48" w:rsidRPr="00F7150E" w:rsidRDefault="00230579" w:rsidP="007B1F8A">
            <w:pPr>
              <w:spacing w:before="40" w:after="40"/>
              <w:cnfStyle w:val="000000000000" w:firstRow="0" w:lastRow="0" w:firstColumn="0" w:lastColumn="0" w:oddVBand="0" w:evenVBand="0" w:oddHBand="0" w:evenHBand="0" w:firstRowFirstColumn="0" w:firstRowLastColumn="0" w:lastRowFirstColumn="0" w:lastRowLastColumn="0"/>
              <w:rPr>
                <w:i/>
                <w:sz w:val="20"/>
                <w:szCs w:val="20"/>
                <w:lang w:val="fr-FR"/>
              </w:rPr>
            </w:pPr>
            <w:r w:rsidRPr="00F7150E">
              <w:rPr>
                <w:i/>
                <w:sz w:val="20"/>
                <w:szCs w:val="20"/>
                <w:lang w:val="fr-FR"/>
              </w:rPr>
              <w:t>Secrétariat, Parties, non-Parties, société civile et experts (soutien)</w:t>
            </w:r>
          </w:p>
        </w:tc>
        <w:tc>
          <w:tcPr>
            <w:tcW w:w="1417" w:type="dxa"/>
          </w:tcPr>
          <w:p w14:paraId="571B7006" w14:textId="77777777" w:rsidR="00D15F48" w:rsidRPr="00F7150E" w:rsidRDefault="00230579" w:rsidP="007B1F8A">
            <w:pPr>
              <w:spacing w:before="40" w:after="40"/>
              <w:cnfStyle w:val="000000000000" w:firstRow="0" w:lastRow="0" w:firstColumn="0" w:lastColumn="0" w:oddVBand="0" w:evenVBand="0" w:oddHBand="0" w:evenHBand="0" w:firstRowFirstColumn="0" w:firstRowLastColumn="0" w:lastRowFirstColumn="0" w:lastRowLastColumn="0"/>
              <w:rPr>
                <w:rFonts w:eastAsia="Aptos" w:cs="Arial"/>
                <w:i/>
                <w:iCs/>
                <w:sz w:val="20"/>
                <w:szCs w:val="20"/>
                <w:lang w:val="fr-FR"/>
              </w:rPr>
            </w:pPr>
            <w:r w:rsidRPr="00F7150E">
              <w:rPr>
                <w:rFonts w:eastAsia="Aptos" w:cs="Arial"/>
                <w:i/>
                <w:iCs/>
                <w:sz w:val="20"/>
                <w:szCs w:val="20"/>
                <w:lang w:val="fr-FR"/>
              </w:rPr>
              <w:t>Sous réserve de ressources externes</w:t>
            </w:r>
          </w:p>
        </w:tc>
      </w:tr>
      <w:tr w:rsidR="00D15F48" w:rsidRPr="00F7150E" w14:paraId="2668327C" w14:textId="77777777" w:rsidTr="0063143D">
        <w:trPr>
          <w:cantSplit/>
        </w:trPr>
        <w:tc>
          <w:tcPr>
            <w:cnfStyle w:val="001000000000" w:firstRow="0" w:lastRow="0" w:firstColumn="1" w:lastColumn="0" w:oddVBand="0" w:evenVBand="0" w:oddHBand="0" w:evenHBand="0" w:firstRowFirstColumn="0" w:firstRowLastColumn="0" w:lastRowFirstColumn="0" w:lastRowLastColumn="0"/>
            <w:tcW w:w="2518" w:type="dxa"/>
          </w:tcPr>
          <w:p w14:paraId="338A362A" w14:textId="77777777" w:rsidR="00D15F48" w:rsidRPr="00F7150E" w:rsidRDefault="00230579" w:rsidP="007B1F8A">
            <w:pPr>
              <w:tabs>
                <w:tab w:val="left" w:pos="1601"/>
              </w:tabs>
              <w:spacing w:before="40" w:after="40"/>
              <w:rPr>
                <w:rFonts w:eastAsia="Aptos" w:cs="Arial"/>
                <w:i/>
                <w:iCs/>
                <w:sz w:val="20"/>
                <w:szCs w:val="20"/>
                <w:lang w:val="fr-FR"/>
              </w:rPr>
            </w:pPr>
            <w:r w:rsidRPr="00F7150E">
              <w:rPr>
                <w:rFonts w:eastAsia="Aptos" w:cs="Arial"/>
                <w:i/>
                <w:iCs/>
                <w:sz w:val="20"/>
                <w:szCs w:val="20"/>
                <w:lang w:val="fr-FR"/>
              </w:rPr>
              <w:t>2.2 Soutenir le Groupe de travail sur les changements climatiques en prodiguant des conseils sur les voies de migration et les oiseaux migrateurs</w:t>
            </w:r>
          </w:p>
        </w:tc>
        <w:tc>
          <w:tcPr>
            <w:tcW w:w="5245" w:type="dxa"/>
          </w:tcPr>
          <w:p w14:paraId="584CC32C" w14:textId="77777777" w:rsidR="00D15F48" w:rsidRPr="00F7150E" w:rsidRDefault="00230579" w:rsidP="007B1F8A">
            <w:pPr>
              <w:spacing w:before="40" w:after="40"/>
              <w:jc w:val="both"/>
              <w:cnfStyle w:val="000000000000" w:firstRow="0" w:lastRow="0" w:firstColumn="0" w:lastColumn="0" w:oddVBand="0" w:evenVBand="0" w:oddHBand="0" w:evenHBand="0" w:firstRowFirstColumn="0" w:firstRowLastColumn="0" w:lastRowFirstColumn="0" w:lastRowLastColumn="0"/>
              <w:rPr>
                <w:rFonts w:eastAsia="Aptos" w:cs="Arial"/>
                <w:i/>
                <w:iCs/>
                <w:sz w:val="20"/>
                <w:szCs w:val="20"/>
                <w:lang w:val="fr-FR"/>
              </w:rPr>
            </w:pPr>
            <w:r w:rsidRPr="00F7150E">
              <w:rPr>
                <w:rFonts w:eastAsia="Aptos" w:cs="Arial"/>
                <w:i/>
                <w:iCs/>
                <w:sz w:val="20"/>
                <w:szCs w:val="20"/>
                <w:lang w:val="fr-FR"/>
              </w:rPr>
              <w:t>Participer aux réunions du Groupe de travail sur les changements climatiques.</w:t>
            </w:r>
          </w:p>
          <w:p w14:paraId="13E847A1" w14:textId="77777777" w:rsidR="00D15F48" w:rsidRPr="00F7150E" w:rsidRDefault="00D15F48" w:rsidP="007B1F8A">
            <w:pPr>
              <w:spacing w:before="40" w:after="40"/>
              <w:jc w:val="both"/>
              <w:cnfStyle w:val="000000000000" w:firstRow="0" w:lastRow="0" w:firstColumn="0" w:lastColumn="0" w:oddVBand="0" w:evenVBand="0" w:oddHBand="0" w:evenHBand="0" w:firstRowFirstColumn="0" w:firstRowLastColumn="0" w:lastRowFirstColumn="0" w:lastRowLastColumn="0"/>
              <w:rPr>
                <w:rFonts w:eastAsia="Aptos" w:cs="Arial"/>
                <w:i/>
                <w:iCs/>
                <w:sz w:val="20"/>
                <w:szCs w:val="20"/>
                <w:lang w:val="fr-FR"/>
              </w:rPr>
            </w:pPr>
          </w:p>
          <w:p w14:paraId="51109A65" w14:textId="77777777" w:rsidR="00D15F48" w:rsidRPr="00F7150E" w:rsidRDefault="00230579" w:rsidP="007B1F8A">
            <w:pPr>
              <w:spacing w:before="40" w:after="40"/>
              <w:jc w:val="both"/>
              <w:cnfStyle w:val="000000000000" w:firstRow="0" w:lastRow="0" w:firstColumn="0" w:lastColumn="0" w:oddVBand="0" w:evenVBand="0" w:oddHBand="0" w:evenHBand="0" w:firstRowFirstColumn="0" w:firstRowLastColumn="0" w:lastRowFirstColumn="0" w:lastRowLastColumn="0"/>
              <w:rPr>
                <w:i/>
                <w:sz w:val="20"/>
                <w:szCs w:val="20"/>
                <w:lang w:val="fr-FR"/>
              </w:rPr>
            </w:pPr>
            <w:r w:rsidRPr="00F7150E">
              <w:rPr>
                <w:i/>
                <w:sz w:val="20"/>
                <w:szCs w:val="20"/>
                <w:lang w:val="fr-FR"/>
              </w:rPr>
              <w:t xml:space="preserve">D’ici la ScC-SC10, contribuer à l’élaboration d’études de cas sur les oiseaux migrateurs vulnérables au changement climatique et aux modifications potentielles des itinéraires de migration. </w:t>
            </w:r>
          </w:p>
        </w:tc>
        <w:tc>
          <w:tcPr>
            <w:tcW w:w="1701" w:type="dxa"/>
          </w:tcPr>
          <w:p w14:paraId="04FFE34C" w14:textId="77777777" w:rsidR="00D15F48" w:rsidRPr="00F7150E" w:rsidRDefault="00230579" w:rsidP="007B1F8A">
            <w:pPr>
              <w:spacing w:before="40" w:after="40"/>
              <w:cnfStyle w:val="000000000000" w:firstRow="0" w:lastRow="0" w:firstColumn="0" w:lastColumn="0" w:oddVBand="0" w:evenVBand="0" w:oddHBand="0" w:evenHBand="0" w:firstRowFirstColumn="0" w:firstRowLastColumn="0" w:lastRowFirstColumn="0" w:lastRowLastColumn="0"/>
              <w:rPr>
                <w:rFonts w:eastAsia="Aptos" w:cs="Arial"/>
                <w:i/>
                <w:iCs/>
                <w:sz w:val="20"/>
                <w:szCs w:val="20"/>
                <w:lang w:val="fr-FR"/>
              </w:rPr>
            </w:pPr>
            <w:proofErr w:type="spellStart"/>
            <w:r w:rsidRPr="00F7150E">
              <w:rPr>
                <w:rFonts w:eastAsia="Aptos" w:cs="Arial"/>
                <w:i/>
                <w:iCs/>
                <w:sz w:val="20"/>
                <w:szCs w:val="20"/>
                <w:lang w:val="fr-FR"/>
              </w:rPr>
              <w:t>Rés</w:t>
            </w:r>
            <w:proofErr w:type="spellEnd"/>
            <w:r w:rsidRPr="00F7150E">
              <w:rPr>
                <w:rFonts w:eastAsia="Aptos" w:cs="Arial"/>
                <w:i/>
                <w:iCs/>
                <w:sz w:val="20"/>
                <w:szCs w:val="20"/>
                <w:lang w:val="fr-FR"/>
              </w:rPr>
              <w:t>. 12.21 (Rev.COP14) Changement climatique et espèces migratrices</w:t>
            </w:r>
          </w:p>
          <w:p w14:paraId="67BF7C7A" w14:textId="77777777" w:rsidR="00D15F48" w:rsidRPr="00F7150E" w:rsidRDefault="00D15F48" w:rsidP="007B1F8A">
            <w:pPr>
              <w:spacing w:before="40" w:after="40"/>
              <w:cnfStyle w:val="000000000000" w:firstRow="0" w:lastRow="0" w:firstColumn="0" w:lastColumn="0" w:oddVBand="0" w:evenVBand="0" w:oddHBand="0" w:evenHBand="0" w:firstRowFirstColumn="0" w:firstRowLastColumn="0" w:lastRowFirstColumn="0" w:lastRowLastColumn="0"/>
              <w:rPr>
                <w:rFonts w:eastAsia="Aptos" w:cs="Arial"/>
                <w:i/>
                <w:iCs/>
                <w:sz w:val="20"/>
                <w:szCs w:val="20"/>
                <w:lang w:val="fr-FR"/>
              </w:rPr>
            </w:pPr>
          </w:p>
          <w:p w14:paraId="3817320E" w14:textId="77777777" w:rsidR="00D15F48" w:rsidRPr="00F7150E" w:rsidRDefault="00230579" w:rsidP="007B1F8A">
            <w:pPr>
              <w:spacing w:before="40" w:after="40"/>
              <w:cnfStyle w:val="000000000000" w:firstRow="0" w:lastRow="0" w:firstColumn="0" w:lastColumn="0" w:oddVBand="0" w:evenVBand="0" w:oddHBand="0" w:evenHBand="0" w:firstRowFirstColumn="0" w:firstRowLastColumn="0" w:lastRowFirstColumn="0" w:lastRowLastColumn="0"/>
              <w:rPr>
                <w:rFonts w:eastAsia="Aptos" w:cs="Arial"/>
                <w:i/>
                <w:iCs/>
                <w:sz w:val="20"/>
                <w:szCs w:val="20"/>
                <w:lang w:val="fr-FR"/>
              </w:rPr>
            </w:pPr>
            <w:r w:rsidRPr="00F7150E">
              <w:rPr>
                <w:rFonts w:eastAsia="Aptos" w:cs="Arial"/>
                <w:i/>
                <w:iCs/>
                <w:sz w:val="20"/>
                <w:szCs w:val="20"/>
                <w:lang w:val="fr-FR"/>
              </w:rPr>
              <w:t>SPMS, Cible 3.4</w:t>
            </w:r>
          </w:p>
        </w:tc>
        <w:tc>
          <w:tcPr>
            <w:tcW w:w="1134" w:type="dxa"/>
          </w:tcPr>
          <w:p w14:paraId="6CE825D7" w14:textId="77777777" w:rsidR="00D15F48" w:rsidRPr="00F7150E" w:rsidRDefault="00230579" w:rsidP="007B1F8A">
            <w:pPr>
              <w:spacing w:before="40" w:after="40"/>
              <w:cnfStyle w:val="000000000000" w:firstRow="0" w:lastRow="0" w:firstColumn="0" w:lastColumn="0" w:oddVBand="0" w:evenVBand="0" w:oddHBand="0" w:evenHBand="0" w:firstRowFirstColumn="0" w:firstRowLastColumn="0" w:lastRowFirstColumn="0" w:lastRowLastColumn="0"/>
              <w:rPr>
                <w:rFonts w:eastAsia="Aptos" w:cs="Arial"/>
                <w:i/>
                <w:iCs/>
                <w:sz w:val="20"/>
                <w:szCs w:val="20"/>
                <w:lang w:val="fr-FR"/>
              </w:rPr>
            </w:pPr>
            <w:r w:rsidRPr="00F7150E">
              <w:rPr>
                <w:rFonts w:eastAsia="Aptos" w:cs="Arial"/>
                <w:i/>
                <w:iCs/>
                <w:sz w:val="20"/>
                <w:szCs w:val="20"/>
                <w:lang w:val="fr-FR"/>
              </w:rPr>
              <w:t>2026-2029</w:t>
            </w:r>
          </w:p>
        </w:tc>
        <w:tc>
          <w:tcPr>
            <w:tcW w:w="2410" w:type="dxa"/>
          </w:tcPr>
          <w:p w14:paraId="21009262" w14:textId="77777777" w:rsidR="00D15F48" w:rsidRPr="00F7150E" w:rsidRDefault="00230579" w:rsidP="007B1F8A">
            <w:pPr>
              <w:spacing w:before="40" w:after="40"/>
              <w:cnfStyle w:val="000000000000" w:firstRow="0" w:lastRow="0" w:firstColumn="0" w:lastColumn="0" w:oddVBand="0" w:evenVBand="0" w:oddHBand="0" w:evenHBand="0" w:firstRowFirstColumn="0" w:firstRowLastColumn="0" w:lastRowFirstColumn="0" w:lastRowLastColumn="0"/>
              <w:rPr>
                <w:rFonts w:eastAsia="Aptos" w:cs="Arial"/>
                <w:i/>
                <w:iCs/>
                <w:sz w:val="20"/>
                <w:szCs w:val="20"/>
                <w:lang w:val="fr-FR"/>
              </w:rPr>
            </w:pPr>
            <w:r w:rsidRPr="00F7150E">
              <w:rPr>
                <w:rFonts w:eastAsia="Aptos" w:cs="Arial"/>
                <w:i/>
                <w:iCs/>
                <w:sz w:val="20"/>
                <w:szCs w:val="20"/>
                <w:lang w:val="fr-FR"/>
              </w:rPr>
              <w:t>Groupe de travail sur les voies de migration (chef de file)</w:t>
            </w:r>
          </w:p>
          <w:p w14:paraId="2DFC7505" w14:textId="77777777" w:rsidR="00D15F48" w:rsidRPr="00F7150E" w:rsidRDefault="00D15F48" w:rsidP="007B1F8A">
            <w:pPr>
              <w:spacing w:before="40" w:after="40"/>
              <w:cnfStyle w:val="000000000000" w:firstRow="0" w:lastRow="0" w:firstColumn="0" w:lastColumn="0" w:oddVBand="0" w:evenVBand="0" w:oddHBand="0" w:evenHBand="0" w:firstRowFirstColumn="0" w:firstRowLastColumn="0" w:lastRowFirstColumn="0" w:lastRowLastColumn="0"/>
              <w:rPr>
                <w:rFonts w:eastAsia="Aptos" w:cs="Arial"/>
                <w:i/>
                <w:iCs/>
                <w:sz w:val="20"/>
                <w:szCs w:val="20"/>
                <w:lang w:val="fr-FR"/>
              </w:rPr>
            </w:pPr>
          </w:p>
          <w:p w14:paraId="49221C3B" w14:textId="77777777" w:rsidR="00D15F48" w:rsidRPr="00F7150E" w:rsidRDefault="00230579" w:rsidP="007B1F8A">
            <w:pPr>
              <w:spacing w:before="40" w:after="40"/>
              <w:cnfStyle w:val="000000000000" w:firstRow="0" w:lastRow="0" w:firstColumn="0" w:lastColumn="0" w:oddVBand="0" w:evenVBand="0" w:oddHBand="0" w:evenHBand="0" w:firstRowFirstColumn="0" w:firstRowLastColumn="0" w:lastRowFirstColumn="0" w:lastRowLastColumn="0"/>
              <w:rPr>
                <w:rFonts w:eastAsia="Aptos" w:cs="Arial"/>
                <w:i/>
                <w:iCs/>
                <w:sz w:val="20"/>
                <w:szCs w:val="20"/>
                <w:lang w:val="fr-FR"/>
              </w:rPr>
            </w:pPr>
            <w:r w:rsidRPr="00F7150E">
              <w:rPr>
                <w:rFonts w:eastAsia="Aptos" w:cs="Arial"/>
                <w:i/>
                <w:iCs/>
                <w:sz w:val="20"/>
                <w:szCs w:val="20"/>
                <w:lang w:val="fr-FR"/>
              </w:rPr>
              <w:t>Secrétariat (soutien)</w:t>
            </w:r>
          </w:p>
        </w:tc>
        <w:tc>
          <w:tcPr>
            <w:tcW w:w="1417" w:type="dxa"/>
          </w:tcPr>
          <w:p w14:paraId="3CA1CDFD" w14:textId="77777777" w:rsidR="00D15F48" w:rsidRPr="00F7150E" w:rsidRDefault="00230579" w:rsidP="007B1F8A">
            <w:pPr>
              <w:spacing w:before="40" w:after="40"/>
              <w:cnfStyle w:val="000000000000" w:firstRow="0" w:lastRow="0" w:firstColumn="0" w:lastColumn="0" w:oddVBand="0" w:evenVBand="0" w:oddHBand="0" w:evenHBand="0" w:firstRowFirstColumn="0" w:firstRowLastColumn="0" w:lastRowFirstColumn="0" w:lastRowLastColumn="0"/>
              <w:rPr>
                <w:rFonts w:eastAsia="Aptos" w:cs="Arial"/>
                <w:i/>
                <w:iCs/>
                <w:sz w:val="20"/>
                <w:szCs w:val="20"/>
                <w:lang w:val="fr-FR"/>
              </w:rPr>
            </w:pPr>
            <w:r w:rsidRPr="00F7150E">
              <w:rPr>
                <w:rFonts w:eastAsia="Aptos" w:cs="Arial"/>
                <w:i/>
                <w:iCs/>
                <w:sz w:val="20"/>
                <w:szCs w:val="20"/>
                <w:lang w:val="fr-FR"/>
              </w:rPr>
              <w:t>En nature</w:t>
            </w:r>
          </w:p>
        </w:tc>
      </w:tr>
      <w:tr w:rsidR="00D15F48" w:rsidRPr="00F7150E" w14:paraId="3D509E27" w14:textId="77777777" w:rsidTr="0063143D">
        <w:trPr>
          <w:cantSplit/>
        </w:trPr>
        <w:tc>
          <w:tcPr>
            <w:cnfStyle w:val="001000000000" w:firstRow="0" w:lastRow="0" w:firstColumn="1" w:lastColumn="0" w:oddVBand="0" w:evenVBand="0" w:oddHBand="0" w:evenHBand="0" w:firstRowFirstColumn="0" w:firstRowLastColumn="0" w:lastRowFirstColumn="0" w:lastRowLastColumn="0"/>
            <w:tcW w:w="2518" w:type="dxa"/>
          </w:tcPr>
          <w:p w14:paraId="06659525" w14:textId="77777777" w:rsidR="00D15F48" w:rsidRPr="00F7150E" w:rsidRDefault="00230579" w:rsidP="007B1F8A">
            <w:pPr>
              <w:tabs>
                <w:tab w:val="left" w:pos="1601"/>
              </w:tabs>
              <w:spacing w:before="40" w:after="40"/>
              <w:rPr>
                <w:rFonts w:eastAsia="Aptos" w:cs="Arial"/>
                <w:i/>
                <w:iCs/>
                <w:sz w:val="20"/>
                <w:szCs w:val="20"/>
                <w:lang w:val="fr-FR"/>
              </w:rPr>
            </w:pPr>
            <w:r w:rsidRPr="00F7150E">
              <w:rPr>
                <w:rFonts w:eastAsia="Aptos" w:cs="Arial"/>
                <w:i/>
                <w:iCs/>
                <w:sz w:val="20"/>
                <w:szCs w:val="20"/>
                <w:lang w:val="fr-FR"/>
              </w:rPr>
              <w:lastRenderedPageBreak/>
              <w:t>2.3 Sensibiliser au déclin des insectes et à son impact sur les oiseaux migrateurs</w:t>
            </w:r>
          </w:p>
        </w:tc>
        <w:tc>
          <w:tcPr>
            <w:tcW w:w="5245" w:type="dxa"/>
          </w:tcPr>
          <w:p w14:paraId="0217549B" w14:textId="77777777" w:rsidR="00D15F48" w:rsidRPr="00F7150E" w:rsidRDefault="00230579" w:rsidP="007B1F8A">
            <w:pPr>
              <w:spacing w:before="40" w:after="40"/>
              <w:jc w:val="both"/>
              <w:cnfStyle w:val="000000000000" w:firstRow="0" w:lastRow="0" w:firstColumn="0" w:lastColumn="0" w:oddVBand="0" w:evenVBand="0" w:oddHBand="0" w:evenHBand="0" w:firstRowFirstColumn="0" w:firstRowLastColumn="0" w:lastRowFirstColumn="0" w:lastRowLastColumn="0"/>
              <w:rPr>
                <w:i/>
                <w:sz w:val="20"/>
                <w:szCs w:val="20"/>
                <w:lang w:val="fr-FR"/>
              </w:rPr>
            </w:pPr>
            <w:r w:rsidRPr="00F7150E">
              <w:rPr>
                <w:i/>
                <w:sz w:val="20"/>
                <w:szCs w:val="20"/>
                <w:lang w:val="fr-FR"/>
              </w:rPr>
              <w:t>Diffuser le rapport « Déclin des insectes et menace qu’il représente pour les populations animales migratrices insectivores » auprès des parties prenantes concernées et faire connaître ses conclusions et recommandations dans les forums appropriés.</w:t>
            </w:r>
          </w:p>
          <w:p w14:paraId="54157F92" w14:textId="77777777" w:rsidR="00D15F48" w:rsidRPr="00F7150E" w:rsidRDefault="00D15F48" w:rsidP="007B1F8A">
            <w:pPr>
              <w:spacing w:before="40" w:after="40"/>
              <w:jc w:val="both"/>
              <w:cnfStyle w:val="000000000000" w:firstRow="0" w:lastRow="0" w:firstColumn="0" w:lastColumn="0" w:oddVBand="0" w:evenVBand="0" w:oddHBand="0" w:evenHBand="0" w:firstRowFirstColumn="0" w:firstRowLastColumn="0" w:lastRowFirstColumn="0" w:lastRowLastColumn="0"/>
              <w:rPr>
                <w:rFonts w:eastAsia="Aptos" w:cs="Arial"/>
                <w:i/>
                <w:iCs/>
                <w:sz w:val="20"/>
                <w:szCs w:val="20"/>
                <w:lang w:val="fr-FR"/>
              </w:rPr>
            </w:pPr>
          </w:p>
          <w:p w14:paraId="443F7B93" w14:textId="0AB1B7CE" w:rsidR="00D15F48" w:rsidRPr="00F7150E" w:rsidRDefault="00230579" w:rsidP="007B1F8A">
            <w:pPr>
              <w:spacing w:before="40" w:after="40"/>
              <w:jc w:val="both"/>
              <w:cnfStyle w:val="000000000000" w:firstRow="0" w:lastRow="0" w:firstColumn="0" w:lastColumn="0" w:oddVBand="0" w:evenVBand="0" w:oddHBand="0" w:evenHBand="0" w:firstRowFirstColumn="0" w:firstRowLastColumn="0" w:lastRowFirstColumn="0" w:lastRowLastColumn="0"/>
              <w:rPr>
                <w:i/>
                <w:sz w:val="20"/>
                <w:szCs w:val="20"/>
                <w:lang w:val="fr-FR"/>
              </w:rPr>
            </w:pPr>
            <w:r w:rsidRPr="00F7150E">
              <w:rPr>
                <w:i/>
                <w:sz w:val="20"/>
                <w:szCs w:val="20"/>
                <w:lang w:val="fr-FR"/>
              </w:rPr>
              <w:t>D’ici la ScC-SC10, fournir des conseils au Conseil scientifique sur les voies de migration et les régions prioritaires en vue d’approfondir l’étude du déclin des insectes et de son impact sur les oiseaux migrateurs</w:t>
            </w:r>
            <w:r w:rsidRPr="00F7150E">
              <w:rPr>
                <w:rFonts w:eastAsia="Aptos" w:cs="Arial"/>
                <w:i/>
                <w:iCs/>
                <w:sz w:val="20"/>
                <w:szCs w:val="20"/>
                <w:lang w:val="fr-FR"/>
              </w:rPr>
              <w:t>, notamment en assurant des synergies avec le travail de l’AEMLAP</w:t>
            </w:r>
            <w:r w:rsidRPr="00F7150E">
              <w:rPr>
                <w:i/>
                <w:sz w:val="20"/>
                <w:szCs w:val="20"/>
                <w:lang w:val="fr-FR"/>
              </w:rPr>
              <w:t>.</w:t>
            </w:r>
          </w:p>
        </w:tc>
        <w:tc>
          <w:tcPr>
            <w:tcW w:w="1701" w:type="dxa"/>
          </w:tcPr>
          <w:p w14:paraId="52749A22" w14:textId="77777777" w:rsidR="00D15F48" w:rsidRPr="00F7150E" w:rsidRDefault="00230579" w:rsidP="007B1F8A">
            <w:pPr>
              <w:spacing w:before="40" w:after="40"/>
              <w:cnfStyle w:val="000000000000" w:firstRow="0" w:lastRow="0" w:firstColumn="0" w:lastColumn="0" w:oddVBand="0" w:evenVBand="0" w:oddHBand="0" w:evenHBand="0" w:firstRowFirstColumn="0" w:firstRowLastColumn="0" w:lastRowFirstColumn="0" w:lastRowLastColumn="0"/>
              <w:rPr>
                <w:rFonts w:eastAsia="Aptos" w:cs="Arial"/>
                <w:i/>
                <w:iCs/>
                <w:sz w:val="20"/>
                <w:szCs w:val="20"/>
                <w:lang w:val="fr-FR"/>
              </w:rPr>
            </w:pPr>
            <w:proofErr w:type="spellStart"/>
            <w:r w:rsidRPr="00F7150E">
              <w:rPr>
                <w:rFonts w:eastAsia="Aptos" w:cs="Arial"/>
                <w:i/>
                <w:iCs/>
                <w:sz w:val="20"/>
                <w:szCs w:val="20"/>
                <w:lang w:val="fr-FR"/>
              </w:rPr>
              <w:t>Rés</w:t>
            </w:r>
            <w:proofErr w:type="spellEnd"/>
            <w:r w:rsidRPr="00F7150E">
              <w:rPr>
                <w:rFonts w:eastAsia="Aptos" w:cs="Arial"/>
                <w:i/>
                <w:iCs/>
                <w:sz w:val="20"/>
                <w:szCs w:val="20"/>
                <w:lang w:val="fr-FR"/>
              </w:rPr>
              <w:t>. 13.6 Déclin des insectes et menace qu’il représente pour les populations animales migratrices insectivores</w:t>
            </w:r>
          </w:p>
        </w:tc>
        <w:tc>
          <w:tcPr>
            <w:tcW w:w="1134" w:type="dxa"/>
          </w:tcPr>
          <w:p w14:paraId="5E49DB1F" w14:textId="77777777" w:rsidR="00D15F48" w:rsidRPr="00F7150E" w:rsidRDefault="00230579" w:rsidP="007B1F8A">
            <w:pPr>
              <w:spacing w:before="40" w:after="40"/>
              <w:cnfStyle w:val="000000000000" w:firstRow="0" w:lastRow="0" w:firstColumn="0" w:lastColumn="0" w:oddVBand="0" w:evenVBand="0" w:oddHBand="0" w:evenHBand="0" w:firstRowFirstColumn="0" w:firstRowLastColumn="0" w:lastRowFirstColumn="0" w:lastRowLastColumn="0"/>
              <w:rPr>
                <w:rFonts w:eastAsia="Aptos" w:cs="Arial"/>
                <w:i/>
                <w:iCs/>
                <w:sz w:val="20"/>
                <w:szCs w:val="20"/>
                <w:lang w:val="fr-FR"/>
              </w:rPr>
            </w:pPr>
            <w:r w:rsidRPr="00F7150E">
              <w:rPr>
                <w:rFonts w:eastAsia="Aptos" w:cs="Arial"/>
                <w:i/>
                <w:iCs/>
                <w:sz w:val="20"/>
                <w:szCs w:val="20"/>
                <w:lang w:val="fr-FR"/>
              </w:rPr>
              <w:t>2026-2029</w:t>
            </w:r>
          </w:p>
        </w:tc>
        <w:tc>
          <w:tcPr>
            <w:tcW w:w="2410" w:type="dxa"/>
          </w:tcPr>
          <w:p w14:paraId="52682D1F" w14:textId="77777777" w:rsidR="00D15F48" w:rsidRPr="00F7150E" w:rsidRDefault="00230579" w:rsidP="007B1F8A">
            <w:pPr>
              <w:spacing w:before="40" w:after="40"/>
              <w:cnfStyle w:val="000000000000" w:firstRow="0" w:lastRow="0" w:firstColumn="0" w:lastColumn="0" w:oddVBand="0" w:evenVBand="0" w:oddHBand="0" w:evenHBand="0" w:firstRowFirstColumn="0" w:firstRowLastColumn="0" w:lastRowFirstColumn="0" w:lastRowLastColumn="0"/>
              <w:rPr>
                <w:rFonts w:eastAsia="Aptos" w:cs="Arial"/>
                <w:i/>
                <w:iCs/>
                <w:sz w:val="20"/>
                <w:szCs w:val="20"/>
                <w:lang w:val="fr-FR"/>
              </w:rPr>
            </w:pPr>
            <w:r w:rsidRPr="00F7150E">
              <w:rPr>
                <w:rFonts w:eastAsia="Aptos" w:cs="Arial"/>
                <w:i/>
                <w:iCs/>
                <w:sz w:val="20"/>
                <w:szCs w:val="20"/>
                <w:lang w:val="fr-FR"/>
              </w:rPr>
              <w:t>Groupe de travail sur les voies de migration (chef de file)</w:t>
            </w:r>
          </w:p>
          <w:p w14:paraId="0197D795" w14:textId="77777777" w:rsidR="00D15F48" w:rsidRPr="00F7150E" w:rsidRDefault="00D15F48" w:rsidP="007B1F8A">
            <w:pPr>
              <w:spacing w:before="40" w:after="40"/>
              <w:cnfStyle w:val="000000000000" w:firstRow="0" w:lastRow="0" w:firstColumn="0" w:lastColumn="0" w:oddVBand="0" w:evenVBand="0" w:oddHBand="0" w:evenHBand="0" w:firstRowFirstColumn="0" w:firstRowLastColumn="0" w:lastRowFirstColumn="0" w:lastRowLastColumn="0"/>
              <w:rPr>
                <w:rFonts w:eastAsia="Aptos" w:cs="Arial"/>
                <w:i/>
                <w:iCs/>
                <w:sz w:val="20"/>
                <w:szCs w:val="20"/>
                <w:lang w:val="fr-FR"/>
              </w:rPr>
            </w:pPr>
          </w:p>
          <w:p w14:paraId="39361006" w14:textId="77777777" w:rsidR="00D15F48" w:rsidRPr="00F7150E" w:rsidRDefault="00230579" w:rsidP="007B1F8A">
            <w:pPr>
              <w:spacing w:before="40" w:after="40"/>
              <w:cnfStyle w:val="000000000000" w:firstRow="0" w:lastRow="0" w:firstColumn="0" w:lastColumn="0" w:oddVBand="0" w:evenVBand="0" w:oddHBand="0" w:evenHBand="0" w:firstRowFirstColumn="0" w:firstRowLastColumn="0" w:lastRowFirstColumn="0" w:lastRowLastColumn="0"/>
              <w:rPr>
                <w:rFonts w:eastAsia="Aptos" w:cs="Arial"/>
                <w:i/>
                <w:iCs/>
                <w:sz w:val="20"/>
                <w:szCs w:val="20"/>
                <w:lang w:val="fr-FR"/>
              </w:rPr>
            </w:pPr>
            <w:r w:rsidRPr="00F7150E">
              <w:rPr>
                <w:rFonts w:eastAsia="Aptos" w:cs="Arial"/>
                <w:i/>
                <w:iCs/>
                <w:sz w:val="20"/>
                <w:szCs w:val="20"/>
                <w:lang w:val="fr-FR"/>
              </w:rPr>
              <w:t>Secrétariat (soutien)</w:t>
            </w:r>
          </w:p>
        </w:tc>
        <w:tc>
          <w:tcPr>
            <w:tcW w:w="1417" w:type="dxa"/>
          </w:tcPr>
          <w:p w14:paraId="6A11860D" w14:textId="77777777" w:rsidR="00D15F48" w:rsidRPr="00F7150E" w:rsidRDefault="00230579" w:rsidP="007B1F8A">
            <w:pPr>
              <w:spacing w:before="40" w:after="40"/>
              <w:cnfStyle w:val="000000000000" w:firstRow="0" w:lastRow="0" w:firstColumn="0" w:lastColumn="0" w:oddVBand="0" w:evenVBand="0" w:oddHBand="0" w:evenHBand="0" w:firstRowFirstColumn="0" w:firstRowLastColumn="0" w:lastRowFirstColumn="0" w:lastRowLastColumn="0"/>
              <w:rPr>
                <w:rFonts w:eastAsia="Aptos" w:cs="Arial"/>
                <w:sz w:val="20"/>
                <w:szCs w:val="20"/>
                <w:lang w:val="fr-FR"/>
              </w:rPr>
            </w:pPr>
            <w:r w:rsidRPr="00F7150E">
              <w:rPr>
                <w:rFonts w:eastAsia="Aptos" w:cs="Arial"/>
                <w:i/>
                <w:iCs/>
                <w:sz w:val="20"/>
                <w:szCs w:val="20"/>
                <w:lang w:val="fr-FR"/>
              </w:rPr>
              <w:t>En nature</w:t>
            </w:r>
          </w:p>
        </w:tc>
      </w:tr>
    </w:tbl>
    <w:p w14:paraId="134832BB" w14:textId="77777777" w:rsidR="00954619" w:rsidRDefault="00954619">
      <w:r>
        <w:rPr>
          <w:b/>
          <w:bCs/>
        </w:rPr>
        <w:br w:type="page"/>
      </w:r>
    </w:p>
    <w:tbl>
      <w:tblPr>
        <w:tblStyle w:val="GridTable4-Accent41"/>
        <w:tblW w:w="14425" w:type="dxa"/>
        <w:tblLayout w:type="fixed"/>
        <w:tblLook w:val="06A0" w:firstRow="1" w:lastRow="0" w:firstColumn="1" w:lastColumn="0" w:noHBand="1" w:noVBand="1"/>
      </w:tblPr>
      <w:tblGrid>
        <w:gridCol w:w="2518"/>
        <w:gridCol w:w="5245"/>
        <w:gridCol w:w="1701"/>
        <w:gridCol w:w="1134"/>
        <w:gridCol w:w="2410"/>
        <w:gridCol w:w="1417"/>
      </w:tblGrid>
      <w:tr w:rsidR="00D15F48" w:rsidRPr="00F7150E" w14:paraId="4BC8F0BA" w14:textId="77777777" w:rsidTr="0063143D">
        <w:trPr>
          <w:cnfStyle w:val="100000000000" w:firstRow="1" w:lastRow="0" w:firstColumn="0" w:lastColumn="0" w:oddVBand="0" w:evenVBand="0" w:oddHBand="0" w:evenHBand="0" w:firstRowFirstColumn="0" w:firstRowLastColumn="0" w:lastRowFirstColumn="0" w:lastRowLastColumn="0"/>
          <w:cantSplit/>
          <w:trHeight w:val="332"/>
        </w:trPr>
        <w:tc>
          <w:tcPr>
            <w:cnfStyle w:val="001000000000" w:firstRow="0" w:lastRow="0" w:firstColumn="1" w:lastColumn="0" w:oddVBand="0" w:evenVBand="0" w:oddHBand="0" w:evenHBand="0" w:firstRowFirstColumn="0" w:firstRowLastColumn="0" w:lastRowFirstColumn="0" w:lastRowLastColumn="0"/>
            <w:tcW w:w="2518" w:type="dxa"/>
            <w:shd w:val="clear" w:color="auto" w:fill="C1E4F5"/>
          </w:tcPr>
          <w:p w14:paraId="58D01A8E" w14:textId="5EE506F1" w:rsidR="00D15F48" w:rsidRPr="00954619" w:rsidRDefault="00230579" w:rsidP="007B1F8A">
            <w:pPr>
              <w:spacing w:before="40" w:after="40"/>
              <w:rPr>
                <w:rFonts w:eastAsia="Aptos" w:cs="Arial"/>
                <w:i/>
                <w:iCs/>
                <w:color w:val="auto"/>
                <w:sz w:val="20"/>
                <w:szCs w:val="20"/>
                <w:lang w:val="fr-FR"/>
              </w:rPr>
            </w:pPr>
            <w:r w:rsidRPr="00954619">
              <w:rPr>
                <w:rFonts w:eastAsia="Aptos" w:cs="Arial"/>
                <w:i/>
                <w:iCs/>
                <w:color w:val="auto"/>
                <w:sz w:val="20"/>
                <w:szCs w:val="20"/>
                <w:lang w:val="fr-FR"/>
              </w:rPr>
              <w:lastRenderedPageBreak/>
              <w:t>Thème 3 :</w:t>
            </w:r>
          </w:p>
        </w:tc>
        <w:tc>
          <w:tcPr>
            <w:tcW w:w="11907" w:type="dxa"/>
            <w:gridSpan w:val="5"/>
            <w:shd w:val="clear" w:color="auto" w:fill="C1E4F5"/>
          </w:tcPr>
          <w:p w14:paraId="42979200" w14:textId="77777777" w:rsidR="00D15F48" w:rsidRPr="00F7150E" w:rsidRDefault="00230579" w:rsidP="007B1F8A">
            <w:pPr>
              <w:spacing w:before="40" w:after="40"/>
              <w:jc w:val="both"/>
              <w:cnfStyle w:val="100000000000" w:firstRow="1" w:lastRow="0" w:firstColumn="0" w:lastColumn="0" w:oddVBand="0" w:evenVBand="0" w:oddHBand="0" w:evenHBand="0" w:firstRowFirstColumn="0" w:firstRowLastColumn="0" w:lastRowFirstColumn="0" w:lastRowLastColumn="0"/>
              <w:rPr>
                <w:rFonts w:eastAsia="Aptos" w:cs="Arial"/>
                <w:sz w:val="20"/>
                <w:szCs w:val="20"/>
                <w:lang w:val="fr-FR"/>
              </w:rPr>
            </w:pPr>
            <w:r w:rsidRPr="00F7150E">
              <w:rPr>
                <w:rFonts w:eastAsia="Aptos" w:cs="Arial"/>
                <w:i/>
                <w:iCs/>
                <w:sz w:val="20"/>
                <w:szCs w:val="20"/>
                <w:lang w:val="fr-FR"/>
              </w:rPr>
              <w:t xml:space="preserve">Plans d’action par espèce </w:t>
            </w:r>
          </w:p>
        </w:tc>
      </w:tr>
      <w:tr w:rsidR="00D15F48" w:rsidRPr="00F7150E" w14:paraId="23F39351" w14:textId="77777777" w:rsidTr="0063143D">
        <w:trPr>
          <w:cantSplit/>
        </w:trPr>
        <w:tc>
          <w:tcPr>
            <w:cnfStyle w:val="001000000000" w:firstRow="0" w:lastRow="0" w:firstColumn="1" w:lastColumn="0" w:oddVBand="0" w:evenVBand="0" w:oddHBand="0" w:evenHBand="0" w:firstRowFirstColumn="0" w:firstRowLastColumn="0" w:lastRowFirstColumn="0" w:lastRowLastColumn="0"/>
            <w:tcW w:w="2518" w:type="dxa"/>
          </w:tcPr>
          <w:p w14:paraId="76C7EA88" w14:textId="77777777" w:rsidR="00D15F48" w:rsidRPr="00F7150E" w:rsidRDefault="00230579" w:rsidP="007B1F8A">
            <w:pPr>
              <w:spacing w:before="40" w:after="40"/>
              <w:rPr>
                <w:i/>
                <w:sz w:val="20"/>
                <w:szCs w:val="20"/>
                <w:lang w:val="fr-FR"/>
              </w:rPr>
            </w:pPr>
            <w:r w:rsidRPr="00F7150E">
              <w:rPr>
                <w:i/>
                <w:sz w:val="20"/>
                <w:szCs w:val="20"/>
                <w:lang w:val="fr-FR"/>
              </w:rPr>
              <w:t xml:space="preserve">3.1 Soutenir la mise en œuvre des plans d’action adoptés et des actions concertées, y compris dans le cadre des </w:t>
            </w:r>
            <w:proofErr w:type="spellStart"/>
            <w:r w:rsidRPr="00F7150E">
              <w:rPr>
                <w:i/>
                <w:sz w:val="20"/>
                <w:szCs w:val="20"/>
                <w:lang w:val="fr-FR"/>
              </w:rPr>
              <w:t>MdE</w:t>
            </w:r>
            <w:proofErr w:type="spellEnd"/>
            <w:r w:rsidRPr="00F7150E">
              <w:rPr>
                <w:i/>
                <w:sz w:val="20"/>
                <w:szCs w:val="20"/>
                <w:lang w:val="fr-FR"/>
              </w:rPr>
              <w:t xml:space="preserve"> sur les espèces aviaires de la CMS</w:t>
            </w:r>
          </w:p>
        </w:tc>
        <w:tc>
          <w:tcPr>
            <w:tcW w:w="5245" w:type="dxa"/>
          </w:tcPr>
          <w:p w14:paraId="6E7D50E0" w14:textId="77777777" w:rsidR="00D15F48" w:rsidRPr="00F7150E" w:rsidRDefault="00230579" w:rsidP="007B1F8A">
            <w:pPr>
              <w:spacing w:before="40" w:after="40"/>
              <w:jc w:val="both"/>
              <w:cnfStyle w:val="000000000000" w:firstRow="0" w:lastRow="0" w:firstColumn="0" w:lastColumn="0" w:oddVBand="0" w:evenVBand="0" w:oddHBand="0" w:evenHBand="0" w:firstRowFirstColumn="0" w:firstRowLastColumn="0" w:lastRowFirstColumn="0" w:lastRowLastColumn="0"/>
              <w:rPr>
                <w:i/>
                <w:sz w:val="20"/>
                <w:szCs w:val="20"/>
                <w:lang w:val="fr-FR"/>
              </w:rPr>
            </w:pPr>
            <w:r w:rsidRPr="00F7150E">
              <w:rPr>
                <w:i/>
                <w:sz w:val="20"/>
                <w:szCs w:val="20"/>
                <w:lang w:val="fr-FR"/>
              </w:rPr>
              <w:t xml:space="preserve">Examiner l’ensemble des plans d’action et des actions concertées de la CMS et en dehors du cadre de la CMS en cours afin d’identifier les éléments communs à une mise en œuvre réussie de ces plans pour encourager les futurs plans d’action à être conçus de manière à faciliter une mise en œuvre efficace. </w:t>
            </w:r>
            <w:r w:rsidRPr="00F7150E">
              <w:rPr>
                <w:sz w:val="20"/>
                <w:szCs w:val="20"/>
                <w:lang w:val="fr-FR"/>
              </w:rPr>
              <w:br/>
            </w:r>
          </w:p>
          <w:p w14:paraId="589489C0" w14:textId="77777777" w:rsidR="00D15F48" w:rsidRPr="00F7150E" w:rsidRDefault="00230579" w:rsidP="007B1F8A">
            <w:pPr>
              <w:spacing w:before="40" w:after="40"/>
              <w:jc w:val="both"/>
              <w:cnfStyle w:val="000000000000" w:firstRow="0" w:lastRow="0" w:firstColumn="0" w:lastColumn="0" w:oddVBand="0" w:evenVBand="0" w:oddHBand="0" w:evenHBand="0" w:firstRowFirstColumn="0" w:firstRowLastColumn="0" w:lastRowFirstColumn="0" w:lastRowLastColumn="0"/>
              <w:rPr>
                <w:rFonts w:eastAsia="Aptos" w:cs="Arial"/>
                <w:i/>
                <w:iCs/>
                <w:sz w:val="20"/>
                <w:szCs w:val="20"/>
                <w:lang w:val="fr-FR"/>
              </w:rPr>
            </w:pPr>
            <w:r w:rsidRPr="00F7150E">
              <w:rPr>
                <w:rFonts w:eastAsia="Aptos" w:cs="Arial"/>
                <w:i/>
                <w:iCs/>
                <w:sz w:val="20"/>
                <w:szCs w:val="20"/>
                <w:lang w:val="fr-FR"/>
              </w:rPr>
              <w:t xml:space="preserve">Encourager la désignation de coordonnateurs pour les plans d’action existants qui ne disposent pas encore d’une telle coordination. </w:t>
            </w:r>
          </w:p>
          <w:p w14:paraId="557565A3" w14:textId="77777777" w:rsidR="00D15F48" w:rsidRPr="00F7150E" w:rsidRDefault="00D15F48" w:rsidP="007B1F8A">
            <w:pPr>
              <w:spacing w:before="40" w:after="40"/>
              <w:jc w:val="both"/>
              <w:cnfStyle w:val="000000000000" w:firstRow="0" w:lastRow="0" w:firstColumn="0" w:lastColumn="0" w:oddVBand="0" w:evenVBand="0" w:oddHBand="0" w:evenHBand="0" w:firstRowFirstColumn="0" w:firstRowLastColumn="0" w:lastRowFirstColumn="0" w:lastRowLastColumn="0"/>
              <w:rPr>
                <w:rFonts w:eastAsia="Aptos" w:cs="Arial"/>
                <w:i/>
                <w:iCs/>
                <w:sz w:val="20"/>
                <w:szCs w:val="20"/>
                <w:lang w:val="fr-FR"/>
              </w:rPr>
            </w:pPr>
          </w:p>
          <w:p w14:paraId="13C904B8" w14:textId="77777777" w:rsidR="00D15F48" w:rsidRPr="00F7150E" w:rsidRDefault="00230579" w:rsidP="007B1F8A">
            <w:pPr>
              <w:spacing w:before="40" w:after="40"/>
              <w:jc w:val="both"/>
              <w:cnfStyle w:val="000000000000" w:firstRow="0" w:lastRow="0" w:firstColumn="0" w:lastColumn="0" w:oddVBand="0" w:evenVBand="0" w:oddHBand="0" w:evenHBand="0" w:firstRowFirstColumn="0" w:firstRowLastColumn="0" w:lastRowFirstColumn="0" w:lastRowLastColumn="0"/>
              <w:rPr>
                <w:i/>
                <w:sz w:val="20"/>
                <w:szCs w:val="20"/>
                <w:lang w:val="fr-FR"/>
              </w:rPr>
            </w:pPr>
            <w:r w:rsidRPr="00F7150E">
              <w:rPr>
                <w:i/>
                <w:sz w:val="20"/>
                <w:szCs w:val="20"/>
                <w:lang w:val="fr-FR"/>
              </w:rPr>
              <w:t xml:space="preserve">Travailler en coordination avec les États de l’aire de répartition, les organisations intergouvernementales </w:t>
            </w:r>
            <w:r w:rsidRPr="00F7150E">
              <w:rPr>
                <w:rFonts w:eastAsia="Aptos" w:cs="Arial"/>
                <w:i/>
                <w:iCs/>
                <w:sz w:val="20"/>
                <w:szCs w:val="20"/>
                <w:lang w:val="fr-FR"/>
              </w:rPr>
              <w:t xml:space="preserve">et les autres parties prenantes pour faciliter la mise en œuvre des </w:t>
            </w:r>
            <w:r w:rsidRPr="00F7150E">
              <w:rPr>
                <w:i/>
                <w:sz w:val="20"/>
                <w:szCs w:val="20"/>
                <w:lang w:val="fr-FR"/>
              </w:rPr>
              <w:t>actions hautement prioritaires des plans d’action adoptés et des actions concertées.</w:t>
            </w:r>
          </w:p>
          <w:p w14:paraId="21C6CCE7" w14:textId="77777777" w:rsidR="00D15F48" w:rsidRPr="00F7150E" w:rsidRDefault="00D15F48" w:rsidP="007B1F8A">
            <w:pPr>
              <w:spacing w:before="40" w:after="40"/>
              <w:jc w:val="both"/>
              <w:cnfStyle w:val="000000000000" w:firstRow="0" w:lastRow="0" w:firstColumn="0" w:lastColumn="0" w:oddVBand="0" w:evenVBand="0" w:oddHBand="0" w:evenHBand="0" w:firstRowFirstColumn="0" w:firstRowLastColumn="0" w:lastRowFirstColumn="0" w:lastRowLastColumn="0"/>
              <w:rPr>
                <w:rFonts w:eastAsia="Aptos" w:cs="Arial"/>
                <w:i/>
                <w:iCs/>
                <w:sz w:val="20"/>
                <w:szCs w:val="20"/>
                <w:lang w:val="fr-FR"/>
              </w:rPr>
            </w:pPr>
          </w:p>
          <w:p w14:paraId="62AF8D63" w14:textId="77777777" w:rsidR="00D15F48" w:rsidRPr="00F7150E" w:rsidRDefault="00230579" w:rsidP="007B1F8A">
            <w:pPr>
              <w:spacing w:before="40" w:after="40"/>
              <w:jc w:val="both"/>
              <w:cnfStyle w:val="000000000000" w:firstRow="0" w:lastRow="0" w:firstColumn="0" w:lastColumn="0" w:oddVBand="0" w:evenVBand="0" w:oddHBand="0" w:evenHBand="0" w:firstRowFirstColumn="0" w:firstRowLastColumn="0" w:lastRowFirstColumn="0" w:lastRowLastColumn="0"/>
              <w:rPr>
                <w:rFonts w:eastAsia="Aptos" w:cs="Arial"/>
                <w:i/>
                <w:iCs/>
                <w:sz w:val="20"/>
                <w:szCs w:val="20"/>
                <w:lang w:val="fr-FR"/>
              </w:rPr>
            </w:pPr>
            <w:r w:rsidRPr="00F7150E">
              <w:rPr>
                <w:rFonts w:eastAsia="Aptos" w:cs="Arial"/>
                <w:i/>
                <w:iCs/>
                <w:sz w:val="20"/>
                <w:szCs w:val="20"/>
                <w:lang w:val="fr-FR"/>
              </w:rPr>
              <w:t>Lors de la ScC-SC10, fournir des conseils au Conseil scientifique sur l’examen et la poursuite des actions concertées pertinentes et des plans d’action pour les espèces aviaires.</w:t>
            </w:r>
          </w:p>
        </w:tc>
        <w:tc>
          <w:tcPr>
            <w:tcW w:w="1701" w:type="dxa"/>
          </w:tcPr>
          <w:p w14:paraId="03CFF625" w14:textId="77777777" w:rsidR="00D15F48" w:rsidRPr="00F7150E" w:rsidRDefault="00230579" w:rsidP="007B1F8A">
            <w:pPr>
              <w:spacing w:before="40" w:after="40"/>
              <w:cnfStyle w:val="000000000000" w:firstRow="0" w:lastRow="0" w:firstColumn="0" w:lastColumn="0" w:oddVBand="0" w:evenVBand="0" w:oddHBand="0" w:evenHBand="0" w:firstRowFirstColumn="0" w:firstRowLastColumn="0" w:lastRowFirstColumn="0" w:lastRowLastColumn="0"/>
              <w:rPr>
                <w:rFonts w:eastAsia="Aptos" w:cs="Arial"/>
                <w:i/>
                <w:iCs/>
                <w:sz w:val="20"/>
                <w:szCs w:val="20"/>
                <w:lang w:val="fr-FR"/>
              </w:rPr>
            </w:pPr>
            <w:proofErr w:type="spellStart"/>
            <w:r w:rsidRPr="00F7150E">
              <w:rPr>
                <w:rFonts w:eastAsia="Aptos" w:cs="Arial"/>
                <w:i/>
                <w:iCs/>
                <w:sz w:val="20"/>
                <w:szCs w:val="20"/>
                <w:lang w:val="fr-FR"/>
              </w:rPr>
              <w:t>Rés</w:t>
            </w:r>
            <w:proofErr w:type="spellEnd"/>
            <w:r w:rsidRPr="00F7150E">
              <w:rPr>
                <w:rFonts w:eastAsia="Aptos" w:cs="Arial"/>
                <w:i/>
                <w:iCs/>
                <w:sz w:val="20"/>
                <w:szCs w:val="20"/>
                <w:lang w:val="fr-FR"/>
              </w:rPr>
              <w:t>. 12.12 (Rev.COP14) Plans d’action pour les oiseaux</w:t>
            </w:r>
          </w:p>
          <w:p w14:paraId="5C22A17D" w14:textId="77777777" w:rsidR="00D15F48" w:rsidRPr="00F7150E" w:rsidRDefault="00D15F48" w:rsidP="007B1F8A">
            <w:pPr>
              <w:spacing w:before="40" w:after="40"/>
              <w:cnfStyle w:val="000000000000" w:firstRow="0" w:lastRow="0" w:firstColumn="0" w:lastColumn="0" w:oddVBand="0" w:evenVBand="0" w:oddHBand="0" w:evenHBand="0" w:firstRowFirstColumn="0" w:firstRowLastColumn="0" w:lastRowFirstColumn="0" w:lastRowLastColumn="0"/>
              <w:rPr>
                <w:rFonts w:eastAsia="Aptos" w:cs="Arial"/>
                <w:i/>
                <w:iCs/>
                <w:sz w:val="20"/>
                <w:szCs w:val="20"/>
                <w:lang w:val="fr-FR"/>
              </w:rPr>
            </w:pPr>
          </w:p>
          <w:p w14:paraId="379A0D28" w14:textId="77777777" w:rsidR="00D15F48" w:rsidRPr="00F7150E" w:rsidRDefault="00230579" w:rsidP="007B1F8A">
            <w:pPr>
              <w:spacing w:before="40" w:after="40"/>
              <w:cnfStyle w:val="000000000000" w:firstRow="0" w:lastRow="0" w:firstColumn="0" w:lastColumn="0" w:oddVBand="0" w:evenVBand="0" w:oddHBand="0" w:evenHBand="0" w:firstRowFirstColumn="0" w:firstRowLastColumn="0" w:lastRowFirstColumn="0" w:lastRowLastColumn="0"/>
              <w:rPr>
                <w:rFonts w:eastAsia="Aptos" w:cs="Arial"/>
                <w:i/>
                <w:iCs/>
                <w:sz w:val="20"/>
                <w:szCs w:val="20"/>
                <w:lang w:val="fr-FR"/>
              </w:rPr>
            </w:pPr>
            <w:proofErr w:type="spellStart"/>
            <w:r w:rsidRPr="00F7150E">
              <w:rPr>
                <w:rFonts w:eastAsia="Aptos" w:cs="Arial"/>
                <w:i/>
                <w:iCs/>
                <w:sz w:val="20"/>
                <w:szCs w:val="20"/>
                <w:lang w:val="fr-FR"/>
              </w:rPr>
              <w:t>Rés</w:t>
            </w:r>
            <w:proofErr w:type="spellEnd"/>
            <w:r w:rsidRPr="00F7150E">
              <w:rPr>
                <w:rFonts w:eastAsia="Aptos" w:cs="Arial"/>
                <w:i/>
                <w:iCs/>
                <w:sz w:val="20"/>
                <w:szCs w:val="20"/>
                <w:lang w:val="fr-FR"/>
              </w:rPr>
              <w:t>. 05.09 (Rev.COP12) Approbation des plans d’action pour certains oiseaux migrateurs inscrits aux Annexes I et II</w:t>
            </w:r>
          </w:p>
          <w:p w14:paraId="2BF77BB8" w14:textId="77777777" w:rsidR="00D15F48" w:rsidRPr="00F7150E" w:rsidRDefault="00D15F48" w:rsidP="007B1F8A">
            <w:pPr>
              <w:spacing w:before="40" w:after="40"/>
              <w:cnfStyle w:val="000000000000" w:firstRow="0" w:lastRow="0" w:firstColumn="0" w:lastColumn="0" w:oddVBand="0" w:evenVBand="0" w:oddHBand="0" w:evenHBand="0" w:firstRowFirstColumn="0" w:firstRowLastColumn="0" w:lastRowFirstColumn="0" w:lastRowLastColumn="0"/>
              <w:rPr>
                <w:rFonts w:eastAsia="Aptos" w:cs="Arial"/>
                <w:i/>
                <w:iCs/>
                <w:sz w:val="20"/>
                <w:szCs w:val="20"/>
                <w:lang w:val="fr-FR"/>
              </w:rPr>
            </w:pPr>
          </w:p>
          <w:p w14:paraId="5052008F" w14:textId="77777777" w:rsidR="00D15F48" w:rsidRPr="00F7150E" w:rsidRDefault="00230579" w:rsidP="007B1F8A">
            <w:pPr>
              <w:spacing w:before="40" w:after="40"/>
              <w:cnfStyle w:val="000000000000" w:firstRow="0" w:lastRow="0" w:firstColumn="0" w:lastColumn="0" w:oddVBand="0" w:evenVBand="0" w:oddHBand="0" w:evenHBand="0" w:firstRowFirstColumn="0" w:firstRowLastColumn="0" w:lastRowFirstColumn="0" w:lastRowLastColumn="0"/>
              <w:rPr>
                <w:rFonts w:eastAsia="Aptos" w:cs="Arial"/>
                <w:i/>
                <w:iCs/>
                <w:sz w:val="20"/>
                <w:szCs w:val="20"/>
                <w:lang w:val="fr-FR"/>
              </w:rPr>
            </w:pPr>
            <w:proofErr w:type="spellStart"/>
            <w:r w:rsidRPr="00F7150E">
              <w:rPr>
                <w:rFonts w:eastAsia="Aptos" w:cs="Arial"/>
                <w:i/>
                <w:iCs/>
                <w:sz w:val="20"/>
                <w:szCs w:val="20"/>
                <w:lang w:val="fr-FR"/>
              </w:rPr>
              <w:t>Rés</w:t>
            </w:r>
            <w:proofErr w:type="spellEnd"/>
            <w:r w:rsidRPr="00F7150E">
              <w:rPr>
                <w:rFonts w:eastAsia="Aptos" w:cs="Arial"/>
                <w:i/>
                <w:iCs/>
                <w:sz w:val="20"/>
                <w:szCs w:val="20"/>
                <w:lang w:val="fr-FR"/>
              </w:rPr>
              <w:t>. 12.28 (Rev.COP14) Actions concertées</w:t>
            </w:r>
          </w:p>
          <w:p w14:paraId="74EC490F" w14:textId="77777777" w:rsidR="00D15F48" w:rsidRPr="00F7150E" w:rsidRDefault="00D15F48" w:rsidP="007B1F8A">
            <w:pPr>
              <w:spacing w:before="40" w:after="40"/>
              <w:cnfStyle w:val="000000000000" w:firstRow="0" w:lastRow="0" w:firstColumn="0" w:lastColumn="0" w:oddVBand="0" w:evenVBand="0" w:oddHBand="0" w:evenHBand="0" w:firstRowFirstColumn="0" w:firstRowLastColumn="0" w:lastRowFirstColumn="0" w:lastRowLastColumn="0"/>
              <w:rPr>
                <w:rFonts w:eastAsia="Aptos" w:cs="Arial"/>
                <w:i/>
                <w:iCs/>
                <w:sz w:val="20"/>
                <w:szCs w:val="20"/>
                <w:lang w:val="fr-FR"/>
              </w:rPr>
            </w:pPr>
          </w:p>
          <w:p w14:paraId="27BBBFDC" w14:textId="77777777" w:rsidR="00D15F48" w:rsidRPr="00F7150E" w:rsidRDefault="00230579" w:rsidP="007B1F8A">
            <w:pPr>
              <w:spacing w:before="40" w:after="40"/>
              <w:cnfStyle w:val="000000000000" w:firstRow="0" w:lastRow="0" w:firstColumn="0" w:lastColumn="0" w:oddVBand="0" w:evenVBand="0" w:oddHBand="0" w:evenHBand="0" w:firstRowFirstColumn="0" w:firstRowLastColumn="0" w:lastRowFirstColumn="0" w:lastRowLastColumn="0"/>
              <w:rPr>
                <w:rFonts w:eastAsia="Aptos" w:cs="Arial"/>
                <w:i/>
                <w:iCs/>
                <w:sz w:val="20"/>
                <w:szCs w:val="20"/>
                <w:lang w:val="fr-FR"/>
              </w:rPr>
            </w:pPr>
            <w:r w:rsidRPr="00F7150E">
              <w:rPr>
                <w:rFonts w:eastAsia="Aptos" w:cs="Arial"/>
                <w:i/>
                <w:iCs/>
                <w:sz w:val="20"/>
                <w:szCs w:val="20"/>
                <w:lang w:val="fr-FR"/>
              </w:rPr>
              <w:t>Décision 14.147</w:t>
            </w:r>
          </w:p>
          <w:p w14:paraId="68BC14B0" w14:textId="77777777" w:rsidR="00D15F48" w:rsidRPr="00F7150E" w:rsidRDefault="00D15F48" w:rsidP="007B1F8A">
            <w:pPr>
              <w:spacing w:before="40" w:after="40"/>
              <w:cnfStyle w:val="000000000000" w:firstRow="0" w:lastRow="0" w:firstColumn="0" w:lastColumn="0" w:oddVBand="0" w:evenVBand="0" w:oddHBand="0" w:evenHBand="0" w:firstRowFirstColumn="0" w:firstRowLastColumn="0" w:lastRowFirstColumn="0" w:lastRowLastColumn="0"/>
              <w:rPr>
                <w:rFonts w:eastAsia="Aptos" w:cs="Arial"/>
                <w:i/>
                <w:iCs/>
                <w:sz w:val="20"/>
                <w:szCs w:val="20"/>
                <w:lang w:val="fr-FR"/>
              </w:rPr>
            </w:pPr>
          </w:p>
          <w:p w14:paraId="1272A5DE" w14:textId="77777777" w:rsidR="00D15F48" w:rsidRPr="00F7150E" w:rsidRDefault="00230579" w:rsidP="007B1F8A">
            <w:pPr>
              <w:spacing w:before="40" w:after="40"/>
              <w:cnfStyle w:val="000000000000" w:firstRow="0" w:lastRow="0" w:firstColumn="0" w:lastColumn="0" w:oddVBand="0" w:evenVBand="0" w:oddHBand="0" w:evenHBand="0" w:firstRowFirstColumn="0" w:firstRowLastColumn="0" w:lastRowFirstColumn="0" w:lastRowLastColumn="0"/>
              <w:rPr>
                <w:rFonts w:eastAsia="Aptos" w:cs="Arial"/>
                <w:i/>
                <w:iCs/>
                <w:sz w:val="20"/>
                <w:szCs w:val="20"/>
                <w:lang w:val="fr-FR"/>
              </w:rPr>
            </w:pPr>
            <w:r w:rsidRPr="00F7150E">
              <w:rPr>
                <w:rFonts w:eastAsia="Aptos" w:cs="Arial"/>
                <w:i/>
                <w:iCs/>
                <w:sz w:val="20"/>
                <w:szCs w:val="20"/>
                <w:lang w:val="fr-FR"/>
              </w:rPr>
              <w:t>SPMS, Cibles 1.1, 1.2, 1.3</w:t>
            </w:r>
          </w:p>
        </w:tc>
        <w:tc>
          <w:tcPr>
            <w:tcW w:w="1134" w:type="dxa"/>
          </w:tcPr>
          <w:p w14:paraId="5351E7C6" w14:textId="77777777" w:rsidR="00D15F48" w:rsidRPr="00F7150E" w:rsidRDefault="00230579" w:rsidP="007B1F8A">
            <w:pPr>
              <w:spacing w:before="40" w:after="40"/>
              <w:cnfStyle w:val="000000000000" w:firstRow="0" w:lastRow="0" w:firstColumn="0" w:lastColumn="0" w:oddVBand="0" w:evenVBand="0" w:oddHBand="0" w:evenHBand="0" w:firstRowFirstColumn="0" w:firstRowLastColumn="0" w:lastRowFirstColumn="0" w:lastRowLastColumn="0"/>
              <w:rPr>
                <w:rFonts w:eastAsia="Aptos" w:cs="Arial"/>
                <w:i/>
                <w:iCs/>
                <w:sz w:val="20"/>
                <w:szCs w:val="20"/>
                <w:lang w:val="fr-FR"/>
              </w:rPr>
            </w:pPr>
            <w:r w:rsidRPr="00F7150E">
              <w:rPr>
                <w:rFonts w:eastAsia="Aptos" w:cs="Arial"/>
                <w:i/>
                <w:iCs/>
                <w:sz w:val="20"/>
                <w:szCs w:val="20"/>
                <w:lang w:val="fr-FR"/>
              </w:rPr>
              <w:t>En cours</w:t>
            </w:r>
          </w:p>
        </w:tc>
        <w:tc>
          <w:tcPr>
            <w:tcW w:w="2410" w:type="dxa"/>
          </w:tcPr>
          <w:p w14:paraId="083584A1" w14:textId="77777777" w:rsidR="00D15F48" w:rsidRPr="00F7150E" w:rsidRDefault="00230579" w:rsidP="007B1F8A">
            <w:pPr>
              <w:spacing w:before="40" w:after="40"/>
              <w:cnfStyle w:val="000000000000" w:firstRow="0" w:lastRow="0" w:firstColumn="0" w:lastColumn="0" w:oddVBand="0" w:evenVBand="0" w:oddHBand="0" w:evenHBand="0" w:firstRowFirstColumn="0" w:firstRowLastColumn="0" w:lastRowFirstColumn="0" w:lastRowLastColumn="0"/>
              <w:rPr>
                <w:i/>
                <w:sz w:val="20"/>
                <w:szCs w:val="20"/>
                <w:lang w:val="fr-FR"/>
              </w:rPr>
            </w:pPr>
            <w:r w:rsidRPr="00F7150E">
              <w:rPr>
                <w:i/>
                <w:sz w:val="20"/>
                <w:szCs w:val="20"/>
                <w:lang w:val="fr-FR"/>
              </w:rPr>
              <w:t>Groupe de travail sur les voies de migration, Parties, non-Parties, société civile et experts (chef de file)</w:t>
            </w:r>
          </w:p>
          <w:p w14:paraId="082DC4F8" w14:textId="77777777" w:rsidR="00D15F48" w:rsidRPr="00F7150E" w:rsidRDefault="00D15F48" w:rsidP="007B1F8A">
            <w:pPr>
              <w:spacing w:before="40" w:after="40"/>
              <w:cnfStyle w:val="000000000000" w:firstRow="0" w:lastRow="0" w:firstColumn="0" w:lastColumn="0" w:oddVBand="0" w:evenVBand="0" w:oddHBand="0" w:evenHBand="0" w:firstRowFirstColumn="0" w:firstRowLastColumn="0" w:lastRowFirstColumn="0" w:lastRowLastColumn="0"/>
              <w:rPr>
                <w:rFonts w:eastAsia="Aptos" w:cs="Arial"/>
                <w:i/>
                <w:iCs/>
                <w:sz w:val="20"/>
                <w:szCs w:val="20"/>
                <w:lang w:val="fr-FR"/>
              </w:rPr>
            </w:pPr>
          </w:p>
          <w:p w14:paraId="5EEA2593" w14:textId="77777777" w:rsidR="00D15F48" w:rsidRPr="00F7150E" w:rsidRDefault="00230579" w:rsidP="007B1F8A">
            <w:pPr>
              <w:spacing w:before="40" w:after="40"/>
              <w:cnfStyle w:val="000000000000" w:firstRow="0" w:lastRow="0" w:firstColumn="0" w:lastColumn="0" w:oddVBand="0" w:evenVBand="0" w:oddHBand="0" w:evenHBand="0" w:firstRowFirstColumn="0" w:firstRowLastColumn="0" w:lastRowFirstColumn="0" w:lastRowLastColumn="0"/>
              <w:rPr>
                <w:rFonts w:eastAsia="Aptos" w:cs="Arial"/>
                <w:i/>
                <w:iCs/>
                <w:sz w:val="20"/>
                <w:szCs w:val="20"/>
                <w:lang w:val="fr-FR"/>
              </w:rPr>
            </w:pPr>
            <w:r w:rsidRPr="00F7150E">
              <w:rPr>
                <w:rFonts w:eastAsia="Aptos" w:cs="Arial"/>
                <w:i/>
                <w:iCs/>
                <w:sz w:val="20"/>
                <w:szCs w:val="20"/>
                <w:lang w:val="fr-FR"/>
              </w:rPr>
              <w:t>Secrétariat (soutien)</w:t>
            </w:r>
          </w:p>
        </w:tc>
        <w:tc>
          <w:tcPr>
            <w:tcW w:w="1417" w:type="dxa"/>
          </w:tcPr>
          <w:p w14:paraId="57B05D2E" w14:textId="77777777" w:rsidR="00D15F48" w:rsidRPr="00F7150E" w:rsidRDefault="00230579" w:rsidP="007B1F8A">
            <w:pPr>
              <w:spacing w:before="40" w:after="40"/>
              <w:cnfStyle w:val="000000000000" w:firstRow="0" w:lastRow="0" w:firstColumn="0" w:lastColumn="0" w:oddVBand="0" w:evenVBand="0" w:oddHBand="0" w:evenHBand="0" w:firstRowFirstColumn="0" w:firstRowLastColumn="0" w:lastRowFirstColumn="0" w:lastRowLastColumn="0"/>
              <w:rPr>
                <w:rFonts w:eastAsia="Aptos" w:cs="Arial"/>
                <w:i/>
                <w:iCs/>
                <w:sz w:val="20"/>
                <w:szCs w:val="20"/>
                <w:lang w:val="fr-FR"/>
              </w:rPr>
            </w:pPr>
            <w:r w:rsidRPr="00F7150E">
              <w:rPr>
                <w:rFonts w:eastAsia="Aptos" w:cs="Arial"/>
                <w:i/>
                <w:iCs/>
                <w:sz w:val="20"/>
                <w:szCs w:val="20"/>
                <w:lang w:val="fr-FR"/>
              </w:rPr>
              <w:t>En nature</w:t>
            </w:r>
          </w:p>
        </w:tc>
      </w:tr>
      <w:tr w:rsidR="00D15F48" w:rsidRPr="00F7150E" w14:paraId="252F4DFD" w14:textId="77777777" w:rsidTr="0063143D">
        <w:trPr>
          <w:cantSplit/>
        </w:trPr>
        <w:tc>
          <w:tcPr>
            <w:cnfStyle w:val="001000000000" w:firstRow="0" w:lastRow="0" w:firstColumn="1" w:lastColumn="0" w:oddVBand="0" w:evenVBand="0" w:oddHBand="0" w:evenHBand="0" w:firstRowFirstColumn="0" w:firstRowLastColumn="0" w:lastRowFirstColumn="0" w:lastRowLastColumn="0"/>
            <w:tcW w:w="2518" w:type="dxa"/>
          </w:tcPr>
          <w:p w14:paraId="52674997" w14:textId="77777777" w:rsidR="00D15F48" w:rsidRPr="00F7150E" w:rsidRDefault="00230579" w:rsidP="007B1F8A">
            <w:pPr>
              <w:spacing w:before="40" w:after="40"/>
              <w:rPr>
                <w:i/>
                <w:sz w:val="20"/>
                <w:szCs w:val="20"/>
                <w:lang w:val="fr-FR"/>
              </w:rPr>
            </w:pPr>
            <w:r w:rsidRPr="00F7150E">
              <w:rPr>
                <w:i/>
                <w:sz w:val="20"/>
                <w:szCs w:val="20"/>
                <w:lang w:val="fr-FR"/>
              </w:rPr>
              <w:lastRenderedPageBreak/>
              <w:t>3.2 Identifier les espèces candidates hautement prioritaires en vue de l’élaboration de plans d’action par espèce ou multi-espèces</w:t>
            </w:r>
          </w:p>
        </w:tc>
        <w:tc>
          <w:tcPr>
            <w:tcW w:w="5245" w:type="dxa"/>
          </w:tcPr>
          <w:p w14:paraId="5F7F046A" w14:textId="77777777" w:rsidR="00D15F48" w:rsidRPr="00F7150E" w:rsidRDefault="00230579" w:rsidP="007B1F8A">
            <w:pPr>
              <w:spacing w:before="40" w:after="40"/>
              <w:jc w:val="both"/>
              <w:cnfStyle w:val="000000000000" w:firstRow="0" w:lastRow="0" w:firstColumn="0" w:lastColumn="0" w:oddVBand="0" w:evenVBand="0" w:oddHBand="0" w:evenHBand="0" w:firstRowFirstColumn="0" w:firstRowLastColumn="0" w:lastRowFirstColumn="0" w:lastRowLastColumn="0"/>
              <w:rPr>
                <w:i/>
                <w:sz w:val="20"/>
                <w:szCs w:val="20"/>
                <w:lang w:val="fr-FR"/>
              </w:rPr>
            </w:pPr>
            <w:r w:rsidRPr="00F7150E">
              <w:rPr>
                <w:i/>
                <w:sz w:val="20"/>
                <w:szCs w:val="20"/>
                <w:lang w:val="fr-FR"/>
              </w:rPr>
              <w:t>D’ici la ScC-SC10, examiner les espèces d’oiseaux inscrites aux Annexes I et II et faire des recommandations sur les espèces qui bénéficieraient du développement de plans d’action (en tenant compte des processus existants pour donner la priorité à l’élaboration de plans d’action pour les espèces dans le cadre des instruments de la famille de la CMS tels que l’AEWA).</w:t>
            </w:r>
          </w:p>
          <w:p w14:paraId="26D93931" w14:textId="77777777" w:rsidR="00D15F48" w:rsidRPr="00F7150E" w:rsidRDefault="00D15F48" w:rsidP="007B1F8A">
            <w:pPr>
              <w:spacing w:before="40" w:after="40"/>
              <w:jc w:val="both"/>
              <w:cnfStyle w:val="000000000000" w:firstRow="0" w:lastRow="0" w:firstColumn="0" w:lastColumn="0" w:oddVBand="0" w:evenVBand="0" w:oddHBand="0" w:evenHBand="0" w:firstRowFirstColumn="0" w:firstRowLastColumn="0" w:lastRowFirstColumn="0" w:lastRowLastColumn="0"/>
              <w:rPr>
                <w:rFonts w:eastAsia="Aptos" w:cs="Arial"/>
                <w:i/>
                <w:iCs/>
                <w:sz w:val="20"/>
                <w:szCs w:val="20"/>
                <w:lang w:val="fr-FR"/>
              </w:rPr>
            </w:pPr>
          </w:p>
          <w:p w14:paraId="7673C8BE" w14:textId="77777777" w:rsidR="00D15F48" w:rsidRPr="00F7150E" w:rsidRDefault="00230579" w:rsidP="007B1F8A">
            <w:pPr>
              <w:spacing w:before="40" w:after="40"/>
              <w:jc w:val="both"/>
              <w:cnfStyle w:val="000000000000" w:firstRow="0" w:lastRow="0" w:firstColumn="0" w:lastColumn="0" w:oddVBand="0" w:evenVBand="0" w:oddHBand="0" w:evenHBand="0" w:firstRowFirstColumn="0" w:firstRowLastColumn="0" w:lastRowFirstColumn="0" w:lastRowLastColumn="0"/>
              <w:rPr>
                <w:i/>
                <w:sz w:val="20"/>
                <w:szCs w:val="20"/>
                <w:lang w:val="fr-FR"/>
              </w:rPr>
            </w:pPr>
            <w:r w:rsidRPr="00F7150E">
              <w:rPr>
                <w:i/>
                <w:sz w:val="20"/>
                <w:szCs w:val="20"/>
                <w:lang w:val="fr-FR"/>
              </w:rPr>
              <w:t>D’ici la COP16, soutenir les Parties dans l’élaboration de nouveaux plans d’action et d’actions concertées, le cas échéant.</w:t>
            </w:r>
          </w:p>
        </w:tc>
        <w:tc>
          <w:tcPr>
            <w:tcW w:w="1701" w:type="dxa"/>
          </w:tcPr>
          <w:p w14:paraId="52E906DA" w14:textId="77777777" w:rsidR="00D15F48" w:rsidRPr="00F7150E" w:rsidRDefault="00230579" w:rsidP="007B1F8A">
            <w:pPr>
              <w:spacing w:before="40" w:after="40"/>
              <w:cnfStyle w:val="000000000000" w:firstRow="0" w:lastRow="0" w:firstColumn="0" w:lastColumn="0" w:oddVBand="0" w:evenVBand="0" w:oddHBand="0" w:evenHBand="0" w:firstRowFirstColumn="0" w:firstRowLastColumn="0" w:lastRowFirstColumn="0" w:lastRowLastColumn="0"/>
              <w:rPr>
                <w:rFonts w:eastAsia="Aptos" w:cs="Arial"/>
                <w:i/>
                <w:iCs/>
                <w:sz w:val="20"/>
                <w:szCs w:val="20"/>
                <w:lang w:val="fr-FR"/>
              </w:rPr>
            </w:pPr>
            <w:proofErr w:type="spellStart"/>
            <w:r w:rsidRPr="00F7150E">
              <w:rPr>
                <w:rFonts w:eastAsia="Aptos" w:cs="Arial"/>
                <w:i/>
                <w:iCs/>
                <w:sz w:val="20"/>
                <w:szCs w:val="20"/>
                <w:lang w:val="fr-FR"/>
              </w:rPr>
              <w:t>Rés</w:t>
            </w:r>
            <w:proofErr w:type="spellEnd"/>
            <w:r w:rsidRPr="00F7150E">
              <w:rPr>
                <w:rFonts w:eastAsia="Aptos" w:cs="Arial"/>
                <w:i/>
                <w:iCs/>
                <w:sz w:val="20"/>
                <w:szCs w:val="20"/>
                <w:lang w:val="fr-FR"/>
              </w:rPr>
              <w:t>. 12.12 (Rev.COP14) Plans d’action pour les oiseaux</w:t>
            </w:r>
          </w:p>
          <w:p w14:paraId="50B8AD57" w14:textId="77777777" w:rsidR="00D15F48" w:rsidRPr="00F7150E" w:rsidRDefault="00D15F48" w:rsidP="007B1F8A">
            <w:pPr>
              <w:spacing w:before="40" w:after="40"/>
              <w:cnfStyle w:val="000000000000" w:firstRow="0" w:lastRow="0" w:firstColumn="0" w:lastColumn="0" w:oddVBand="0" w:evenVBand="0" w:oddHBand="0" w:evenHBand="0" w:firstRowFirstColumn="0" w:firstRowLastColumn="0" w:lastRowFirstColumn="0" w:lastRowLastColumn="0"/>
              <w:rPr>
                <w:rFonts w:eastAsia="Aptos" w:cs="Arial"/>
                <w:i/>
                <w:iCs/>
                <w:sz w:val="20"/>
                <w:szCs w:val="20"/>
                <w:lang w:val="fr-FR"/>
              </w:rPr>
            </w:pPr>
          </w:p>
          <w:p w14:paraId="57DEBBC5" w14:textId="77777777" w:rsidR="00D15F48" w:rsidRPr="00F7150E" w:rsidRDefault="00230579" w:rsidP="007B1F8A">
            <w:pPr>
              <w:spacing w:before="40" w:after="40"/>
              <w:cnfStyle w:val="000000000000" w:firstRow="0" w:lastRow="0" w:firstColumn="0" w:lastColumn="0" w:oddVBand="0" w:evenVBand="0" w:oddHBand="0" w:evenHBand="0" w:firstRowFirstColumn="0" w:firstRowLastColumn="0" w:lastRowFirstColumn="0" w:lastRowLastColumn="0"/>
              <w:rPr>
                <w:rFonts w:eastAsia="Aptos" w:cs="Arial"/>
                <w:i/>
                <w:iCs/>
                <w:sz w:val="20"/>
                <w:szCs w:val="20"/>
                <w:lang w:val="fr-FR"/>
              </w:rPr>
            </w:pPr>
            <w:r w:rsidRPr="00F7150E">
              <w:rPr>
                <w:rFonts w:eastAsia="Aptos" w:cs="Arial"/>
                <w:i/>
                <w:iCs/>
                <w:sz w:val="20"/>
                <w:szCs w:val="20"/>
                <w:lang w:val="fr-FR"/>
              </w:rPr>
              <w:t>SPMS, Cibles 1.1, 1.2, 1.3</w:t>
            </w:r>
          </w:p>
        </w:tc>
        <w:tc>
          <w:tcPr>
            <w:tcW w:w="1134" w:type="dxa"/>
          </w:tcPr>
          <w:p w14:paraId="16D65441" w14:textId="77777777" w:rsidR="00D15F48" w:rsidRPr="00F7150E" w:rsidRDefault="00230579" w:rsidP="007B1F8A">
            <w:pPr>
              <w:spacing w:before="40" w:after="40"/>
              <w:cnfStyle w:val="000000000000" w:firstRow="0" w:lastRow="0" w:firstColumn="0" w:lastColumn="0" w:oddVBand="0" w:evenVBand="0" w:oddHBand="0" w:evenHBand="0" w:firstRowFirstColumn="0" w:firstRowLastColumn="0" w:lastRowFirstColumn="0" w:lastRowLastColumn="0"/>
              <w:rPr>
                <w:rFonts w:eastAsia="Aptos" w:cs="Arial"/>
                <w:i/>
                <w:iCs/>
                <w:sz w:val="20"/>
                <w:szCs w:val="20"/>
                <w:lang w:val="fr-FR"/>
              </w:rPr>
            </w:pPr>
            <w:r w:rsidRPr="00F7150E">
              <w:rPr>
                <w:rFonts w:eastAsia="Aptos" w:cs="Arial"/>
                <w:i/>
                <w:iCs/>
                <w:sz w:val="20"/>
                <w:szCs w:val="20"/>
                <w:lang w:val="fr-FR"/>
              </w:rPr>
              <w:t>2026-2029</w:t>
            </w:r>
          </w:p>
        </w:tc>
        <w:tc>
          <w:tcPr>
            <w:tcW w:w="2410" w:type="dxa"/>
          </w:tcPr>
          <w:p w14:paraId="376AF35E" w14:textId="77777777" w:rsidR="00D15F48" w:rsidRPr="00F7150E" w:rsidRDefault="00230579" w:rsidP="007B1F8A">
            <w:pPr>
              <w:spacing w:before="40" w:after="40"/>
              <w:cnfStyle w:val="000000000000" w:firstRow="0" w:lastRow="0" w:firstColumn="0" w:lastColumn="0" w:oddVBand="0" w:evenVBand="0" w:oddHBand="0" w:evenHBand="0" w:firstRowFirstColumn="0" w:firstRowLastColumn="0" w:lastRowFirstColumn="0" w:lastRowLastColumn="0"/>
              <w:rPr>
                <w:i/>
                <w:sz w:val="20"/>
                <w:szCs w:val="20"/>
                <w:lang w:val="fr-FR"/>
              </w:rPr>
            </w:pPr>
            <w:r w:rsidRPr="00F7150E">
              <w:rPr>
                <w:i/>
                <w:sz w:val="20"/>
                <w:szCs w:val="20"/>
                <w:lang w:val="fr-FR"/>
              </w:rPr>
              <w:t>Groupe de travail sur les voies de migration, Parties, non-Parties, société civile et experts (chef de file)</w:t>
            </w:r>
          </w:p>
          <w:p w14:paraId="1D072801" w14:textId="77777777" w:rsidR="00D15F48" w:rsidRPr="00F7150E" w:rsidRDefault="00D15F48" w:rsidP="007B1F8A">
            <w:pPr>
              <w:spacing w:before="40" w:after="40"/>
              <w:cnfStyle w:val="000000000000" w:firstRow="0" w:lastRow="0" w:firstColumn="0" w:lastColumn="0" w:oddVBand="0" w:evenVBand="0" w:oddHBand="0" w:evenHBand="0" w:firstRowFirstColumn="0" w:firstRowLastColumn="0" w:lastRowFirstColumn="0" w:lastRowLastColumn="0"/>
              <w:rPr>
                <w:rFonts w:eastAsia="Aptos" w:cs="Arial"/>
                <w:i/>
                <w:iCs/>
                <w:sz w:val="20"/>
                <w:szCs w:val="20"/>
                <w:lang w:val="fr-FR"/>
              </w:rPr>
            </w:pPr>
          </w:p>
          <w:p w14:paraId="36967373" w14:textId="77777777" w:rsidR="00D15F48" w:rsidRPr="00F7150E" w:rsidRDefault="00230579" w:rsidP="007B1F8A">
            <w:pPr>
              <w:spacing w:before="40" w:after="40"/>
              <w:cnfStyle w:val="000000000000" w:firstRow="0" w:lastRow="0" w:firstColumn="0" w:lastColumn="0" w:oddVBand="0" w:evenVBand="0" w:oddHBand="0" w:evenHBand="0" w:firstRowFirstColumn="0" w:firstRowLastColumn="0" w:lastRowFirstColumn="0" w:lastRowLastColumn="0"/>
              <w:rPr>
                <w:rFonts w:eastAsia="Aptos" w:cs="Arial"/>
                <w:i/>
                <w:iCs/>
                <w:sz w:val="20"/>
                <w:szCs w:val="20"/>
                <w:lang w:val="fr-FR"/>
              </w:rPr>
            </w:pPr>
            <w:r w:rsidRPr="00F7150E">
              <w:rPr>
                <w:rFonts w:eastAsia="Aptos" w:cs="Arial"/>
                <w:i/>
                <w:iCs/>
                <w:sz w:val="20"/>
                <w:szCs w:val="20"/>
                <w:lang w:val="fr-FR"/>
              </w:rPr>
              <w:t>Secrétariat (soutien)</w:t>
            </w:r>
          </w:p>
        </w:tc>
        <w:tc>
          <w:tcPr>
            <w:tcW w:w="1417" w:type="dxa"/>
          </w:tcPr>
          <w:p w14:paraId="44D7C863" w14:textId="77777777" w:rsidR="00D15F48" w:rsidRPr="00F7150E" w:rsidRDefault="00230579" w:rsidP="007B1F8A">
            <w:pPr>
              <w:spacing w:before="40" w:after="40"/>
              <w:cnfStyle w:val="000000000000" w:firstRow="0" w:lastRow="0" w:firstColumn="0" w:lastColumn="0" w:oddVBand="0" w:evenVBand="0" w:oddHBand="0" w:evenHBand="0" w:firstRowFirstColumn="0" w:firstRowLastColumn="0" w:lastRowFirstColumn="0" w:lastRowLastColumn="0"/>
              <w:rPr>
                <w:rFonts w:eastAsia="Aptos" w:cs="Arial"/>
                <w:i/>
                <w:iCs/>
                <w:sz w:val="20"/>
                <w:szCs w:val="20"/>
                <w:lang w:val="fr-FR"/>
              </w:rPr>
            </w:pPr>
            <w:r w:rsidRPr="00F7150E">
              <w:rPr>
                <w:rFonts w:eastAsia="Aptos" w:cs="Arial"/>
                <w:i/>
                <w:iCs/>
                <w:sz w:val="20"/>
                <w:szCs w:val="20"/>
                <w:lang w:val="fr-FR"/>
              </w:rPr>
              <w:t>En nature</w:t>
            </w:r>
          </w:p>
        </w:tc>
      </w:tr>
      <w:tr w:rsidR="00D15F48" w:rsidRPr="00F7150E" w14:paraId="69C3DA68" w14:textId="77777777" w:rsidTr="0063143D">
        <w:trPr>
          <w:cantSplit/>
        </w:trPr>
        <w:tc>
          <w:tcPr>
            <w:cnfStyle w:val="001000000000" w:firstRow="0" w:lastRow="0" w:firstColumn="1" w:lastColumn="0" w:oddVBand="0" w:evenVBand="0" w:oddHBand="0" w:evenHBand="0" w:firstRowFirstColumn="0" w:firstRowLastColumn="0" w:lastRowFirstColumn="0" w:lastRowLastColumn="0"/>
            <w:tcW w:w="2518" w:type="dxa"/>
          </w:tcPr>
          <w:p w14:paraId="22CFBC74" w14:textId="77777777" w:rsidR="00D15F48" w:rsidRPr="00F7150E" w:rsidRDefault="00230579" w:rsidP="007B1F8A">
            <w:pPr>
              <w:spacing w:before="40" w:after="40"/>
              <w:rPr>
                <w:i/>
                <w:sz w:val="20"/>
                <w:szCs w:val="20"/>
                <w:lang w:val="fr-FR"/>
              </w:rPr>
            </w:pPr>
            <w:r w:rsidRPr="00F7150E">
              <w:rPr>
                <w:i/>
                <w:sz w:val="20"/>
                <w:szCs w:val="20"/>
                <w:lang w:val="fr-FR"/>
              </w:rPr>
              <w:t>3.3 Faire le point sur les plans d’action pour les oiseaux adoptés par la Convention</w:t>
            </w:r>
          </w:p>
        </w:tc>
        <w:tc>
          <w:tcPr>
            <w:tcW w:w="5245" w:type="dxa"/>
          </w:tcPr>
          <w:p w14:paraId="167D63F1" w14:textId="77777777" w:rsidR="00D15F48" w:rsidRPr="00F7150E" w:rsidRDefault="00230579" w:rsidP="007B1F8A">
            <w:pPr>
              <w:spacing w:before="40" w:after="40"/>
              <w:jc w:val="both"/>
              <w:cnfStyle w:val="000000000000" w:firstRow="0" w:lastRow="0" w:firstColumn="0" w:lastColumn="0" w:oddVBand="0" w:evenVBand="0" w:oddHBand="0" w:evenHBand="0" w:firstRowFirstColumn="0" w:firstRowLastColumn="0" w:lastRowFirstColumn="0" w:lastRowLastColumn="0"/>
              <w:rPr>
                <w:i/>
                <w:sz w:val="20"/>
                <w:szCs w:val="20"/>
                <w:lang w:val="fr-FR"/>
              </w:rPr>
            </w:pPr>
            <w:r w:rsidRPr="00F7150E">
              <w:rPr>
                <w:i/>
                <w:sz w:val="20"/>
                <w:szCs w:val="20"/>
                <w:lang w:val="fr-FR"/>
              </w:rPr>
              <w:t>D’ici la ScC-SC9, dresser une liste des plans d’action adoptés, de leur statut et, le cas échéant, de la nécessité de les mettre à jour avec des informations récentes (en tenant compte des processus existants pour l’évaluation et la mise à jour/révision des plans d’action existants pour les espèces dans le cadre des instruments de la famille de la CMS tels que l’AEWA).</w:t>
            </w:r>
          </w:p>
          <w:p w14:paraId="636FD80F" w14:textId="77777777" w:rsidR="00D15F48" w:rsidRPr="00F7150E" w:rsidRDefault="00D15F48" w:rsidP="007B1F8A">
            <w:pPr>
              <w:spacing w:before="40" w:after="40"/>
              <w:jc w:val="both"/>
              <w:cnfStyle w:val="000000000000" w:firstRow="0" w:lastRow="0" w:firstColumn="0" w:lastColumn="0" w:oddVBand="0" w:evenVBand="0" w:oddHBand="0" w:evenHBand="0" w:firstRowFirstColumn="0" w:firstRowLastColumn="0" w:lastRowFirstColumn="0" w:lastRowLastColumn="0"/>
              <w:rPr>
                <w:rFonts w:eastAsia="Aptos" w:cs="Arial"/>
                <w:i/>
                <w:iCs/>
                <w:sz w:val="20"/>
                <w:szCs w:val="20"/>
                <w:lang w:val="fr-FR"/>
              </w:rPr>
            </w:pPr>
          </w:p>
          <w:p w14:paraId="54C0AA8A" w14:textId="77777777" w:rsidR="00D15F48" w:rsidRPr="00F7150E" w:rsidRDefault="00230579" w:rsidP="007B1F8A">
            <w:pPr>
              <w:spacing w:before="40" w:after="40"/>
              <w:jc w:val="both"/>
              <w:cnfStyle w:val="000000000000" w:firstRow="0" w:lastRow="0" w:firstColumn="0" w:lastColumn="0" w:oddVBand="0" w:evenVBand="0" w:oddHBand="0" w:evenHBand="0" w:firstRowFirstColumn="0" w:firstRowLastColumn="0" w:lastRowFirstColumn="0" w:lastRowLastColumn="0"/>
              <w:rPr>
                <w:i/>
                <w:sz w:val="20"/>
                <w:szCs w:val="20"/>
                <w:lang w:val="fr-FR"/>
              </w:rPr>
            </w:pPr>
            <w:r w:rsidRPr="00F7150E">
              <w:rPr>
                <w:i/>
                <w:sz w:val="20"/>
                <w:szCs w:val="20"/>
                <w:lang w:val="fr-FR"/>
              </w:rPr>
              <w:t>D’ici la COP16, soutenir les Parties dans l’élaboration de plans d’action révisés et d’actions concertées pour les espèces prioritaires.</w:t>
            </w:r>
          </w:p>
        </w:tc>
        <w:tc>
          <w:tcPr>
            <w:tcW w:w="1701" w:type="dxa"/>
          </w:tcPr>
          <w:p w14:paraId="7E5B49F8" w14:textId="77777777" w:rsidR="00D15F48" w:rsidRPr="00F7150E" w:rsidRDefault="00230579" w:rsidP="007B1F8A">
            <w:pPr>
              <w:spacing w:before="40" w:after="40"/>
              <w:cnfStyle w:val="000000000000" w:firstRow="0" w:lastRow="0" w:firstColumn="0" w:lastColumn="0" w:oddVBand="0" w:evenVBand="0" w:oddHBand="0" w:evenHBand="0" w:firstRowFirstColumn="0" w:firstRowLastColumn="0" w:lastRowFirstColumn="0" w:lastRowLastColumn="0"/>
              <w:rPr>
                <w:rFonts w:eastAsia="Aptos" w:cs="Arial"/>
                <w:i/>
                <w:iCs/>
                <w:sz w:val="20"/>
                <w:szCs w:val="20"/>
                <w:lang w:val="fr-FR"/>
              </w:rPr>
            </w:pPr>
            <w:proofErr w:type="spellStart"/>
            <w:r w:rsidRPr="00F7150E">
              <w:rPr>
                <w:rFonts w:eastAsia="Aptos" w:cs="Arial"/>
                <w:i/>
                <w:iCs/>
                <w:sz w:val="20"/>
                <w:szCs w:val="20"/>
                <w:lang w:val="fr-FR"/>
              </w:rPr>
              <w:t>Rés</w:t>
            </w:r>
            <w:proofErr w:type="spellEnd"/>
            <w:r w:rsidRPr="00F7150E">
              <w:rPr>
                <w:rFonts w:eastAsia="Aptos" w:cs="Arial"/>
                <w:i/>
                <w:iCs/>
                <w:sz w:val="20"/>
                <w:szCs w:val="20"/>
                <w:lang w:val="fr-FR"/>
              </w:rPr>
              <w:t>. 12.12 (Rev.COP14) Plans d’action pour les oiseaux</w:t>
            </w:r>
          </w:p>
          <w:p w14:paraId="0F31A722" w14:textId="77777777" w:rsidR="00D15F48" w:rsidRPr="00F7150E" w:rsidRDefault="00D15F48" w:rsidP="007B1F8A">
            <w:pPr>
              <w:spacing w:before="40" w:after="40"/>
              <w:cnfStyle w:val="000000000000" w:firstRow="0" w:lastRow="0" w:firstColumn="0" w:lastColumn="0" w:oddVBand="0" w:evenVBand="0" w:oddHBand="0" w:evenHBand="0" w:firstRowFirstColumn="0" w:firstRowLastColumn="0" w:lastRowFirstColumn="0" w:lastRowLastColumn="0"/>
              <w:rPr>
                <w:rFonts w:eastAsia="Aptos" w:cs="Arial"/>
                <w:i/>
                <w:iCs/>
                <w:sz w:val="20"/>
                <w:szCs w:val="20"/>
                <w:lang w:val="fr-FR"/>
              </w:rPr>
            </w:pPr>
          </w:p>
          <w:p w14:paraId="7EE57686" w14:textId="77777777" w:rsidR="00D15F48" w:rsidRPr="00F7150E" w:rsidRDefault="00230579" w:rsidP="007B1F8A">
            <w:pPr>
              <w:spacing w:before="40" w:after="40"/>
              <w:cnfStyle w:val="000000000000" w:firstRow="0" w:lastRow="0" w:firstColumn="0" w:lastColumn="0" w:oddVBand="0" w:evenVBand="0" w:oddHBand="0" w:evenHBand="0" w:firstRowFirstColumn="0" w:firstRowLastColumn="0" w:lastRowFirstColumn="0" w:lastRowLastColumn="0"/>
              <w:rPr>
                <w:rFonts w:eastAsia="Aptos" w:cs="Arial"/>
                <w:i/>
                <w:iCs/>
                <w:sz w:val="20"/>
                <w:szCs w:val="20"/>
                <w:lang w:val="fr-FR"/>
              </w:rPr>
            </w:pPr>
            <w:proofErr w:type="spellStart"/>
            <w:r w:rsidRPr="00F7150E">
              <w:rPr>
                <w:rFonts w:eastAsia="Aptos" w:cs="Arial"/>
                <w:i/>
                <w:iCs/>
                <w:sz w:val="20"/>
                <w:szCs w:val="20"/>
                <w:lang w:val="fr-FR"/>
              </w:rPr>
              <w:t>Rés</w:t>
            </w:r>
            <w:proofErr w:type="spellEnd"/>
            <w:r w:rsidRPr="00F7150E">
              <w:rPr>
                <w:rFonts w:eastAsia="Aptos" w:cs="Arial"/>
                <w:i/>
                <w:iCs/>
                <w:sz w:val="20"/>
                <w:szCs w:val="20"/>
                <w:lang w:val="fr-FR"/>
              </w:rPr>
              <w:t>. 05.09 (Rev.COP12) Approbation des plans d’action pour certains oiseaux migrateurs inscrits aux Annexes I et II</w:t>
            </w:r>
          </w:p>
          <w:p w14:paraId="4400F534" w14:textId="77777777" w:rsidR="00D15F48" w:rsidRPr="00F7150E" w:rsidRDefault="00D15F48" w:rsidP="007B1F8A">
            <w:pPr>
              <w:spacing w:before="40" w:after="40"/>
              <w:cnfStyle w:val="000000000000" w:firstRow="0" w:lastRow="0" w:firstColumn="0" w:lastColumn="0" w:oddVBand="0" w:evenVBand="0" w:oddHBand="0" w:evenHBand="0" w:firstRowFirstColumn="0" w:firstRowLastColumn="0" w:lastRowFirstColumn="0" w:lastRowLastColumn="0"/>
              <w:rPr>
                <w:rFonts w:eastAsia="Aptos" w:cs="Arial"/>
                <w:i/>
                <w:iCs/>
                <w:sz w:val="20"/>
                <w:szCs w:val="20"/>
                <w:lang w:val="fr-FR"/>
              </w:rPr>
            </w:pPr>
          </w:p>
          <w:p w14:paraId="73CBB5E9" w14:textId="77777777" w:rsidR="00D15F48" w:rsidRPr="00F7150E" w:rsidRDefault="00230579" w:rsidP="007B1F8A">
            <w:pPr>
              <w:spacing w:before="40" w:after="40"/>
              <w:cnfStyle w:val="000000000000" w:firstRow="0" w:lastRow="0" w:firstColumn="0" w:lastColumn="0" w:oddVBand="0" w:evenVBand="0" w:oddHBand="0" w:evenHBand="0" w:firstRowFirstColumn="0" w:firstRowLastColumn="0" w:lastRowFirstColumn="0" w:lastRowLastColumn="0"/>
              <w:rPr>
                <w:rFonts w:eastAsia="Aptos" w:cs="Arial"/>
                <w:i/>
                <w:iCs/>
                <w:sz w:val="20"/>
                <w:szCs w:val="20"/>
                <w:lang w:val="fr-FR"/>
              </w:rPr>
            </w:pPr>
            <w:r w:rsidRPr="00F7150E">
              <w:rPr>
                <w:rFonts w:eastAsia="Aptos" w:cs="Arial"/>
                <w:i/>
                <w:iCs/>
                <w:sz w:val="20"/>
                <w:szCs w:val="20"/>
                <w:lang w:val="fr-FR"/>
              </w:rPr>
              <w:t>Décision 14.147</w:t>
            </w:r>
          </w:p>
          <w:p w14:paraId="690EACAB" w14:textId="77777777" w:rsidR="00D15F48" w:rsidRPr="00F7150E" w:rsidRDefault="00D15F48" w:rsidP="007B1F8A">
            <w:pPr>
              <w:spacing w:before="40" w:after="40"/>
              <w:cnfStyle w:val="000000000000" w:firstRow="0" w:lastRow="0" w:firstColumn="0" w:lastColumn="0" w:oddVBand="0" w:evenVBand="0" w:oddHBand="0" w:evenHBand="0" w:firstRowFirstColumn="0" w:firstRowLastColumn="0" w:lastRowFirstColumn="0" w:lastRowLastColumn="0"/>
              <w:rPr>
                <w:rFonts w:eastAsia="Aptos" w:cs="Arial"/>
                <w:i/>
                <w:iCs/>
                <w:sz w:val="20"/>
                <w:szCs w:val="20"/>
                <w:lang w:val="fr-FR"/>
              </w:rPr>
            </w:pPr>
          </w:p>
          <w:p w14:paraId="7303143A" w14:textId="77777777" w:rsidR="00D15F48" w:rsidRPr="00F7150E" w:rsidRDefault="00230579" w:rsidP="007B1F8A">
            <w:pPr>
              <w:spacing w:before="40" w:after="40"/>
              <w:cnfStyle w:val="000000000000" w:firstRow="0" w:lastRow="0" w:firstColumn="0" w:lastColumn="0" w:oddVBand="0" w:evenVBand="0" w:oddHBand="0" w:evenHBand="0" w:firstRowFirstColumn="0" w:firstRowLastColumn="0" w:lastRowFirstColumn="0" w:lastRowLastColumn="0"/>
              <w:rPr>
                <w:rFonts w:eastAsia="Aptos" w:cs="Arial"/>
                <w:i/>
                <w:iCs/>
                <w:sz w:val="20"/>
                <w:szCs w:val="20"/>
                <w:lang w:val="fr-FR"/>
              </w:rPr>
            </w:pPr>
            <w:r w:rsidRPr="00F7150E">
              <w:rPr>
                <w:rFonts w:eastAsia="Aptos" w:cs="Arial"/>
                <w:i/>
                <w:iCs/>
                <w:sz w:val="20"/>
                <w:szCs w:val="20"/>
                <w:lang w:val="fr-FR"/>
              </w:rPr>
              <w:t>SPMS, Cibles 1.1, 1.2, 1.3</w:t>
            </w:r>
          </w:p>
        </w:tc>
        <w:tc>
          <w:tcPr>
            <w:tcW w:w="1134" w:type="dxa"/>
          </w:tcPr>
          <w:p w14:paraId="582BFBCA" w14:textId="77777777" w:rsidR="00D15F48" w:rsidRPr="00F7150E" w:rsidRDefault="00230579" w:rsidP="007B1F8A">
            <w:pPr>
              <w:spacing w:before="40" w:after="40"/>
              <w:cnfStyle w:val="000000000000" w:firstRow="0" w:lastRow="0" w:firstColumn="0" w:lastColumn="0" w:oddVBand="0" w:evenVBand="0" w:oddHBand="0" w:evenHBand="0" w:firstRowFirstColumn="0" w:firstRowLastColumn="0" w:lastRowFirstColumn="0" w:lastRowLastColumn="0"/>
              <w:rPr>
                <w:rFonts w:eastAsia="Aptos" w:cs="Arial"/>
                <w:i/>
                <w:iCs/>
                <w:sz w:val="20"/>
                <w:szCs w:val="20"/>
                <w:lang w:val="fr-FR"/>
              </w:rPr>
            </w:pPr>
            <w:r w:rsidRPr="00F7150E">
              <w:rPr>
                <w:rFonts w:eastAsia="Aptos" w:cs="Arial"/>
                <w:i/>
                <w:iCs/>
                <w:sz w:val="20"/>
                <w:szCs w:val="20"/>
                <w:lang w:val="fr-FR"/>
              </w:rPr>
              <w:t>2026-2029</w:t>
            </w:r>
          </w:p>
        </w:tc>
        <w:tc>
          <w:tcPr>
            <w:tcW w:w="2410" w:type="dxa"/>
          </w:tcPr>
          <w:p w14:paraId="2A676500" w14:textId="77777777" w:rsidR="00D15F48" w:rsidRPr="00F7150E" w:rsidRDefault="00230579" w:rsidP="007B1F8A">
            <w:pPr>
              <w:spacing w:before="40" w:after="40"/>
              <w:cnfStyle w:val="000000000000" w:firstRow="0" w:lastRow="0" w:firstColumn="0" w:lastColumn="0" w:oddVBand="0" w:evenVBand="0" w:oddHBand="0" w:evenHBand="0" w:firstRowFirstColumn="0" w:firstRowLastColumn="0" w:lastRowFirstColumn="0" w:lastRowLastColumn="0"/>
              <w:rPr>
                <w:rFonts w:eastAsia="Aptos" w:cs="Arial"/>
                <w:i/>
                <w:iCs/>
                <w:sz w:val="20"/>
                <w:szCs w:val="20"/>
                <w:lang w:val="fr-FR"/>
              </w:rPr>
            </w:pPr>
            <w:r w:rsidRPr="00F7150E">
              <w:rPr>
                <w:rFonts w:eastAsia="Aptos" w:cs="Arial"/>
                <w:i/>
                <w:iCs/>
                <w:sz w:val="20"/>
                <w:szCs w:val="20"/>
                <w:lang w:val="fr-FR"/>
              </w:rPr>
              <w:t>Groupe de travail sur les voies de migration, Secrétariat (chef de file)</w:t>
            </w:r>
          </w:p>
          <w:p w14:paraId="5B9A8B10" w14:textId="77777777" w:rsidR="00D15F48" w:rsidRPr="00F7150E" w:rsidRDefault="00D15F48" w:rsidP="007B1F8A">
            <w:pPr>
              <w:spacing w:before="40" w:after="40"/>
              <w:cnfStyle w:val="000000000000" w:firstRow="0" w:lastRow="0" w:firstColumn="0" w:lastColumn="0" w:oddVBand="0" w:evenVBand="0" w:oddHBand="0" w:evenHBand="0" w:firstRowFirstColumn="0" w:firstRowLastColumn="0" w:lastRowFirstColumn="0" w:lastRowLastColumn="0"/>
              <w:rPr>
                <w:rFonts w:eastAsia="Aptos" w:cs="Arial"/>
                <w:i/>
                <w:iCs/>
                <w:sz w:val="20"/>
                <w:szCs w:val="20"/>
                <w:lang w:val="fr-FR"/>
              </w:rPr>
            </w:pPr>
          </w:p>
          <w:p w14:paraId="52D5CB63" w14:textId="77777777" w:rsidR="00D15F48" w:rsidRPr="00F7150E" w:rsidRDefault="00230579" w:rsidP="007B1F8A">
            <w:pPr>
              <w:spacing w:before="40" w:after="40"/>
              <w:cnfStyle w:val="000000000000" w:firstRow="0" w:lastRow="0" w:firstColumn="0" w:lastColumn="0" w:oddVBand="0" w:evenVBand="0" w:oddHBand="0" w:evenHBand="0" w:firstRowFirstColumn="0" w:firstRowLastColumn="0" w:lastRowFirstColumn="0" w:lastRowLastColumn="0"/>
              <w:rPr>
                <w:i/>
                <w:sz w:val="20"/>
                <w:szCs w:val="20"/>
                <w:lang w:val="fr-FR"/>
              </w:rPr>
            </w:pPr>
            <w:r w:rsidRPr="00F7150E">
              <w:rPr>
                <w:i/>
                <w:sz w:val="20"/>
                <w:szCs w:val="20"/>
                <w:lang w:val="fr-FR"/>
              </w:rPr>
              <w:t>Parties, non-Parties, société civile et experts (soutien)</w:t>
            </w:r>
          </w:p>
        </w:tc>
        <w:tc>
          <w:tcPr>
            <w:tcW w:w="1417" w:type="dxa"/>
          </w:tcPr>
          <w:p w14:paraId="6EE8885A" w14:textId="77777777" w:rsidR="00D15F48" w:rsidRPr="00F7150E" w:rsidRDefault="00230579" w:rsidP="007B1F8A">
            <w:pPr>
              <w:spacing w:before="40" w:after="40"/>
              <w:cnfStyle w:val="000000000000" w:firstRow="0" w:lastRow="0" w:firstColumn="0" w:lastColumn="0" w:oddVBand="0" w:evenVBand="0" w:oddHBand="0" w:evenHBand="0" w:firstRowFirstColumn="0" w:firstRowLastColumn="0" w:lastRowFirstColumn="0" w:lastRowLastColumn="0"/>
              <w:rPr>
                <w:rFonts w:eastAsia="Aptos" w:cs="Arial"/>
                <w:i/>
                <w:iCs/>
                <w:sz w:val="20"/>
                <w:szCs w:val="20"/>
                <w:lang w:val="fr-FR"/>
              </w:rPr>
            </w:pPr>
            <w:r w:rsidRPr="00F7150E">
              <w:rPr>
                <w:rFonts w:eastAsia="Aptos" w:cs="Arial"/>
                <w:i/>
                <w:iCs/>
                <w:sz w:val="20"/>
                <w:szCs w:val="20"/>
                <w:lang w:val="fr-FR"/>
              </w:rPr>
              <w:t>En nature</w:t>
            </w:r>
          </w:p>
        </w:tc>
      </w:tr>
    </w:tbl>
    <w:p w14:paraId="43A65CED" w14:textId="77777777" w:rsidR="00954619" w:rsidRDefault="00954619">
      <w:r>
        <w:rPr>
          <w:b/>
          <w:bCs/>
        </w:rPr>
        <w:br w:type="page"/>
      </w:r>
    </w:p>
    <w:tbl>
      <w:tblPr>
        <w:tblStyle w:val="GridTable4-Accent41"/>
        <w:tblW w:w="14425" w:type="dxa"/>
        <w:tblLayout w:type="fixed"/>
        <w:tblLook w:val="06A0" w:firstRow="1" w:lastRow="0" w:firstColumn="1" w:lastColumn="0" w:noHBand="1" w:noVBand="1"/>
      </w:tblPr>
      <w:tblGrid>
        <w:gridCol w:w="2518"/>
        <w:gridCol w:w="5245"/>
        <w:gridCol w:w="1701"/>
        <w:gridCol w:w="1134"/>
        <w:gridCol w:w="2410"/>
        <w:gridCol w:w="1417"/>
      </w:tblGrid>
      <w:tr w:rsidR="00D15F48" w:rsidRPr="00F7150E" w14:paraId="03F0F19A" w14:textId="77777777" w:rsidTr="0063143D">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518" w:type="dxa"/>
            <w:shd w:val="clear" w:color="auto" w:fill="C1E4F5"/>
          </w:tcPr>
          <w:p w14:paraId="199EAF69" w14:textId="53CEE7FB" w:rsidR="00D15F48" w:rsidRPr="00954619" w:rsidRDefault="00230579" w:rsidP="007B1F8A">
            <w:pPr>
              <w:spacing w:before="40" w:after="40"/>
              <w:rPr>
                <w:rFonts w:eastAsia="Aptos" w:cs="Arial"/>
                <w:i/>
                <w:iCs/>
                <w:color w:val="auto"/>
                <w:sz w:val="20"/>
                <w:szCs w:val="20"/>
                <w:lang w:val="fr-FR"/>
              </w:rPr>
            </w:pPr>
            <w:r w:rsidRPr="00954619">
              <w:rPr>
                <w:rFonts w:eastAsia="Aptos" w:cs="Arial"/>
                <w:i/>
                <w:iCs/>
                <w:color w:val="auto"/>
                <w:sz w:val="20"/>
                <w:szCs w:val="20"/>
                <w:lang w:val="fr-FR"/>
              </w:rPr>
              <w:lastRenderedPageBreak/>
              <w:t>Thème 4 :</w:t>
            </w:r>
          </w:p>
        </w:tc>
        <w:tc>
          <w:tcPr>
            <w:tcW w:w="11907" w:type="dxa"/>
            <w:gridSpan w:val="5"/>
            <w:shd w:val="clear" w:color="auto" w:fill="C1E4F5"/>
          </w:tcPr>
          <w:p w14:paraId="77BC0AA2" w14:textId="77777777" w:rsidR="00D15F48" w:rsidRPr="00F7150E" w:rsidRDefault="00230579" w:rsidP="007B1F8A">
            <w:pPr>
              <w:spacing w:before="40" w:after="40"/>
              <w:jc w:val="both"/>
              <w:cnfStyle w:val="100000000000" w:firstRow="1" w:lastRow="0" w:firstColumn="0" w:lastColumn="0" w:oddVBand="0" w:evenVBand="0" w:oddHBand="0" w:evenHBand="0" w:firstRowFirstColumn="0" w:firstRowLastColumn="0" w:lastRowFirstColumn="0" w:lastRowLastColumn="0"/>
              <w:rPr>
                <w:rFonts w:eastAsia="Aptos" w:cs="Arial"/>
                <w:sz w:val="20"/>
                <w:szCs w:val="20"/>
                <w:lang w:val="fr-FR"/>
              </w:rPr>
            </w:pPr>
            <w:r w:rsidRPr="00F7150E">
              <w:rPr>
                <w:rFonts w:eastAsia="Aptos" w:cs="Arial"/>
                <w:i/>
                <w:iCs/>
                <w:sz w:val="20"/>
                <w:szCs w:val="20"/>
                <w:lang w:val="fr-FR"/>
              </w:rPr>
              <w:t>Lacunes prioritaires en matière de connaissances</w:t>
            </w:r>
          </w:p>
        </w:tc>
      </w:tr>
      <w:tr w:rsidR="00D15F48" w:rsidRPr="00F7150E" w14:paraId="22B49AC2" w14:textId="77777777" w:rsidTr="0063143D">
        <w:trPr>
          <w:cantSplit/>
        </w:trPr>
        <w:tc>
          <w:tcPr>
            <w:cnfStyle w:val="001000000000" w:firstRow="0" w:lastRow="0" w:firstColumn="1" w:lastColumn="0" w:oddVBand="0" w:evenVBand="0" w:oddHBand="0" w:evenHBand="0" w:firstRowFirstColumn="0" w:firstRowLastColumn="0" w:lastRowFirstColumn="0" w:lastRowLastColumn="0"/>
            <w:tcW w:w="2518" w:type="dxa"/>
          </w:tcPr>
          <w:p w14:paraId="4D714117" w14:textId="77777777" w:rsidR="00D15F48" w:rsidRPr="00F7150E" w:rsidRDefault="00230579" w:rsidP="007B1F8A">
            <w:pPr>
              <w:spacing w:before="40" w:after="40"/>
              <w:rPr>
                <w:i/>
                <w:sz w:val="20"/>
                <w:szCs w:val="20"/>
                <w:lang w:val="fr-FR"/>
              </w:rPr>
            </w:pPr>
            <w:r w:rsidRPr="00F7150E">
              <w:rPr>
                <w:i/>
                <w:sz w:val="20"/>
                <w:szCs w:val="20"/>
                <w:lang w:val="fr-FR"/>
              </w:rPr>
              <w:t>4.1 Identifier et hiérarchiser les lacunes en matière de connaissances sur les voies de migration</w:t>
            </w:r>
          </w:p>
        </w:tc>
        <w:tc>
          <w:tcPr>
            <w:tcW w:w="5245" w:type="dxa"/>
          </w:tcPr>
          <w:p w14:paraId="0CDAE647" w14:textId="77777777" w:rsidR="00D15F48" w:rsidRPr="00F7150E" w:rsidRDefault="00230579" w:rsidP="007B1F8A">
            <w:pPr>
              <w:spacing w:before="40" w:after="40"/>
              <w:jc w:val="both"/>
              <w:cnfStyle w:val="000000000000" w:firstRow="0" w:lastRow="0" w:firstColumn="0" w:lastColumn="0" w:oddVBand="0" w:evenVBand="0" w:oddHBand="0" w:evenHBand="0" w:firstRowFirstColumn="0" w:firstRowLastColumn="0" w:lastRowFirstColumn="0" w:lastRowLastColumn="0"/>
              <w:rPr>
                <w:rFonts w:eastAsia="Aptos" w:cs="Arial"/>
                <w:i/>
                <w:iCs/>
                <w:sz w:val="20"/>
                <w:szCs w:val="20"/>
                <w:lang w:val="fr-FR"/>
              </w:rPr>
            </w:pPr>
            <w:r w:rsidRPr="00F7150E">
              <w:rPr>
                <w:i/>
                <w:sz w:val="20"/>
                <w:szCs w:val="20"/>
                <w:lang w:val="fr-FR"/>
              </w:rPr>
              <w:t>Organiser un atelier pour identifier et hiérarchiser les lacunes en matière de connaissances</w:t>
            </w:r>
            <w:r w:rsidRPr="00F7150E">
              <w:rPr>
                <w:rFonts w:eastAsia="Aptos" w:cs="Arial"/>
                <w:i/>
                <w:iCs/>
                <w:sz w:val="20"/>
                <w:szCs w:val="20"/>
                <w:lang w:val="fr-FR"/>
              </w:rPr>
              <w:t>, y compris les analyses d’horizon,</w:t>
            </w:r>
            <w:r w:rsidRPr="00F7150E">
              <w:rPr>
                <w:i/>
                <w:sz w:val="20"/>
                <w:szCs w:val="20"/>
                <w:lang w:val="fr-FR"/>
              </w:rPr>
              <w:t xml:space="preserve"> sur toutes les voies de migration pour englober l’état de conservation des oiseaux migrateurs, l’identification </w:t>
            </w:r>
            <w:r w:rsidRPr="00F7150E">
              <w:rPr>
                <w:rFonts w:eastAsia="Aptos" w:cs="Arial"/>
                <w:i/>
                <w:iCs/>
                <w:sz w:val="20"/>
                <w:szCs w:val="20"/>
                <w:lang w:val="fr-FR"/>
              </w:rPr>
              <w:t>et la connectivité des zones clés, les causes principales du déclin des populations, la base de données probantes pour des interventions efficaces afin de réduire au minimum les menaces, gérer et restaurer les espèces et leurs habitats</w:t>
            </w:r>
            <w:r w:rsidRPr="00F7150E">
              <w:rPr>
                <w:i/>
                <w:sz w:val="20"/>
                <w:szCs w:val="20"/>
                <w:lang w:val="fr-FR"/>
              </w:rPr>
              <w:t>, l’aménagement de l’espace, la gouvernance et les dispositions politiques.</w:t>
            </w:r>
          </w:p>
          <w:p w14:paraId="44C0D9E1" w14:textId="77777777" w:rsidR="00D15F48" w:rsidRPr="00F7150E" w:rsidRDefault="00230579" w:rsidP="007B1F8A">
            <w:pPr>
              <w:spacing w:before="40" w:after="40"/>
              <w:jc w:val="both"/>
              <w:cnfStyle w:val="000000000000" w:firstRow="0" w:lastRow="0" w:firstColumn="0" w:lastColumn="0" w:oddVBand="0" w:evenVBand="0" w:oddHBand="0" w:evenHBand="0" w:firstRowFirstColumn="0" w:firstRowLastColumn="0" w:lastRowFirstColumn="0" w:lastRowLastColumn="0"/>
              <w:rPr>
                <w:i/>
                <w:sz w:val="20"/>
                <w:szCs w:val="20"/>
                <w:lang w:val="fr-FR"/>
              </w:rPr>
            </w:pPr>
            <w:r w:rsidRPr="00F7150E">
              <w:rPr>
                <w:i/>
                <w:sz w:val="20"/>
                <w:szCs w:val="20"/>
                <w:lang w:val="fr-FR"/>
              </w:rPr>
              <w:t>Rapport sur les lacunes et les priorités à la ScC-SC10 avec les recommandations connexes pour corriger les lacunes en matière de connaissances et ensuite diffuser largement les résultats auprès des organismes compétents, y compris les universités et autres institutions de recherche, en mettant l’accent sur les lacunes identifiées en matière d’information.</w:t>
            </w:r>
          </w:p>
        </w:tc>
        <w:tc>
          <w:tcPr>
            <w:tcW w:w="1701" w:type="dxa"/>
          </w:tcPr>
          <w:p w14:paraId="35736D66" w14:textId="77777777" w:rsidR="00D15F48" w:rsidRPr="00F7150E" w:rsidRDefault="00230579" w:rsidP="007B1F8A">
            <w:pPr>
              <w:spacing w:before="40" w:after="40"/>
              <w:cnfStyle w:val="000000000000" w:firstRow="0" w:lastRow="0" w:firstColumn="0" w:lastColumn="0" w:oddVBand="0" w:evenVBand="0" w:oddHBand="0" w:evenHBand="0" w:firstRowFirstColumn="0" w:firstRowLastColumn="0" w:lastRowFirstColumn="0" w:lastRowLastColumn="0"/>
              <w:rPr>
                <w:rFonts w:eastAsia="Aptos" w:cs="Arial"/>
                <w:i/>
                <w:iCs/>
                <w:sz w:val="20"/>
                <w:szCs w:val="20"/>
                <w:lang w:val="fr-FR"/>
              </w:rPr>
            </w:pPr>
            <w:r w:rsidRPr="00F7150E">
              <w:rPr>
                <w:rFonts w:eastAsia="Aptos" w:cs="Arial"/>
                <w:i/>
                <w:iCs/>
                <w:sz w:val="20"/>
                <w:szCs w:val="20"/>
                <w:lang w:val="fr-FR"/>
              </w:rPr>
              <w:t>SPMS, Cibles 4.1, 4.2, 5.3</w:t>
            </w:r>
          </w:p>
        </w:tc>
        <w:tc>
          <w:tcPr>
            <w:tcW w:w="1134" w:type="dxa"/>
          </w:tcPr>
          <w:p w14:paraId="2838A1AC" w14:textId="77777777" w:rsidR="00D15F48" w:rsidRPr="00F7150E" w:rsidRDefault="00230579" w:rsidP="007B1F8A">
            <w:pPr>
              <w:spacing w:before="40" w:after="40"/>
              <w:cnfStyle w:val="000000000000" w:firstRow="0" w:lastRow="0" w:firstColumn="0" w:lastColumn="0" w:oddVBand="0" w:evenVBand="0" w:oddHBand="0" w:evenHBand="0" w:firstRowFirstColumn="0" w:firstRowLastColumn="0" w:lastRowFirstColumn="0" w:lastRowLastColumn="0"/>
              <w:rPr>
                <w:rFonts w:eastAsia="Aptos" w:cs="Arial"/>
                <w:i/>
                <w:iCs/>
                <w:sz w:val="20"/>
                <w:szCs w:val="20"/>
                <w:lang w:val="fr-FR"/>
              </w:rPr>
            </w:pPr>
            <w:r w:rsidRPr="00F7150E">
              <w:rPr>
                <w:rFonts w:eastAsia="Aptos" w:cs="Arial"/>
                <w:i/>
                <w:iCs/>
                <w:sz w:val="20"/>
                <w:szCs w:val="20"/>
                <w:lang w:val="fr-FR"/>
              </w:rPr>
              <w:t>2026-2029</w:t>
            </w:r>
          </w:p>
        </w:tc>
        <w:tc>
          <w:tcPr>
            <w:tcW w:w="2410" w:type="dxa"/>
          </w:tcPr>
          <w:p w14:paraId="1F9EFF21" w14:textId="77777777" w:rsidR="00D15F48" w:rsidRPr="00F7150E" w:rsidRDefault="00230579" w:rsidP="007B1F8A">
            <w:pPr>
              <w:spacing w:before="40" w:after="40"/>
              <w:cnfStyle w:val="000000000000" w:firstRow="0" w:lastRow="0" w:firstColumn="0" w:lastColumn="0" w:oddVBand="0" w:evenVBand="0" w:oddHBand="0" w:evenHBand="0" w:firstRowFirstColumn="0" w:firstRowLastColumn="0" w:lastRowFirstColumn="0" w:lastRowLastColumn="0"/>
              <w:rPr>
                <w:rFonts w:eastAsia="Aptos" w:cs="Arial"/>
                <w:i/>
                <w:iCs/>
                <w:sz w:val="20"/>
                <w:szCs w:val="20"/>
                <w:lang w:val="fr-FR"/>
              </w:rPr>
            </w:pPr>
            <w:r w:rsidRPr="00F7150E">
              <w:rPr>
                <w:rFonts w:eastAsia="Aptos" w:cs="Arial"/>
                <w:i/>
                <w:iCs/>
                <w:sz w:val="20"/>
                <w:szCs w:val="20"/>
                <w:lang w:val="fr-FR"/>
              </w:rPr>
              <w:t>Groupe de travail sur les voies de migration, Secrétariat (chef de file)</w:t>
            </w:r>
          </w:p>
          <w:p w14:paraId="31AE5EF2" w14:textId="77777777" w:rsidR="00D15F48" w:rsidRPr="00F7150E" w:rsidRDefault="00D15F48" w:rsidP="007B1F8A">
            <w:pPr>
              <w:spacing w:before="40" w:after="40"/>
              <w:cnfStyle w:val="000000000000" w:firstRow="0" w:lastRow="0" w:firstColumn="0" w:lastColumn="0" w:oddVBand="0" w:evenVBand="0" w:oddHBand="0" w:evenHBand="0" w:firstRowFirstColumn="0" w:firstRowLastColumn="0" w:lastRowFirstColumn="0" w:lastRowLastColumn="0"/>
              <w:rPr>
                <w:rFonts w:eastAsia="Aptos" w:cs="Arial"/>
                <w:i/>
                <w:iCs/>
                <w:sz w:val="20"/>
                <w:szCs w:val="20"/>
                <w:lang w:val="fr-FR"/>
              </w:rPr>
            </w:pPr>
          </w:p>
          <w:p w14:paraId="097D281C" w14:textId="77777777" w:rsidR="00D15F48" w:rsidRPr="00F7150E" w:rsidRDefault="00230579" w:rsidP="007B1F8A">
            <w:pPr>
              <w:spacing w:before="40" w:after="40"/>
              <w:cnfStyle w:val="000000000000" w:firstRow="0" w:lastRow="0" w:firstColumn="0" w:lastColumn="0" w:oddVBand="0" w:evenVBand="0" w:oddHBand="0" w:evenHBand="0" w:firstRowFirstColumn="0" w:firstRowLastColumn="0" w:lastRowFirstColumn="0" w:lastRowLastColumn="0"/>
              <w:rPr>
                <w:i/>
                <w:sz w:val="20"/>
                <w:szCs w:val="20"/>
                <w:lang w:val="fr-FR"/>
              </w:rPr>
            </w:pPr>
            <w:r w:rsidRPr="00F7150E">
              <w:rPr>
                <w:i/>
                <w:sz w:val="20"/>
                <w:szCs w:val="20"/>
                <w:lang w:val="fr-FR"/>
              </w:rPr>
              <w:t>Parties, non-Parties, société civile et experts (soutien)</w:t>
            </w:r>
          </w:p>
        </w:tc>
        <w:tc>
          <w:tcPr>
            <w:tcW w:w="1417" w:type="dxa"/>
          </w:tcPr>
          <w:p w14:paraId="21786482" w14:textId="77777777" w:rsidR="00D15F48" w:rsidRPr="00F7150E" w:rsidRDefault="00230579" w:rsidP="007B1F8A">
            <w:pPr>
              <w:spacing w:before="40" w:after="40"/>
              <w:cnfStyle w:val="000000000000" w:firstRow="0" w:lastRow="0" w:firstColumn="0" w:lastColumn="0" w:oddVBand="0" w:evenVBand="0" w:oddHBand="0" w:evenHBand="0" w:firstRowFirstColumn="0" w:firstRowLastColumn="0" w:lastRowFirstColumn="0" w:lastRowLastColumn="0"/>
              <w:rPr>
                <w:rFonts w:eastAsia="Aptos" w:cs="Arial"/>
                <w:sz w:val="20"/>
                <w:szCs w:val="20"/>
                <w:lang w:val="fr-FR"/>
              </w:rPr>
            </w:pPr>
            <w:r w:rsidRPr="00F7150E">
              <w:rPr>
                <w:rFonts w:eastAsia="Aptos" w:cs="Arial"/>
                <w:i/>
                <w:iCs/>
                <w:sz w:val="20"/>
                <w:szCs w:val="20"/>
                <w:lang w:val="fr-FR"/>
              </w:rPr>
              <w:t>Sous réserve de ressources externes (et de contributions en nature)</w:t>
            </w:r>
          </w:p>
        </w:tc>
      </w:tr>
      <w:tr w:rsidR="00D15F48" w:rsidRPr="00F7150E" w14:paraId="0080BB61" w14:textId="77777777" w:rsidTr="0063143D">
        <w:trPr>
          <w:cantSplit/>
        </w:trPr>
        <w:tc>
          <w:tcPr>
            <w:cnfStyle w:val="001000000000" w:firstRow="0" w:lastRow="0" w:firstColumn="1" w:lastColumn="0" w:oddVBand="0" w:evenVBand="0" w:oddHBand="0" w:evenHBand="0" w:firstRowFirstColumn="0" w:firstRowLastColumn="0" w:lastRowFirstColumn="0" w:lastRowLastColumn="0"/>
            <w:tcW w:w="2518" w:type="dxa"/>
          </w:tcPr>
          <w:p w14:paraId="05A1BB8E" w14:textId="77777777" w:rsidR="00D15F48" w:rsidRPr="00F7150E" w:rsidRDefault="00230579" w:rsidP="007B1F8A">
            <w:pPr>
              <w:spacing w:before="40" w:after="40"/>
              <w:rPr>
                <w:rFonts w:eastAsia="Aptos" w:cs="Arial"/>
                <w:i/>
                <w:iCs/>
                <w:sz w:val="20"/>
                <w:szCs w:val="20"/>
                <w:lang w:val="fr-FR"/>
              </w:rPr>
            </w:pPr>
            <w:r w:rsidRPr="00F7150E">
              <w:rPr>
                <w:rFonts w:eastAsia="Aptos" w:cs="Arial"/>
                <w:i/>
                <w:iCs/>
                <w:sz w:val="20"/>
                <w:szCs w:val="20"/>
                <w:lang w:val="fr-FR"/>
              </w:rPr>
              <w:t>4.2 Soutenir la recherche et le suivi des espèces prioritaires</w:t>
            </w:r>
          </w:p>
        </w:tc>
        <w:tc>
          <w:tcPr>
            <w:tcW w:w="5245" w:type="dxa"/>
          </w:tcPr>
          <w:p w14:paraId="28A4D71B" w14:textId="77777777" w:rsidR="00D15F48" w:rsidRPr="00F7150E" w:rsidRDefault="00230579" w:rsidP="007B1F8A">
            <w:pPr>
              <w:spacing w:before="40" w:after="40"/>
              <w:jc w:val="both"/>
              <w:cnfStyle w:val="000000000000" w:firstRow="0" w:lastRow="0" w:firstColumn="0" w:lastColumn="0" w:oddVBand="0" w:evenVBand="0" w:oddHBand="0" w:evenHBand="0" w:firstRowFirstColumn="0" w:firstRowLastColumn="0" w:lastRowFirstColumn="0" w:lastRowLastColumn="0"/>
              <w:rPr>
                <w:rFonts w:eastAsia="Aptos" w:cs="Arial"/>
                <w:i/>
                <w:iCs/>
                <w:sz w:val="20"/>
                <w:szCs w:val="20"/>
                <w:lang w:val="fr-FR"/>
              </w:rPr>
            </w:pPr>
            <w:r w:rsidRPr="00F7150E">
              <w:rPr>
                <w:rFonts w:eastAsia="Aptos" w:cs="Arial"/>
                <w:i/>
                <w:iCs/>
                <w:sz w:val="20"/>
                <w:szCs w:val="20"/>
                <w:lang w:val="fr-FR"/>
              </w:rPr>
              <w:t>Encourager la collaboration entre les instituts de recherche pour entreprendre des recherches sur les espèces d’oiseaux prioritaires, y compris la surveillance des populations, les études de suivi pour comprendre leur connectivité écologique et les causes de la diminution des populations et pour développer la base de données probantes sur les interventions de conservation efficaces.</w:t>
            </w:r>
          </w:p>
          <w:p w14:paraId="56DCFA34" w14:textId="77777777" w:rsidR="00D15F48" w:rsidRPr="00F7150E" w:rsidRDefault="00D15F48" w:rsidP="007B1F8A">
            <w:pPr>
              <w:spacing w:before="40" w:after="40"/>
              <w:jc w:val="both"/>
              <w:cnfStyle w:val="000000000000" w:firstRow="0" w:lastRow="0" w:firstColumn="0" w:lastColumn="0" w:oddVBand="0" w:evenVBand="0" w:oddHBand="0" w:evenHBand="0" w:firstRowFirstColumn="0" w:firstRowLastColumn="0" w:lastRowFirstColumn="0" w:lastRowLastColumn="0"/>
              <w:rPr>
                <w:rFonts w:eastAsia="Aptos" w:cs="Arial"/>
                <w:i/>
                <w:iCs/>
                <w:sz w:val="20"/>
                <w:szCs w:val="20"/>
                <w:lang w:val="fr-FR"/>
              </w:rPr>
            </w:pPr>
          </w:p>
          <w:p w14:paraId="76777D18" w14:textId="77777777" w:rsidR="00D15F48" w:rsidRPr="00F7150E" w:rsidRDefault="00230579" w:rsidP="007B1F8A">
            <w:pPr>
              <w:spacing w:before="40" w:after="40"/>
              <w:jc w:val="both"/>
              <w:cnfStyle w:val="000000000000" w:firstRow="0" w:lastRow="0" w:firstColumn="0" w:lastColumn="0" w:oddVBand="0" w:evenVBand="0" w:oddHBand="0" w:evenHBand="0" w:firstRowFirstColumn="0" w:firstRowLastColumn="0" w:lastRowFirstColumn="0" w:lastRowLastColumn="0"/>
              <w:rPr>
                <w:rFonts w:eastAsia="Aptos" w:cs="Arial"/>
                <w:i/>
                <w:iCs/>
                <w:sz w:val="20"/>
                <w:szCs w:val="20"/>
                <w:lang w:val="fr-FR"/>
              </w:rPr>
            </w:pPr>
            <w:r w:rsidRPr="00F7150E">
              <w:rPr>
                <w:i/>
                <w:sz w:val="20"/>
                <w:szCs w:val="20"/>
                <w:lang w:val="fr-FR"/>
              </w:rPr>
              <w:t>Favoriser les échanges sur les nouveaux développements en matière de surveillance des voies de migration pour garantir la mise en œuvre effective des nouvelles technologies dans toutes les voies de migration.</w:t>
            </w:r>
          </w:p>
        </w:tc>
        <w:tc>
          <w:tcPr>
            <w:tcW w:w="1701" w:type="dxa"/>
          </w:tcPr>
          <w:p w14:paraId="61070A9C" w14:textId="77777777" w:rsidR="00D15F48" w:rsidRPr="00F7150E" w:rsidRDefault="00230579" w:rsidP="007B1F8A">
            <w:pPr>
              <w:spacing w:before="40" w:after="40"/>
              <w:cnfStyle w:val="000000000000" w:firstRow="0" w:lastRow="0" w:firstColumn="0" w:lastColumn="0" w:oddVBand="0" w:evenVBand="0" w:oddHBand="0" w:evenHBand="0" w:firstRowFirstColumn="0" w:firstRowLastColumn="0" w:lastRowFirstColumn="0" w:lastRowLastColumn="0"/>
              <w:rPr>
                <w:rFonts w:eastAsia="Aptos" w:cs="Arial"/>
                <w:i/>
                <w:iCs/>
                <w:sz w:val="20"/>
                <w:szCs w:val="20"/>
                <w:lang w:val="fr-FR"/>
              </w:rPr>
            </w:pPr>
            <w:r w:rsidRPr="00F7150E">
              <w:rPr>
                <w:rFonts w:eastAsia="Aptos" w:cs="Arial"/>
                <w:i/>
                <w:iCs/>
                <w:sz w:val="20"/>
                <w:szCs w:val="20"/>
                <w:lang w:val="fr-FR"/>
              </w:rPr>
              <w:t>SPMS, Cibles 4.1, 4.2, 5.3</w:t>
            </w:r>
          </w:p>
        </w:tc>
        <w:tc>
          <w:tcPr>
            <w:tcW w:w="1134" w:type="dxa"/>
          </w:tcPr>
          <w:p w14:paraId="662EFD7A" w14:textId="77777777" w:rsidR="00D15F48" w:rsidRPr="00F7150E" w:rsidRDefault="00230579" w:rsidP="007B1F8A">
            <w:pPr>
              <w:spacing w:before="40" w:after="40"/>
              <w:cnfStyle w:val="000000000000" w:firstRow="0" w:lastRow="0" w:firstColumn="0" w:lastColumn="0" w:oddVBand="0" w:evenVBand="0" w:oddHBand="0" w:evenHBand="0" w:firstRowFirstColumn="0" w:firstRowLastColumn="0" w:lastRowFirstColumn="0" w:lastRowLastColumn="0"/>
              <w:rPr>
                <w:rFonts w:eastAsia="Aptos" w:cs="Arial"/>
                <w:i/>
                <w:iCs/>
                <w:sz w:val="20"/>
                <w:szCs w:val="20"/>
                <w:lang w:val="fr-FR"/>
              </w:rPr>
            </w:pPr>
            <w:r w:rsidRPr="00F7150E">
              <w:rPr>
                <w:rFonts w:eastAsia="Aptos" w:cs="Arial"/>
                <w:i/>
                <w:iCs/>
                <w:sz w:val="20"/>
                <w:szCs w:val="20"/>
                <w:lang w:val="fr-FR"/>
              </w:rPr>
              <w:t>2026-2029</w:t>
            </w:r>
          </w:p>
        </w:tc>
        <w:tc>
          <w:tcPr>
            <w:tcW w:w="2410" w:type="dxa"/>
          </w:tcPr>
          <w:p w14:paraId="33BF265C" w14:textId="77777777" w:rsidR="00D15F48" w:rsidRPr="00F7150E" w:rsidRDefault="00230579" w:rsidP="007B1F8A">
            <w:pPr>
              <w:spacing w:before="40" w:after="40"/>
              <w:cnfStyle w:val="000000000000" w:firstRow="0" w:lastRow="0" w:firstColumn="0" w:lastColumn="0" w:oddVBand="0" w:evenVBand="0" w:oddHBand="0" w:evenHBand="0" w:firstRowFirstColumn="0" w:firstRowLastColumn="0" w:lastRowFirstColumn="0" w:lastRowLastColumn="0"/>
              <w:rPr>
                <w:rFonts w:eastAsia="Aptos" w:cs="Arial"/>
                <w:i/>
                <w:iCs/>
                <w:sz w:val="20"/>
                <w:szCs w:val="20"/>
                <w:lang w:val="fr-FR"/>
              </w:rPr>
            </w:pPr>
            <w:r w:rsidRPr="00F7150E">
              <w:rPr>
                <w:rFonts w:eastAsia="Aptos" w:cs="Arial"/>
                <w:i/>
                <w:iCs/>
                <w:sz w:val="20"/>
                <w:szCs w:val="20"/>
                <w:lang w:val="fr-FR"/>
              </w:rPr>
              <w:t>Groupe de travail sur les voies de migration, experts, société civile (chef de file)</w:t>
            </w:r>
          </w:p>
        </w:tc>
        <w:tc>
          <w:tcPr>
            <w:tcW w:w="1417" w:type="dxa"/>
          </w:tcPr>
          <w:p w14:paraId="472F669F" w14:textId="77777777" w:rsidR="00D15F48" w:rsidRPr="00F7150E" w:rsidRDefault="00230579" w:rsidP="007B1F8A">
            <w:pPr>
              <w:spacing w:before="40" w:after="40"/>
              <w:cnfStyle w:val="000000000000" w:firstRow="0" w:lastRow="0" w:firstColumn="0" w:lastColumn="0" w:oddVBand="0" w:evenVBand="0" w:oddHBand="0" w:evenHBand="0" w:firstRowFirstColumn="0" w:firstRowLastColumn="0" w:lastRowFirstColumn="0" w:lastRowLastColumn="0"/>
              <w:rPr>
                <w:rFonts w:eastAsia="Aptos" w:cs="Arial"/>
                <w:sz w:val="20"/>
                <w:szCs w:val="20"/>
                <w:lang w:val="fr-FR"/>
              </w:rPr>
            </w:pPr>
            <w:r w:rsidRPr="00F7150E">
              <w:rPr>
                <w:rFonts w:eastAsia="Aptos" w:cs="Arial"/>
                <w:i/>
                <w:iCs/>
                <w:sz w:val="20"/>
                <w:szCs w:val="20"/>
                <w:lang w:val="fr-FR"/>
              </w:rPr>
              <w:t>Sous réserve de ressources externes</w:t>
            </w:r>
          </w:p>
        </w:tc>
      </w:tr>
      <w:tr w:rsidR="00D15F48" w:rsidRPr="00F7150E" w14:paraId="30F427E0" w14:textId="77777777" w:rsidTr="0063143D">
        <w:trPr>
          <w:cantSplit/>
        </w:trPr>
        <w:tc>
          <w:tcPr>
            <w:cnfStyle w:val="001000000000" w:firstRow="0" w:lastRow="0" w:firstColumn="1" w:lastColumn="0" w:oddVBand="0" w:evenVBand="0" w:oddHBand="0" w:evenHBand="0" w:firstRowFirstColumn="0" w:firstRowLastColumn="0" w:lastRowFirstColumn="0" w:lastRowLastColumn="0"/>
            <w:tcW w:w="2518" w:type="dxa"/>
          </w:tcPr>
          <w:p w14:paraId="65A13501" w14:textId="77777777" w:rsidR="00D15F48" w:rsidRPr="00F7150E" w:rsidRDefault="00230579" w:rsidP="007B1F8A">
            <w:pPr>
              <w:spacing w:before="40" w:after="40"/>
              <w:rPr>
                <w:rFonts w:eastAsia="Aptos" w:cs="Arial"/>
                <w:i/>
                <w:iCs/>
                <w:sz w:val="20"/>
                <w:szCs w:val="20"/>
                <w:lang w:val="fr-FR"/>
              </w:rPr>
            </w:pPr>
            <w:r w:rsidRPr="00F7150E">
              <w:rPr>
                <w:rFonts w:eastAsia="Aptos" w:cs="Arial"/>
                <w:i/>
                <w:iCs/>
                <w:sz w:val="20"/>
                <w:szCs w:val="20"/>
                <w:lang w:val="fr-FR"/>
              </w:rPr>
              <w:lastRenderedPageBreak/>
              <w:t>4.3 Soutenir la recherche sur les voies de migration et les habitats clés</w:t>
            </w:r>
          </w:p>
        </w:tc>
        <w:tc>
          <w:tcPr>
            <w:tcW w:w="5245" w:type="dxa"/>
          </w:tcPr>
          <w:p w14:paraId="747B4D1D" w14:textId="77777777" w:rsidR="00D15F48" w:rsidRPr="00F7150E" w:rsidRDefault="00230579" w:rsidP="007B1F8A">
            <w:pPr>
              <w:spacing w:before="40" w:after="40"/>
              <w:jc w:val="both"/>
              <w:cnfStyle w:val="000000000000" w:firstRow="0" w:lastRow="0" w:firstColumn="0" w:lastColumn="0" w:oddVBand="0" w:evenVBand="0" w:oddHBand="0" w:evenHBand="0" w:firstRowFirstColumn="0" w:firstRowLastColumn="0" w:lastRowFirstColumn="0" w:lastRowLastColumn="0"/>
              <w:rPr>
                <w:i/>
                <w:sz w:val="20"/>
                <w:szCs w:val="20"/>
                <w:lang w:val="fr-FR"/>
              </w:rPr>
            </w:pPr>
            <w:r w:rsidRPr="00F7150E">
              <w:rPr>
                <w:i/>
                <w:sz w:val="20"/>
                <w:szCs w:val="20"/>
                <w:lang w:val="fr-FR"/>
              </w:rPr>
              <w:t xml:space="preserve">Encourager la collaboration entre les instituts de recherche afin d’entreprendre des recherches pour identifier les réseaux écologiques des voies de migration, y compris les paysages, les habitats, les sites et </w:t>
            </w:r>
            <w:r w:rsidRPr="00F7150E">
              <w:rPr>
                <w:rFonts w:eastAsia="Aptos" w:cs="Arial"/>
                <w:i/>
                <w:iCs/>
                <w:sz w:val="20"/>
                <w:szCs w:val="20"/>
                <w:lang w:val="fr-FR"/>
              </w:rPr>
              <w:t>les goulots d’étranglement</w:t>
            </w:r>
            <w:r w:rsidRPr="00F7150E">
              <w:rPr>
                <w:i/>
                <w:sz w:val="20"/>
                <w:szCs w:val="20"/>
                <w:lang w:val="fr-FR"/>
              </w:rPr>
              <w:t>.</w:t>
            </w:r>
          </w:p>
        </w:tc>
        <w:tc>
          <w:tcPr>
            <w:tcW w:w="1701" w:type="dxa"/>
          </w:tcPr>
          <w:p w14:paraId="394A5077" w14:textId="77777777" w:rsidR="00D15F48" w:rsidRPr="00F7150E" w:rsidRDefault="00230579" w:rsidP="007B1F8A">
            <w:pPr>
              <w:spacing w:before="40" w:after="40"/>
              <w:cnfStyle w:val="000000000000" w:firstRow="0" w:lastRow="0" w:firstColumn="0" w:lastColumn="0" w:oddVBand="0" w:evenVBand="0" w:oddHBand="0" w:evenHBand="0" w:firstRowFirstColumn="0" w:firstRowLastColumn="0" w:lastRowFirstColumn="0" w:lastRowLastColumn="0"/>
              <w:rPr>
                <w:rFonts w:eastAsia="Aptos" w:cs="Arial"/>
                <w:i/>
                <w:iCs/>
                <w:sz w:val="20"/>
                <w:szCs w:val="20"/>
                <w:lang w:val="fr-FR"/>
              </w:rPr>
            </w:pPr>
            <w:r w:rsidRPr="00F7150E">
              <w:rPr>
                <w:rFonts w:eastAsia="Aptos" w:cs="Arial"/>
                <w:i/>
                <w:iCs/>
                <w:sz w:val="20"/>
                <w:szCs w:val="20"/>
                <w:lang w:val="fr-FR"/>
              </w:rPr>
              <w:t>SPMS, Cibles 4.1, 4.2, 5.3</w:t>
            </w:r>
          </w:p>
        </w:tc>
        <w:tc>
          <w:tcPr>
            <w:tcW w:w="1134" w:type="dxa"/>
          </w:tcPr>
          <w:p w14:paraId="72FDB3AD" w14:textId="77777777" w:rsidR="00D15F48" w:rsidRPr="00F7150E" w:rsidRDefault="00230579" w:rsidP="007B1F8A">
            <w:pPr>
              <w:spacing w:before="40" w:after="40"/>
              <w:cnfStyle w:val="000000000000" w:firstRow="0" w:lastRow="0" w:firstColumn="0" w:lastColumn="0" w:oddVBand="0" w:evenVBand="0" w:oddHBand="0" w:evenHBand="0" w:firstRowFirstColumn="0" w:firstRowLastColumn="0" w:lastRowFirstColumn="0" w:lastRowLastColumn="0"/>
              <w:rPr>
                <w:rFonts w:eastAsia="Aptos" w:cs="Arial"/>
                <w:i/>
                <w:iCs/>
                <w:sz w:val="20"/>
                <w:szCs w:val="20"/>
                <w:lang w:val="fr-FR"/>
              </w:rPr>
            </w:pPr>
            <w:r w:rsidRPr="00F7150E">
              <w:rPr>
                <w:rFonts w:eastAsia="Aptos" w:cs="Arial"/>
                <w:i/>
                <w:iCs/>
                <w:sz w:val="20"/>
                <w:szCs w:val="20"/>
                <w:lang w:val="fr-FR"/>
              </w:rPr>
              <w:t>2026-2029</w:t>
            </w:r>
          </w:p>
        </w:tc>
        <w:tc>
          <w:tcPr>
            <w:tcW w:w="2410" w:type="dxa"/>
          </w:tcPr>
          <w:p w14:paraId="09E2FADF" w14:textId="77777777" w:rsidR="00D15F48" w:rsidRPr="00F7150E" w:rsidRDefault="00230579" w:rsidP="007B1F8A">
            <w:pPr>
              <w:spacing w:before="40" w:after="40"/>
              <w:cnfStyle w:val="000000000000" w:firstRow="0" w:lastRow="0" w:firstColumn="0" w:lastColumn="0" w:oddVBand="0" w:evenVBand="0" w:oddHBand="0" w:evenHBand="0" w:firstRowFirstColumn="0" w:firstRowLastColumn="0" w:lastRowFirstColumn="0" w:lastRowLastColumn="0"/>
              <w:rPr>
                <w:rFonts w:eastAsia="Aptos" w:cs="Arial"/>
                <w:i/>
                <w:iCs/>
                <w:sz w:val="20"/>
                <w:szCs w:val="20"/>
                <w:lang w:val="fr-FR"/>
              </w:rPr>
            </w:pPr>
            <w:r w:rsidRPr="00F7150E">
              <w:rPr>
                <w:rFonts w:eastAsia="Aptos" w:cs="Arial"/>
                <w:i/>
                <w:iCs/>
                <w:sz w:val="20"/>
                <w:szCs w:val="20"/>
                <w:lang w:val="fr-FR"/>
              </w:rPr>
              <w:t>Groupe de travail sur les voies de migration, experts, société civile (chef de file)</w:t>
            </w:r>
          </w:p>
        </w:tc>
        <w:tc>
          <w:tcPr>
            <w:tcW w:w="1417" w:type="dxa"/>
          </w:tcPr>
          <w:p w14:paraId="63BEFCC6" w14:textId="77777777" w:rsidR="00D15F48" w:rsidRPr="00F7150E" w:rsidRDefault="00230579" w:rsidP="007B1F8A">
            <w:pPr>
              <w:spacing w:before="40" w:after="40"/>
              <w:cnfStyle w:val="000000000000" w:firstRow="0" w:lastRow="0" w:firstColumn="0" w:lastColumn="0" w:oddVBand="0" w:evenVBand="0" w:oddHBand="0" w:evenHBand="0" w:firstRowFirstColumn="0" w:firstRowLastColumn="0" w:lastRowFirstColumn="0" w:lastRowLastColumn="0"/>
              <w:rPr>
                <w:rFonts w:eastAsia="Aptos" w:cs="Arial"/>
                <w:sz w:val="20"/>
                <w:szCs w:val="20"/>
                <w:lang w:val="fr-FR"/>
              </w:rPr>
            </w:pPr>
            <w:r w:rsidRPr="00F7150E">
              <w:rPr>
                <w:rFonts w:eastAsia="Aptos" w:cs="Arial"/>
                <w:i/>
                <w:iCs/>
                <w:sz w:val="20"/>
                <w:szCs w:val="20"/>
                <w:lang w:val="fr-FR"/>
              </w:rPr>
              <w:t>Sous réserve de ressources externes</w:t>
            </w:r>
          </w:p>
        </w:tc>
      </w:tr>
      <w:tr w:rsidR="00D15F48" w:rsidRPr="00F7150E" w14:paraId="2722E844" w14:textId="77777777" w:rsidTr="0063143D">
        <w:trPr>
          <w:cantSplit/>
        </w:trPr>
        <w:tc>
          <w:tcPr>
            <w:cnfStyle w:val="001000000000" w:firstRow="0" w:lastRow="0" w:firstColumn="1" w:lastColumn="0" w:oddVBand="0" w:evenVBand="0" w:oddHBand="0" w:evenHBand="0" w:firstRowFirstColumn="0" w:firstRowLastColumn="0" w:lastRowFirstColumn="0" w:lastRowLastColumn="0"/>
            <w:tcW w:w="2518" w:type="dxa"/>
            <w:shd w:val="clear" w:color="auto" w:fill="DEEAF6" w:themeFill="accent5" w:themeFillTint="33"/>
          </w:tcPr>
          <w:p w14:paraId="21AA7E17" w14:textId="77777777" w:rsidR="00D15F48" w:rsidRPr="00F7150E" w:rsidRDefault="00230579" w:rsidP="007B1F8A">
            <w:pPr>
              <w:spacing w:before="40" w:after="40"/>
              <w:rPr>
                <w:rFonts w:eastAsia="Aptos" w:cs="Arial"/>
                <w:i/>
                <w:iCs/>
                <w:sz w:val="20"/>
                <w:szCs w:val="20"/>
                <w:lang w:val="fr-FR"/>
              </w:rPr>
            </w:pPr>
            <w:r w:rsidRPr="00F7150E">
              <w:rPr>
                <w:rFonts w:eastAsia="Aptos" w:cs="Arial"/>
                <w:i/>
                <w:iCs/>
                <w:sz w:val="20"/>
                <w:szCs w:val="20"/>
                <w:lang w:val="fr-FR"/>
              </w:rPr>
              <w:t>Thème 5 :</w:t>
            </w:r>
          </w:p>
        </w:tc>
        <w:tc>
          <w:tcPr>
            <w:tcW w:w="11907" w:type="dxa"/>
            <w:gridSpan w:val="5"/>
            <w:shd w:val="clear" w:color="auto" w:fill="DEEAF6" w:themeFill="accent5" w:themeFillTint="33"/>
          </w:tcPr>
          <w:p w14:paraId="24B3F74C" w14:textId="77777777" w:rsidR="00D15F48" w:rsidRPr="00F7150E" w:rsidRDefault="00230579" w:rsidP="007B1F8A">
            <w:pPr>
              <w:spacing w:before="40" w:after="40"/>
              <w:cnfStyle w:val="000000000000" w:firstRow="0" w:lastRow="0" w:firstColumn="0" w:lastColumn="0" w:oddVBand="0" w:evenVBand="0" w:oddHBand="0" w:evenHBand="0" w:firstRowFirstColumn="0" w:firstRowLastColumn="0" w:lastRowFirstColumn="0" w:lastRowLastColumn="0"/>
              <w:rPr>
                <w:rFonts w:eastAsia="Aptos" w:cs="Arial"/>
                <w:i/>
                <w:iCs/>
                <w:sz w:val="20"/>
                <w:szCs w:val="20"/>
                <w:lang w:val="fr-FR"/>
              </w:rPr>
            </w:pPr>
            <w:r w:rsidRPr="00F7150E">
              <w:rPr>
                <w:rFonts w:eastAsia="Aptos" w:cs="Arial"/>
                <w:i/>
                <w:iCs/>
                <w:sz w:val="20"/>
                <w:szCs w:val="20"/>
                <w:lang w:val="fr-FR"/>
              </w:rPr>
              <w:t xml:space="preserve">Communication et dialogue </w:t>
            </w:r>
          </w:p>
        </w:tc>
      </w:tr>
      <w:tr w:rsidR="00D15F48" w:rsidRPr="00F7150E" w14:paraId="3E98C107" w14:textId="77777777" w:rsidTr="0063143D">
        <w:trPr>
          <w:cantSplit/>
        </w:trPr>
        <w:tc>
          <w:tcPr>
            <w:cnfStyle w:val="001000000000" w:firstRow="0" w:lastRow="0" w:firstColumn="1" w:lastColumn="0" w:oddVBand="0" w:evenVBand="0" w:oddHBand="0" w:evenHBand="0" w:firstRowFirstColumn="0" w:firstRowLastColumn="0" w:lastRowFirstColumn="0" w:lastRowLastColumn="0"/>
            <w:tcW w:w="2518" w:type="dxa"/>
          </w:tcPr>
          <w:p w14:paraId="01354163" w14:textId="77777777" w:rsidR="00D15F48" w:rsidRPr="00F7150E" w:rsidRDefault="00230579" w:rsidP="007B1F8A">
            <w:pPr>
              <w:spacing w:before="40" w:after="40"/>
              <w:rPr>
                <w:rFonts w:eastAsia="Aptos" w:cs="Arial"/>
                <w:i/>
                <w:iCs/>
                <w:sz w:val="20"/>
                <w:szCs w:val="20"/>
                <w:lang w:val="fr-FR"/>
              </w:rPr>
            </w:pPr>
            <w:r w:rsidRPr="00F7150E">
              <w:rPr>
                <w:rFonts w:eastAsia="Aptos" w:cs="Arial"/>
                <w:i/>
                <w:iCs/>
                <w:sz w:val="20"/>
                <w:szCs w:val="20"/>
                <w:lang w:val="fr-FR"/>
              </w:rPr>
              <w:t>5.1 Mettre au point des produits de communication et de dialogue pour promouvoir la conservation des voies de migration et les oiseaux migrateurs</w:t>
            </w:r>
          </w:p>
        </w:tc>
        <w:tc>
          <w:tcPr>
            <w:tcW w:w="5245" w:type="dxa"/>
          </w:tcPr>
          <w:p w14:paraId="731A2DC8" w14:textId="77777777" w:rsidR="00D15F48" w:rsidRPr="00F7150E" w:rsidRDefault="00230579" w:rsidP="007B1F8A">
            <w:pPr>
              <w:spacing w:before="40" w:after="40"/>
              <w:jc w:val="both"/>
              <w:cnfStyle w:val="000000000000" w:firstRow="0" w:lastRow="0" w:firstColumn="0" w:lastColumn="0" w:oddVBand="0" w:evenVBand="0" w:oddHBand="0" w:evenHBand="0" w:firstRowFirstColumn="0" w:firstRowLastColumn="0" w:lastRowFirstColumn="0" w:lastRowLastColumn="0"/>
              <w:rPr>
                <w:i/>
                <w:sz w:val="20"/>
                <w:szCs w:val="20"/>
                <w:lang w:val="fr-FR"/>
              </w:rPr>
            </w:pPr>
            <w:r w:rsidRPr="00F7150E">
              <w:rPr>
                <w:i/>
                <w:sz w:val="20"/>
                <w:szCs w:val="20"/>
                <w:lang w:val="fr-FR"/>
              </w:rPr>
              <w:t>Travailler avec le Secrétariat de la CMS, les instruments de la famille de la CMS et d’autres cadres pour mettre au point des supports afin de promouvoir l’importance des voies de migration, des oiseaux migrateurs</w:t>
            </w:r>
            <w:r w:rsidRPr="00F7150E">
              <w:rPr>
                <w:rFonts w:eastAsia="Aptos" w:cs="Arial"/>
                <w:i/>
                <w:iCs/>
                <w:sz w:val="20"/>
                <w:szCs w:val="20"/>
                <w:lang w:val="fr-FR"/>
              </w:rPr>
              <w:t>,</w:t>
            </w:r>
            <w:r w:rsidRPr="00F7150E">
              <w:rPr>
                <w:i/>
                <w:sz w:val="20"/>
                <w:szCs w:val="20"/>
                <w:lang w:val="fr-FR"/>
              </w:rPr>
              <w:t xml:space="preserve"> des menaces</w:t>
            </w:r>
            <w:r w:rsidRPr="00F7150E">
              <w:rPr>
                <w:rFonts w:eastAsia="Aptos" w:cs="Arial"/>
                <w:i/>
                <w:iCs/>
                <w:sz w:val="20"/>
                <w:szCs w:val="20"/>
                <w:lang w:val="fr-FR"/>
              </w:rPr>
              <w:t xml:space="preserve"> et des solutions</w:t>
            </w:r>
            <w:r w:rsidRPr="00F7150E">
              <w:rPr>
                <w:i/>
                <w:sz w:val="20"/>
                <w:szCs w:val="20"/>
                <w:lang w:val="fr-FR"/>
              </w:rPr>
              <w:t xml:space="preserve"> auprès d’un large public, en s’assurant dès le départ qu’un plan de diffusion solide est en place avec les produits facilement adaptés pour différentes langues, et pas seulement les langues officielles de la CMS. </w:t>
            </w:r>
          </w:p>
        </w:tc>
        <w:tc>
          <w:tcPr>
            <w:tcW w:w="1701" w:type="dxa"/>
          </w:tcPr>
          <w:p w14:paraId="4E5B420D" w14:textId="77777777" w:rsidR="00D15F48" w:rsidRPr="00F7150E" w:rsidRDefault="00230579" w:rsidP="007B1F8A">
            <w:pPr>
              <w:spacing w:before="40" w:after="40"/>
              <w:cnfStyle w:val="000000000000" w:firstRow="0" w:lastRow="0" w:firstColumn="0" w:lastColumn="0" w:oddVBand="0" w:evenVBand="0" w:oddHBand="0" w:evenHBand="0" w:firstRowFirstColumn="0" w:firstRowLastColumn="0" w:lastRowFirstColumn="0" w:lastRowLastColumn="0"/>
              <w:rPr>
                <w:rFonts w:eastAsia="Aptos" w:cs="Arial"/>
                <w:i/>
                <w:iCs/>
                <w:sz w:val="20"/>
                <w:szCs w:val="20"/>
                <w:lang w:val="fr-FR"/>
              </w:rPr>
            </w:pPr>
            <w:proofErr w:type="spellStart"/>
            <w:r w:rsidRPr="00F7150E">
              <w:rPr>
                <w:rFonts w:eastAsia="Aptos" w:cs="Arial"/>
                <w:i/>
                <w:iCs/>
                <w:sz w:val="20"/>
                <w:szCs w:val="20"/>
                <w:lang w:val="fr-FR"/>
              </w:rPr>
              <w:t>Rés</w:t>
            </w:r>
            <w:proofErr w:type="spellEnd"/>
            <w:r w:rsidRPr="00F7150E">
              <w:rPr>
                <w:rFonts w:eastAsia="Aptos" w:cs="Arial"/>
                <w:i/>
                <w:iCs/>
                <w:sz w:val="20"/>
                <w:szCs w:val="20"/>
                <w:lang w:val="fr-FR"/>
              </w:rPr>
              <w:t>. 12.11 (Rev.COP14) Voies de migration</w:t>
            </w:r>
          </w:p>
          <w:p w14:paraId="1E01BD6C" w14:textId="77777777" w:rsidR="00D15F48" w:rsidRPr="00F7150E" w:rsidRDefault="00D15F48" w:rsidP="007B1F8A">
            <w:pPr>
              <w:spacing w:before="40" w:after="40"/>
              <w:cnfStyle w:val="000000000000" w:firstRow="0" w:lastRow="0" w:firstColumn="0" w:lastColumn="0" w:oddVBand="0" w:evenVBand="0" w:oddHBand="0" w:evenHBand="0" w:firstRowFirstColumn="0" w:firstRowLastColumn="0" w:lastRowFirstColumn="0" w:lastRowLastColumn="0"/>
              <w:rPr>
                <w:rFonts w:eastAsia="Aptos" w:cs="Arial"/>
                <w:i/>
                <w:iCs/>
                <w:sz w:val="20"/>
                <w:szCs w:val="20"/>
                <w:lang w:val="fr-FR"/>
              </w:rPr>
            </w:pPr>
          </w:p>
          <w:p w14:paraId="43CCA3C3" w14:textId="77777777" w:rsidR="00D15F48" w:rsidRPr="00F7150E" w:rsidRDefault="00230579" w:rsidP="007B1F8A">
            <w:pPr>
              <w:spacing w:before="40" w:after="40"/>
              <w:cnfStyle w:val="000000000000" w:firstRow="0" w:lastRow="0" w:firstColumn="0" w:lastColumn="0" w:oddVBand="0" w:evenVBand="0" w:oddHBand="0" w:evenHBand="0" w:firstRowFirstColumn="0" w:firstRowLastColumn="0" w:lastRowFirstColumn="0" w:lastRowLastColumn="0"/>
              <w:rPr>
                <w:rFonts w:eastAsia="Aptos" w:cs="Arial"/>
                <w:i/>
                <w:iCs/>
                <w:sz w:val="20"/>
                <w:szCs w:val="20"/>
                <w:lang w:val="fr-FR"/>
              </w:rPr>
            </w:pPr>
            <w:proofErr w:type="spellStart"/>
            <w:r w:rsidRPr="00F7150E">
              <w:rPr>
                <w:rFonts w:eastAsia="Aptos" w:cs="Arial"/>
                <w:i/>
                <w:iCs/>
                <w:sz w:val="20"/>
                <w:szCs w:val="20"/>
                <w:lang w:val="fr-FR"/>
              </w:rPr>
              <w:t>Rés</w:t>
            </w:r>
            <w:proofErr w:type="spellEnd"/>
            <w:r w:rsidRPr="00F7150E">
              <w:rPr>
                <w:rFonts w:eastAsia="Aptos" w:cs="Arial"/>
                <w:i/>
                <w:iCs/>
                <w:sz w:val="20"/>
                <w:szCs w:val="20"/>
                <w:lang w:val="fr-FR"/>
              </w:rPr>
              <w:t>. 11.09 (Rev.COP13) Journée mondiale des oiseaux migrateurs</w:t>
            </w:r>
          </w:p>
          <w:p w14:paraId="1CB34D47" w14:textId="77777777" w:rsidR="00D15F48" w:rsidRPr="00F7150E" w:rsidRDefault="00D15F48" w:rsidP="007B1F8A">
            <w:pPr>
              <w:spacing w:before="40" w:after="40"/>
              <w:cnfStyle w:val="000000000000" w:firstRow="0" w:lastRow="0" w:firstColumn="0" w:lastColumn="0" w:oddVBand="0" w:evenVBand="0" w:oddHBand="0" w:evenHBand="0" w:firstRowFirstColumn="0" w:firstRowLastColumn="0" w:lastRowFirstColumn="0" w:lastRowLastColumn="0"/>
              <w:rPr>
                <w:rFonts w:eastAsia="Aptos" w:cs="Arial"/>
                <w:i/>
                <w:iCs/>
                <w:sz w:val="20"/>
                <w:szCs w:val="20"/>
                <w:lang w:val="fr-FR"/>
              </w:rPr>
            </w:pPr>
          </w:p>
          <w:p w14:paraId="25A863AD" w14:textId="77777777" w:rsidR="00D15F48" w:rsidRPr="00F7150E" w:rsidRDefault="00230579" w:rsidP="007B1F8A">
            <w:pPr>
              <w:spacing w:before="40" w:after="40"/>
              <w:cnfStyle w:val="000000000000" w:firstRow="0" w:lastRow="0" w:firstColumn="0" w:lastColumn="0" w:oddVBand="0" w:evenVBand="0" w:oddHBand="0" w:evenHBand="0" w:firstRowFirstColumn="0" w:firstRowLastColumn="0" w:lastRowFirstColumn="0" w:lastRowLastColumn="0"/>
              <w:rPr>
                <w:rFonts w:eastAsia="Aptos" w:cs="Arial"/>
                <w:i/>
                <w:iCs/>
                <w:sz w:val="20"/>
                <w:szCs w:val="20"/>
                <w:lang w:val="fr-FR"/>
              </w:rPr>
            </w:pPr>
            <w:r w:rsidRPr="00F7150E">
              <w:rPr>
                <w:rFonts w:eastAsia="Aptos" w:cs="Arial"/>
                <w:i/>
                <w:iCs/>
                <w:sz w:val="20"/>
                <w:szCs w:val="20"/>
                <w:lang w:val="fr-FR"/>
              </w:rPr>
              <w:t>SPMS, Cibles 6.1, 6.2</w:t>
            </w:r>
          </w:p>
        </w:tc>
        <w:tc>
          <w:tcPr>
            <w:tcW w:w="1134" w:type="dxa"/>
          </w:tcPr>
          <w:p w14:paraId="4804B73E" w14:textId="77777777" w:rsidR="00D15F48" w:rsidRPr="00F7150E" w:rsidRDefault="00230579" w:rsidP="007B1F8A">
            <w:pPr>
              <w:spacing w:before="40" w:after="40"/>
              <w:cnfStyle w:val="000000000000" w:firstRow="0" w:lastRow="0" w:firstColumn="0" w:lastColumn="0" w:oddVBand="0" w:evenVBand="0" w:oddHBand="0" w:evenHBand="0" w:firstRowFirstColumn="0" w:firstRowLastColumn="0" w:lastRowFirstColumn="0" w:lastRowLastColumn="0"/>
              <w:rPr>
                <w:rFonts w:eastAsia="Aptos" w:cs="Arial"/>
                <w:i/>
                <w:iCs/>
                <w:sz w:val="20"/>
                <w:szCs w:val="20"/>
                <w:lang w:val="fr-FR"/>
              </w:rPr>
            </w:pPr>
            <w:r w:rsidRPr="00F7150E">
              <w:rPr>
                <w:rFonts w:eastAsia="Aptos" w:cs="Arial"/>
                <w:i/>
                <w:iCs/>
                <w:sz w:val="20"/>
                <w:szCs w:val="20"/>
                <w:lang w:val="fr-FR"/>
              </w:rPr>
              <w:t>En cours</w:t>
            </w:r>
          </w:p>
        </w:tc>
        <w:tc>
          <w:tcPr>
            <w:tcW w:w="2410" w:type="dxa"/>
          </w:tcPr>
          <w:p w14:paraId="77F6A5BA" w14:textId="77777777" w:rsidR="00D15F48" w:rsidRPr="00F7150E" w:rsidRDefault="00230579" w:rsidP="007B1F8A">
            <w:pPr>
              <w:spacing w:before="40" w:after="40"/>
              <w:cnfStyle w:val="000000000000" w:firstRow="0" w:lastRow="0" w:firstColumn="0" w:lastColumn="0" w:oddVBand="0" w:evenVBand="0" w:oddHBand="0" w:evenHBand="0" w:firstRowFirstColumn="0" w:firstRowLastColumn="0" w:lastRowFirstColumn="0" w:lastRowLastColumn="0"/>
              <w:rPr>
                <w:rFonts w:eastAsia="Aptos" w:cs="Arial"/>
                <w:i/>
                <w:iCs/>
                <w:sz w:val="20"/>
                <w:szCs w:val="20"/>
                <w:lang w:val="fr-FR"/>
              </w:rPr>
            </w:pPr>
            <w:r w:rsidRPr="00F7150E">
              <w:rPr>
                <w:rFonts w:eastAsia="Aptos" w:cs="Arial"/>
                <w:i/>
                <w:iCs/>
                <w:sz w:val="20"/>
                <w:szCs w:val="20"/>
                <w:lang w:val="fr-FR"/>
              </w:rPr>
              <w:t>Groupe de travail sur les voies de migration, Secrétariat (chef de file)</w:t>
            </w:r>
          </w:p>
          <w:p w14:paraId="4C40D977" w14:textId="77777777" w:rsidR="00D15F48" w:rsidRPr="00F7150E" w:rsidRDefault="00D15F48" w:rsidP="007B1F8A">
            <w:pPr>
              <w:spacing w:before="40" w:after="40"/>
              <w:cnfStyle w:val="000000000000" w:firstRow="0" w:lastRow="0" w:firstColumn="0" w:lastColumn="0" w:oddVBand="0" w:evenVBand="0" w:oddHBand="0" w:evenHBand="0" w:firstRowFirstColumn="0" w:firstRowLastColumn="0" w:lastRowFirstColumn="0" w:lastRowLastColumn="0"/>
              <w:rPr>
                <w:rFonts w:eastAsia="Aptos" w:cs="Arial"/>
                <w:i/>
                <w:iCs/>
                <w:sz w:val="20"/>
                <w:szCs w:val="20"/>
                <w:lang w:val="fr-FR"/>
              </w:rPr>
            </w:pPr>
          </w:p>
          <w:p w14:paraId="6EE37EAC" w14:textId="77777777" w:rsidR="00D15F48" w:rsidRPr="00F7150E" w:rsidRDefault="00230579" w:rsidP="007B1F8A">
            <w:pPr>
              <w:spacing w:before="40" w:after="40"/>
              <w:cnfStyle w:val="000000000000" w:firstRow="0" w:lastRow="0" w:firstColumn="0" w:lastColumn="0" w:oddVBand="0" w:evenVBand="0" w:oddHBand="0" w:evenHBand="0" w:firstRowFirstColumn="0" w:firstRowLastColumn="0" w:lastRowFirstColumn="0" w:lastRowLastColumn="0"/>
              <w:rPr>
                <w:rFonts w:eastAsia="Aptos" w:cs="Arial"/>
                <w:i/>
                <w:iCs/>
                <w:sz w:val="20"/>
                <w:szCs w:val="20"/>
                <w:lang w:val="fr-FR"/>
              </w:rPr>
            </w:pPr>
            <w:r w:rsidRPr="00F7150E">
              <w:rPr>
                <w:i/>
                <w:sz w:val="20"/>
                <w:szCs w:val="20"/>
                <w:lang w:val="fr-FR"/>
              </w:rPr>
              <w:t>Parties, non-Parties, société civile et experts (soutien)</w:t>
            </w:r>
          </w:p>
        </w:tc>
        <w:tc>
          <w:tcPr>
            <w:tcW w:w="1417" w:type="dxa"/>
          </w:tcPr>
          <w:p w14:paraId="287F8186" w14:textId="77777777" w:rsidR="00D15F48" w:rsidRPr="00F7150E" w:rsidRDefault="00230579" w:rsidP="007B1F8A">
            <w:pPr>
              <w:spacing w:before="40" w:after="40"/>
              <w:cnfStyle w:val="000000000000" w:firstRow="0" w:lastRow="0" w:firstColumn="0" w:lastColumn="0" w:oddVBand="0" w:evenVBand="0" w:oddHBand="0" w:evenHBand="0" w:firstRowFirstColumn="0" w:firstRowLastColumn="0" w:lastRowFirstColumn="0" w:lastRowLastColumn="0"/>
              <w:rPr>
                <w:rFonts w:eastAsia="Aptos" w:cs="Arial"/>
                <w:i/>
                <w:iCs/>
                <w:sz w:val="20"/>
                <w:szCs w:val="20"/>
                <w:lang w:val="fr-FR"/>
              </w:rPr>
            </w:pPr>
            <w:r w:rsidRPr="00F7150E">
              <w:rPr>
                <w:rFonts w:eastAsia="Aptos" w:cs="Arial"/>
                <w:i/>
                <w:iCs/>
                <w:sz w:val="20"/>
                <w:szCs w:val="20"/>
                <w:lang w:val="fr-FR"/>
              </w:rPr>
              <w:t>Sous réserve de ressources externes</w:t>
            </w:r>
          </w:p>
        </w:tc>
      </w:tr>
      <w:tr w:rsidR="00D15F48" w:rsidRPr="00F7150E" w14:paraId="28F0347B" w14:textId="77777777" w:rsidTr="0063143D">
        <w:trPr>
          <w:cantSplit/>
        </w:trPr>
        <w:tc>
          <w:tcPr>
            <w:cnfStyle w:val="001000000000" w:firstRow="0" w:lastRow="0" w:firstColumn="1" w:lastColumn="0" w:oddVBand="0" w:evenVBand="0" w:oddHBand="0" w:evenHBand="0" w:firstRowFirstColumn="0" w:firstRowLastColumn="0" w:lastRowFirstColumn="0" w:lastRowLastColumn="0"/>
            <w:tcW w:w="2518" w:type="dxa"/>
          </w:tcPr>
          <w:p w14:paraId="05321119" w14:textId="77777777" w:rsidR="00D15F48" w:rsidRPr="00F7150E" w:rsidRDefault="00230579" w:rsidP="007B1F8A">
            <w:pPr>
              <w:spacing w:before="40" w:after="40"/>
              <w:rPr>
                <w:rFonts w:eastAsia="Aptos" w:cs="Arial"/>
                <w:i/>
                <w:iCs/>
                <w:sz w:val="20"/>
                <w:szCs w:val="20"/>
                <w:lang w:val="fr-FR"/>
              </w:rPr>
            </w:pPr>
            <w:r w:rsidRPr="00F7150E">
              <w:rPr>
                <w:rFonts w:eastAsia="Aptos" w:cs="Arial"/>
                <w:i/>
                <w:iCs/>
                <w:sz w:val="20"/>
                <w:szCs w:val="20"/>
                <w:lang w:val="fr-FR"/>
              </w:rPr>
              <w:t>5.2 Soutenir la Journée mondiale des oiseaux migrateurs</w:t>
            </w:r>
          </w:p>
        </w:tc>
        <w:tc>
          <w:tcPr>
            <w:tcW w:w="5245" w:type="dxa"/>
          </w:tcPr>
          <w:p w14:paraId="6CC6A09B" w14:textId="77777777" w:rsidR="00D15F48" w:rsidRPr="00F7150E" w:rsidRDefault="00230579" w:rsidP="007B1F8A">
            <w:pPr>
              <w:spacing w:before="40" w:after="40"/>
              <w:jc w:val="both"/>
              <w:cnfStyle w:val="000000000000" w:firstRow="0" w:lastRow="0" w:firstColumn="0" w:lastColumn="0" w:oddVBand="0" w:evenVBand="0" w:oddHBand="0" w:evenHBand="0" w:firstRowFirstColumn="0" w:firstRowLastColumn="0" w:lastRowFirstColumn="0" w:lastRowLastColumn="0"/>
              <w:rPr>
                <w:rFonts w:eastAsia="Aptos" w:cs="Arial"/>
                <w:i/>
                <w:iCs/>
                <w:sz w:val="20"/>
                <w:szCs w:val="20"/>
                <w:lang w:val="fr-FR"/>
              </w:rPr>
            </w:pPr>
            <w:r w:rsidRPr="00F7150E">
              <w:rPr>
                <w:rFonts w:eastAsia="Aptos" w:cs="Arial"/>
                <w:i/>
                <w:iCs/>
                <w:sz w:val="20"/>
                <w:szCs w:val="20"/>
                <w:lang w:val="fr-FR"/>
              </w:rPr>
              <w:t>Fournir des conseils au Secrétariat sur les thèmes potentiels de la Journée mondiale des oiseaux migrateurs.</w:t>
            </w:r>
          </w:p>
          <w:p w14:paraId="1B0C40D0" w14:textId="77777777" w:rsidR="00D15F48" w:rsidRPr="00F7150E" w:rsidRDefault="00D15F48" w:rsidP="007B1F8A">
            <w:pPr>
              <w:spacing w:before="40" w:after="40"/>
              <w:jc w:val="both"/>
              <w:cnfStyle w:val="000000000000" w:firstRow="0" w:lastRow="0" w:firstColumn="0" w:lastColumn="0" w:oddVBand="0" w:evenVBand="0" w:oddHBand="0" w:evenHBand="0" w:firstRowFirstColumn="0" w:firstRowLastColumn="0" w:lastRowFirstColumn="0" w:lastRowLastColumn="0"/>
              <w:rPr>
                <w:rFonts w:eastAsia="Aptos" w:cs="Arial"/>
                <w:i/>
                <w:iCs/>
                <w:sz w:val="20"/>
                <w:szCs w:val="20"/>
                <w:lang w:val="fr-FR"/>
              </w:rPr>
            </w:pPr>
          </w:p>
          <w:p w14:paraId="401F319F" w14:textId="77777777" w:rsidR="00D15F48" w:rsidRPr="00F7150E" w:rsidRDefault="00230579" w:rsidP="007B1F8A">
            <w:pPr>
              <w:spacing w:before="40" w:after="40"/>
              <w:jc w:val="both"/>
              <w:cnfStyle w:val="000000000000" w:firstRow="0" w:lastRow="0" w:firstColumn="0" w:lastColumn="0" w:oddVBand="0" w:evenVBand="0" w:oddHBand="0" w:evenHBand="0" w:firstRowFirstColumn="0" w:firstRowLastColumn="0" w:lastRowFirstColumn="0" w:lastRowLastColumn="0"/>
              <w:rPr>
                <w:i/>
                <w:sz w:val="20"/>
                <w:szCs w:val="20"/>
                <w:lang w:val="fr-FR"/>
              </w:rPr>
            </w:pPr>
            <w:r w:rsidRPr="00F7150E">
              <w:rPr>
                <w:rFonts w:eastAsia="Aptos" w:cs="Arial"/>
                <w:i/>
                <w:iCs/>
                <w:sz w:val="20"/>
                <w:szCs w:val="20"/>
                <w:lang w:val="fr-FR"/>
              </w:rPr>
              <w:t>Promouvoir activement la Journée mondiale des oiseaux migrateurs chaque année.</w:t>
            </w:r>
          </w:p>
        </w:tc>
        <w:tc>
          <w:tcPr>
            <w:tcW w:w="1701" w:type="dxa"/>
          </w:tcPr>
          <w:p w14:paraId="07BF743C" w14:textId="77777777" w:rsidR="00D15F48" w:rsidRPr="00F7150E" w:rsidRDefault="00230579" w:rsidP="007B1F8A">
            <w:pPr>
              <w:spacing w:before="40" w:after="40"/>
              <w:cnfStyle w:val="000000000000" w:firstRow="0" w:lastRow="0" w:firstColumn="0" w:lastColumn="0" w:oddVBand="0" w:evenVBand="0" w:oddHBand="0" w:evenHBand="0" w:firstRowFirstColumn="0" w:firstRowLastColumn="0" w:lastRowFirstColumn="0" w:lastRowLastColumn="0"/>
              <w:rPr>
                <w:rFonts w:eastAsia="Aptos" w:cs="Arial"/>
                <w:i/>
                <w:iCs/>
                <w:sz w:val="20"/>
                <w:szCs w:val="20"/>
                <w:lang w:val="fr-FR"/>
              </w:rPr>
            </w:pPr>
            <w:proofErr w:type="spellStart"/>
            <w:r w:rsidRPr="00F7150E">
              <w:rPr>
                <w:rFonts w:eastAsia="Aptos" w:cs="Arial"/>
                <w:i/>
                <w:iCs/>
                <w:sz w:val="20"/>
                <w:szCs w:val="20"/>
                <w:lang w:val="fr-FR"/>
              </w:rPr>
              <w:t>Rés</w:t>
            </w:r>
            <w:proofErr w:type="spellEnd"/>
            <w:r w:rsidRPr="00F7150E">
              <w:rPr>
                <w:rFonts w:eastAsia="Aptos" w:cs="Arial"/>
                <w:i/>
                <w:iCs/>
                <w:sz w:val="20"/>
                <w:szCs w:val="20"/>
                <w:lang w:val="fr-FR"/>
              </w:rPr>
              <w:t>. 12.11 (Rev.COP14) Voies de migration</w:t>
            </w:r>
          </w:p>
          <w:p w14:paraId="56DAE29C" w14:textId="77777777" w:rsidR="00D15F48" w:rsidRPr="00F7150E" w:rsidRDefault="00D15F48" w:rsidP="007B1F8A">
            <w:pPr>
              <w:spacing w:before="40" w:after="40"/>
              <w:cnfStyle w:val="000000000000" w:firstRow="0" w:lastRow="0" w:firstColumn="0" w:lastColumn="0" w:oddVBand="0" w:evenVBand="0" w:oddHBand="0" w:evenHBand="0" w:firstRowFirstColumn="0" w:firstRowLastColumn="0" w:lastRowFirstColumn="0" w:lastRowLastColumn="0"/>
              <w:rPr>
                <w:rFonts w:eastAsia="Aptos" w:cs="Arial"/>
                <w:i/>
                <w:iCs/>
                <w:sz w:val="20"/>
                <w:szCs w:val="20"/>
                <w:lang w:val="fr-FR"/>
              </w:rPr>
            </w:pPr>
          </w:p>
          <w:p w14:paraId="26345915" w14:textId="77777777" w:rsidR="00D15F48" w:rsidRPr="00F7150E" w:rsidRDefault="00230579" w:rsidP="007B1F8A">
            <w:pPr>
              <w:spacing w:before="40" w:after="40"/>
              <w:cnfStyle w:val="000000000000" w:firstRow="0" w:lastRow="0" w:firstColumn="0" w:lastColumn="0" w:oddVBand="0" w:evenVBand="0" w:oddHBand="0" w:evenHBand="0" w:firstRowFirstColumn="0" w:firstRowLastColumn="0" w:lastRowFirstColumn="0" w:lastRowLastColumn="0"/>
              <w:rPr>
                <w:rFonts w:eastAsia="Aptos" w:cs="Arial"/>
                <w:i/>
                <w:iCs/>
                <w:sz w:val="20"/>
                <w:szCs w:val="20"/>
                <w:lang w:val="fr-FR"/>
              </w:rPr>
            </w:pPr>
            <w:proofErr w:type="spellStart"/>
            <w:r w:rsidRPr="00F7150E">
              <w:rPr>
                <w:rFonts w:eastAsia="Aptos" w:cs="Arial"/>
                <w:i/>
                <w:iCs/>
                <w:sz w:val="20"/>
                <w:szCs w:val="20"/>
                <w:lang w:val="fr-FR"/>
              </w:rPr>
              <w:t>Rés</w:t>
            </w:r>
            <w:proofErr w:type="spellEnd"/>
            <w:r w:rsidRPr="00F7150E">
              <w:rPr>
                <w:rFonts w:eastAsia="Aptos" w:cs="Arial"/>
                <w:i/>
                <w:iCs/>
                <w:sz w:val="20"/>
                <w:szCs w:val="20"/>
                <w:lang w:val="fr-FR"/>
              </w:rPr>
              <w:t>. 11.09 (Rev.COP13) Journée mondiale des oiseaux migrateurs</w:t>
            </w:r>
          </w:p>
          <w:p w14:paraId="414A4F60" w14:textId="77777777" w:rsidR="00D15F48" w:rsidRPr="00F7150E" w:rsidRDefault="00D15F48" w:rsidP="007B1F8A">
            <w:pPr>
              <w:spacing w:before="40" w:after="40"/>
              <w:cnfStyle w:val="000000000000" w:firstRow="0" w:lastRow="0" w:firstColumn="0" w:lastColumn="0" w:oddVBand="0" w:evenVBand="0" w:oddHBand="0" w:evenHBand="0" w:firstRowFirstColumn="0" w:firstRowLastColumn="0" w:lastRowFirstColumn="0" w:lastRowLastColumn="0"/>
              <w:rPr>
                <w:rFonts w:eastAsia="Aptos" w:cs="Arial"/>
                <w:i/>
                <w:iCs/>
                <w:sz w:val="20"/>
                <w:szCs w:val="20"/>
                <w:lang w:val="fr-FR"/>
              </w:rPr>
            </w:pPr>
          </w:p>
          <w:p w14:paraId="5AD3DA0F" w14:textId="77777777" w:rsidR="00D15F48" w:rsidRPr="00F7150E" w:rsidRDefault="00230579" w:rsidP="007B1F8A">
            <w:pPr>
              <w:spacing w:before="40" w:after="40"/>
              <w:cnfStyle w:val="000000000000" w:firstRow="0" w:lastRow="0" w:firstColumn="0" w:lastColumn="0" w:oddVBand="0" w:evenVBand="0" w:oddHBand="0" w:evenHBand="0" w:firstRowFirstColumn="0" w:firstRowLastColumn="0" w:lastRowFirstColumn="0" w:lastRowLastColumn="0"/>
              <w:rPr>
                <w:rFonts w:eastAsia="Aptos" w:cs="Arial"/>
                <w:i/>
                <w:iCs/>
                <w:sz w:val="20"/>
                <w:szCs w:val="20"/>
                <w:lang w:val="fr-FR"/>
              </w:rPr>
            </w:pPr>
            <w:r w:rsidRPr="00F7150E">
              <w:rPr>
                <w:rFonts w:eastAsia="Aptos" w:cs="Arial"/>
                <w:i/>
                <w:iCs/>
                <w:sz w:val="20"/>
                <w:szCs w:val="20"/>
                <w:lang w:val="fr-FR"/>
              </w:rPr>
              <w:t>SPMS, Cibles 6.1, 6.2</w:t>
            </w:r>
          </w:p>
        </w:tc>
        <w:tc>
          <w:tcPr>
            <w:tcW w:w="1134" w:type="dxa"/>
          </w:tcPr>
          <w:p w14:paraId="0C615688" w14:textId="77777777" w:rsidR="00D15F48" w:rsidRPr="00F7150E" w:rsidRDefault="00230579" w:rsidP="007B1F8A">
            <w:pPr>
              <w:spacing w:before="40" w:after="40"/>
              <w:cnfStyle w:val="000000000000" w:firstRow="0" w:lastRow="0" w:firstColumn="0" w:lastColumn="0" w:oddVBand="0" w:evenVBand="0" w:oddHBand="0" w:evenHBand="0" w:firstRowFirstColumn="0" w:firstRowLastColumn="0" w:lastRowFirstColumn="0" w:lastRowLastColumn="0"/>
              <w:rPr>
                <w:rFonts w:eastAsia="Aptos" w:cs="Arial"/>
                <w:i/>
                <w:iCs/>
                <w:sz w:val="20"/>
                <w:szCs w:val="20"/>
                <w:lang w:val="fr-FR"/>
              </w:rPr>
            </w:pPr>
            <w:r w:rsidRPr="00F7150E">
              <w:rPr>
                <w:rFonts w:eastAsia="Aptos" w:cs="Arial"/>
                <w:i/>
                <w:iCs/>
                <w:sz w:val="20"/>
                <w:szCs w:val="20"/>
                <w:lang w:val="fr-FR"/>
              </w:rPr>
              <w:t>En cours</w:t>
            </w:r>
          </w:p>
        </w:tc>
        <w:tc>
          <w:tcPr>
            <w:tcW w:w="2410" w:type="dxa"/>
          </w:tcPr>
          <w:p w14:paraId="0D415429" w14:textId="77777777" w:rsidR="00D15F48" w:rsidRPr="00F7150E" w:rsidRDefault="00230579" w:rsidP="007B1F8A">
            <w:pPr>
              <w:spacing w:before="40" w:after="40"/>
              <w:cnfStyle w:val="000000000000" w:firstRow="0" w:lastRow="0" w:firstColumn="0" w:lastColumn="0" w:oddVBand="0" w:evenVBand="0" w:oddHBand="0" w:evenHBand="0" w:firstRowFirstColumn="0" w:firstRowLastColumn="0" w:lastRowFirstColumn="0" w:lastRowLastColumn="0"/>
              <w:rPr>
                <w:rFonts w:eastAsia="Aptos" w:cs="Arial"/>
                <w:i/>
                <w:iCs/>
                <w:sz w:val="20"/>
                <w:szCs w:val="20"/>
                <w:lang w:val="fr-FR"/>
              </w:rPr>
            </w:pPr>
            <w:r w:rsidRPr="00F7150E">
              <w:rPr>
                <w:rFonts w:eastAsia="Aptos" w:cs="Arial"/>
                <w:i/>
                <w:iCs/>
                <w:sz w:val="20"/>
                <w:szCs w:val="20"/>
                <w:lang w:val="fr-FR"/>
              </w:rPr>
              <w:t>Groupe de travail sur les voies de migration, Secrétariat (chef de file)</w:t>
            </w:r>
          </w:p>
          <w:p w14:paraId="1E465794" w14:textId="77777777" w:rsidR="00D15F48" w:rsidRPr="00F7150E" w:rsidRDefault="00D15F48" w:rsidP="007B1F8A">
            <w:pPr>
              <w:spacing w:before="40" w:after="40"/>
              <w:cnfStyle w:val="000000000000" w:firstRow="0" w:lastRow="0" w:firstColumn="0" w:lastColumn="0" w:oddVBand="0" w:evenVBand="0" w:oddHBand="0" w:evenHBand="0" w:firstRowFirstColumn="0" w:firstRowLastColumn="0" w:lastRowFirstColumn="0" w:lastRowLastColumn="0"/>
              <w:rPr>
                <w:rFonts w:eastAsia="Aptos" w:cs="Arial"/>
                <w:i/>
                <w:iCs/>
                <w:sz w:val="20"/>
                <w:szCs w:val="20"/>
                <w:lang w:val="fr-FR"/>
              </w:rPr>
            </w:pPr>
          </w:p>
          <w:p w14:paraId="0B9A8277" w14:textId="77777777" w:rsidR="00D15F48" w:rsidRPr="00F7150E" w:rsidRDefault="00230579" w:rsidP="007B1F8A">
            <w:pPr>
              <w:spacing w:before="40" w:after="40"/>
              <w:cnfStyle w:val="000000000000" w:firstRow="0" w:lastRow="0" w:firstColumn="0" w:lastColumn="0" w:oddVBand="0" w:evenVBand="0" w:oddHBand="0" w:evenHBand="0" w:firstRowFirstColumn="0" w:firstRowLastColumn="0" w:lastRowFirstColumn="0" w:lastRowLastColumn="0"/>
              <w:rPr>
                <w:rFonts w:eastAsia="Aptos" w:cs="Arial"/>
                <w:i/>
                <w:iCs/>
                <w:sz w:val="20"/>
                <w:szCs w:val="20"/>
                <w:lang w:val="fr-FR"/>
              </w:rPr>
            </w:pPr>
            <w:r w:rsidRPr="00F7150E">
              <w:rPr>
                <w:i/>
                <w:sz w:val="20"/>
                <w:szCs w:val="20"/>
                <w:lang w:val="fr-FR"/>
              </w:rPr>
              <w:t>Parties, non-Parties, société civile et experts (soutien)</w:t>
            </w:r>
          </w:p>
        </w:tc>
        <w:tc>
          <w:tcPr>
            <w:tcW w:w="1417" w:type="dxa"/>
          </w:tcPr>
          <w:p w14:paraId="418BBD76" w14:textId="77777777" w:rsidR="00D15F48" w:rsidRPr="00F7150E" w:rsidRDefault="00230579" w:rsidP="007B1F8A">
            <w:pPr>
              <w:spacing w:before="40" w:after="40"/>
              <w:cnfStyle w:val="000000000000" w:firstRow="0" w:lastRow="0" w:firstColumn="0" w:lastColumn="0" w:oddVBand="0" w:evenVBand="0" w:oddHBand="0" w:evenHBand="0" w:firstRowFirstColumn="0" w:firstRowLastColumn="0" w:lastRowFirstColumn="0" w:lastRowLastColumn="0"/>
              <w:rPr>
                <w:rFonts w:eastAsia="Aptos" w:cs="Arial"/>
                <w:i/>
                <w:iCs/>
                <w:sz w:val="20"/>
                <w:szCs w:val="20"/>
                <w:lang w:val="fr-FR"/>
              </w:rPr>
            </w:pPr>
            <w:r w:rsidRPr="00F7150E">
              <w:rPr>
                <w:rFonts w:eastAsia="Aptos" w:cs="Arial"/>
                <w:i/>
                <w:iCs/>
                <w:sz w:val="20"/>
                <w:szCs w:val="20"/>
                <w:lang w:val="fr-FR"/>
              </w:rPr>
              <w:t>En nature</w:t>
            </w:r>
          </w:p>
        </w:tc>
      </w:tr>
      <w:tr w:rsidR="00D15F48" w:rsidRPr="00F7150E" w14:paraId="2AD9C8C5" w14:textId="77777777" w:rsidTr="0063143D">
        <w:trPr>
          <w:cantSplit/>
        </w:trPr>
        <w:tc>
          <w:tcPr>
            <w:cnfStyle w:val="001000000000" w:firstRow="0" w:lastRow="0" w:firstColumn="1" w:lastColumn="0" w:oddVBand="0" w:evenVBand="0" w:oddHBand="0" w:evenHBand="0" w:firstRowFirstColumn="0" w:firstRowLastColumn="0" w:lastRowFirstColumn="0" w:lastRowLastColumn="0"/>
            <w:tcW w:w="2518" w:type="dxa"/>
          </w:tcPr>
          <w:p w14:paraId="221A19A5" w14:textId="77777777" w:rsidR="00D15F48" w:rsidRPr="00F7150E" w:rsidRDefault="00230579" w:rsidP="007B1F8A">
            <w:pPr>
              <w:spacing w:before="40" w:after="40"/>
              <w:rPr>
                <w:rFonts w:eastAsia="Aptos" w:cs="Arial"/>
                <w:i/>
                <w:iCs/>
                <w:sz w:val="20"/>
                <w:szCs w:val="20"/>
                <w:lang w:val="fr-FR"/>
              </w:rPr>
            </w:pPr>
            <w:r w:rsidRPr="00F7150E">
              <w:rPr>
                <w:rFonts w:eastAsia="Aptos" w:cs="Arial"/>
                <w:i/>
                <w:iCs/>
                <w:sz w:val="20"/>
                <w:szCs w:val="20"/>
                <w:lang w:val="fr-FR"/>
              </w:rPr>
              <w:lastRenderedPageBreak/>
              <w:t>5.3 Soutenir la création d’un forum des jeunes sur les voies de migration</w:t>
            </w:r>
          </w:p>
        </w:tc>
        <w:tc>
          <w:tcPr>
            <w:tcW w:w="5245" w:type="dxa"/>
          </w:tcPr>
          <w:p w14:paraId="5E5682F1" w14:textId="77777777" w:rsidR="00D15F48" w:rsidRPr="00F7150E" w:rsidRDefault="00230579" w:rsidP="007B1F8A">
            <w:pPr>
              <w:spacing w:before="40" w:after="40"/>
              <w:jc w:val="both"/>
              <w:cnfStyle w:val="000000000000" w:firstRow="0" w:lastRow="0" w:firstColumn="0" w:lastColumn="0" w:oddVBand="0" w:evenVBand="0" w:oddHBand="0" w:evenHBand="0" w:firstRowFirstColumn="0" w:firstRowLastColumn="0" w:lastRowFirstColumn="0" w:lastRowLastColumn="0"/>
              <w:rPr>
                <w:i/>
                <w:sz w:val="20"/>
                <w:szCs w:val="20"/>
                <w:lang w:val="fr-FR"/>
              </w:rPr>
            </w:pPr>
            <w:r w:rsidRPr="00F7150E">
              <w:rPr>
                <w:i/>
                <w:sz w:val="20"/>
                <w:szCs w:val="20"/>
                <w:lang w:val="fr-FR"/>
              </w:rPr>
              <w:t xml:space="preserve">Soutenir la création de forums de jeunes pour chaque voie de migration, sous une faîtière unique, en organisant un atelier pour discuter de l’étendue potentielle des activités qui soutiendraient la conservation et la gestion des oiseaux migrateurs et en aidant à établir des réseaux pertinents. </w:t>
            </w:r>
          </w:p>
          <w:p w14:paraId="37EA33A3" w14:textId="77777777" w:rsidR="00D15F48" w:rsidRPr="00F7150E" w:rsidRDefault="00D15F48" w:rsidP="007B1F8A">
            <w:pPr>
              <w:spacing w:before="40" w:after="40"/>
              <w:jc w:val="both"/>
              <w:cnfStyle w:val="000000000000" w:firstRow="0" w:lastRow="0" w:firstColumn="0" w:lastColumn="0" w:oddVBand="0" w:evenVBand="0" w:oddHBand="0" w:evenHBand="0" w:firstRowFirstColumn="0" w:firstRowLastColumn="0" w:lastRowFirstColumn="0" w:lastRowLastColumn="0"/>
              <w:rPr>
                <w:rFonts w:eastAsia="Aptos" w:cs="Arial"/>
                <w:i/>
                <w:iCs/>
                <w:sz w:val="20"/>
                <w:szCs w:val="20"/>
                <w:lang w:val="fr-FR"/>
              </w:rPr>
            </w:pPr>
          </w:p>
          <w:p w14:paraId="2ECBD71F" w14:textId="77777777" w:rsidR="00D15F48" w:rsidRPr="00F7150E" w:rsidRDefault="00230579" w:rsidP="007B1F8A">
            <w:pPr>
              <w:spacing w:before="40" w:after="40"/>
              <w:jc w:val="both"/>
              <w:cnfStyle w:val="000000000000" w:firstRow="0" w:lastRow="0" w:firstColumn="0" w:lastColumn="0" w:oddVBand="0" w:evenVBand="0" w:oddHBand="0" w:evenHBand="0" w:firstRowFirstColumn="0" w:firstRowLastColumn="0" w:lastRowFirstColumn="0" w:lastRowLastColumn="0"/>
              <w:rPr>
                <w:i/>
                <w:sz w:val="20"/>
                <w:szCs w:val="20"/>
                <w:lang w:val="fr-FR"/>
              </w:rPr>
            </w:pPr>
            <w:r w:rsidRPr="00F7150E">
              <w:rPr>
                <w:rFonts w:eastAsia="Aptos" w:cs="Arial"/>
                <w:i/>
                <w:iCs/>
                <w:sz w:val="20"/>
                <w:szCs w:val="20"/>
                <w:lang w:val="fr-FR"/>
              </w:rPr>
              <w:t xml:space="preserve">Soutenir les groupes de jeunes existants dans le cadre des mécanismes établis pour les voies de migration. </w:t>
            </w:r>
          </w:p>
        </w:tc>
        <w:tc>
          <w:tcPr>
            <w:tcW w:w="1701" w:type="dxa"/>
          </w:tcPr>
          <w:p w14:paraId="5D08911C" w14:textId="77777777" w:rsidR="00D15F48" w:rsidRPr="00F7150E" w:rsidRDefault="00230579" w:rsidP="007B1F8A">
            <w:pPr>
              <w:spacing w:before="40" w:after="40"/>
              <w:cnfStyle w:val="000000000000" w:firstRow="0" w:lastRow="0" w:firstColumn="0" w:lastColumn="0" w:oddVBand="0" w:evenVBand="0" w:oddHBand="0" w:evenHBand="0" w:firstRowFirstColumn="0" w:firstRowLastColumn="0" w:lastRowFirstColumn="0" w:lastRowLastColumn="0"/>
              <w:rPr>
                <w:rFonts w:eastAsia="Aptos" w:cs="Arial"/>
                <w:i/>
                <w:iCs/>
                <w:sz w:val="20"/>
                <w:szCs w:val="20"/>
                <w:lang w:val="fr-FR"/>
              </w:rPr>
            </w:pPr>
            <w:proofErr w:type="spellStart"/>
            <w:r w:rsidRPr="00F7150E">
              <w:rPr>
                <w:rFonts w:eastAsia="Aptos" w:cs="Arial"/>
                <w:i/>
                <w:iCs/>
                <w:sz w:val="20"/>
                <w:szCs w:val="20"/>
                <w:lang w:val="fr-FR"/>
              </w:rPr>
              <w:t>Rés</w:t>
            </w:r>
            <w:proofErr w:type="spellEnd"/>
            <w:r w:rsidRPr="00F7150E">
              <w:rPr>
                <w:rFonts w:eastAsia="Aptos" w:cs="Arial"/>
                <w:i/>
                <w:iCs/>
                <w:sz w:val="20"/>
                <w:szCs w:val="20"/>
                <w:lang w:val="fr-FR"/>
              </w:rPr>
              <w:t>. 11.10 (Rev.COP14) Synergies et partenariats</w:t>
            </w:r>
          </w:p>
          <w:p w14:paraId="2CB3B8A3" w14:textId="77777777" w:rsidR="00D15F48" w:rsidRPr="00F7150E" w:rsidRDefault="00D15F48" w:rsidP="007B1F8A">
            <w:pPr>
              <w:spacing w:before="40" w:after="40"/>
              <w:cnfStyle w:val="000000000000" w:firstRow="0" w:lastRow="0" w:firstColumn="0" w:lastColumn="0" w:oddVBand="0" w:evenVBand="0" w:oddHBand="0" w:evenHBand="0" w:firstRowFirstColumn="0" w:firstRowLastColumn="0" w:lastRowFirstColumn="0" w:lastRowLastColumn="0"/>
              <w:rPr>
                <w:rFonts w:eastAsia="Aptos" w:cs="Arial"/>
                <w:i/>
                <w:iCs/>
                <w:sz w:val="20"/>
                <w:szCs w:val="20"/>
                <w:lang w:val="fr-FR"/>
              </w:rPr>
            </w:pPr>
          </w:p>
        </w:tc>
        <w:tc>
          <w:tcPr>
            <w:tcW w:w="1134" w:type="dxa"/>
          </w:tcPr>
          <w:p w14:paraId="05BF1A6A" w14:textId="77777777" w:rsidR="00D15F48" w:rsidRPr="00F7150E" w:rsidRDefault="00230579" w:rsidP="007B1F8A">
            <w:pPr>
              <w:spacing w:before="40" w:after="40"/>
              <w:cnfStyle w:val="000000000000" w:firstRow="0" w:lastRow="0" w:firstColumn="0" w:lastColumn="0" w:oddVBand="0" w:evenVBand="0" w:oddHBand="0" w:evenHBand="0" w:firstRowFirstColumn="0" w:firstRowLastColumn="0" w:lastRowFirstColumn="0" w:lastRowLastColumn="0"/>
              <w:rPr>
                <w:rFonts w:eastAsia="Aptos" w:cs="Arial"/>
                <w:i/>
                <w:iCs/>
                <w:sz w:val="20"/>
                <w:szCs w:val="20"/>
                <w:lang w:val="fr-FR"/>
              </w:rPr>
            </w:pPr>
            <w:r w:rsidRPr="00F7150E">
              <w:rPr>
                <w:rFonts w:eastAsia="Aptos" w:cs="Arial"/>
                <w:i/>
                <w:iCs/>
                <w:sz w:val="20"/>
                <w:szCs w:val="20"/>
                <w:lang w:val="fr-FR"/>
              </w:rPr>
              <w:t>En cours</w:t>
            </w:r>
          </w:p>
        </w:tc>
        <w:tc>
          <w:tcPr>
            <w:tcW w:w="2410" w:type="dxa"/>
          </w:tcPr>
          <w:p w14:paraId="0F64F5C7" w14:textId="77777777" w:rsidR="00D15F48" w:rsidRPr="00F7150E" w:rsidRDefault="00230579" w:rsidP="007B1F8A">
            <w:pPr>
              <w:spacing w:before="40" w:after="40"/>
              <w:cnfStyle w:val="000000000000" w:firstRow="0" w:lastRow="0" w:firstColumn="0" w:lastColumn="0" w:oddVBand="0" w:evenVBand="0" w:oddHBand="0" w:evenHBand="0" w:firstRowFirstColumn="0" w:firstRowLastColumn="0" w:lastRowFirstColumn="0" w:lastRowLastColumn="0"/>
              <w:rPr>
                <w:rFonts w:eastAsia="Aptos" w:cs="Arial"/>
                <w:i/>
                <w:iCs/>
                <w:sz w:val="20"/>
                <w:szCs w:val="20"/>
                <w:lang w:val="fr-FR"/>
              </w:rPr>
            </w:pPr>
            <w:r w:rsidRPr="00F7150E">
              <w:rPr>
                <w:rFonts w:eastAsia="Aptos" w:cs="Arial"/>
                <w:i/>
                <w:iCs/>
                <w:sz w:val="20"/>
                <w:szCs w:val="20"/>
                <w:lang w:val="fr-FR"/>
              </w:rPr>
              <w:t>Groupe de travail sur les voies de migration, Secrétariat (chef de file)</w:t>
            </w:r>
          </w:p>
          <w:p w14:paraId="2F359FA5" w14:textId="77777777" w:rsidR="00D15F48" w:rsidRPr="00F7150E" w:rsidRDefault="00230579" w:rsidP="007B1F8A">
            <w:pPr>
              <w:spacing w:before="40" w:after="40"/>
              <w:cnfStyle w:val="000000000000" w:firstRow="0" w:lastRow="0" w:firstColumn="0" w:lastColumn="0" w:oddVBand="0" w:evenVBand="0" w:oddHBand="0" w:evenHBand="0" w:firstRowFirstColumn="0" w:firstRowLastColumn="0" w:lastRowFirstColumn="0" w:lastRowLastColumn="0"/>
              <w:rPr>
                <w:i/>
                <w:sz w:val="20"/>
                <w:szCs w:val="20"/>
                <w:lang w:val="fr-FR"/>
              </w:rPr>
            </w:pPr>
            <w:r w:rsidRPr="00F7150E">
              <w:rPr>
                <w:i/>
                <w:sz w:val="20"/>
                <w:szCs w:val="20"/>
                <w:lang w:val="fr-FR"/>
              </w:rPr>
              <w:t>Parties, non-Parties, société civile et experts (soutien)</w:t>
            </w:r>
          </w:p>
          <w:p w14:paraId="373A5A4E" w14:textId="77777777" w:rsidR="00D15F48" w:rsidRPr="00F7150E" w:rsidRDefault="00D15F48" w:rsidP="007B1F8A">
            <w:pPr>
              <w:spacing w:before="40" w:after="40"/>
              <w:cnfStyle w:val="000000000000" w:firstRow="0" w:lastRow="0" w:firstColumn="0" w:lastColumn="0" w:oddVBand="0" w:evenVBand="0" w:oddHBand="0" w:evenHBand="0" w:firstRowFirstColumn="0" w:firstRowLastColumn="0" w:lastRowFirstColumn="0" w:lastRowLastColumn="0"/>
              <w:rPr>
                <w:rFonts w:eastAsia="Aptos" w:cs="Arial"/>
                <w:i/>
                <w:iCs/>
                <w:sz w:val="20"/>
                <w:szCs w:val="20"/>
                <w:lang w:val="fr-FR"/>
              </w:rPr>
            </w:pPr>
          </w:p>
        </w:tc>
        <w:tc>
          <w:tcPr>
            <w:tcW w:w="1417" w:type="dxa"/>
          </w:tcPr>
          <w:p w14:paraId="54A72240" w14:textId="77777777" w:rsidR="00D15F48" w:rsidRPr="00F7150E" w:rsidRDefault="00230579" w:rsidP="007B1F8A">
            <w:pPr>
              <w:spacing w:before="40" w:after="40"/>
              <w:cnfStyle w:val="000000000000" w:firstRow="0" w:lastRow="0" w:firstColumn="0" w:lastColumn="0" w:oddVBand="0" w:evenVBand="0" w:oddHBand="0" w:evenHBand="0" w:firstRowFirstColumn="0" w:firstRowLastColumn="0" w:lastRowFirstColumn="0" w:lastRowLastColumn="0"/>
              <w:rPr>
                <w:rFonts w:eastAsia="Aptos" w:cs="Arial"/>
                <w:i/>
                <w:iCs/>
                <w:sz w:val="20"/>
                <w:szCs w:val="20"/>
                <w:lang w:val="fr-FR"/>
              </w:rPr>
            </w:pPr>
            <w:r w:rsidRPr="00F7150E">
              <w:rPr>
                <w:rFonts w:eastAsia="Aptos" w:cs="Arial"/>
                <w:i/>
                <w:iCs/>
                <w:sz w:val="20"/>
                <w:szCs w:val="20"/>
                <w:lang w:val="fr-FR"/>
              </w:rPr>
              <w:t xml:space="preserve">Sous réserve de ressources externes </w:t>
            </w:r>
          </w:p>
        </w:tc>
      </w:tr>
      <w:tr w:rsidR="00D15F48" w:rsidRPr="00F7150E" w14:paraId="64CF74E9" w14:textId="77777777" w:rsidTr="0063143D">
        <w:trPr>
          <w:cantSplit/>
          <w:trHeight w:val="300"/>
        </w:trPr>
        <w:tc>
          <w:tcPr>
            <w:cnfStyle w:val="001000000000" w:firstRow="0" w:lastRow="0" w:firstColumn="1" w:lastColumn="0" w:oddVBand="0" w:evenVBand="0" w:oddHBand="0" w:evenHBand="0" w:firstRowFirstColumn="0" w:firstRowLastColumn="0" w:lastRowFirstColumn="0" w:lastRowLastColumn="0"/>
            <w:tcW w:w="2518" w:type="dxa"/>
            <w:shd w:val="clear" w:color="auto" w:fill="83CAEB"/>
          </w:tcPr>
          <w:p w14:paraId="7FF7E708" w14:textId="77777777" w:rsidR="00D15F48" w:rsidRPr="00F7150E" w:rsidRDefault="00230579" w:rsidP="007B1F8A">
            <w:pPr>
              <w:spacing w:before="40" w:after="40"/>
              <w:rPr>
                <w:rFonts w:eastAsia="Aptos" w:cs="Arial"/>
                <w:i/>
                <w:iCs/>
                <w:sz w:val="20"/>
                <w:szCs w:val="20"/>
                <w:highlight w:val="yellow"/>
                <w:lang w:val="fr-FR"/>
              </w:rPr>
            </w:pPr>
            <w:r w:rsidRPr="00F7150E">
              <w:rPr>
                <w:rFonts w:eastAsia="Aptos" w:cs="Arial"/>
                <w:i/>
                <w:iCs/>
                <w:sz w:val="20"/>
                <w:szCs w:val="20"/>
                <w:lang w:val="fr-FR"/>
              </w:rPr>
              <w:t>Thème 6 :</w:t>
            </w:r>
          </w:p>
        </w:tc>
        <w:tc>
          <w:tcPr>
            <w:tcW w:w="11907" w:type="dxa"/>
            <w:gridSpan w:val="5"/>
            <w:shd w:val="clear" w:color="auto" w:fill="83CAEB"/>
          </w:tcPr>
          <w:p w14:paraId="64672A52" w14:textId="77777777" w:rsidR="00D15F48" w:rsidRPr="00F7150E" w:rsidRDefault="00230579" w:rsidP="007B1F8A">
            <w:pPr>
              <w:spacing w:before="40" w:after="40"/>
              <w:jc w:val="both"/>
              <w:cnfStyle w:val="000000000000" w:firstRow="0" w:lastRow="0" w:firstColumn="0" w:lastColumn="0" w:oddVBand="0" w:evenVBand="0" w:oddHBand="0" w:evenHBand="0" w:firstRowFirstColumn="0" w:firstRowLastColumn="0" w:lastRowFirstColumn="0" w:lastRowLastColumn="0"/>
              <w:rPr>
                <w:rFonts w:eastAsia="Aptos" w:cs="Arial"/>
                <w:i/>
                <w:iCs/>
                <w:sz w:val="20"/>
                <w:szCs w:val="20"/>
                <w:lang w:val="fr-FR"/>
              </w:rPr>
            </w:pPr>
            <w:r w:rsidRPr="00F7150E">
              <w:rPr>
                <w:rFonts w:eastAsia="Aptos" w:cs="Arial"/>
                <w:i/>
                <w:iCs/>
                <w:sz w:val="20"/>
                <w:szCs w:val="20"/>
                <w:lang w:val="fr-FR"/>
              </w:rPr>
              <w:t>Approches spécifiques aux voies de migration</w:t>
            </w:r>
          </w:p>
        </w:tc>
      </w:tr>
      <w:tr w:rsidR="00D15F48" w:rsidRPr="00F7150E" w14:paraId="4622E91C" w14:textId="77777777" w:rsidTr="0063143D">
        <w:trPr>
          <w:cantSplit/>
          <w:trHeight w:val="300"/>
        </w:trPr>
        <w:tc>
          <w:tcPr>
            <w:cnfStyle w:val="001000000000" w:firstRow="0" w:lastRow="0" w:firstColumn="1" w:lastColumn="0" w:oddVBand="0" w:evenVBand="0" w:oddHBand="0" w:evenHBand="0" w:firstRowFirstColumn="0" w:firstRowLastColumn="0" w:lastRowFirstColumn="0" w:lastRowLastColumn="0"/>
            <w:tcW w:w="2518" w:type="dxa"/>
            <w:shd w:val="clear" w:color="auto" w:fill="DAE9F7"/>
          </w:tcPr>
          <w:p w14:paraId="05C508C8" w14:textId="77777777" w:rsidR="00D15F48" w:rsidRPr="00F7150E" w:rsidRDefault="00230579" w:rsidP="007B1F8A">
            <w:pPr>
              <w:spacing w:before="40" w:after="40"/>
              <w:rPr>
                <w:rFonts w:eastAsia="Aptos" w:cs="Arial"/>
                <w:i/>
                <w:iCs/>
                <w:sz w:val="20"/>
                <w:szCs w:val="20"/>
                <w:lang w:val="fr-FR"/>
              </w:rPr>
            </w:pPr>
            <w:r w:rsidRPr="00F7150E">
              <w:rPr>
                <w:rFonts w:eastAsia="Aptos" w:cs="Arial"/>
                <w:i/>
                <w:iCs/>
                <w:sz w:val="20"/>
                <w:szCs w:val="20"/>
                <w:lang w:val="fr-FR"/>
              </w:rPr>
              <w:t>Sous-thème 6.1 :</w:t>
            </w:r>
          </w:p>
        </w:tc>
        <w:tc>
          <w:tcPr>
            <w:tcW w:w="11907" w:type="dxa"/>
            <w:gridSpan w:val="5"/>
            <w:shd w:val="clear" w:color="auto" w:fill="DAE9F7"/>
          </w:tcPr>
          <w:p w14:paraId="72EE96FA" w14:textId="77777777" w:rsidR="00D15F48" w:rsidRPr="00F7150E" w:rsidRDefault="00230579" w:rsidP="007B1F8A">
            <w:pPr>
              <w:spacing w:before="40" w:after="40"/>
              <w:jc w:val="both"/>
              <w:cnfStyle w:val="000000000000" w:firstRow="0" w:lastRow="0" w:firstColumn="0" w:lastColumn="0" w:oddVBand="0" w:evenVBand="0" w:oddHBand="0" w:evenHBand="0" w:firstRowFirstColumn="0" w:firstRowLastColumn="0" w:lastRowFirstColumn="0" w:lastRowLastColumn="0"/>
              <w:rPr>
                <w:rFonts w:eastAsia="Aptos" w:cs="Arial"/>
                <w:i/>
                <w:iCs/>
                <w:sz w:val="20"/>
                <w:szCs w:val="20"/>
                <w:lang w:val="fr-FR"/>
              </w:rPr>
            </w:pPr>
            <w:r w:rsidRPr="00F7150E">
              <w:rPr>
                <w:rFonts w:eastAsia="Aptos" w:cs="Arial"/>
                <w:i/>
                <w:iCs/>
                <w:sz w:val="20"/>
                <w:szCs w:val="20"/>
                <w:lang w:val="fr-FR"/>
              </w:rPr>
              <w:t>Voies de migration des Amériques</w:t>
            </w:r>
          </w:p>
        </w:tc>
      </w:tr>
      <w:tr w:rsidR="00D15F48" w:rsidRPr="00F7150E" w14:paraId="3D7B328E" w14:textId="77777777" w:rsidTr="0063143D">
        <w:trPr>
          <w:cantSplit/>
        </w:trPr>
        <w:tc>
          <w:tcPr>
            <w:cnfStyle w:val="001000000000" w:firstRow="0" w:lastRow="0" w:firstColumn="1" w:lastColumn="0" w:oddVBand="0" w:evenVBand="0" w:oddHBand="0" w:evenHBand="0" w:firstRowFirstColumn="0" w:firstRowLastColumn="0" w:lastRowFirstColumn="0" w:lastRowLastColumn="0"/>
            <w:tcW w:w="2518" w:type="dxa"/>
          </w:tcPr>
          <w:p w14:paraId="4455AD6A" w14:textId="77777777" w:rsidR="00D15F48" w:rsidRPr="00F7150E" w:rsidRDefault="00230579" w:rsidP="007B1F8A">
            <w:pPr>
              <w:spacing w:before="40" w:after="40"/>
              <w:rPr>
                <w:rFonts w:eastAsia="Aptos" w:cs="Arial"/>
                <w:i/>
                <w:iCs/>
                <w:sz w:val="20"/>
                <w:szCs w:val="20"/>
                <w:lang w:val="fr-FR"/>
              </w:rPr>
            </w:pPr>
            <w:r w:rsidRPr="00F7150E">
              <w:rPr>
                <w:rFonts w:eastAsia="Aptos" w:cs="Arial"/>
                <w:i/>
                <w:iCs/>
                <w:sz w:val="20"/>
                <w:szCs w:val="20"/>
                <w:lang w:val="fr-FR"/>
              </w:rPr>
              <w:t>6.1.1 Soutenir le Groupe d’étude sur les voies de migration des Amériques</w:t>
            </w:r>
          </w:p>
        </w:tc>
        <w:tc>
          <w:tcPr>
            <w:tcW w:w="5245" w:type="dxa"/>
          </w:tcPr>
          <w:p w14:paraId="25EA97F9" w14:textId="77777777" w:rsidR="00D15F48" w:rsidRPr="00F7150E" w:rsidRDefault="00230579" w:rsidP="007B1F8A">
            <w:pPr>
              <w:spacing w:before="40" w:after="40"/>
              <w:jc w:val="both"/>
              <w:cnfStyle w:val="000000000000" w:firstRow="0" w:lastRow="0" w:firstColumn="0" w:lastColumn="0" w:oddVBand="0" w:evenVBand="0" w:oddHBand="0" w:evenHBand="0" w:firstRowFirstColumn="0" w:firstRowLastColumn="0" w:lastRowFirstColumn="0" w:lastRowLastColumn="0"/>
              <w:rPr>
                <w:i/>
                <w:sz w:val="20"/>
                <w:szCs w:val="20"/>
                <w:lang w:val="fr-FR"/>
              </w:rPr>
            </w:pPr>
            <w:r w:rsidRPr="00F7150E">
              <w:rPr>
                <w:i/>
                <w:sz w:val="20"/>
                <w:szCs w:val="20"/>
                <w:lang w:val="fr-FR"/>
              </w:rPr>
              <w:t>Soutenir le Groupe d’étude dans la mise à jour et la mise en œuvre du Plan d’action pour les Amériques, y compris en partageant des informations sur ce qui a fonctionné et ce qui n’a pas fonctionné dans d’autres voies de migration.</w:t>
            </w:r>
          </w:p>
        </w:tc>
        <w:tc>
          <w:tcPr>
            <w:tcW w:w="1701" w:type="dxa"/>
          </w:tcPr>
          <w:p w14:paraId="33D4E47B" w14:textId="77777777" w:rsidR="00D15F48" w:rsidRPr="00F7150E" w:rsidRDefault="00230579" w:rsidP="007B1F8A">
            <w:pPr>
              <w:spacing w:before="40" w:after="40"/>
              <w:cnfStyle w:val="000000000000" w:firstRow="0" w:lastRow="0" w:firstColumn="0" w:lastColumn="0" w:oddVBand="0" w:evenVBand="0" w:oddHBand="0" w:evenHBand="0" w:firstRowFirstColumn="0" w:firstRowLastColumn="0" w:lastRowFirstColumn="0" w:lastRowLastColumn="0"/>
              <w:rPr>
                <w:rFonts w:eastAsia="Aptos" w:cs="Arial"/>
                <w:i/>
                <w:iCs/>
                <w:sz w:val="20"/>
                <w:szCs w:val="20"/>
                <w:lang w:val="fr-FR"/>
              </w:rPr>
            </w:pPr>
            <w:proofErr w:type="spellStart"/>
            <w:r w:rsidRPr="00F7150E">
              <w:rPr>
                <w:rFonts w:eastAsia="Aptos" w:cs="Arial"/>
                <w:i/>
                <w:iCs/>
                <w:sz w:val="20"/>
                <w:szCs w:val="20"/>
                <w:lang w:val="fr-FR"/>
              </w:rPr>
              <w:t>Rés</w:t>
            </w:r>
            <w:proofErr w:type="spellEnd"/>
            <w:r w:rsidRPr="00F7150E">
              <w:rPr>
                <w:rFonts w:eastAsia="Aptos" w:cs="Arial"/>
                <w:i/>
                <w:iCs/>
                <w:sz w:val="20"/>
                <w:szCs w:val="20"/>
                <w:lang w:val="fr-FR"/>
              </w:rPr>
              <w:t>. 12.11 (Rev.COP14) Voies de migration</w:t>
            </w:r>
          </w:p>
          <w:p w14:paraId="094DFEEE" w14:textId="77777777" w:rsidR="00D15F48" w:rsidRPr="00F7150E" w:rsidRDefault="00D15F48" w:rsidP="007B1F8A">
            <w:pPr>
              <w:spacing w:before="40" w:after="40"/>
              <w:cnfStyle w:val="000000000000" w:firstRow="0" w:lastRow="0" w:firstColumn="0" w:lastColumn="0" w:oddVBand="0" w:evenVBand="0" w:oddHBand="0" w:evenHBand="0" w:firstRowFirstColumn="0" w:firstRowLastColumn="0" w:lastRowFirstColumn="0" w:lastRowLastColumn="0"/>
              <w:rPr>
                <w:rFonts w:eastAsia="Aptos" w:cs="Arial"/>
                <w:i/>
                <w:iCs/>
                <w:sz w:val="20"/>
                <w:szCs w:val="20"/>
                <w:lang w:val="fr-FR"/>
              </w:rPr>
            </w:pPr>
          </w:p>
          <w:p w14:paraId="1039A570" w14:textId="77777777" w:rsidR="00D15F48" w:rsidRPr="00F7150E" w:rsidRDefault="00230579" w:rsidP="007B1F8A">
            <w:pPr>
              <w:spacing w:before="40" w:after="40"/>
              <w:cnfStyle w:val="000000000000" w:firstRow="0" w:lastRow="0" w:firstColumn="0" w:lastColumn="0" w:oddVBand="0" w:evenVBand="0" w:oddHBand="0" w:evenHBand="0" w:firstRowFirstColumn="0" w:firstRowLastColumn="0" w:lastRowFirstColumn="0" w:lastRowLastColumn="0"/>
              <w:rPr>
                <w:rFonts w:eastAsia="Aptos" w:cs="Arial"/>
                <w:i/>
                <w:iCs/>
                <w:sz w:val="20"/>
                <w:szCs w:val="20"/>
                <w:lang w:val="fr-FR"/>
              </w:rPr>
            </w:pPr>
            <w:r w:rsidRPr="00F7150E">
              <w:rPr>
                <w:rFonts w:eastAsia="Aptos" w:cs="Arial"/>
                <w:i/>
                <w:iCs/>
                <w:sz w:val="20"/>
                <w:szCs w:val="20"/>
                <w:lang w:val="fr-FR"/>
              </w:rPr>
              <w:t>Décision 14.142</w:t>
            </w:r>
          </w:p>
          <w:p w14:paraId="0E8C7D47" w14:textId="77777777" w:rsidR="00D15F48" w:rsidRPr="00F7150E" w:rsidRDefault="00D15F48" w:rsidP="007B1F8A">
            <w:pPr>
              <w:spacing w:before="40" w:after="40"/>
              <w:cnfStyle w:val="000000000000" w:firstRow="0" w:lastRow="0" w:firstColumn="0" w:lastColumn="0" w:oddVBand="0" w:evenVBand="0" w:oddHBand="0" w:evenHBand="0" w:firstRowFirstColumn="0" w:firstRowLastColumn="0" w:lastRowFirstColumn="0" w:lastRowLastColumn="0"/>
              <w:rPr>
                <w:rFonts w:eastAsia="Aptos" w:cs="Arial"/>
                <w:i/>
                <w:iCs/>
                <w:sz w:val="20"/>
                <w:szCs w:val="20"/>
                <w:lang w:val="fr-FR"/>
              </w:rPr>
            </w:pPr>
          </w:p>
          <w:p w14:paraId="3EAEBA20" w14:textId="77777777" w:rsidR="00D15F48" w:rsidRPr="00F7150E" w:rsidRDefault="00230579" w:rsidP="007B1F8A">
            <w:pPr>
              <w:spacing w:before="40" w:after="40"/>
              <w:cnfStyle w:val="000000000000" w:firstRow="0" w:lastRow="0" w:firstColumn="0" w:lastColumn="0" w:oddVBand="0" w:evenVBand="0" w:oddHBand="0" w:evenHBand="0" w:firstRowFirstColumn="0" w:firstRowLastColumn="0" w:lastRowFirstColumn="0" w:lastRowLastColumn="0"/>
              <w:rPr>
                <w:rFonts w:eastAsia="Aptos" w:cs="Arial"/>
                <w:i/>
                <w:iCs/>
                <w:sz w:val="20"/>
                <w:szCs w:val="20"/>
                <w:lang w:val="fr-FR"/>
              </w:rPr>
            </w:pPr>
            <w:r w:rsidRPr="00F7150E">
              <w:rPr>
                <w:rFonts w:eastAsia="Aptos" w:cs="Arial"/>
                <w:i/>
                <w:iCs/>
                <w:sz w:val="20"/>
                <w:szCs w:val="20"/>
                <w:lang w:val="fr-FR"/>
              </w:rPr>
              <w:t>SPMS, Cible 1.1</w:t>
            </w:r>
          </w:p>
        </w:tc>
        <w:tc>
          <w:tcPr>
            <w:tcW w:w="1134" w:type="dxa"/>
          </w:tcPr>
          <w:p w14:paraId="50273358" w14:textId="77777777" w:rsidR="00D15F48" w:rsidRPr="00F7150E" w:rsidRDefault="00230579" w:rsidP="007B1F8A">
            <w:pPr>
              <w:spacing w:before="40" w:after="40"/>
              <w:cnfStyle w:val="000000000000" w:firstRow="0" w:lastRow="0" w:firstColumn="0" w:lastColumn="0" w:oddVBand="0" w:evenVBand="0" w:oddHBand="0" w:evenHBand="0" w:firstRowFirstColumn="0" w:firstRowLastColumn="0" w:lastRowFirstColumn="0" w:lastRowLastColumn="0"/>
              <w:rPr>
                <w:rFonts w:eastAsia="Aptos" w:cs="Arial"/>
                <w:i/>
                <w:iCs/>
                <w:sz w:val="20"/>
                <w:szCs w:val="20"/>
                <w:lang w:val="fr-FR"/>
              </w:rPr>
            </w:pPr>
            <w:r w:rsidRPr="00F7150E">
              <w:rPr>
                <w:rFonts w:eastAsia="Aptos" w:cs="Arial"/>
                <w:i/>
                <w:iCs/>
                <w:sz w:val="20"/>
                <w:szCs w:val="20"/>
                <w:lang w:val="fr-FR"/>
              </w:rPr>
              <w:t>En cours</w:t>
            </w:r>
          </w:p>
        </w:tc>
        <w:tc>
          <w:tcPr>
            <w:tcW w:w="2410" w:type="dxa"/>
          </w:tcPr>
          <w:p w14:paraId="0AE98905" w14:textId="77777777" w:rsidR="00D15F48" w:rsidRPr="00F7150E" w:rsidRDefault="00230579" w:rsidP="007B1F8A">
            <w:pPr>
              <w:spacing w:before="40" w:after="40"/>
              <w:cnfStyle w:val="000000000000" w:firstRow="0" w:lastRow="0" w:firstColumn="0" w:lastColumn="0" w:oddVBand="0" w:evenVBand="0" w:oddHBand="0" w:evenHBand="0" w:firstRowFirstColumn="0" w:firstRowLastColumn="0" w:lastRowFirstColumn="0" w:lastRowLastColumn="0"/>
              <w:rPr>
                <w:rFonts w:eastAsia="Aptos" w:cs="Arial"/>
                <w:i/>
                <w:iCs/>
                <w:sz w:val="20"/>
                <w:szCs w:val="20"/>
                <w:lang w:val="fr-FR"/>
              </w:rPr>
            </w:pPr>
            <w:r w:rsidRPr="00F7150E">
              <w:rPr>
                <w:rFonts w:eastAsia="Aptos" w:cs="Arial"/>
                <w:i/>
                <w:iCs/>
                <w:sz w:val="20"/>
                <w:szCs w:val="20"/>
                <w:lang w:val="fr-FR"/>
              </w:rPr>
              <w:t>Groupe de travail sur les voies de migration, Parties concernées (chef de file)</w:t>
            </w:r>
          </w:p>
          <w:p w14:paraId="3C3A3452" w14:textId="77777777" w:rsidR="00D15F48" w:rsidRPr="00F7150E" w:rsidRDefault="00D15F48" w:rsidP="007B1F8A">
            <w:pPr>
              <w:spacing w:before="40" w:after="40"/>
              <w:cnfStyle w:val="000000000000" w:firstRow="0" w:lastRow="0" w:firstColumn="0" w:lastColumn="0" w:oddVBand="0" w:evenVBand="0" w:oddHBand="0" w:evenHBand="0" w:firstRowFirstColumn="0" w:firstRowLastColumn="0" w:lastRowFirstColumn="0" w:lastRowLastColumn="0"/>
              <w:rPr>
                <w:rFonts w:eastAsia="Aptos" w:cs="Arial"/>
                <w:i/>
                <w:iCs/>
                <w:sz w:val="20"/>
                <w:szCs w:val="20"/>
                <w:lang w:val="fr-FR"/>
              </w:rPr>
            </w:pPr>
          </w:p>
        </w:tc>
        <w:tc>
          <w:tcPr>
            <w:tcW w:w="1417" w:type="dxa"/>
          </w:tcPr>
          <w:p w14:paraId="1FF60DC6" w14:textId="77777777" w:rsidR="00D15F48" w:rsidRPr="00F7150E" w:rsidRDefault="00230579" w:rsidP="007B1F8A">
            <w:pPr>
              <w:spacing w:before="40" w:after="40"/>
              <w:cnfStyle w:val="000000000000" w:firstRow="0" w:lastRow="0" w:firstColumn="0" w:lastColumn="0" w:oddVBand="0" w:evenVBand="0" w:oddHBand="0" w:evenHBand="0" w:firstRowFirstColumn="0" w:firstRowLastColumn="0" w:lastRowFirstColumn="0" w:lastRowLastColumn="0"/>
              <w:rPr>
                <w:rFonts w:eastAsia="Aptos" w:cs="Arial"/>
                <w:i/>
                <w:iCs/>
                <w:sz w:val="20"/>
                <w:szCs w:val="20"/>
                <w:lang w:val="fr-FR"/>
              </w:rPr>
            </w:pPr>
            <w:r w:rsidRPr="00F7150E">
              <w:rPr>
                <w:rFonts w:eastAsia="Aptos" w:cs="Arial"/>
                <w:i/>
                <w:iCs/>
                <w:sz w:val="20"/>
                <w:szCs w:val="20"/>
                <w:lang w:val="fr-FR"/>
              </w:rPr>
              <w:t>Sous réserve de ressources externes</w:t>
            </w:r>
          </w:p>
        </w:tc>
      </w:tr>
      <w:tr w:rsidR="00D15F48" w:rsidRPr="00F7150E" w14:paraId="55EDAE1C" w14:textId="77777777" w:rsidTr="0063143D">
        <w:trPr>
          <w:cantSplit/>
        </w:trPr>
        <w:tc>
          <w:tcPr>
            <w:cnfStyle w:val="001000000000" w:firstRow="0" w:lastRow="0" w:firstColumn="1" w:lastColumn="0" w:oddVBand="0" w:evenVBand="0" w:oddHBand="0" w:evenHBand="0" w:firstRowFirstColumn="0" w:firstRowLastColumn="0" w:lastRowFirstColumn="0" w:lastRowLastColumn="0"/>
            <w:tcW w:w="2518" w:type="dxa"/>
          </w:tcPr>
          <w:p w14:paraId="3A4F5252" w14:textId="77777777" w:rsidR="00D15F48" w:rsidRPr="00F7150E" w:rsidRDefault="00230579" w:rsidP="007B1F8A">
            <w:pPr>
              <w:spacing w:before="40" w:after="40"/>
              <w:rPr>
                <w:rFonts w:eastAsia="Aptos" w:cs="Arial"/>
                <w:i/>
                <w:iCs/>
                <w:sz w:val="20"/>
                <w:szCs w:val="20"/>
                <w:lang w:val="fr-FR"/>
              </w:rPr>
            </w:pPr>
            <w:r w:rsidRPr="00F7150E">
              <w:rPr>
                <w:rFonts w:eastAsia="Aptos" w:cs="Arial"/>
                <w:i/>
                <w:iCs/>
                <w:sz w:val="20"/>
                <w:szCs w:val="20"/>
                <w:lang w:val="fr-FR"/>
              </w:rPr>
              <w:t>6.1.2 Promouvoir les instruments existants dans les voies de migration des Amériques</w:t>
            </w:r>
          </w:p>
        </w:tc>
        <w:tc>
          <w:tcPr>
            <w:tcW w:w="5245" w:type="dxa"/>
          </w:tcPr>
          <w:p w14:paraId="1015DA60" w14:textId="77777777" w:rsidR="00D15F48" w:rsidRPr="00F7150E" w:rsidRDefault="00230579" w:rsidP="007B1F8A">
            <w:pPr>
              <w:spacing w:before="40" w:after="40"/>
              <w:jc w:val="both"/>
              <w:cnfStyle w:val="000000000000" w:firstRow="0" w:lastRow="0" w:firstColumn="0" w:lastColumn="0" w:oddVBand="0" w:evenVBand="0" w:oddHBand="0" w:evenHBand="0" w:firstRowFirstColumn="0" w:firstRowLastColumn="0" w:lastRowFirstColumn="0" w:lastRowLastColumn="0"/>
              <w:rPr>
                <w:i/>
                <w:sz w:val="20"/>
                <w:szCs w:val="20"/>
                <w:lang w:val="fr-FR"/>
              </w:rPr>
            </w:pPr>
            <w:r w:rsidRPr="00F7150E">
              <w:rPr>
                <w:i/>
                <w:sz w:val="20"/>
                <w:szCs w:val="20"/>
                <w:lang w:val="fr-FR"/>
              </w:rPr>
              <w:t>Encourager les Parties et les non-Parties à mettre en œuvre l’ACAP et le Mémorandum d’entente sur la conservation des flamants des Hautes Andes et de leurs habitats, le Mémorandum d’entente entre la République d’Argentine et la République du Chili pour la conservation de l’Ouette à tête rousse (</w:t>
            </w:r>
            <w:proofErr w:type="spellStart"/>
            <w:r w:rsidRPr="00F7150E">
              <w:rPr>
                <w:i/>
                <w:sz w:val="20"/>
                <w:szCs w:val="20"/>
                <w:lang w:val="fr-FR"/>
              </w:rPr>
              <w:t>Chloephaga</w:t>
            </w:r>
            <w:proofErr w:type="spellEnd"/>
            <w:r w:rsidRPr="00F7150E">
              <w:rPr>
                <w:i/>
                <w:sz w:val="20"/>
                <w:szCs w:val="20"/>
                <w:lang w:val="fr-FR"/>
              </w:rPr>
              <w:t xml:space="preserve"> </w:t>
            </w:r>
            <w:proofErr w:type="spellStart"/>
            <w:r w:rsidRPr="00F7150E">
              <w:rPr>
                <w:i/>
                <w:sz w:val="20"/>
                <w:szCs w:val="20"/>
                <w:lang w:val="fr-FR"/>
              </w:rPr>
              <w:t>rubidiceps</w:t>
            </w:r>
            <w:proofErr w:type="spellEnd"/>
            <w:r w:rsidRPr="00F7150E">
              <w:rPr>
                <w:i/>
                <w:sz w:val="20"/>
                <w:szCs w:val="20"/>
                <w:lang w:val="fr-FR"/>
              </w:rPr>
              <w:t xml:space="preserve">) et le Mémorandum d’entente sur la conservation des espèces d’oiseaux de prairie migrateurs et de leurs habitats dans la partie australe du continent sud-américain, y compris en encourageant tous les États de l’aire de répartition à devenir des signataires ou des Parties.  </w:t>
            </w:r>
          </w:p>
        </w:tc>
        <w:tc>
          <w:tcPr>
            <w:tcW w:w="1701" w:type="dxa"/>
          </w:tcPr>
          <w:p w14:paraId="31674C66" w14:textId="77777777" w:rsidR="00D15F48" w:rsidRPr="00F7150E" w:rsidRDefault="00230579" w:rsidP="007B1F8A">
            <w:pPr>
              <w:spacing w:before="40" w:after="40"/>
              <w:cnfStyle w:val="000000000000" w:firstRow="0" w:lastRow="0" w:firstColumn="0" w:lastColumn="0" w:oddVBand="0" w:evenVBand="0" w:oddHBand="0" w:evenHBand="0" w:firstRowFirstColumn="0" w:firstRowLastColumn="0" w:lastRowFirstColumn="0" w:lastRowLastColumn="0"/>
              <w:rPr>
                <w:rFonts w:eastAsia="Aptos" w:cs="Arial"/>
                <w:i/>
                <w:iCs/>
                <w:sz w:val="20"/>
                <w:szCs w:val="20"/>
                <w:lang w:val="fr-FR"/>
              </w:rPr>
            </w:pPr>
            <w:proofErr w:type="spellStart"/>
            <w:r w:rsidRPr="00F7150E">
              <w:rPr>
                <w:rFonts w:eastAsia="Aptos" w:cs="Arial"/>
                <w:i/>
                <w:iCs/>
                <w:sz w:val="20"/>
                <w:szCs w:val="20"/>
                <w:lang w:val="fr-FR"/>
              </w:rPr>
              <w:t>MdE</w:t>
            </w:r>
            <w:proofErr w:type="spellEnd"/>
          </w:p>
          <w:p w14:paraId="62EAAF62" w14:textId="77777777" w:rsidR="00D15F48" w:rsidRPr="00F7150E" w:rsidRDefault="00D15F48" w:rsidP="007B1F8A">
            <w:pPr>
              <w:spacing w:before="40" w:after="40"/>
              <w:cnfStyle w:val="000000000000" w:firstRow="0" w:lastRow="0" w:firstColumn="0" w:lastColumn="0" w:oddVBand="0" w:evenVBand="0" w:oddHBand="0" w:evenHBand="0" w:firstRowFirstColumn="0" w:firstRowLastColumn="0" w:lastRowFirstColumn="0" w:lastRowLastColumn="0"/>
              <w:rPr>
                <w:rFonts w:eastAsia="Aptos" w:cs="Arial"/>
                <w:i/>
                <w:iCs/>
                <w:sz w:val="20"/>
                <w:szCs w:val="20"/>
                <w:lang w:val="fr-FR"/>
              </w:rPr>
            </w:pPr>
          </w:p>
          <w:p w14:paraId="605723A2" w14:textId="77777777" w:rsidR="00D15F48" w:rsidRPr="00F7150E" w:rsidRDefault="00230579" w:rsidP="007B1F8A">
            <w:pPr>
              <w:spacing w:before="40" w:after="40"/>
              <w:cnfStyle w:val="000000000000" w:firstRow="0" w:lastRow="0" w:firstColumn="0" w:lastColumn="0" w:oddVBand="0" w:evenVBand="0" w:oddHBand="0" w:evenHBand="0" w:firstRowFirstColumn="0" w:firstRowLastColumn="0" w:lastRowFirstColumn="0" w:lastRowLastColumn="0"/>
              <w:rPr>
                <w:rFonts w:eastAsia="Aptos" w:cs="Arial"/>
                <w:i/>
                <w:iCs/>
                <w:sz w:val="20"/>
                <w:szCs w:val="20"/>
                <w:lang w:val="fr-FR"/>
              </w:rPr>
            </w:pPr>
            <w:r w:rsidRPr="00F7150E">
              <w:rPr>
                <w:rFonts w:eastAsia="Aptos" w:cs="Arial"/>
                <w:i/>
                <w:iCs/>
                <w:sz w:val="20"/>
                <w:szCs w:val="20"/>
                <w:lang w:val="fr-FR"/>
              </w:rPr>
              <w:t>SPMS, Cible 1.1</w:t>
            </w:r>
          </w:p>
        </w:tc>
        <w:tc>
          <w:tcPr>
            <w:tcW w:w="1134" w:type="dxa"/>
          </w:tcPr>
          <w:p w14:paraId="09FEE050" w14:textId="77777777" w:rsidR="00D15F48" w:rsidRPr="00F7150E" w:rsidRDefault="00230579" w:rsidP="007B1F8A">
            <w:pPr>
              <w:spacing w:before="40" w:after="40"/>
              <w:cnfStyle w:val="000000000000" w:firstRow="0" w:lastRow="0" w:firstColumn="0" w:lastColumn="0" w:oddVBand="0" w:evenVBand="0" w:oddHBand="0" w:evenHBand="0" w:firstRowFirstColumn="0" w:firstRowLastColumn="0" w:lastRowFirstColumn="0" w:lastRowLastColumn="0"/>
              <w:rPr>
                <w:rFonts w:eastAsia="Aptos" w:cs="Arial"/>
                <w:i/>
                <w:iCs/>
                <w:sz w:val="20"/>
                <w:szCs w:val="20"/>
                <w:lang w:val="fr-FR"/>
              </w:rPr>
            </w:pPr>
            <w:r w:rsidRPr="00F7150E">
              <w:rPr>
                <w:rFonts w:eastAsia="Aptos" w:cs="Arial"/>
                <w:i/>
                <w:iCs/>
                <w:sz w:val="20"/>
                <w:szCs w:val="20"/>
                <w:lang w:val="fr-FR"/>
              </w:rPr>
              <w:t>En cours</w:t>
            </w:r>
          </w:p>
        </w:tc>
        <w:tc>
          <w:tcPr>
            <w:tcW w:w="2410" w:type="dxa"/>
          </w:tcPr>
          <w:p w14:paraId="11F0041A" w14:textId="77777777" w:rsidR="00D15F48" w:rsidRPr="00F7150E" w:rsidRDefault="00230579" w:rsidP="007B1F8A">
            <w:pPr>
              <w:spacing w:before="40" w:after="40"/>
              <w:cnfStyle w:val="000000000000" w:firstRow="0" w:lastRow="0" w:firstColumn="0" w:lastColumn="0" w:oddVBand="0" w:evenVBand="0" w:oddHBand="0" w:evenHBand="0" w:firstRowFirstColumn="0" w:firstRowLastColumn="0" w:lastRowFirstColumn="0" w:lastRowLastColumn="0"/>
              <w:rPr>
                <w:rFonts w:eastAsia="Aptos" w:cs="Arial"/>
                <w:i/>
                <w:iCs/>
                <w:sz w:val="20"/>
                <w:szCs w:val="20"/>
                <w:lang w:val="fr-FR"/>
              </w:rPr>
            </w:pPr>
            <w:r w:rsidRPr="00F7150E">
              <w:rPr>
                <w:rFonts w:eastAsia="Aptos" w:cs="Arial"/>
                <w:i/>
                <w:iCs/>
                <w:sz w:val="20"/>
                <w:szCs w:val="20"/>
                <w:lang w:val="fr-FR"/>
              </w:rPr>
              <w:t>Groupe de travail sur les voies de migration, Parties concernées (chef de file)</w:t>
            </w:r>
          </w:p>
          <w:p w14:paraId="3FDA2546" w14:textId="77777777" w:rsidR="00D15F48" w:rsidRPr="00F7150E" w:rsidRDefault="00D15F48" w:rsidP="007B1F8A">
            <w:pPr>
              <w:spacing w:before="40" w:after="40"/>
              <w:cnfStyle w:val="000000000000" w:firstRow="0" w:lastRow="0" w:firstColumn="0" w:lastColumn="0" w:oddVBand="0" w:evenVBand="0" w:oddHBand="0" w:evenHBand="0" w:firstRowFirstColumn="0" w:firstRowLastColumn="0" w:lastRowFirstColumn="0" w:lastRowLastColumn="0"/>
              <w:rPr>
                <w:rFonts w:eastAsia="Aptos" w:cs="Arial"/>
                <w:i/>
                <w:iCs/>
                <w:sz w:val="20"/>
                <w:szCs w:val="20"/>
                <w:lang w:val="fr-FR"/>
              </w:rPr>
            </w:pPr>
          </w:p>
          <w:p w14:paraId="2ED4C160" w14:textId="77777777" w:rsidR="00D15F48" w:rsidRPr="00F7150E" w:rsidRDefault="00230579" w:rsidP="007B1F8A">
            <w:pPr>
              <w:spacing w:before="40" w:after="40"/>
              <w:cnfStyle w:val="000000000000" w:firstRow="0" w:lastRow="0" w:firstColumn="0" w:lastColumn="0" w:oddVBand="0" w:evenVBand="0" w:oddHBand="0" w:evenHBand="0" w:firstRowFirstColumn="0" w:firstRowLastColumn="0" w:lastRowFirstColumn="0" w:lastRowLastColumn="0"/>
              <w:rPr>
                <w:rFonts w:eastAsia="Aptos" w:cs="Arial"/>
                <w:i/>
                <w:iCs/>
                <w:sz w:val="20"/>
                <w:szCs w:val="20"/>
                <w:lang w:val="fr-FR"/>
              </w:rPr>
            </w:pPr>
            <w:r w:rsidRPr="00F7150E">
              <w:rPr>
                <w:rFonts w:eastAsia="Aptos" w:cs="Arial"/>
                <w:i/>
                <w:iCs/>
                <w:sz w:val="20"/>
                <w:szCs w:val="20"/>
                <w:lang w:val="fr-FR"/>
              </w:rPr>
              <w:t>Secrétariat (soutien)</w:t>
            </w:r>
          </w:p>
        </w:tc>
        <w:tc>
          <w:tcPr>
            <w:tcW w:w="1417" w:type="dxa"/>
          </w:tcPr>
          <w:p w14:paraId="330B5CA3" w14:textId="77777777" w:rsidR="00D15F48" w:rsidRPr="00F7150E" w:rsidRDefault="00230579" w:rsidP="007B1F8A">
            <w:pPr>
              <w:spacing w:before="40" w:after="40"/>
              <w:cnfStyle w:val="000000000000" w:firstRow="0" w:lastRow="0" w:firstColumn="0" w:lastColumn="0" w:oddVBand="0" w:evenVBand="0" w:oddHBand="0" w:evenHBand="0" w:firstRowFirstColumn="0" w:firstRowLastColumn="0" w:lastRowFirstColumn="0" w:lastRowLastColumn="0"/>
              <w:rPr>
                <w:rFonts w:eastAsia="Aptos" w:cs="Arial"/>
                <w:i/>
                <w:iCs/>
                <w:sz w:val="20"/>
                <w:szCs w:val="20"/>
                <w:lang w:val="fr-FR"/>
              </w:rPr>
            </w:pPr>
            <w:r w:rsidRPr="00F7150E">
              <w:rPr>
                <w:rFonts w:eastAsia="Aptos" w:cs="Arial"/>
                <w:i/>
                <w:iCs/>
                <w:sz w:val="20"/>
                <w:szCs w:val="20"/>
                <w:lang w:val="fr-FR"/>
              </w:rPr>
              <w:t>En nature</w:t>
            </w:r>
          </w:p>
        </w:tc>
      </w:tr>
    </w:tbl>
    <w:p w14:paraId="3F9BD105" w14:textId="77777777" w:rsidR="00954619" w:rsidRDefault="00954619">
      <w:r>
        <w:rPr>
          <w:b/>
          <w:bCs/>
        </w:rPr>
        <w:br w:type="page"/>
      </w:r>
    </w:p>
    <w:tbl>
      <w:tblPr>
        <w:tblStyle w:val="GridTable4-Accent41"/>
        <w:tblW w:w="14425" w:type="dxa"/>
        <w:tblLayout w:type="fixed"/>
        <w:tblLook w:val="06A0" w:firstRow="1" w:lastRow="0" w:firstColumn="1" w:lastColumn="0" w:noHBand="1" w:noVBand="1"/>
      </w:tblPr>
      <w:tblGrid>
        <w:gridCol w:w="2518"/>
        <w:gridCol w:w="5245"/>
        <w:gridCol w:w="1701"/>
        <w:gridCol w:w="1134"/>
        <w:gridCol w:w="2410"/>
        <w:gridCol w:w="1417"/>
      </w:tblGrid>
      <w:tr w:rsidR="00D15F48" w:rsidRPr="00F7150E" w14:paraId="1A91FD7E" w14:textId="77777777" w:rsidTr="0063143D">
        <w:trPr>
          <w:cnfStyle w:val="100000000000" w:firstRow="1" w:lastRow="0" w:firstColumn="0" w:lastColumn="0" w:oddVBand="0" w:evenVBand="0" w:oddHBand="0"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518" w:type="dxa"/>
            <w:shd w:val="clear" w:color="auto" w:fill="DAE9F7"/>
          </w:tcPr>
          <w:p w14:paraId="1A3D3A4C" w14:textId="6047DAA5" w:rsidR="00D15F48" w:rsidRPr="00954619" w:rsidRDefault="00230579" w:rsidP="007B1F8A">
            <w:pPr>
              <w:spacing w:before="40" w:after="40"/>
              <w:rPr>
                <w:rFonts w:eastAsia="Aptos" w:cs="Arial"/>
                <w:i/>
                <w:iCs/>
                <w:color w:val="auto"/>
                <w:sz w:val="20"/>
                <w:szCs w:val="20"/>
                <w:lang w:val="fr-FR"/>
              </w:rPr>
            </w:pPr>
            <w:r w:rsidRPr="00954619">
              <w:rPr>
                <w:rFonts w:eastAsia="Aptos" w:cs="Arial"/>
                <w:i/>
                <w:iCs/>
                <w:color w:val="auto"/>
                <w:sz w:val="20"/>
                <w:szCs w:val="20"/>
                <w:lang w:val="fr-FR"/>
              </w:rPr>
              <w:lastRenderedPageBreak/>
              <w:t>Sous-thème 6.2 :</w:t>
            </w:r>
          </w:p>
        </w:tc>
        <w:tc>
          <w:tcPr>
            <w:tcW w:w="11907" w:type="dxa"/>
            <w:gridSpan w:val="5"/>
            <w:shd w:val="clear" w:color="auto" w:fill="DAE9F7"/>
          </w:tcPr>
          <w:p w14:paraId="39F22C15" w14:textId="77777777" w:rsidR="00D15F48" w:rsidRPr="00F7150E" w:rsidRDefault="00230579" w:rsidP="007B1F8A">
            <w:pPr>
              <w:spacing w:before="40" w:after="40"/>
              <w:jc w:val="both"/>
              <w:cnfStyle w:val="100000000000" w:firstRow="1" w:lastRow="0" w:firstColumn="0" w:lastColumn="0" w:oddVBand="0" w:evenVBand="0" w:oddHBand="0" w:evenHBand="0" w:firstRowFirstColumn="0" w:firstRowLastColumn="0" w:lastRowFirstColumn="0" w:lastRowLastColumn="0"/>
              <w:rPr>
                <w:rFonts w:eastAsia="Aptos" w:cs="Arial"/>
                <w:i/>
                <w:iCs/>
                <w:sz w:val="20"/>
                <w:szCs w:val="20"/>
                <w:lang w:val="fr-FR"/>
              </w:rPr>
            </w:pPr>
            <w:r w:rsidRPr="00F7150E">
              <w:rPr>
                <w:rFonts w:eastAsia="Aptos" w:cs="Arial"/>
                <w:i/>
                <w:iCs/>
                <w:sz w:val="20"/>
                <w:szCs w:val="20"/>
                <w:lang w:val="fr-FR"/>
              </w:rPr>
              <w:t>Voies de migration d’Asie orientale-Australasie (EAAF)</w:t>
            </w:r>
          </w:p>
        </w:tc>
      </w:tr>
      <w:tr w:rsidR="00D15F48" w:rsidRPr="00F7150E" w14:paraId="4C1671D3" w14:textId="77777777" w:rsidTr="0063143D">
        <w:trPr>
          <w:cantSplit/>
        </w:trPr>
        <w:tc>
          <w:tcPr>
            <w:cnfStyle w:val="001000000000" w:firstRow="0" w:lastRow="0" w:firstColumn="1" w:lastColumn="0" w:oddVBand="0" w:evenVBand="0" w:oddHBand="0" w:evenHBand="0" w:firstRowFirstColumn="0" w:firstRowLastColumn="0" w:lastRowFirstColumn="0" w:lastRowLastColumn="0"/>
            <w:tcW w:w="2518" w:type="dxa"/>
          </w:tcPr>
          <w:p w14:paraId="6DB698C5" w14:textId="77777777" w:rsidR="00D15F48" w:rsidRPr="00F7150E" w:rsidRDefault="00230579" w:rsidP="007B1F8A">
            <w:pPr>
              <w:spacing w:before="40" w:after="40"/>
              <w:rPr>
                <w:rFonts w:eastAsia="Aptos" w:cs="Arial"/>
                <w:i/>
                <w:iCs/>
                <w:sz w:val="20"/>
                <w:szCs w:val="20"/>
                <w:lang w:val="fr-FR"/>
              </w:rPr>
            </w:pPr>
            <w:r w:rsidRPr="00F7150E">
              <w:rPr>
                <w:rFonts w:eastAsia="Aptos" w:cs="Arial"/>
                <w:i/>
                <w:iCs/>
                <w:sz w:val="20"/>
                <w:szCs w:val="20"/>
                <w:lang w:val="fr-FR"/>
              </w:rPr>
              <w:t>6.2.1 Examiner les possibilités de développer davantage les cadres de conservation pour tous les oiseaux migrateurs de l’EAAF</w:t>
            </w:r>
          </w:p>
        </w:tc>
        <w:tc>
          <w:tcPr>
            <w:tcW w:w="5245" w:type="dxa"/>
          </w:tcPr>
          <w:p w14:paraId="110FC125" w14:textId="77777777" w:rsidR="00D15F48" w:rsidRPr="00F7150E" w:rsidRDefault="00230579" w:rsidP="007B1F8A">
            <w:pPr>
              <w:spacing w:before="40" w:after="40"/>
              <w:jc w:val="both"/>
              <w:cnfStyle w:val="000000000000" w:firstRow="0" w:lastRow="0" w:firstColumn="0" w:lastColumn="0" w:oddVBand="0" w:evenVBand="0" w:oddHBand="0" w:evenHBand="0" w:firstRowFirstColumn="0" w:firstRowLastColumn="0" w:lastRowFirstColumn="0" w:lastRowLastColumn="0"/>
              <w:rPr>
                <w:rFonts w:eastAsia="Aptos" w:cs="Arial"/>
                <w:i/>
                <w:iCs/>
                <w:sz w:val="20"/>
                <w:szCs w:val="20"/>
                <w:lang w:val="fr-FR"/>
              </w:rPr>
            </w:pPr>
            <w:r w:rsidRPr="00F7150E">
              <w:rPr>
                <w:rFonts w:eastAsia="Aptos" w:cs="Arial"/>
                <w:i/>
                <w:iCs/>
                <w:sz w:val="20"/>
                <w:szCs w:val="20"/>
                <w:lang w:val="fr-FR"/>
              </w:rPr>
              <w:t>Entreprendre en priorité une analyse de la situation de l’itinéraire aérien Asie orientale- Australasie.</w:t>
            </w:r>
          </w:p>
          <w:p w14:paraId="24715A6C" w14:textId="77777777" w:rsidR="00D15F48" w:rsidRPr="00F7150E" w:rsidRDefault="00D15F48" w:rsidP="007B1F8A">
            <w:pPr>
              <w:spacing w:before="40" w:after="40"/>
              <w:jc w:val="both"/>
              <w:cnfStyle w:val="000000000000" w:firstRow="0" w:lastRow="0" w:firstColumn="0" w:lastColumn="0" w:oddVBand="0" w:evenVBand="0" w:oddHBand="0" w:evenHBand="0" w:firstRowFirstColumn="0" w:firstRowLastColumn="0" w:lastRowFirstColumn="0" w:lastRowLastColumn="0"/>
              <w:rPr>
                <w:rFonts w:eastAsia="Aptos" w:cs="Arial"/>
                <w:i/>
                <w:iCs/>
                <w:sz w:val="20"/>
                <w:szCs w:val="20"/>
                <w:lang w:val="fr-FR"/>
              </w:rPr>
            </w:pPr>
          </w:p>
          <w:p w14:paraId="2BA69AA2" w14:textId="77777777" w:rsidR="00D15F48" w:rsidRPr="00F7150E" w:rsidRDefault="00230579" w:rsidP="007B1F8A">
            <w:pPr>
              <w:spacing w:before="40" w:after="40"/>
              <w:jc w:val="both"/>
              <w:cnfStyle w:val="000000000000" w:firstRow="0" w:lastRow="0" w:firstColumn="0" w:lastColumn="0" w:oddVBand="0" w:evenVBand="0" w:oddHBand="0" w:evenHBand="0" w:firstRowFirstColumn="0" w:firstRowLastColumn="0" w:lastRowFirstColumn="0" w:lastRowLastColumn="0"/>
              <w:rPr>
                <w:i/>
                <w:sz w:val="20"/>
                <w:szCs w:val="20"/>
                <w:lang w:val="fr-FR"/>
              </w:rPr>
            </w:pPr>
            <w:r w:rsidRPr="00F7150E">
              <w:rPr>
                <w:i/>
                <w:sz w:val="20"/>
                <w:szCs w:val="20"/>
                <w:lang w:val="fr-FR"/>
              </w:rPr>
              <w:t>Préparer des recommandations visant à améliorer la conservation des oiseaux migrateurs dans l’EAAF.</w:t>
            </w:r>
          </w:p>
        </w:tc>
        <w:tc>
          <w:tcPr>
            <w:tcW w:w="1701" w:type="dxa"/>
          </w:tcPr>
          <w:p w14:paraId="3186F193" w14:textId="77777777" w:rsidR="00D15F48" w:rsidRPr="00F7150E" w:rsidRDefault="00230579" w:rsidP="007B1F8A">
            <w:pPr>
              <w:spacing w:before="40" w:after="40"/>
              <w:cnfStyle w:val="000000000000" w:firstRow="0" w:lastRow="0" w:firstColumn="0" w:lastColumn="0" w:oddVBand="0" w:evenVBand="0" w:oddHBand="0" w:evenHBand="0" w:firstRowFirstColumn="0" w:firstRowLastColumn="0" w:lastRowFirstColumn="0" w:lastRowLastColumn="0"/>
              <w:rPr>
                <w:rFonts w:eastAsia="Aptos" w:cs="Arial"/>
                <w:i/>
                <w:iCs/>
                <w:sz w:val="20"/>
                <w:szCs w:val="20"/>
                <w:lang w:val="fr-FR"/>
              </w:rPr>
            </w:pPr>
            <w:proofErr w:type="spellStart"/>
            <w:r w:rsidRPr="00F7150E">
              <w:rPr>
                <w:rFonts w:eastAsia="Aptos" w:cs="Arial"/>
                <w:i/>
                <w:iCs/>
                <w:sz w:val="20"/>
                <w:szCs w:val="20"/>
                <w:lang w:val="fr-FR"/>
              </w:rPr>
              <w:t>Rés</w:t>
            </w:r>
            <w:proofErr w:type="spellEnd"/>
            <w:r w:rsidRPr="00F7150E">
              <w:rPr>
                <w:rFonts w:eastAsia="Aptos" w:cs="Arial"/>
                <w:i/>
                <w:iCs/>
                <w:sz w:val="20"/>
                <w:szCs w:val="20"/>
                <w:lang w:val="fr-FR"/>
              </w:rPr>
              <w:t>. 12.11 (Rev.COP14) Voies de migration</w:t>
            </w:r>
          </w:p>
          <w:p w14:paraId="20EE5B23" w14:textId="77777777" w:rsidR="00D15F48" w:rsidRPr="00F7150E" w:rsidRDefault="00D15F48" w:rsidP="007B1F8A">
            <w:pPr>
              <w:spacing w:before="40" w:after="40"/>
              <w:cnfStyle w:val="000000000000" w:firstRow="0" w:lastRow="0" w:firstColumn="0" w:lastColumn="0" w:oddVBand="0" w:evenVBand="0" w:oddHBand="0" w:evenHBand="0" w:firstRowFirstColumn="0" w:firstRowLastColumn="0" w:lastRowFirstColumn="0" w:lastRowLastColumn="0"/>
              <w:rPr>
                <w:rFonts w:eastAsia="Aptos" w:cs="Arial"/>
                <w:i/>
                <w:iCs/>
                <w:sz w:val="20"/>
                <w:szCs w:val="20"/>
                <w:lang w:val="fr-FR"/>
              </w:rPr>
            </w:pPr>
          </w:p>
          <w:p w14:paraId="732B132C" w14:textId="77777777" w:rsidR="00D15F48" w:rsidRPr="00F7150E" w:rsidRDefault="00230579" w:rsidP="007B1F8A">
            <w:pPr>
              <w:spacing w:before="40" w:after="40"/>
              <w:cnfStyle w:val="000000000000" w:firstRow="0" w:lastRow="0" w:firstColumn="0" w:lastColumn="0" w:oddVBand="0" w:evenVBand="0" w:oddHBand="0" w:evenHBand="0" w:firstRowFirstColumn="0" w:firstRowLastColumn="0" w:lastRowFirstColumn="0" w:lastRowLastColumn="0"/>
              <w:rPr>
                <w:rFonts w:eastAsia="Aptos" w:cs="Arial"/>
                <w:i/>
                <w:iCs/>
                <w:sz w:val="20"/>
                <w:szCs w:val="20"/>
                <w:lang w:val="fr-FR"/>
              </w:rPr>
            </w:pPr>
            <w:r w:rsidRPr="00F7150E">
              <w:rPr>
                <w:rFonts w:eastAsia="Aptos" w:cs="Arial"/>
                <w:i/>
                <w:iCs/>
                <w:sz w:val="20"/>
                <w:szCs w:val="20"/>
                <w:lang w:val="fr-FR"/>
              </w:rPr>
              <w:t>Décision 14.137, 14.138, 14.140, 14.142</w:t>
            </w:r>
          </w:p>
          <w:p w14:paraId="568B676F" w14:textId="77777777" w:rsidR="00D15F48" w:rsidRPr="00F7150E" w:rsidRDefault="00D15F48" w:rsidP="007B1F8A">
            <w:pPr>
              <w:spacing w:before="40" w:after="40"/>
              <w:cnfStyle w:val="000000000000" w:firstRow="0" w:lastRow="0" w:firstColumn="0" w:lastColumn="0" w:oddVBand="0" w:evenVBand="0" w:oddHBand="0" w:evenHBand="0" w:firstRowFirstColumn="0" w:firstRowLastColumn="0" w:lastRowFirstColumn="0" w:lastRowLastColumn="0"/>
              <w:rPr>
                <w:rFonts w:eastAsia="Aptos" w:cs="Arial"/>
                <w:i/>
                <w:iCs/>
                <w:sz w:val="20"/>
                <w:szCs w:val="20"/>
                <w:lang w:val="fr-FR"/>
              </w:rPr>
            </w:pPr>
          </w:p>
          <w:p w14:paraId="3D0BEF42" w14:textId="77777777" w:rsidR="00D15F48" w:rsidRPr="00F7150E" w:rsidRDefault="00230579" w:rsidP="007B1F8A">
            <w:pPr>
              <w:spacing w:before="40" w:after="40"/>
              <w:cnfStyle w:val="000000000000" w:firstRow="0" w:lastRow="0" w:firstColumn="0" w:lastColumn="0" w:oddVBand="0" w:evenVBand="0" w:oddHBand="0" w:evenHBand="0" w:firstRowFirstColumn="0" w:firstRowLastColumn="0" w:lastRowFirstColumn="0" w:lastRowLastColumn="0"/>
              <w:rPr>
                <w:rFonts w:eastAsia="Aptos" w:cs="Arial"/>
                <w:i/>
                <w:iCs/>
                <w:sz w:val="20"/>
                <w:szCs w:val="20"/>
                <w:lang w:val="fr-FR"/>
              </w:rPr>
            </w:pPr>
            <w:proofErr w:type="spellStart"/>
            <w:r w:rsidRPr="00F7150E">
              <w:rPr>
                <w:rFonts w:eastAsia="Aptos" w:cs="Arial"/>
                <w:i/>
                <w:iCs/>
                <w:sz w:val="20"/>
                <w:szCs w:val="20"/>
                <w:lang w:val="fr-FR"/>
              </w:rPr>
              <w:t>MdE</w:t>
            </w:r>
            <w:proofErr w:type="spellEnd"/>
            <w:r w:rsidRPr="00F7150E">
              <w:rPr>
                <w:rFonts w:eastAsia="Aptos" w:cs="Arial"/>
                <w:i/>
                <w:iCs/>
                <w:sz w:val="20"/>
                <w:szCs w:val="20"/>
                <w:lang w:val="fr-FR"/>
              </w:rPr>
              <w:t xml:space="preserve"> Rapaces</w:t>
            </w:r>
          </w:p>
          <w:p w14:paraId="0DE679F7" w14:textId="77777777" w:rsidR="00D15F48" w:rsidRPr="00F7150E" w:rsidRDefault="00230579" w:rsidP="007B1F8A">
            <w:pPr>
              <w:spacing w:before="40" w:after="40"/>
              <w:cnfStyle w:val="000000000000" w:firstRow="0" w:lastRow="0" w:firstColumn="0" w:lastColumn="0" w:oddVBand="0" w:evenVBand="0" w:oddHBand="0" w:evenHBand="0" w:firstRowFirstColumn="0" w:firstRowLastColumn="0" w:lastRowFirstColumn="0" w:lastRowLastColumn="0"/>
              <w:rPr>
                <w:rFonts w:eastAsia="Aptos" w:cs="Arial"/>
                <w:i/>
                <w:iCs/>
                <w:sz w:val="20"/>
                <w:szCs w:val="20"/>
                <w:lang w:val="fr-FR"/>
              </w:rPr>
            </w:pPr>
            <w:proofErr w:type="spellStart"/>
            <w:r w:rsidRPr="00F7150E">
              <w:rPr>
                <w:rFonts w:eastAsia="Aptos" w:cs="Arial"/>
                <w:i/>
                <w:iCs/>
                <w:sz w:val="20"/>
                <w:szCs w:val="20"/>
                <w:lang w:val="fr-FR"/>
              </w:rPr>
              <w:t>MdE</w:t>
            </w:r>
            <w:proofErr w:type="spellEnd"/>
            <w:r w:rsidRPr="00F7150E">
              <w:rPr>
                <w:rFonts w:eastAsia="Aptos" w:cs="Arial"/>
                <w:i/>
                <w:iCs/>
                <w:sz w:val="20"/>
                <w:szCs w:val="20"/>
                <w:lang w:val="fr-FR"/>
              </w:rPr>
              <w:t xml:space="preserve"> Grue de Sibérie</w:t>
            </w:r>
          </w:p>
          <w:p w14:paraId="5DE1BB0A" w14:textId="77777777" w:rsidR="00D15F48" w:rsidRPr="00F7150E" w:rsidRDefault="00D15F48" w:rsidP="007B1F8A">
            <w:pPr>
              <w:spacing w:before="40" w:after="40"/>
              <w:cnfStyle w:val="000000000000" w:firstRow="0" w:lastRow="0" w:firstColumn="0" w:lastColumn="0" w:oddVBand="0" w:evenVBand="0" w:oddHBand="0" w:evenHBand="0" w:firstRowFirstColumn="0" w:firstRowLastColumn="0" w:lastRowFirstColumn="0" w:lastRowLastColumn="0"/>
              <w:rPr>
                <w:rFonts w:eastAsia="Aptos" w:cs="Arial"/>
                <w:i/>
                <w:iCs/>
                <w:sz w:val="20"/>
                <w:szCs w:val="20"/>
                <w:lang w:val="fr-FR"/>
              </w:rPr>
            </w:pPr>
          </w:p>
          <w:p w14:paraId="37D16552" w14:textId="77777777" w:rsidR="00D15F48" w:rsidRPr="00F7150E" w:rsidRDefault="00230579" w:rsidP="007B1F8A">
            <w:pPr>
              <w:spacing w:before="40" w:after="40"/>
              <w:cnfStyle w:val="000000000000" w:firstRow="0" w:lastRow="0" w:firstColumn="0" w:lastColumn="0" w:oddVBand="0" w:evenVBand="0" w:oddHBand="0" w:evenHBand="0" w:firstRowFirstColumn="0" w:firstRowLastColumn="0" w:lastRowFirstColumn="0" w:lastRowLastColumn="0"/>
              <w:rPr>
                <w:rFonts w:eastAsia="Aptos" w:cs="Arial"/>
                <w:i/>
                <w:iCs/>
                <w:sz w:val="20"/>
                <w:szCs w:val="20"/>
                <w:lang w:val="fr-FR"/>
              </w:rPr>
            </w:pPr>
            <w:r w:rsidRPr="00F7150E">
              <w:rPr>
                <w:rFonts w:eastAsia="Aptos" w:cs="Arial"/>
                <w:i/>
                <w:iCs/>
                <w:sz w:val="20"/>
                <w:szCs w:val="20"/>
                <w:lang w:val="fr-FR"/>
              </w:rPr>
              <w:t>SPMS, Cible 1.1</w:t>
            </w:r>
          </w:p>
        </w:tc>
        <w:tc>
          <w:tcPr>
            <w:tcW w:w="1134" w:type="dxa"/>
          </w:tcPr>
          <w:p w14:paraId="7728C9D6" w14:textId="77777777" w:rsidR="00D15F48" w:rsidRPr="00F7150E" w:rsidRDefault="00230579" w:rsidP="007B1F8A">
            <w:pPr>
              <w:spacing w:before="40" w:after="40"/>
              <w:cnfStyle w:val="000000000000" w:firstRow="0" w:lastRow="0" w:firstColumn="0" w:lastColumn="0" w:oddVBand="0" w:evenVBand="0" w:oddHBand="0" w:evenHBand="0" w:firstRowFirstColumn="0" w:firstRowLastColumn="0" w:lastRowFirstColumn="0" w:lastRowLastColumn="0"/>
              <w:rPr>
                <w:rFonts w:eastAsia="Aptos" w:cs="Arial"/>
                <w:i/>
                <w:iCs/>
                <w:sz w:val="20"/>
                <w:szCs w:val="20"/>
              </w:rPr>
            </w:pPr>
            <w:r w:rsidRPr="00F7150E">
              <w:rPr>
                <w:rFonts w:eastAsia="Aptos" w:cs="Arial"/>
                <w:i/>
                <w:iCs/>
                <w:sz w:val="20"/>
                <w:szCs w:val="20"/>
              </w:rPr>
              <w:t>2026-2029</w:t>
            </w:r>
          </w:p>
        </w:tc>
        <w:tc>
          <w:tcPr>
            <w:tcW w:w="2410" w:type="dxa"/>
          </w:tcPr>
          <w:p w14:paraId="72D408C8" w14:textId="77777777" w:rsidR="00D15F48" w:rsidRPr="00F7150E" w:rsidRDefault="00230579" w:rsidP="007B1F8A">
            <w:pPr>
              <w:spacing w:before="40" w:after="40"/>
              <w:cnfStyle w:val="000000000000" w:firstRow="0" w:lastRow="0" w:firstColumn="0" w:lastColumn="0" w:oddVBand="0" w:evenVBand="0" w:oddHBand="0" w:evenHBand="0" w:firstRowFirstColumn="0" w:firstRowLastColumn="0" w:lastRowFirstColumn="0" w:lastRowLastColumn="0"/>
              <w:rPr>
                <w:rFonts w:eastAsia="Aptos" w:cs="Arial"/>
                <w:i/>
                <w:iCs/>
                <w:sz w:val="20"/>
                <w:szCs w:val="20"/>
                <w:lang w:val="fr-FR"/>
              </w:rPr>
            </w:pPr>
            <w:r w:rsidRPr="00F7150E">
              <w:rPr>
                <w:rFonts w:eastAsia="Aptos" w:cs="Arial"/>
                <w:i/>
                <w:iCs/>
                <w:sz w:val="20"/>
                <w:szCs w:val="20"/>
                <w:lang w:val="fr-FR"/>
              </w:rPr>
              <w:t>Groupe de travail sur les voies de migration, Parties concernées (chef de file)</w:t>
            </w:r>
          </w:p>
          <w:p w14:paraId="4B61CC2E" w14:textId="77777777" w:rsidR="00D15F48" w:rsidRPr="00F7150E" w:rsidRDefault="00D15F48" w:rsidP="007B1F8A">
            <w:pPr>
              <w:spacing w:before="40" w:after="40"/>
              <w:cnfStyle w:val="000000000000" w:firstRow="0" w:lastRow="0" w:firstColumn="0" w:lastColumn="0" w:oddVBand="0" w:evenVBand="0" w:oddHBand="0" w:evenHBand="0" w:firstRowFirstColumn="0" w:firstRowLastColumn="0" w:lastRowFirstColumn="0" w:lastRowLastColumn="0"/>
              <w:rPr>
                <w:rFonts w:eastAsia="Aptos" w:cs="Arial"/>
                <w:i/>
                <w:iCs/>
                <w:sz w:val="20"/>
                <w:szCs w:val="20"/>
                <w:lang w:val="fr-FR"/>
              </w:rPr>
            </w:pPr>
          </w:p>
          <w:p w14:paraId="01E2CD5E" w14:textId="77777777" w:rsidR="00D15F48" w:rsidRPr="00F7150E" w:rsidRDefault="00230579" w:rsidP="007B1F8A">
            <w:pPr>
              <w:spacing w:before="40" w:after="40"/>
              <w:cnfStyle w:val="000000000000" w:firstRow="0" w:lastRow="0" w:firstColumn="0" w:lastColumn="0" w:oddVBand="0" w:evenVBand="0" w:oddHBand="0" w:evenHBand="0" w:firstRowFirstColumn="0" w:firstRowLastColumn="0" w:lastRowFirstColumn="0" w:lastRowLastColumn="0"/>
              <w:rPr>
                <w:rFonts w:eastAsia="Aptos" w:cs="Arial"/>
                <w:i/>
                <w:iCs/>
                <w:sz w:val="20"/>
                <w:szCs w:val="20"/>
                <w:lang w:val="fr-FR"/>
              </w:rPr>
            </w:pPr>
            <w:r w:rsidRPr="00F7150E">
              <w:rPr>
                <w:rFonts w:eastAsia="Aptos" w:cs="Arial"/>
                <w:i/>
                <w:iCs/>
                <w:sz w:val="20"/>
                <w:szCs w:val="20"/>
                <w:lang w:val="fr-FR"/>
              </w:rPr>
              <w:t xml:space="preserve">Non-Partie, </w:t>
            </w:r>
            <w:proofErr w:type="spellStart"/>
            <w:r w:rsidRPr="00F7150E">
              <w:rPr>
                <w:rFonts w:eastAsia="Aptos" w:cs="Arial"/>
                <w:i/>
                <w:iCs/>
                <w:sz w:val="20"/>
                <w:szCs w:val="20"/>
                <w:lang w:val="fr-FR"/>
              </w:rPr>
              <w:t>Birdlife</w:t>
            </w:r>
            <w:proofErr w:type="spellEnd"/>
            <w:r w:rsidRPr="00F7150E">
              <w:rPr>
                <w:rFonts w:eastAsia="Aptos" w:cs="Arial"/>
                <w:i/>
                <w:iCs/>
                <w:sz w:val="20"/>
                <w:szCs w:val="20"/>
                <w:lang w:val="fr-FR"/>
              </w:rPr>
              <w:t xml:space="preserve"> International et Secrétariat (soutien)</w:t>
            </w:r>
          </w:p>
        </w:tc>
        <w:tc>
          <w:tcPr>
            <w:tcW w:w="1417" w:type="dxa"/>
          </w:tcPr>
          <w:p w14:paraId="74ED3BA7" w14:textId="77777777" w:rsidR="00D15F48" w:rsidRPr="00F7150E" w:rsidRDefault="00230579" w:rsidP="007B1F8A">
            <w:pPr>
              <w:spacing w:before="40" w:after="40"/>
              <w:cnfStyle w:val="000000000000" w:firstRow="0" w:lastRow="0" w:firstColumn="0" w:lastColumn="0" w:oddVBand="0" w:evenVBand="0" w:oddHBand="0" w:evenHBand="0" w:firstRowFirstColumn="0" w:firstRowLastColumn="0" w:lastRowFirstColumn="0" w:lastRowLastColumn="0"/>
              <w:rPr>
                <w:rFonts w:eastAsia="Aptos" w:cs="Arial"/>
                <w:i/>
                <w:iCs/>
                <w:sz w:val="20"/>
                <w:szCs w:val="20"/>
                <w:lang w:val="fr-FR"/>
              </w:rPr>
            </w:pPr>
            <w:r w:rsidRPr="00F7150E">
              <w:rPr>
                <w:rFonts w:eastAsia="Aptos" w:cs="Arial"/>
                <w:i/>
                <w:iCs/>
                <w:sz w:val="20"/>
                <w:szCs w:val="20"/>
                <w:lang w:val="fr-FR"/>
              </w:rPr>
              <w:t xml:space="preserve">Sous réserve de ressources externes </w:t>
            </w:r>
          </w:p>
        </w:tc>
      </w:tr>
      <w:tr w:rsidR="00D15F48" w:rsidRPr="00F7150E" w14:paraId="4AECC5A8" w14:textId="77777777" w:rsidTr="0063143D">
        <w:trPr>
          <w:cantSplit/>
        </w:trPr>
        <w:tc>
          <w:tcPr>
            <w:cnfStyle w:val="001000000000" w:firstRow="0" w:lastRow="0" w:firstColumn="1" w:lastColumn="0" w:oddVBand="0" w:evenVBand="0" w:oddHBand="0" w:evenHBand="0" w:firstRowFirstColumn="0" w:firstRowLastColumn="0" w:lastRowFirstColumn="0" w:lastRowLastColumn="0"/>
            <w:tcW w:w="2518" w:type="dxa"/>
          </w:tcPr>
          <w:p w14:paraId="14199BAC" w14:textId="77777777" w:rsidR="00D15F48" w:rsidRPr="00F7150E" w:rsidRDefault="00230579" w:rsidP="007B1F8A">
            <w:pPr>
              <w:spacing w:before="40" w:after="40"/>
              <w:rPr>
                <w:rFonts w:eastAsia="Aptos" w:cs="Arial"/>
                <w:i/>
                <w:iCs/>
                <w:sz w:val="20"/>
                <w:szCs w:val="20"/>
                <w:lang w:val="fr-FR"/>
              </w:rPr>
            </w:pPr>
            <w:r w:rsidRPr="00F7150E">
              <w:rPr>
                <w:rFonts w:eastAsia="Aptos" w:cs="Arial"/>
                <w:i/>
                <w:iCs/>
                <w:sz w:val="20"/>
                <w:szCs w:val="20"/>
                <w:lang w:val="fr-FR"/>
              </w:rPr>
              <w:t>6.2.2 Promouvoir les instruments existants dans la voie de migration Asie orientale-Australasie</w:t>
            </w:r>
          </w:p>
        </w:tc>
        <w:tc>
          <w:tcPr>
            <w:tcW w:w="5245" w:type="dxa"/>
          </w:tcPr>
          <w:p w14:paraId="3575DE2A" w14:textId="77777777" w:rsidR="00D15F48" w:rsidRPr="00F7150E" w:rsidRDefault="00230579" w:rsidP="007B1F8A">
            <w:pPr>
              <w:spacing w:before="40" w:after="40"/>
              <w:jc w:val="both"/>
              <w:cnfStyle w:val="000000000000" w:firstRow="0" w:lastRow="0" w:firstColumn="0" w:lastColumn="0" w:oddVBand="0" w:evenVBand="0" w:oddHBand="0" w:evenHBand="0" w:firstRowFirstColumn="0" w:firstRowLastColumn="0" w:lastRowFirstColumn="0" w:lastRowLastColumn="0"/>
              <w:rPr>
                <w:i/>
                <w:sz w:val="20"/>
                <w:szCs w:val="20"/>
                <w:lang w:val="fr-FR"/>
              </w:rPr>
            </w:pPr>
            <w:r w:rsidRPr="00F7150E">
              <w:rPr>
                <w:i/>
                <w:sz w:val="20"/>
                <w:szCs w:val="20"/>
                <w:lang w:val="fr-FR"/>
              </w:rPr>
              <w:t>Encourager les Parties et les non-Parties à mettre en œuvre l’ACAP et le Mémorandum d’entente sur la conservation des oiseaux de proie migrateurs d’Afrique et d’Eurasie (</w:t>
            </w:r>
            <w:proofErr w:type="spellStart"/>
            <w:r w:rsidRPr="00F7150E">
              <w:rPr>
                <w:i/>
                <w:sz w:val="20"/>
                <w:szCs w:val="20"/>
                <w:lang w:val="fr-FR"/>
              </w:rPr>
              <w:t>MdE</w:t>
            </w:r>
            <w:proofErr w:type="spellEnd"/>
            <w:r w:rsidRPr="00F7150E">
              <w:rPr>
                <w:i/>
                <w:sz w:val="20"/>
                <w:szCs w:val="20"/>
                <w:lang w:val="fr-FR"/>
              </w:rPr>
              <w:t xml:space="preserve"> Rapaces) et le Mémorandum d’entente relatif aux mesures de conservation de la grue de Sibérie (Grus </w:t>
            </w:r>
            <w:proofErr w:type="spellStart"/>
            <w:r w:rsidRPr="00F7150E">
              <w:rPr>
                <w:i/>
                <w:sz w:val="20"/>
                <w:szCs w:val="20"/>
                <w:lang w:val="fr-FR"/>
              </w:rPr>
              <w:t>leucogeranus</w:t>
            </w:r>
            <w:proofErr w:type="spellEnd"/>
            <w:r w:rsidRPr="00F7150E">
              <w:rPr>
                <w:i/>
                <w:sz w:val="20"/>
                <w:szCs w:val="20"/>
                <w:lang w:val="fr-FR"/>
              </w:rPr>
              <w:t xml:space="preserve">), l’AEMLAP et le </w:t>
            </w:r>
            <w:proofErr w:type="spellStart"/>
            <w:r w:rsidRPr="00F7150E">
              <w:rPr>
                <w:i/>
                <w:sz w:val="20"/>
                <w:szCs w:val="20"/>
                <w:lang w:val="fr-FR"/>
              </w:rPr>
              <w:t>MsAP</w:t>
            </w:r>
            <w:proofErr w:type="spellEnd"/>
            <w:r w:rsidRPr="00F7150E">
              <w:rPr>
                <w:i/>
                <w:sz w:val="20"/>
                <w:szCs w:val="20"/>
                <w:lang w:val="fr-FR"/>
              </w:rPr>
              <w:t xml:space="preserve"> Vautour (le cas échéant), y compris encourager tous les États de l’aire de répartition à devenir des signataires ou des Parties.</w:t>
            </w:r>
          </w:p>
          <w:p w14:paraId="05D8D272" w14:textId="77777777" w:rsidR="00D15F48" w:rsidRPr="00F7150E" w:rsidRDefault="00D15F48" w:rsidP="007B1F8A">
            <w:pPr>
              <w:spacing w:before="40" w:after="40"/>
              <w:jc w:val="both"/>
              <w:cnfStyle w:val="000000000000" w:firstRow="0" w:lastRow="0" w:firstColumn="0" w:lastColumn="0" w:oddVBand="0" w:evenVBand="0" w:oddHBand="0" w:evenHBand="0" w:firstRowFirstColumn="0" w:firstRowLastColumn="0" w:lastRowFirstColumn="0" w:lastRowLastColumn="0"/>
              <w:rPr>
                <w:rFonts w:eastAsia="Aptos" w:cs="Arial"/>
                <w:i/>
                <w:iCs/>
                <w:sz w:val="20"/>
                <w:szCs w:val="20"/>
                <w:lang w:val="fr-FR"/>
              </w:rPr>
            </w:pPr>
          </w:p>
        </w:tc>
        <w:tc>
          <w:tcPr>
            <w:tcW w:w="1701" w:type="dxa"/>
          </w:tcPr>
          <w:p w14:paraId="6A0E0314" w14:textId="77777777" w:rsidR="00D15F48" w:rsidRPr="00F7150E" w:rsidRDefault="00230579" w:rsidP="007B1F8A">
            <w:pPr>
              <w:spacing w:before="40" w:after="40"/>
              <w:cnfStyle w:val="000000000000" w:firstRow="0" w:lastRow="0" w:firstColumn="0" w:lastColumn="0" w:oddVBand="0" w:evenVBand="0" w:oddHBand="0" w:evenHBand="0" w:firstRowFirstColumn="0" w:firstRowLastColumn="0" w:lastRowFirstColumn="0" w:lastRowLastColumn="0"/>
              <w:rPr>
                <w:rFonts w:eastAsia="Aptos" w:cs="Arial"/>
                <w:i/>
                <w:iCs/>
                <w:sz w:val="20"/>
                <w:szCs w:val="20"/>
                <w:lang w:val="fr-FR"/>
              </w:rPr>
            </w:pPr>
            <w:proofErr w:type="spellStart"/>
            <w:r w:rsidRPr="00F7150E">
              <w:rPr>
                <w:rFonts w:eastAsia="Aptos" w:cs="Arial"/>
                <w:i/>
                <w:iCs/>
                <w:sz w:val="20"/>
                <w:szCs w:val="20"/>
                <w:lang w:val="fr-FR"/>
              </w:rPr>
              <w:t>Rés</w:t>
            </w:r>
            <w:proofErr w:type="spellEnd"/>
            <w:r w:rsidRPr="00F7150E">
              <w:rPr>
                <w:rFonts w:eastAsia="Aptos" w:cs="Arial"/>
                <w:i/>
                <w:iCs/>
                <w:sz w:val="20"/>
                <w:szCs w:val="20"/>
                <w:lang w:val="fr-FR"/>
              </w:rPr>
              <w:t>. 12.11 (Rev.COP14) Voies de migration</w:t>
            </w:r>
          </w:p>
          <w:p w14:paraId="369901CA" w14:textId="77777777" w:rsidR="00D15F48" w:rsidRPr="00F7150E" w:rsidRDefault="00D15F48" w:rsidP="007B1F8A">
            <w:pPr>
              <w:spacing w:before="40" w:after="40"/>
              <w:cnfStyle w:val="000000000000" w:firstRow="0" w:lastRow="0" w:firstColumn="0" w:lastColumn="0" w:oddVBand="0" w:evenVBand="0" w:oddHBand="0" w:evenHBand="0" w:firstRowFirstColumn="0" w:firstRowLastColumn="0" w:lastRowFirstColumn="0" w:lastRowLastColumn="0"/>
              <w:rPr>
                <w:rFonts w:eastAsia="Aptos" w:cs="Arial"/>
                <w:i/>
                <w:iCs/>
                <w:sz w:val="20"/>
                <w:szCs w:val="20"/>
                <w:lang w:val="fr-FR"/>
              </w:rPr>
            </w:pPr>
          </w:p>
          <w:p w14:paraId="26E66EF6" w14:textId="77777777" w:rsidR="00D15F48" w:rsidRPr="00F7150E" w:rsidRDefault="00230579" w:rsidP="007B1F8A">
            <w:pPr>
              <w:spacing w:before="40" w:after="40"/>
              <w:cnfStyle w:val="000000000000" w:firstRow="0" w:lastRow="0" w:firstColumn="0" w:lastColumn="0" w:oddVBand="0" w:evenVBand="0" w:oddHBand="0" w:evenHBand="0" w:firstRowFirstColumn="0" w:firstRowLastColumn="0" w:lastRowFirstColumn="0" w:lastRowLastColumn="0"/>
              <w:rPr>
                <w:rFonts w:eastAsia="Aptos" w:cs="Arial"/>
                <w:i/>
                <w:iCs/>
                <w:sz w:val="20"/>
                <w:szCs w:val="20"/>
                <w:lang w:val="fr-FR"/>
              </w:rPr>
            </w:pPr>
            <w:r w:rsidRPr="00F7150E">
              <w:rPr>
                <w:rFonts w:eastAsia="Aptos" w:cs="Arial"/>
                <w:i/>
                <w:iCs/>
                <w:sz w:val="20"/>
                <w:szCs w:val="20"/>
                <w:lang w:val="fr-FR"/>
              </w:rPr>
              <w:t>ACAP</w:t>
            </w:r>
          </w:p>
          <w:p w14:paraId="713B9F44" w14:textId="77777777" w:rsidR="00D15F48" w:rsidRPr="00F7150E" w:rsidRDefault="00230579" w:rsidP="007B1F8A">
            <w:pPr>
              <w:spacing w:before="40" w:after="40"/>
              <w:cnfStyle w:val="000000000000" w:firstRow="0" w:lastRow="0" w:firstColumn="0" w:lastColumn="0" w:oddVBand="0" w:evenVBand="0" w:oddHBand="0" w:evenHBand="0" w:firstRowFirstColumn="0" w:firstRowLastColumn="0" w:lastRowFirstColumn="0" w:lastRowLastColumn="0"/>
              <w:rPr>
                <w:rFonts w:eastAsia="Aptos" w:cs="Arial"/>
                <w:i/>
                <w:iCs/>
                <w:sz w:val="20"/>
                <w:szCs w:val="20"/>
                <w:lang w:val="fr-FR"/>
              </w:rPr>
            </w:pPr>
            <w:proofErr w:type="spellStart"/>
            <w:r w:rsidRPr="00F7150E">
              <w:rPr>
                <w:rFonts w:eastAsia="Aptos" w:cs="Arial"/>
                <w:i/>
                <w:iCs/>
                <w:sz w:val="20"/>
                <w:szCs w:val="20"/>
                <w:lang w:val="fr-FR"/>
              </w:rPr>
              <w:t>MdE</w:t>
            </w:r>
            <w:proofErr w:type="spellEnd"/>
            <w:r w:rsidRPr="00F7150E">
              <w:rPr>
                <w:rFonts w:eastAsia="Aptos" w:cs="Arial"/>
                <w:i/>
                <w:iCs/>
                <w:sz w:val="20"/>
                <w:szCs w:val="20"/>
                <w:lang w:val="fr-FR"/>
              </w:rPr>
              <w:t xml:space="preserve"> Rapaces</w:t>
            </w:r>
          </w:p>
          <w:p w14:paraId="1759F3FC" w14:textId="77777777" w:rsidR="00D15F48" w:rsidRPr="00F7150E" w:rsidRDefault="00230579" w:rsidP="007B1F8A">
            <w:pPr>
              <w:spacing w:before="40" w:after="40"/>
              <w:cnfStyle w:val="000000000000" w:firstRow="0" w:lastRow="0" w:firstColumn="0" w:lastColumn="0" w:oddVBand="0" w:evenVBand="0" w:oddHBand="0" w:evenHBand="0" w:firstRowFirstColumn="0" w:firstRowLastColumn="0" w:lastRowFirstColumn="0" w:lastRowLastColumn="0"/>
              <w:rPr>
                <w:rFonts w:eastAsia="Aptos" w:cs="Arial"/>
                <w:i/>
                <w:iCs/>
                <w:sz w:val="20"/>
                <w:szCs w:val="20"/>
                <w:lang w:val="fr-FR"/>
              </w:rPr>
            </w:pPr>
            <w:proofErr w:type="spellStart"/>
            <w:r w:rsidRPr="00F7150E">
              <w:rPr>
                <w:rFonts w:eastAsia="Aptos" w:cs="Arial"/>
                <w:i/>
                <w:iCs/>
                <w:sz w:val="20"/>
                <w:szCs w:val="20"/>
                <w:lang w:val="fr-FR"/>
              </w:rPr>
              <w:t>MdE</w:t>
            </w:r>
            <w:proofErr w:type="spellEnd"/>
            <w:r w:rsidRPr="00F7150E">
              <w:rPr>
                <w:rFonts w:eastAsia="Aptos" w:cs="Arial"/>
                <w:i/>
                <w:iCs/>
                <w:sz w:val="20"/>
                <w:szCs w:val="20"/>
                <w:lang w:val="fr-FR"/>
              </w:rPr>
              <w:t xml:space="preserve"> Grue de Sibérie</w:t>
            </w:r>
          </w:p>
          <w:p w14:paraId="70F1BCD2" w14:textId="77777777" w:rsidR="00D15F48" w:rsidRPr="00F7150E" w:rsidRDefault="00D15F48" w:rsidP="007B1F8A">
            <w:pPr>
              <w:spacing w:before="40" w:after="40"/>
              <w:cnfStyle w:val="000000000000" w:firstRow="0" w:lastRow="0" w:firstColumn="0" w:lastColumn="0" w:oddVBand="0" w:evenVBand="0" w:oddHBand="0" w:evenHBand="0" w:firstRowFirstColumn="0" w:firstRowLastColumn="0" w:lastRowFirstColumn="0" w:lastRowLastColumn="0"/>
              <w:rPr>
                <w:rFonts w:eastAsia="Aptos" w:cs="Arial"/>
                <w:i/>
                <w:iCs/>
                <w:sz w:val="20"/>
                <w:szCs w:val="20"/>
                <w:lang w:val="fr-FR"/>
              </w:rPr>
            </w:pPr>
          </w:p>
          <w:p w14:paraId="04E5BFED" w14:textId="77777777" w:rsidR="00D15F48" w:rsidRPr="00F7150E" w:rsidRDefault="00230579" w:rsidP="007B1F8A">
            <w:pPr>
              <w:spacing w:before="40" w:after="40"/>
              <w:cnfStyle w:val="000000000000" w:firstRow="0" w:lastRow="0" w:firstColumn="0" w:lastColumn="0" w:oddVBand="0" w:evenVBand="0" w:oddHBand="0" w:evenHBand="0" w:firstRowFirstColumn="0" w:firstRowLastColumn="0" w:lastRowFirstColumn="0" w:lastRowLastColumn="0"/>
              <w:rPr>
                <w:rFonts w:eastAsia="Aptos" w:cs="Arial"/>
                <w:i/>
                <w:iCs/>
                <w:sz w:val="20"/>
                <w:szCs w:val="20"/>
              </w:rPr>
            </w:pPr>
            <w:r w:rsidRPr="00F7150E">
              <w:rPr>
                <w:rFonts w:eastAsia="Aptos" w:cs="Arial"/>
                <w:i/>
                <w:iCs/>
                <w:sz w:val="20"/>
                <w:szCs w:val="20"/>
              </w:rPr>
              <w:t>AEMLAP</w:t>
            </w:r>
          </w:p>
          <w:p w14:paraId="7D008F7B" w14:textId="77777777" w:rsidR="00D15F48" w:rsidRPr="00F7150E" w:rsidRDefault="00D15F48" w:rsidP="007B1F8A">
            <w:pPr>
              <w:spacing w:before="40" w:after="40"/>
              <w:cnfStyle w:val="000000000000" w:firstRow="0" w:lastRow="0" w:firstColumn="0" w:lastColumn="0" w:oddVBand="0" w:evenVBand="0" w:oddHBand="0" w:evenHBand="0" w:firstRowFirstColumn="0" w:firstRowLastColumn="0" w:lastRowFirstColumn="0" w:lastRowLastColumn="0"/>
              <w:rPr>
                <w:rFonts w:eastAsia="Aptos" w:cs="Arial"/>
                <w:i/>
                <w:iCs/>
                <w:sz w:val="20"/>
                <w:szCs w:val="20"/>
                <w:lang w:val="fr-FR"/>
              </w:rPr>
            </w:pPr>
          </w:p>
          <w:p w14:paraId="198D5E38" w14:textId="77777777" w:rsidR="00D15F48" w:rsidRPr="00F7150E" w:rsidRDefault="00230579" w:rsidP="007B1F8A">
            <w:pPr>
              <w:spacing w:before="40" w:after="40"/>
              <w:cnfStyle w:val="000000000000" w:firstRow="0" w:lastRow="0" w:firstColumn="0" w:lastColumn="0" w:oddVBand="0" w:evenVBand="0" w:oddHBand="0" w:evenHBand="0" w:firstRowFirstColumn="0" w:firstRowLastColumn="0" w:lastRowFirstColumn="0" w:lastRowLastColumn="0"/>
              <w:rPr>
                <w:rFonts w:eastAsia="Aptos" w:cs="Arial"/>
                <w:i/>
                <w:iCs/>
                <w:sz w:val="20"/>
                <w:szCs w:val="20"/>
                <w:lang w:val="fr-FR"/>
              </w:rPr>
            </w:pPr>
            <w:r w:rsidRPr="00F7150E">
              <w:rPr>
                <w:rFonts w:eastAsia="Aptos" w:cs="Arial"/>
                <w:i/>
                <w:iCs/>
                <w:sz w:val="20"/>
                <w:szCs w:val="20"/>
                <w:lang w:val="fr-FR"/>
              </w:rPr>
              <w:t>SPMS, Cible 1.1</w:t>
            </w:r>
          </w:p>
        </w:tc>
        <w:tc>
          <w:tcPr>
            <w:tcW w:w="1134" w:type="dxa"/>
          </w:tcPr>
          <w:p w14:paraId="5F64399F" w14:textId="77777777" w:rsidR="00D15F48" w:rsidRPr="00F7150E" w:rsidRDefault="00230579" w:rsidP="007B1F8A">
            <w:pPr>
              <w:spacing w:before="40" w:after="40"/>
              <w:cnfStyle w:val="000000000000" w:firstRow="0" w:lastRow="0" w:firstColumn="0" w:lastColumn="0" w:oddVBand="0" w:evenVBand="0" w:oddHBand="0" w:evenHBand="0" w:firstRowFirstColumn="0" w:firstRowLastColumn="0" w:lastRowFirstColumn="0" w:lastRowLastColumn="0"/>
              <w:rPr>
                <w:rFonts w:eastAsia="Aptos" w:cs="Arial"/>
                <w:i/>
                <w:iCs/>
                <w:sz w:val="20"/>
                <w:szCs w:val="20"/>
                <w:lang w:val="fr-FR"/>
              </w:rPr>
            </w:pPr>
            <w:r w:rsidRPr="00F7150E">
              <w:rPr>
                <w:rFonts w:eastAsia="Aptos" w:cs="Arial"/>
                <w:i/>
                <w:iCs/>
                <w:sz w:val="20"/>
                <w:szCs w:val="20"/>
                <w:lang w:val="fr-FR"/>
              </w:rPr>
              <w:t>En cours</w:t>
            </w:r>
          </w:p>
        </w:tc>
        <w:tc>
          <w:tcPr>
            <w:tcW w:w="2410" w:type="dxa"/>
          </w:tcPr>
          <w:p w14:paraId="23037A35" w14:textId="77777777" w:rsidR="00D15F48" w:rsidRPr="00F7150E" w:rsidRDefault="00230579" w:rsidP="007B1F8A">
            <w:pPr>
              <w:spacing w:before="40" w:after="40"/>
              <w:cnfStyle w:val="000000000000" w:firstRow="0" w:lastRow="0" w:firstColumn="0" w:lastColumn="0" w:oddVBand="0" w:evenVBand="0" w:oddHBand="0" w:evenHBand="0" w:firstRowFirstColumn="0" w:firstRowLastColumn="0" w:lastRowFirstColumn="0" w:lastRowLastColumn="0"/>
              <w:rPr>
                <w:rFonts w:eastAsia="Aptos" w:cs="Arial"/>
                <w:i/>
                <w:iCs/>
                <w:sz w:val="20"/>
                <w:szCs w:val="20"/>
                <w:lang w:val="fr-FR"/>
              </w:rPr>
            </w:pPr>
            <w:r w:rsidRPr="00F7150E">
              <w:rPr>
                <w:rFonts w:eastAsia="Aptos" w:cs="Arial"/>
                <w:i/>
                <w:iCs/>
                <w:sz w:val="20"/>
                <w:szCs w:val="20"/>
                <w:lang w:val="fr-FR"/>
              </w:rPr>
              <w:t>Groupe de travail sur les voies de migration, Parties concernées (chef de file)</w:t>
            </w:r>
          </w:p>
          <w:p w14:paraId="5773F6E1" w14:textId="77777777" w:rsidR="00D15F48" w:rsidRPr="00F7150E" w:rsidRDefault="00D15F48" w:rsidP="007B1F8A">
            <w:pPr>
              <w:spacing w:before="40" w:after="40"/>
              <w:cnfStyle w:val="000000000000" w:firstRow="0" w:lastRow="0" w:firstColumn="0" w:lastColumn="0" w:oddVBand="0" w:evenVBand="0" w:oddHBand="0" w:evenHBand="0" w:firstRowFirstColumn="0" w:firstRowLastColumn="0" w:lastRowFirstColumn="0" w:lastRowLastColumn="0"/>
              <w:rPr>
                <w:rFonts w:eastAsia="Aptos" w:cs="Arial"/>
                <w:i/>
                <w:iCs/>
                <w:sz w:val="20"/>
                <w:szCs w:val="20"/>
                <w:lang w:val="fr-FR"/>
              </w:rPr>
            </w:pPr>
          </w:p>
          <w:p w14:paraId="16D2F55A" w14:textId="77777777" w:rsidR="00D15F48" w:rsidRPr="00F7150E" w:rsidRDefault="00230579" w:rsidP="007B1F8A">
            <w:pPr>
              <w:spacing w:before="40" w:after="40"/>
              <w:cnfStyle w:val="000000000000" w:firstRow="0" w:lastRow="0" w:firstColumn="0" w:lastColumn="0" w:oddVBand="0" w:evenVBand="0" w:oddHBand="0" w:evenHBand="0" w:firstRowFirstColumn="0" w:firstRowLastColumn="0" w:lastRowFirstColumn="0" w:lastRowLastColumn="0"/>
              <w:rPr>
                <w:rFonts w:eastAsia="Aptos" w:cs="Arial"/>
                <w:i/>
                <w:iCs/>
                <w:sz w:val="20"/>
                <w:szCs w:val="20"/>
                <w:lang w:val="fr-FR"/>
              </w:rPr>
            </w:pPr>
            <w:r w:rsidRPr="00F7150E">
              <w:rPr>
                <w:rFonts w:eastAsia="Aptos" w:cs="Arial"/>
                <w:i/>
                <w:iCs/>
                <w:sz w:val="20"/>
                <w:szCs w:val="20"/>
                <w:lang w:val="fr-FR"/>
              </w:rPr>
              <w:t>Secrétariat (soutien)</w:t>
            </w:r>
          </w:p>
        </w:tc>
        <w:tc>
          <w:tcPr>
            <w:tcW w:w="1417" w:type="dxa"/>
          </w:tcPr>
          <w:p w14:paraId="361B287B" w14:textId="77777777" w:rsidR="00D15F48" w:rsidRPr="00F7150E" w:rsidRDefault="00230579" w:rsidP="007B1F8A">
            <w:pPr>
              <w:spacing w:before="40" w:after="40"/>
              <w:cnfStyle w:val="000000000000" w:firstRow="0" w:lastRow="0" w:firstColumn="0" w:lastColumn="0" w:oddVBand="0" w:evenVBand="0" w:oddHBand="0" w:evenHBand="0" w:firstRowFirstColumn="0" w:firstRowLastColumn="0" w:lastRowFirstColumn="0" w:lastRowLastColumn="0"/>
              <w:rPr>
                <w:rFonts w:eastAsia="Aptos" w:cs="Arial"/>
                <w:i/>
                <w:iCs/>
                <w:sz w:val="20"/>
                <w:szCs w:val="20"/>
                <w:lang w:val="fr-FR"/>
              </w:rPr>
            </w:pPr>
            <w:r w:rsidRPr="00F7150E">
              <w:rPr>
                <w:rFonts w:eastAsia="Aptos" w:cs="Arial"/>
                <w:i/>
                <w:iCs/>
                <w:sz w:val="20"/>
                <w:szCs w:val="20"/>
                <w:lang w:val="fr-FR"/>
              </w:rPr>
              <w:t>En nature</w:t>
            </w:r>
          </w:p>
        </w:tc>
      </w:tr>
    </w:tbl>
    <w:p w14:paraId="5DA18A81" w14:textId="77777777" w:rsidR="00954619" w:rsidRDefault="00954619">
      <w:r>
        <w:rPr>
          <w:b/>
          <w:bCs/>
        </w:rPr>
        <w:br w:type="page"/>
      </w:r>
    </w:p>
    <w:tbl>
      <w:tblPr>
        <w:tblStyle w:val="GridTable4-Accent41"/>
        <w:tblW w:w="14425" w:type="dxa"/>
        <w:tblLayout w:type="fixed"/>
        <w:tblLook w:val="06A0" w:firstRow="1" w:lastRow="0" w:firstColumn="1" w:lastColumn="0" w:noHBand="1" w:noVBand="1"/>
      </w:tblPr>
      <w:tblGrid>
        <w:gridCol w:w="2518"/>
        <w:gridCol w:w="5245"/>
        <w:gridCol w:w="1701"/>
        <w:gridCol w:w="1134"/>
        <w:gridCol w:w="2410"/>
        <w:gridCol w:w="1417"/>
      </w:tblGrid>
      <w:tr w:rsidR="00954619" w:rsidRPr="00954619" w14:paraId="17EE90D2" w14:textId="77777777" w:rsidTr="0063143D">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518" w:type="dxa"/>
            <w:shd w:val="clear" w:color="auto" w:fill="C1E4F5"/>
          </w:tcPr>
          <w:p w14:paraId="7867A91A" w14:textId="57AE87EE" w:rsidR="00D15F48" w:rsidRPr="00954619" w:rsidRDefault="00230579" w:rsidP="007B1F8A">
            <w:pPr>
              <w:spacing w:before="40" w:after="40"/>
              <w:rPr>
                <w:rFonts w:eastAsia="Aptos" w:cs="Arial"/>
                <w:i/>
                <w:iCs/>
                <w:color w:val="auto"/>
                <w:sz w:val="20"/>
                <w:szCs w:val="20"/>
                <w:lang w:val="fr-FR"/>
              </w:rPr>
            </w:pPr>
            <w:r w:rsidRPr="00954619">
              <w:rPr>
                <w:rFonts w:eastAsia="Aptos" w:cs="Arial"/>
                <w:i/>
                <w:iCs/>
                <w:color w:val="auto"/>
                <w:sz w:val="20"/>
                <w:szCs w:val="20"/>
                <w:lang w:val="fr-FR"/>
              </w:rPr>
              <w:lastRenderedPageBreak/>
              <w:t>Sous-thème 6.3 :</w:t>
            </w:r>
          </w:p>
        </w:tc>
        <w:tc>
          <w:tcPr>
            <w:tcW w:w="11907" w:type="dxa"/>
            <w:gridSpan w:val="5"/>
            <w:shd w:val="clear" w:color="auto" w:fill="C1E4F5"/>
          </w:tcPr>
          <w:p w14:paraId="3BCF39F0" w14:textId="77777777" w:rsidR="00D15F48" w:rsidRPr="00954619" w:rsidRDefault="00230579" w:rsidP="007B1F8A">
            <w:pPr>
              <w:spacing w:before="40" w:after="40"/>
              <w:jc w:val="both"/>
              <w:cnfStyle w:val="100000000000" w:firstRow="1" w:lastRow="0" w:firstColumn="0" w:lastColumn="0" w:oddVBand="0" w:evenVBand="0" w:oddHBand="0" w:evenHBand="0" w:firstRowFirstColumn="0" w:firstRowLastColumn="0" w:lastRowFirstColumn="0" w:lastRowLastColumn="0"/>
              <w:rPr>
                <w:rFonts w:eastAsia="Aptos" w:cs="Arial"/>
                <w:b w:val="0"/>
                <w:bCs w:val="0"/>
                <w:i/>
                <w:iCs/>
                <w:color w:val="auto"/>
                <w:sz w:val="20"/>
                <w:szCs w:val="20"/>
                <w:lang w:val="fr-FR"/>
              </w:rPr>
            </w:pPr>
            <w:r w:rsidRPr="00954619">
              <w:rPr>
                <w:rFonts w:eastAsia="Aptos" w:cs="Arial"/>
                <w:b w:val="0"/>
                <w:bCs w:val="0"/>
                <w:i/>
                <w:iCs/>
                <w:color w:val="auto"/>
                <w:sz w:val="20"/>
                <w:szCs w:val="20"/>
                <w:lang w:val="fr-FR"/>
              </w:rPr>
              <w:t>Voie de migration Afrique-Eurasie</w:t>
            </w:r>
          </w:p>
        </w:tc>
      </w:tr>
      <w:tr w:rsidR="00D15F48" w:rsidRPr="00F7150E" w14:paraId="13F11C4A" w14:textId="77777777" w:rsidTr="0063143D">
        <w:trPr>
          <w:cantSplit/>
        </w:trPr>
        <w:tc>
          <w:tcPr>
            <w:cnfStyle w:val="001000000000" w:firstRow="0" w:lastRow="0" w:firstColumn="1" w:lastColumn="0" w:oddVBand="0" w:evenVBand="0" w:oddHBand="0" w:evenHBand="0" w:firstRowFirstColumn="0" w:firstRowLastColumn="0" w:lastRowFirstColumn="0" w:lastRowLastColumn="0"/>
            <w:tcW w:w="2518" w:type="dxa"/>
          </w:tcPr>
          <w:p w14:paraId="36367998" w14:textId="77777777" w:rsidR="00D15F48" w:rsidRPr="00F7150E" w:rsidRDefault="00230579" w:rsidP="007B1F8A">
            <w:pPr>
              <w:spacing w:before="40" w:after="40"/>
              <w:rPr>
                <w:rFonts w:eastAsia="Aptos" w:cs="Arial"/>
                <w:i/>
                <w:iCs/>
                <w:sz w:val="20"/>
                <w:szCs w:val="20"/>
                <w:lang w:val="fr-FR"/>
              </w:rPr>
            </w:pPr>
            <w:r w:rsidRPr="00F7150E">
              <w:rPr>
                <w:rFonts w:eastAsia="Aptos" w:cs="Arial"/>
                <w:i/>
                <w:iCs/>
                <w:sz w:val="20"/>
                <w:szCs w:val="20"/>
                <w:lang w:val="fr-FR"/>
              </w:rPr>
              <w:t>6.3.1 Promouvoir les instruments existants dans la voie de migration Afrique-Eurasie</w:t>
            </w:r>
          </w:p>
        </w:tc>
        <w:tc>
          <w:tcPr>
            <w:tcW w:w="5245" w:type="dxa"/>
          </w:tcPr>
          <w:p w14:paraId="62E383A0" w14:textId="77777777" w:rsidR="00D15F48" w:rsidRPr="00F7150E" w:rsidRDefault="00230579" w:rsidP="007B1F8A">
            <w:pPr>
              <w:spacing w:before="40" w:after="40"/>
              <w:jc w:val="both"/>
              <w:cnfStyle w:val="000000000000" w:firstRow="0" w:lastRow="0" w:firstColumn="0" w:lastColumn="0" w:oddVBand="0" w:evenVBand="0" w:oddHBand="0" w:evenHBand="0" w:firstRowFirstColumn="0" w:firstRowLastColumn="0" w:lastRowFirstColumn="0" w:lastRowLastColumn="0"/>
              <w:rPr>
                <w:i/>
                <w:sz w:val="20"/>
                <w:szCs w:val="20"/>
                <w:lang w:val="fr-FR"/>
              </w:rPr>
            </w:pPr>
            <w:r w:rsidRPr="00F7150E">
              <w:rPr>
                <w:i/>
                <w:sz w:val="20"/>
                <w:szCs w:val="20"/>
                <w:lang w:val="fr-FR"/>
              </w:rPr>
              <w:t xml:space="preserve">Encourager les Parties, les non-Parties et les organisations intergouvernementales à mettre en œuvre les Accords, les </w:t>
            </w:r>
            <w:proofErr w:type="spellStart"/>
            <w:r w:rsidRPr="00F7150E">
              <w:rPr>
                <w:i/>
                <w:sz w:val="20"/>
                <w:szCs w:val="20"/>
                <w:lang w:val="fr-FR"/>
              </w:rPr>
              <w:t>MdE</w:t>
            </w:r>
            <w:proofErr w:type="spellEnd"/>
            <w:r w:rsidRPr="00F7150E">
              <w:rPr>
                <w:i/>
                <w:sz w:val="20"/>
                <w:szCs w:val="20"/>
                <w:lang w:val="fr-FR"/>
              </w:rPr>
              <w:t xml:space="preserve"> et les autres mécanismes correspondants de la voie de migration Afrique-Eurasie, notamment en encourageant tous les États de l’aire de répartition à devenir signataires ou Parties. </w:t>
            </w:r>
          </w:p>
          <w:p w14:paraId="4D3D6EEF" w14:textId="77777777" w:rsidR="00D15F48" w:rsidRPr="00F7150E" w:rsidRDefault="00D15F48" w:rsidP="007B1F8A">
            <w:pPr>
              <w:spacing w:before="40" w:after="40"/>
              <w:jc w:val="both"/>
              <w:cnfStyle w:val="000000000000" w:firstRow="0" w:lastRow="0" w:firstColumn="0" w:lastColumn="0" w:oddVBand="0" w:evenVBand="0" w:oddHBand="0" w:evenHBand="0" w:firstRowFirstColumn="0" w:firstRowLastColumn="0" w:lastRowFirstColumn="0" w:lastRowLastColumn="0"/>
              <w:rPr>
                <w:rFonts w:eastAsia="Aptos" w:cs="Arial"/>
                <w:i/>
                <w:iCs/>
                <w:sz w:val="20"/>
                <w:szCs w:val="20"/>
                <w:lang w:val="fr-FR"/>
              </w:rPr>
            </w:pPr>
          </w:p>
          <w:p w14:paraId="48D5B08C" w14:textId="77777777" w:rsidR="00D15F48" w:rsidRPr="00F7150E" w:rsidRDefault="00230579" w:rsidP="007B1F8A">
            <w:pPr>
              <w:spacing w:before="40" w:after="40"/>
              <w:jc w:val="both"/>
              <w:cnfStyle w:val="000000000000" w:firstRow="0" w:lastRow="0" w:firstColumn="0" w:lastColumn="0" w:oddVBand="0" w:evenVBand="0" w:oddHBand="0" w:evenHBand="0" w:firstRowFirstColumn="0" w:firstRowLastColumn="0" w:lastRowFirstColumn="0" w:lastRowLastColumn="0"/>
              <w:rPr>
                <w:rFonts w:eastAsia="Aptos" w:cs="Arial"/>
                <w:i/>
                <w:iCs/>
                <w:sz w:val="20"/>
                <w:szCs w:val="20"/>
                <w:lang w:val="fr-FR"/>
              </w:rPr>
            </w:pPr>
            <w:r w:rsidRPr="00F7150E">
              <w:rPr>
                <w:i/>
                <w:sz w:val="20"/>
                <w:szCs w:val="20"/>
                <w:lang w:val="fr-FR"/>
              </w:rPr>
              <w:t xml:space="preserve">Identifier les possibilités de collaboration sur des questions interdisciplinaires afin d’améliorer la mise en œuvre d’actions hautement prioritaires, de définir des projets conjoints et d’atténuer les menaces pesant sur les oiseaux migrateurs, par exemple le projet Habitats mené par l’AEWA « Identifier les priorités pour la conservation et la gestion des habitats des oiseaux migrateurs en Afrique, en Europe et en Asie ».  </w:t>
            </w:r>
          </w:p>
        </w:tc>
        <w:tc>
          <w:tcPr>
            <w:tcW w:w="1701" w:type="dxa"/>
          </w:tcPr>
          <w:p w14:paraId="48E2D003" w14:textId="77777777" w:rsidR="00D15F48" w:rsidRPr="00F7150E" w:rsidRDefault="00230579" w:rsidP="007B1F8A">
            <w:pPr>
              <w:spacing w:before="40" w:after="40"/>
              <w:cnfStyle w:val="000000000000" w:firstRow="0" w:lastRow="0" w:firstColumn="0" w:lastColumn="0" w:oddVBand="0" w:evenVBand="0" w:oddHBand="0" w:evenHBand="0" w:firstRowFirstColumn="0" w:firstRowLastColumn="0" w:lastRowFirstColumn="0" w:lastRowLastColumn="0"/>
              <w:rPr>
                <w:rFonts w:eastAsia="Aptos" w:cs="Arial"/>
                <w:i/>
                <w:iCs/>
                <w:sz w:val="20"/>
                <w:szCs w:val="20"/>
                <w:lang w:val="fr-FR"/>
              </w:rPr>
            </w:pPr>
            <w:proofErr w:type="spellStart"/>
            <w:r w:rsidRPr="00F7150E">
              <w:rPr>
                <w:rFonts w:eastAsia="Aptos" w:cs="Arial"/>
                <w:i/>
                <w:iCs/>
                <w:sz w:val="20"/>
                <w:szCs w:val="20"/>
                <w:lang w:val="fr-FR"/>
              </w:rPr>
              <w:t>Rés</w:t>
            </w:r>
            <w:proofErr w:type="spellEnd"/>
            <w:r w:rsidRPr="00F7150E">
              <w:rPr>
                <w:rFonts w:eastAsia="Aptos" w:cs="Arial"/>
                <w:i/>
                <w:iCs/>
                <w:sz w:val="20"/>
                <w:szCs w:val="20"/>
                <w:lang w:val="fr-FR"/>
              </w:rPr>
              <w:t>. 12.11 (Rev.COP14) Voies de migration</w:t>
            </w:r>
          </w:p>
          <w:p w14:paraId="4052E52C" w14:textId="77777777" w:rsidR="00D15F48" w:rsidRPr="00F7150E" w:rsidRDefault="00D15F48" w:rsidP="007B1F8A">
            <w:pPr>
              <w:spacing w:before="40" w:after="40"/>
              <w:cnfStyle w:val="000000000000" w:firstRow="0" w:lastRow="0" w:firstColumn="0" w:lastColumn="0" w:oddVBand="0" w:evenVBand="0" w:oddHBand="0" w:evenHBand="0" w:firstRowFirstColumn="0" w:firstRowLastColumn="0" w:lastRowFirstColumn="0" w:lastRowLastColumn="0"/>
              <w:rPr>
                <w:rFonts w:eastAsia="Aptos" w:cs="Arial"/>
                <w:i/>
                <w:iCs/>
                <w:sz w:val="20"/>
                <w:szCs w:val="20"/>
                <w:lang w:val="fr-FR"/>
              </w:rPr>
            </w:pPr>
          </w:p>
          <w:p w14:paraId="472E99E8" w14:textId="77777777" w:rsidR="00D15F48" w:rsidRPr="00F7150E" w:rsidRDefault="00230579" w:rsidP="007B1F8A">
            <w:pPr>
              <w:spacing w:before="40" w:after="40"/>
              <w:cnfStyle w:val="000000000000" w:firstRow="0" w:lastRow="0" w:firstColumn="0" w:lastColumn="0" w:oddVBand="0" w:evenVBand="0" w:oddHBand="0" w:evenHBand="0" w:firstRowFirstColumn="0" w:firstRowLastColumn="0" w:lastRowFirstColumn="0" w:lastRowLastColumn="0"/>
              <w:rPr>
                <w:rFonts w:eastAsia="Aptos" w:cs="Arial"/>
                <w:i/>
                <w:iCs/>
                <w:sz w:val="20"/>
                <w:szCs w:val="20"/>
                <w:lang w:val="fr-FR"/>
              </w:rPr>
            </w:pPr>
            <w:r w:rsidRPr="00F7150E">
              <w:rPr>
                <w:rFonts w:eastAsia="Aptos" w:cs="Arial"/>
                <w:i/>
                <w:iCs/>
                <w:sz w:val="20"/>
                <w:szCs w:val="20"/>
                <w:lang w:val="fr-FR"/>
              </w:rPr>
              <w:t>AEWA, ACAP</w:t>
            </w:r>
          </w:p>
          <w:p w14:paraId="61D339B6" w14:textId="77777777" w:rsidR="00D15F48" w:rsidRPr="00F7150E" w:rsidRDefault="00D15F48" w:rsidP="007B1F8A">
            <w:pPr>
              <w:spacing w:before="40" w:after="40"/>
              <w:cnfStyle w:val="000000000000" w:firstRow="0" w:lastRow="0" w:firstColumn="0" w:lastColumn="0" w:oddVBand="0" w:evenVBand="0" w:oddHBand="0" w:evenHBand="0" w:firstRowFirstColumn="0" w:firstRowLastColumn="0" w:lastRowFirstColumn="0" w:lastRowLastColumn="0"/>
              <w:rPr>
                <w:rFonts w:eastAsia="Aptos" w:cs="Arial"/>
                <w:i/>
                <w:iCs/>
                <w:sz w:val="20"/>
                <w:szCs w:val="20"/>
                <w:lang w:val="fr-FR"/>
              </w:rPr>
            </w:pPr>
          </w:p>
          <w:p w14:paraId="7F59F28D" w14:textId="77777777" w:rsidR="00D15F48" w:rsidRPr="00F7150E" w:rsidRDefault="00230579" w:rsidP="007B1F8A">
            <w:pPr>
              <w:spacing w:before="40" w:after="40"/>
              <w:cnfStyle w:val="000000000000" w:firstRow="0" w:lastRow="0" w:firstColumn="0" w:lastColumn="0" w:oddVBand="0" w:evenVBand="0" w:oddHBand="0" w:evenHBand="0" w:firstRowFirstColumn="0" w:firstRowLastColumn="0" w:lastRowFirstColumn="0" w:lastRowLastColumn="0"/>
              <w:rPr>
                <w:rFonts w:eastAsia="Aptos" w:cs="Arial"/>
                <w:i/>
                <w:iCs/>
                <w:sz w:val="20"/>
                <w:szCs w:val="20"/>
                <w:lang w:val="fr-FR"/>
              </w:rPr>
            </w:pPr>
            <w:proofErr w:type="spellStart"/>
            <w:r w:rsidRPr="00F7150E">
              <w:rPr>
                <w:rFonts w:eastAsia="Aptos" w:cs="Arial"/>
                <w:i/>
                <w:iCs/>
                <w:sz w:val="20"/>
                <w:szCs w:val="20"/>
                <w:lang w:val="fr-FR"/>
              </w:rPr>
              <w:t>MdE</w:t>
            </w:r>
            <w:proofErr w:type="spellEnd"/>
            <w:r w:rsidRPr="00F7150E">
              <w:rPr>
                <w:rFonts w:eastAsia="Aptos" w:cs="Arial"/>
                <w:i/>
                <w:iCs/>
                <w:sz w:val="20"/>
                <w:szCs w:val="20"/>
                <w:lang w:val="fr-FR"/>
              </w:rPr>
              <w:t xml:space="preserve"> (Rapaces, Mémorandum d’entente relatif aux mesures de conservation du phragmite aquatique (</w:t>
            </w:r>
            <w:proofErr w:type="spellStart"/>
            <w:r w:rsidRPr="00F7150E">
              <w:rPr>
                <w:rFonts w:eastAsia="Aptos" w:cs="Arial"/>
                <w:i/>
                <w:iCs/>
                <w:sz w:val="20"/>
                <w:szCs w:val="20"/>
                <w:lang w:val="fr-FR"/>
              </w:rPr>
              <w:t>Acrocephalus</w:t>
            </w:r>
            <w:proofErr w:type="spellEnd"/>
            <w:r w:rsidRPr="00F7150E">
              <w:rPr>
                <w:rFonts w:eastAsia="Aptos" w:cs="Arial"/>
                <w:i/>
                <w:iCs/>
                <w:sz w:val="20"/>
                <w:szCs w:val="20"/>
                <w:lang w:val="fr-FR"/>
              </w:rPr>
              <w:t xml:space="preserve"> </w:t>
            </w:r>
            <w:proofErr w:type="spellStart"/>
            <w:r w:rsidRPr="00F7150E">
              <w:rPr>
                <w:rFonts w:eastAsia="Aptos" w:cs="Arial"/>
                <w:i/>
                <w:iCs/>
                <w:sz w:val="20"/>
                <w:szCs w:val="20"/>
                <w:lang w:val="fr-FR"/>
              </w:rPr>
              <w:t>paludicola</w:t>
            </w:r>
            <w:proofErr w:type="spellEnd"/>
            <w:r w:rsidRPr="00F7150E">
              <w:rPr>
                <w:rFonts w:eastAsia="Aptos" w:cs="Arial"/>
                <w:i/>
                <w:iCs/>
                <w:sz w:val="20"/>
                <w:szCs w:val="20"/>
                <w:lang w:val="fr-FR"/>
              </w:rPr>
              <w:t>), Mémorandum d’entente sur la conservation et la gestion des populations d’Europe centrale de la grande outarde (Otis tarda))</w:t>
            </w:r>
          </w:p>
          <w:p w14:paraId="38BAF998" w14:textId="77777777" w:rsidR="00D15F48" w:rsidRPr="00F7150E" w:rsidRDefault="00D15F48" w:rsidP="007B1F8A">
            <w:pPr>
              <w:spacing w:before="40" w:after="40"/>
              <w:cnfStyle w:val="000000000000" w:firstRow="0" w:lastRow="0" w:firstColumn="0" w:lastColumn="0" w:oddVBand="0" w:evenVBand="0" w:oddHBand="0" w:evenHBand="0" w:firstRowFirstColumn="0" w:firstRowLastColumn="0" w:lastRowFirstColumn="0" w:lastRowLastColumn="0"/>
              <w:rPr>
                <w:rFonts w:eastAsia="Aptos" w:cs="Arial"/>
                <w:i/>
                <w:iCs/>
                <w:sz w:val="20"/>
                <w:szCs w:val="20"/>
                <w:lang w:val="fr-FR"/>
              </w:rPr>
            </w:pPr>
          </w:p>
          <w:p w14:paraId="7806051F" w14:textId="77777777" w:rsidR="00D15F48" w:rsidRPr="00F7150E" w:rsidRDefault="00230579" w:rsidP="007B1F8A">
            <w:pPr>
              <w:spacing w:before="40" w:after="40"/>
              <w:cnfStyle w:val="000000000000" w:firstRow="0" w:lastRow="0" w:firstColumn="0" w:lastColumn="0" w:oddVBand="0" w:evenVBand="0" w:oddHBand="0" w:evenHBand="0" w:firstRowFirstColumn="0" w:firstRowLastColumn="0" w:lastRowFirstColumn="0" w:lastRowLastColumn="0"/>
              <w:rPr>
                <w:rFonts w:eastAsia="Aptos" w:cs="Arial"/>
                <w:i/>
                <w:iCs/>
                <w:sz w:val="20"/>
                <w:szCs w:val="20"/>
              </w:rPr>
            </w:pPr>
            <w:r w:rsidRPr="00F7150E">
              <w:rPr>
                <w:rFonts w:eastAsia="Aptos" w:cs="Arial"/>
                <w:i/>
                <w:iCs/>
                <w:sz w:val="20"/>
                <w:szCs w:val="20"/>
              </w:rPr>
              <w:t>AEMLAP</w:t>
            </w:r>
          </w:p>
          <w:p w14:paraId="19FF6C5A" w14:textId="77777777" w:rsidR="00D15F48" w:rsidRPr="00F7150E" w:rsidRDefault="00D15F48" w:rsidP="007B1F8A">
            <w:pPr>
              <w:spacing w:before="40" w:after="40"/>
              <w:cnfStyle w:val="000000000000" w:firstRow="0" w:lastRow="0" w:firstColumn="0" w:lastColumn="0" w:oddVBand="0" w:evenVBand="0" w:oddHBand="0" w:evenHBand="0" w:firstRowFirstColumn="0" w:firstRowLastColumn="0" w:lastRowFirstColumn="0" w:lastRowLastColumn="0"/>
              <w:rPr>
                <w:rFonts w:eastAsia="Aptos" w:cs="Arial"/>
                <w:i/>
                <w:iCs/>
                <w:sz w:val="20"/>
                <w:szCs w:val="20"/>
                <w:lang w:val="fr-FR"/>
              </w:rPr>
            </w:pPr>
          </w:p>
          <w:p w14:paraId="76EC765C" w14:textId="77777777" w:rsidR="00D15F48" w:rsidRPr="00F7150E" w:rsidRDefault="00230579" w:rsidP="007B1F8A">
            <w:pPr>
              <w:spacing w:before="40" w:after="40"/>
              <w:cnfStyle w:val="000000000000" w:firstRow="0" w:lastRow="0" w:firstColumn="0" w:lastColumn="0" w:oddVBand="0" w:evenVBand="0" w:oddHBand="0" w:evenHBand="0" w:firstRowFirstColumn="0" w:firstRowLastColumn="0" w:lastRowFirstColumn="0" w:lastRowLastColumn="0"/>
              <w:rPr>
                <w:rFonts w:eastAsia="Aptos" w:cs="Arial"/>
                <w:i/>
                <w:iCs/>
                <w:sz w:val="20"/>
                <w:szCs w:val="20"/>
                <w:lang w:val="fr-FR"/>
              </w:rPr>
            </w:pPr>
            <w:r w:rsidRPr="00F7150E">
              <w:rPr>
                <w:rFonts w:eastAsia="Aptos" w:cs="Arial"/>
                <w:i/>
                <w:iCs/>
                <w:sz w:val="20"/>
                <w:szCs w:val="20"/>
                <w:lang w:val="fr-FR"/>
              </w:rPr>
              <w:t>SPMS, Cible 1.1</w:t>
            </w:r>
          </w:p>
        </w:tc>
        <w:tc>
          <w:tcPr>
            <w:tcW w:w="1134" w:type="dxa"/>
          </w:tcPr>
          <w:p w14:paraId="68859411" w14:textId="77777777" w:rsidR="00D15F48" w:rsidRPr="00F7150E" w:rsidRDefault="00230579" w:rsidP="007B1F8A">
            <w:pPr>
              <w:spacing w:before="40" w:after="40"/>
              <w:cnfStyle w:val="000000000000" w:firstRow="0" w:lastRow="0" w:firstColumn="0" w:lastColumn="0" w:oddVBand="0" w:evenVBand="0" w:oddHBand="0" w:evenHBand="0" w:firstRowFirstColumn="0" w:firstRowLastColumn="0" w:lastRowFirstColumn="0" w:lastRowLastColumn="0"/>
              <w:rPr>
                <w:rFonts w:eastAsia="Aptos" w:cs="Arial"/>
                <w:i/>
                <w:iCs/>
                <w:sz w:val="20"/>
                <w:szCs w:val="20"/>
              </w:rPr>
            </w:pPr>
            <w:r w:rsidRPr="00F7150E">
              <w:rPr>
                <w:rFonts w:eastAsia="Aptos" w:cs="Arial"/>
                <w:i/>
                <w:iCs/>
                <w:sz w:val="20"/>
                <w:szCs w:val="20"/>
              </w:rPr>
              <w:t>2026-2029</w:t>
            </w:r>
          </w:p>
        </w:tc>
        <w:tc>
          <w:tcPr>
            <w:tcW w:w="2410" w:type="dxa"/>
          </w:tcPr>
          <w:p w14:paraId="678E38B3" w14:textId="77777777" w:rsidR="00D15F48" w:rsidRPr="00F7150E" w:rsidRDefault="00230579" w:rsidP="007B1F8A">
            <w:pPr>
              <w:spacing w:before="40" w:after="40"/>
              <w:cnfStyle w:val="000000000000" w:firstRow="0" w:lastRow="0" w:firstColumn="0" w:lastColumn="0" w:oddVBand="0" w:evenVBand="0" w:oddHBand="0" w:evenHBand="0" w:firstRowFirstColumn="0" w:firstRowLastColumn="0" w:lastRowFirstColumn="0" w:lastRowLastColumn="0"/>
              <w:rPr>
                <w:rFonts w:eastAsia="Aptos" w:cs="Arial"/>
                <w:i/>
                <w:iCs/>
                <w:sz w:val="20"/>
                <w:szCs w:val="20"/>
                <w:lang w:val="fr-FR"/>
              </w:rPr>
            </w:pPr>
            <w:r w:rsidRPr="00F7150E">
              <w:rPr>
                <w:rFonts w:eastAsia="Aptos" w:cs="Arial"/>
                <w:i/>
                <w:iCs/>
                <w:sz w:val="20"/>
                <w:szCs w:val="20"/>
                <w:lang w:val="fr-FR"/>
              </w:rPr>
              <w:t>Groupe de travail sur les voies de migration, Parties concernées (chef de file)</w:t>
            </w:r>
          </w:p>
          <w:p w14:paraId="562213C7" w14:textId="77777777" w:rsidR="00D15F48" w:rsidRPr="00F7150E" w:rsidRDefault="00D15F48" w:rsidP="007B1F8A">
            <w:pPr>
              <w:spacing w:before="40" w:after="40"/>
              <w:cnfStyle w:val="000000000000" w:firstRow="0" w:lastRow="0" w:firstColumn="0" w:lastColumn="0" w:oddVBand="0" w:evenVBand="0" w:oddHBand="0" w:evenHBand="0" w:firstRowFirstColumn="0" w:firstRowLastColumn="0" w:lastRowFirstColumn="0" w:lastRowLastColumn="0"/>
              <w:rPr>
                <w:rFonts w:eastAsia="Aptos" w:cs="Arial"/>
                <w:i/>
                <w:iCs/>
                <w:sz w:val="20"/>
                <w:szCs w:val="20"/>
                <w:lang w:val="fr-FR"/>
              </w:rPr>
            </w:pPr>
          </w:p>
          <w:p w14:paraId="745D9095" w14:textId="77777777" w:rsidR="00D15F48" w:rsidRPr="00F7150E" w:rsidRDefault="00230579" w:rsidP="007B1F8A">
            <w:pPr>
              <w:spacing w:before="40" w:after="40"/>
              <w:cnfStyle w:val="000000000000" w:firstRow="0" w:lastRow="0" w:firstColumn="0" w:lastColumn="0" w:oddVBand="0" w:evenVBand="0" w:oddHBand="0" w:evenHBand="0" w:firstRowFirstColumn="0" w:firstRowLastColumn="0" w:lastRowFirstColumn="0" w:lastRowLastColumn="0"/>
              <w:rPr>
                <w:rFonts w:eastAsia="Aptos" w:cs="Arial"/>
                <w:i/>
                <w:iCs/>
                <w:sz w:val="20"/>
                <w:szCs w:val="20"/>
                <w:lang w:val="fr-FR"/>
              </w:rPr>
            </w:pPr>
            <w:r w:rsidRPr="00F7150E">
              <w:rPr>
                <w:rFonts w:eastAsia="Aptos" w:cs="Arial"/>
                <w:i/>
                <w:iCs/>
                <w:sz w:val="20"/>
                <w:szCs w:val="20"/>
                <w:lang w:val="fr-FR"/>
              </w:rPr>
              <w:t xml:space="preserve">Non-partie, </w:t>
            </w:r>
            <w:proofErr w:type="spellStart"/>
            <w:r w:rsidRPr="00F7150E">
              <w:rPr>
                <w:rFonts w:eastAsia="Aptos" w:cs="Arial"/>
                <w:i/>
                <w:iCs/>
                <w:sz w:val="20"/>
                <w:szCs w:val="20"/>
                <w:lang w:val="fr-FR"/>
              </w:rPr>
              <w:t>Birdlife</w:t>
            </w:r>
            <w:proofErr w:type="spellEnd"/>
            <w:r w:rsidRPr="00F7150E">
              <w:rPr>
                <w:rFonts w:eastAsia="Aptos" w:cs="Arial"/>
                <w:i/>
                <w:iCs/>
                <w:sz w:val="20"/>
                <w:szCs w:val="20"/>
                <w:lang w:val="fr-FR"/>
              </w:rPr>
              <w:t xml:space="preserve"> International, Secrétariat commun de la mer des Wadden (CWSS) et Secrétariat (soutien)</w:t>
            </w:r>
          </w:p>
        </w:tc>
        <w:tc>
          <w:tcPr>
            <w:tcW w:w="1417" w:type="dxa"/>
          </w:tcPr>
          <w:p w14:paraId="4480956C" w14:textId="77777777" w:rsidR="00D15F48" w:rsidRPr="00F7150E" w:rsidRDefault="00230579" w:rsidP="007B1F8A">
            <w:pPr>
              <w:spacing w:before="40" w:after="40"/>
              <w:cnfStyle w:val="000000000000" w:firstRow="0" w:lastRow="0" w:firstColumn="0" w:lastColumn="0" w:oddVBand="0" w:evenVBand="0" w:oddHBand="0" w:evenHBand="0" w:firstRowFirstColumn="0" w:firstRowLastColumn="0" w:lastRowFirstColumn="0" w:lastRowLastColumn="0"/>
              <w:rPr>
                <w:rFonts w:eastAsia="Aptos" w:cs="Arial"/>
                <w:i/>
                <w:iCs/>
                <w:sz w:val="20"/>
                <w:szCs w:val="20"/>
                <w:lang w:val="fr-FR"/>
              </w:rPr>
            </w:pPr>
            <w:r w:rsidRPr="00F7150E">
              <w:rPr>
                <w:rFonts w:eastAsia="Aptos" w:cs="Arial"/>
                <w:i/>
                <w:iCs/>
                <w:sz w:val="20"/>
                <w:szCs w:val="20"/>
                <w:lang w:val="fr-FR"/>
              </w:rPr>
              <w:t>Sous réserve de ressources externes</w:t>
            </w:r>
          </w:p>
        </w:tc>
      </w:tr>
    </w:tbl>
    <w:p w14:paraId="7A527053" w14:textId="77777777" w:rsidR="00954619" w:rsidRDefault="00954619">
      <w:r>
        <w:rPr>
          <w:b/>
          <w:bCs/>
        </w:rPr>
        <w:br w:type="page"/>
      </w:r>
    </w:p>
    <w:tbl>
      <w:tblPr>
        <w:tblStyle w:val="GridTable4-Accent41"/>
        <w:tblW w:w="14425" w:type="dxa"/>
        <w:tblLayout w:type="fixed"/>
        <w:tblLook w:val="06A0" w:firstRow="1" w:lastRow="0" w:firstColumn="1" w:lastColumn="0" w:noHBand="1" w:noVBand="1"/>
      </w:tblPr>
      <w:tblGrid>
        <w:gridCol w:w="2518"/>
        <w:gridCol w:w="5245"/>
        <w:gridCol w:w="1701"/>
        <w:gridCol w:w="1134"/>
        <w:gridCol w:w="2410"/>
        <w:gridCol w:w="1417"/>
      </w:tblGrid>
      <w:tr w:rsidR="00D15F48" w:rsidRPr="00F7150E" w14:paraId="559140A9" w14:textId="77777777" w:rsidTr="0063143D">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518" w:type="dxa"/>
            <w:shd w:val="clear" w:color="auto" w:fill="C1E4F5"/>
          </w:tcPr>
          <w:p w14:paraId="23D7045F" w14:textId="194B56ED" w:rsidR="00D15F48" w:rsidRPr="00954619" w:rsidRDefault="00230579" w:rsidP="007B1F8A">
            <w:pPr>
              <w:spacing w:before="40" w:after="40"/>
              <w:rPr>
                <w:rFonts w:eastAsia="Aptos" w:cs="Arial"/>
                <w:i/>
                <w:iCs/>
                <w:color w:val="auto"/>
                <w:sz w:val="20"/>
                <w:szCs w:val="20"/>
                <w:highlight w:val="yellow"/>
                <w:lang w:val="fr-FR"/>
              </w:rPr>
            </w:pPr>
            <w:r w:rsidRPr="00954619">
              <w:rPr>
                <w:rFonts w:eastAsia="Aptos" w:cs="Arial"/>
                <w:i/>
                <w:iCs/>
                <w:color w:val="auto"/>
                <w:sz w:val="20"/>
                <w:szCs w:val="20"/>
                <w:lang w:val="fr-FR"/>
              </w:rPr>
              <w:lastRenderedPageBreak/>
              <w:t>Sous-thème 6.4 :</w:t>
            </w:r>
          </w:p>
        </w:tc>
        <w:tc>
          <w:tcPr>
            <w:tcW w:w="11907" w:type="dxa"/>
            <w:gridSpan w:val="5"/>
            <w:shd w:val="clear" w:color="auto" w:fill="C1E4F5"/>
          </w:tcPr>
          <w:p w14:paraId="0ACF80EA" w14:textId="77777777" w:rsidR="00D15F48" w:rsidRPr="00F7150E" w:rsidRDefault="00230579" w:rsidP="007B1F8A">
            <w:pPr>
              <w:spacing w:before="40" w:after="40"/>
              <w:jc w:val="both"/>
              <w:cnfStyle w:val="100000000000" w:firstRow="1" w:lastRow="0" w:firstColumn="0" w:lastColumn="0" w:oddVBand="0" w:evenVBand="0" w:oddHBand="0" w:evenHBand="0" w:firstRowFirstColumn="0" w:firstRowLastColumn="0" w:lastRowFirstColumn="0" w:lastRowLastColumn="0"/>
              <w:rPr>
                <w:rFonts w:eastAsia="Aptos" w:cs="Arial"/>
                <w:i/>
                <w:iCs/>
                <w:sz w:val="20"/>
                <w:szCs w:val="20"/>
                <w:lang w:val="fr-FR"/>
              </w:rPr>
            </w:pPr>
            <w:r w:rsidRPr="00F7150E">
              <w:rPr>
                <w:rFonts w:eastAsia="Aptos" w:cs="Arial"/>
                <w:i/>
                <w:iCs/>
                <w:sz w:val="20"/>
                <w:szCs w:val="20"/>
                <w:lang w:val="fr-FR"/>
              </w:rPr>
              <w:t>Voie de migration d’Asie centrale</w:t>
            </w:r>
          </w:p>
        </w:tc>
      </w:tr>
      <w:tr w:rsidR="00D15F48" w:rsidRPr="00F7150E" w14:paraId="0B60E05D" w14:textId="77777777" w:rsidTr="0063143D">
        <w:trPr>
          <w:cantSplit/>
        </w:trPr>
        <w:tc>
          <w:tcPr>
            <w:cnfStyle w:val="001000000000" w:firstRow="0" w:lastRow="0" w:firstColumn="1" w:lastColumn="0" w:oddVBand="0" w:evenVBand="0" w:oddHBand="0" w:evenHBand="0" w:firstRowFirstColumn="0" w:firstRowLastColumn="0" w:lastRowFirstColumn="0" w:lastRowLastColumn="0"/>
            <w:tcW w:w="2518" w:type="dxa"/>
          </w:tcPr>
          <w:p w14:paraId="406A8151" w14:textId="77777777" w:rsidR="00D15F48" w:rsidRPr="00F7150E" w:rsidRDefault="00230579" w:rsidP="007B1F8A">
            <w:pPr>
              <w:spacing w:before="40" w:after="40"/>
              <w:rPr>
                <w:rFonts w:eastAsia="Aptos" w:cs="Arial"/>
                <w:i/>
                <w:iCs/>
                <w:sz w:val="20"/>
                <w:szCs w:val="20"/>
                <w:highlight w:val="yellow"/>
                <w:lang w:val="fr-FR"/>
              </w:rPr>
            </w:pPr>
            <w:r w:rsidRPr="00F7150E">
              <w:rPr>
                <w:rFonts w:eastAsia="Aptos" w:cs="Arial"/>
                <w:i/>
                <w:iCs/>
                <w:sz w:val="20"/>
                <w:szCs w:val="20"/>
                <w:lang w:val="fr-FR"/>
              </w:rPr>
              <w:t>6.4.1 Soutenir la mise en œuvre de l’initiative relative à la voie de migration d’Asie centrale</w:t>
            </w:r>
          </w:p>
        </w:tc>
        <w:tc>
          <w:tcPr>
            <w:tcW w:w="5245" w:type="dxa"/>
          </w:tcPr>
          <w:p w14:paraId="50EFC5CF" w14:textId="77777777" w:rsidR="00D15F48" w:rsidRPr="00F7150E" w:rsidRDefault="00230579" w:rsidP="007B1F8A">
            <w:pPr>
              <w:spacing w:before="40" w:after="40"/>
              <w:jc w:val="both"/>
              <w:cnfStyle w:val="000000000000" w:firstRow="0" w:lastRow="0" w:firstColumn="0" w:lastColumn="0" w:oddVBand="0" w:evenVBand="0" w:oddHBand="0" w:evenHBand="0" w:firstRowFirstColumn="0" w:firstRowLastColumn="0" w:lastRowFirstColumn="0" w:lastRowLastColumn="0"/>
              <w:rPr>
                <w:i/>
                <w:sz w:val="20"/>
                <w:szCs w:val="20"/>
                <w:lang w:val="fr-FR"/>
              </w:rPr>
            </w:pPr>
            <w:r w:rsidRPr="00F7150E">
              <w:rPr>
                <w:i/>
                <w:sz w:val="20"/>
                <w:szCs w:val="20"/>
                <w:lang w:val="fr-FR"/>
              </w:rPr>
              <w:t>Soutenir la mise en place de l’initiative</w:t>
            </w:r>
            <w:r w:rsidRPr="00F7150E">
              <w:rPr>
                <w:rFonts w:eastAsia="Aptos" w:cs="Arial"/>
                <w:i/>
                <w:iCs/>
                <w:sz w:val="20"/>
                <w:szCs w:val="20"/>
                <w:lang w:val="fr-FR"/>
              </w:rPr>
              <w:t xml:space="preserve"> </w:t>
            </w:r>
            <w:r w:rsidRPr="00F7150E">
              <w:rPr>
                <w:i/>
                <w:sz w:val="20"/>
                <w:szCs w:val="20"/>
                <w:lang w:val="fr-FR"/>
              </w:rPr>
              <w:t>Voie de migration d’Asie centrale et l’élaboration de son programme de travail notamment en partageant des informations sur ce qui a fonctionné et ce qui n’a pas fonctionné dans d’autres voies de migration.</w:t>
            </w:r>
          </w:p>
        </w:tc>
        <w:tc>
          <w:tcPr>
            <w:tcW w:w="1701" w:type="dxa"/>
          </w:tcPr>
          <w:p w14:paraId="198477AF" w14:textId="77777777" w:rsidR="00D15F48" w:rsidRPr="00F7150E" w:rsidRDefault="00230579" w:rsidP="007B1F8A">
            <w:pPr>
              <w:spacing w:before="40" w:after="40"/>
              <w:cnfStyle w:val="000000000000" w:firstRow="0" w:lastRow="0" w:firstColumn="0" w:lastColumn="0" w:oddVBand="0" w:evenVBand="0" w:oddHBand="0" w:evenHBand="0" w:firstRowFirstColumn="0" w:firstRowLastColumn="0" w:lastRowFirstColumn="0" w:lastRowLastColumn="0"/>
              <w:rPr>
                <w:rFonts w:eastAsia="Aptos" w:cs="Arial"/>
                <w:i/>
                <w:iCs/>
                <w:sz w:val="20"/>
                <w:szCs w:val="20"/>
                <w:lang w:val="fr-FR"/>
              </w:rPr>
            </w:pPr>
            <w:proofErr w:type="spellStart"/>
            <w:r w:rsidRPr="00F7150E">
              <w:rPr>
                <w:rFonts w:eastAsia="Aptos" w:cs="Arial"/>
                <w:i/>
                <w:iCs/>
                <w:sz w:val="20"/>
                <w:szCs w:val="20"/>
                <w:lang w:val="fr-FR"/>
              </w:rPr>
              <w:t>Rés</w:t>
            </w:r>
            <w:proofErr w:type="spellEnd"/>
            <w:r w:rsidRPr="00F7150E">
              <w:rPr>
                <w:rFonts w:eastAsia="Aptos" w:cs="Arial"/>
                <w:i/>
                <w:iCs/>
                <w:sz w:val="20"/>
                <w:szCs w:val="20"/>
                <w:lang w:val="fr-FR"/>
              </w:rPr>
              <w:t>. 14.13 Initiative pour la voie de migration d’Asie centrale</w:t>
            </w:r>
          </w:p>
          <w:p w14:paraId="09F0341E" w14:textId="77777777" w:rsidR="00D15F48" w:rsidRPr="00F7150E" w:rsidRDefault="00D15F48" w:rsidP="007B1F8A">
            <w:pPr>
              <w:spacing w:before="40" w:after="40"/>
              <w:cnfStyle w:val="000000000000" w:firstRow="0" w:lastRow="0" w:firstColumn="0" w:lastColumn="0" w:oddVBand="0" w:evenVBand="0" w:oddHBand="0" w:evenHBand="0" w:firstRowFirstColumn="0" w:firstRowLastColumn="0" w:lastRowFirstColumn="0" w:lastRowLastColumn="0"/>
              <w:rPr>
                <w:rFonts w:eastAsia="Aptos" w:cs="Arial"/>
                <w:i/>
                <w:iCs/>
                <w:sz w:val="20"/>
                <w:szCs w:val="20"/>
                <w:lang w:val="fr-FR"/>
              </w:rPr>
            </w:pPr>
          </w:p>
          <w:p w14:paraId="5F0C1792" w14:textId="77777777" w:rsidR="00D15F48" w:rsidRPr="00F7150E" w:rsidRDefault="00230579" w:rsidP="007B1F8A">
            <w:pPr>
              <w:spacing w:before="40" w:after="40"/>
              <w:cnfStyle w:val="000000000000" w:firstRow="0" w:lastRow="0" w:firstColumn="0" w:lastColumn="0" w:oddVBand="0" w:evenVBand="0" w:oddHBand="0" w:evenHBand="0" w:firstRowFirstColumn="0" w:firstRowLastColumn="0" w:lastRowFirstColumn="0" w:lastRowLastColumn="0"/>
              <w:rPr>
                <w:rFonts w:eastAsia="Aptos" w:cs="Arial"/>
                <w:i/>
                <w:iCs/>
                <w:sz w:val="20"/>
                <w:szCs w:val="20"/>
                <w:lang w:val="fr-FR"/>
              </w:rPr>
            </w:pPr>
            <w:proofErr w:type="spellStart"/>
            <w:r w:rsidRPr="00F7150E">
              <w:rPr>
                <w:rFonts w:eastAsia="Aptos" w:cs="Arial"/>
                <w:i/>
                <w:iCs/>
                <w:sz w:val="20"/>
                <w:szCs w:val="20"/>
                <w:lang w:val="fr-FR"/>
              </w:rPr>
              <w:t>Rés</w:t>
            </w:r>
            <w:proofErr w:type="spellEnd"/>
            <w:r w:rsidRPr="00F7150E">
              <w:rPr>
                <w:rFonts w:eastAsia="Aptos" w:cs="Arial"/>
                <w:i/>
                <w:iCs/>
                <w:sz w:val="20"/>
                <w:szCs w:val="20"/>
                <w:lang w:val="fr-FR"/>
              </w:rPr>
              <w:t>. 12.11 (Rev.COP14) Voies de migration</w:t>
            </w:r>
          </w:p>
          <w:p w14:paraId="6DF1307A" w14:textId="77777777" w:rsidR="00D15F48" w:rsidRPr="00F7150E" w:rsidRDefault="00D15F48" w:rsidP="007B1F8A">
            <w:pPr>
              <w:spacing w:before="40" w:after="40"/>
              <w:cnfStyle w:val="000000000000" w:firstRow="0" w:lastRow="0" w:firstColumn="0" w:lastColumn="0" w:oddVBand="0" w:evenVBand="0" w:oddHBand="0" w:evenHBand="0" w:firstRowFirstColumn="0" w:firstRowLastColumn="0" w:lastRowFirstColumn="0" w:lastRowLastColumn="0"/>
              <w:rPr>
                <w:rFonts w:eastAsia="Aptos" w:cs="Arial"/>
                <w:i/>
                <w:iCs/>
                <w:sz w:val="20"/>
                <w:szCs w:val="20"/>
                <w:lang w:val="fr-FR"/>
              </w:rPr>
            </w:pPr>
          </w:p>
          <w:p w14:paraId="58DD9C80" w14:textId="77777777" w:rsidR="00D15F48" w:rsidRPr="00F7150E" w:rsidRDefault="00230579" w:rsidP="007B1F8A">
            <w:pPr>
              <w:spacing w:before="40" w:after="40"/>
              <w:cnfStyle w:val="000000000000" w:firstRow="0" w:lastRow="0" w:firstColumn="0" w:lastColumn="0" w:oddVBand="0" w:evenVBand="0" w:oddHBand="0" w:evenHBand="0" w:firstRowFirstColumn="0" w:firstRowLastColumn="0" w:lastRowFirstColumn="0" w:lastRowLastColumn="0"/>
              <w:rPr>
                <w:rFonts w:eastAsia="Aptos" w:cs="Arial"/>
                <w:i/>
                <w:iCs/>
                <w:sz w:val="20"/>
                <w:szCs w:val="20"/>
                <w:lang w:val="fr-FR"/>
              </w:rPr>
            </w:pPr>
            <w:r w:rsidRPr="00F7150E">
              <w:rPr>
                <w:rFonts w:eastAsia="Aptos" w:cs="Arial"/>
                <w:i/>
                <w:iCs/>
                <w:sz w:val="20"/>
                <w:szCs w:val="20"/>
                <w:lang w:val="fr-FR"/>
              </w:rPr>
              <w:t>Décision 14.143</w:t>
            </w:r>
          </w:p>
          <w:p w14:paraId="48C9AECB" w14:textId="77777777" w:rsidR="00D15F48" w:rsidRPr="00F7150E" w:rsidRDefault="00D15F48" w:rsidP="007B1F8A">
            <w:pPr>
              <w:spacing w:before="40" w:after="40"/>
              <w:cnfStyle w:val="000000000000" w:firstRow="0" w:lastRow="0" w:firstColumn="0" w:lastColumn="0" w:oddVBand="0" w:evenVBand="0" w:oddHBand="0" w:evenHBand="0" w:firstRowFirstColumn="0" w:firstRowLastColumn="0" w:lastRowFirstColumn="0" w:lastRowLastColumn="0"/>
              <w:rPr>
                <w:rFonts w:eastAsia="Aptos" w:cs="Arial"/>
                <w:i/>
                <w:iCs/>
                <w:sz w:val="20"/>
                <w:szCs w:val="20"/>
                <w:lang w:val="fr-FR"/>
              </w:rPr>
            </w:pPr>
          </w:p>
          <w:p w14:paraId="7C4388D8" w14:textId="77777777" w:rsidR="00D15F48" w:rsidRPr="00F7150E" w:rsidRDefault="00230579" w:rsidP="007B1F8A">
            <w:pPr>
              <w:spacing w:before="40" w:after="40"/>
              <w:cnfStyle w:val="000000000000" w:firstRow="0" w:lastRow="0" w:firstColumn="0" w:lastColumn="0" w:oddVBand="0" w:evenVBand="0" w:oddHBand="0" w:evenHBand="0" w:firstRowFirstColumn="0" w:firstRowLastColumn="0" w:lastRowFirstColumn="0" w:lastRowLastColumn="0"/>
              <w:rPr>
                <w:rFonts w:eastAsia="Aptos" w:cs="Arial"/>
                <w:i/>
                <w:iCs/>
                <w:sz w:val="20"/>
                <w:szCs w:val="20"/>
                <w:lang w:val="fr-FR"/>
              </w:rPr>
            </w:pPr>
            <w:r w:rsidRPr="00F7150E">
              <w:rPr>
                <w:rFonts w:eastAsia="Aptos" w:cs="Arial"/>
                <w:i/>
                <w:iCs/>
                <w:sz w:val="20"/>
                <w:szCs w:val="20"/>
                <w:lang w:val="fr-FR"/>
              </w:rPr>
              <w:t>SPMS, Cible 1.1</w:t>
            </w:r>
          </w:p>
        </w:tc>
        <w:tc>
          <w:tcPr>
            <w:tcW w:w="1134" w:type="dxa"/>
          </w:tcPr>
          <w:p w14:paraId="45E5C446" w14:textId="77777777" w:rsidR="00D15F48" w:rsidRPr="00F7150E" w:rsidRDefault="00230579" w:rsidP="007B1F8A">
            <w:pPr>
              <w:spacing w:before="40" w:after="40"/>
              <w:cnfStyle w:val="000000000000" w:firstRow="0" w:lastRow="0" w:firstColumn="0" w:lastColumn="0" w:oddVBand="0" w:evenVBand="0" w:oddHBand="0" w:evenHBand="0" w:firstRowFirstColumn="0" w:firstRowLastColumn="0" w:lastRowFirstColumn="0" w:lastRowLastColumn="0"/>
              <w:rPr>
                <w:rFonts w:eastAsia="Aptos" w:cs="Arial"/>
                <w:i/>
                <w:iCs/>
                <w:sz w:val="20"/>
                <w:szCs w:val="20"/>
                <w:lang w:val="fr-FR"/>
              </w:rPr>
            </w:pPr>
            <w:r w:rsidRPr="00F7150E">
              <w:rPr>
                <w:rFonts w:eastAsia="Aptos" w:cs="Arial"/>
                <w:i/>
                <w:iCs/>
                <w:sz w:val="20"/>
                <w:szCs w:val="20"/>
                <w:lang w:val="fr-FR"/>
              </w:rPr>
              <w:t>2026-2029</w:t>
            </w:r>
          </w:p>
        </w:tc>
        <w:tc>
          <w:tcPr>
            <w:tcW w:w="2410" w:type="dxa"/>
          </w:tcPr>
          <w:p w14:paraId="1AA78A5F" w14:textId="77777777" w:rsidR="00D15F48" w:rsidRPr="00F7150E" w:rsidRDefault="00230579" w:rsidP="007B1F8A">
            <w:pPr>
              <w:spacing w:before="40" w:after="40"/>
              <w:cnfStyle w:val="000000000000" w:firstRow="0" w:lastRow="0" w:firstColumn="0" w:lastColumn="0" w:oddVBand="0" w:evenVBand="0" w:oddHBand="0" w:evenHBand="0" w:firstRowFirstColumn="0" w:firstRowLastColumn="0" w:lastRowFirstColumn="0" w:lastRowLastColumn="0"/>
              <w:rPr>
                <w:rFonts w:eastAsia="Aptos" w:cs="Arial"/>
                <w:i/>
                <w:iCs/>
                <w:sz w:val="20"/>
                <w:szCs w:val="20"/>
                <w:lang w:val="fr-FR"/>
              </w:rPr>
            </w:pPr>
            <w:r w:rsidRPr="00F7150E">
              <w:rPr>
                <w:rFonts w:eastAsia="Aptos" w:cs="Arial"/>
                <w:i/>
                <w:iCs/>
                <w:sz w:val="20"/>
                <w:szCs w:val="20"/>
                <w:lang w:val="fr-FR"/>
              </w:rPr>
              <w:t>Groupe de travail sur les voies de migration, Parties et non-Parties (chef de file)</w:t>
            </w:r>
          </w:p>
        </w:tc>
        <w:tc>
          <w:tcPr>
            <w:tcW w:w="1417" w:type="dxa"/>
          </w:tcPr>
          <w:p w14:paraId="2874294B" w14:textId="77777777" w:rsidR="00D15F48" w:rsidRPr="00F7150E" w:rsidRDefault="00230579" w:rsidP="007B1F8A">
            <w:pPr>
              <w:spacing w:before="40" w:after="40"/>
              <w:cnfStyle w:val="000000000000" w:firstRow="0" w:lastRow="0" w:firstColumn="0" w:lastColumn="0" w:oddVBand="0" w:evenVBand="0" w:oddHBand="0" w:evenHBand="0" w:firstRowFirstColumn="0" w:firstRowLastColumn="0" w:lastRowFirstColumn="0" w:lastRowLastColumn="0"/>
              <w:rPr>
                <w:rFonts w:eastAsia="Aptos" w:cs="Arial"/>
                <w:i/>
                <w:iCs/>
                <w:sz w:val="20"/>
                <w:szCs w:val="20"/>
                <w:lang w:val="fr-FR"/>
              </w:rPr>
            </w:pPr>
            <w:r w:rsidRPr="00F7150E">
              <w:rPr>
                <w:rFonts w:eastAsia="Aptos" w:cs="Arial"/>
                <w:i/>
                <w:iCs/>
                <w:sz w:val="20"/>
                <w:szCs w:val="20"/>
                <w:lang w:val="fr-FR"/>
              </w:rPr>
              <w:t>Sous réserve de ressources externes</w:t>
            </w:r>
          </w:p>
        </w:tc>
      </w:tr>
      <w:tr w:rsidR="00D15F48" w:rsidRPr="00F7150E" w14:paraId="5DD96D01" w14:textId="77777777" w:rsidTr="0063143D">
        <w:trPr>
          <w:cantSplit/>
        </w:trPr>
        <w:tc>
          <w:tcPr>
            <w:cnfStyle w:val="001000000000" w:firstRow="0" w:lastRow="0" w:firstColumn="1" w:lastColumn="0" w:oddVBand="0" w:evenVBand="0" w:oddHBand="0" w:evenHBand="0" w:firstRowFirstColumn="0" w:firstRowLastColumn="0" w:lastRowFirstColumn="0" w:lastRowLastColumn="0"/>
            <w:tcW w:w="2518" w:type="dxa"/>
            <w:shd w:val="clear" w:color="auto" w:fill="C1E4F5"/>
          </w:tcPr>
          <w:p w14:paraId="1E8C1984" w14:textId="77777777" w:rsidR="00D15F48" w:rsidRPr="00F7150E" w:rsidRDefault="00230579" w:rsidP="007B1F8A">
            <w:pPr>
              <w:spacing w:before="40" w:after="40"/>
              <w:rPr>
                <w:rFonts w:eastAsia="Aptos" w:cs="Arial"/>
                <w:i/>
                <w:iCs/>
                <w:sz w:val="20"/>
                <w:szCs w:val="20"/>
                <w:highlight w:val="yellow"/>
                <w:lang w:val="fr-FR"/>
              </w:rPr>
            </w:pPr>
            <w:r w:rsidRPr="00F7150E">
              <w:rPr>
                <w:rFonts w:eastAsia="Aptos" w:cs="Arial"/>
                <w:i/>
                <w:iCs/>
                <w:sz w:val="20"/>
                <w:szCs w:val="20"/>
                <w:lang w:val="fr-FR"/>
              </w:rPr>
              <w:t>Sous-thème 6.5 :</w:t>
            </w:r>
          </w:p>
        </w:tc>
        <w:tc>
          <w:tcPr>
            <w:tcW w:w="11907" w:type="dxa"/>
            <w:gridSpan w:val="5"/>
            <w:shd w:val="clear" w:color="auto" w:fill="C1E4F5"/>
          </w:tcPr>
          <w:p w14:paraId="7FBBAC99" w14:textId="77777777" w:rsidR="00D15F48" w:rsidRPr="00F7150E" w:rsidRDefault="00230579" w:rsidP="007B1F8A">
            <w:pPr>
              <w:spacing w:before="40" w:after="40"/>
              <w:jc w:val="both"/>
              <w:cnfStyle w:val="000000000000" w:firstRow="0" w:lastRow="0" w:firstColumn="0" w:lastColumn="0" w:oddVBand="0" w:evenVBand="0" w:oddHBand="0" w:evenHBand="0" w:firstRowFirstColumn="0" w:firstRowLastColumn="0" w:lastRowFirstColumn="0" w:lastRowLastColumn="0"/>
              <w:rPr>
                <w:rFonts w:eastAsia="Aptos" w:cs="Arial"/>
                <w:i/>
                <w:iCs/>
                <w:sz w:val="20"/>
                <w:szCs w:val="20"/>
                <w:lang w:val="fr-FR"/>
              </w:rPr>
            </w:pPr>
            <w:r w:rsidRPr="00F7150E">
              <w:rPr>
                <w:rFonts w:eastAsia="Aptos" w:cs="Arial"/>
                <w:i/>
                <w:iCs/>
                <w:sz w:val="20"/>
                <w:szCs w:val="20"/>
                <w:lang w:val="fr-FR"/>
              </w:rPr>
              <w:t>Voies de migration marines</w:t>
            </w:r>
          </w:p>
        </w:tc>
      </w:tr>
      <w:tr w:rsidR="00D15F48" w:rsidRPr="00F7150E" w14:paraId="0CE821C2" w14:textId="77777777" w:rsidTr="0063143D">
        <w:trPr>
          <w:cantSplit/>
        </w:trPr>
        <w:tc>
          <w:tcPr>
            <w:cnfStyle w:val="001000000000" w:firstRow="0" w:lastRow="0" w:firstColumn="1" w:lastColumn="0" w:oddVBand="0" w:evenVBand="0" w:oddHBand="0" w:evenHBand="0" w:firstRowFirstColumn="0" w:firstRowLastColumn="0" w:lastRowFirstColumn="0" w:lastRowLastColumn="0"/>
            <w:tcW w:w="2518" w:type="dxa"/>
          </w:tcPr>
          <w:p w14:paraId="7937B047" w14:textId="77777777" w:rsidR="00D15F48" w:rsidRPr="00F7150E" w:rsidRDefault="00230579" w:rsidP="007B1F8A">
            <w:pPr>
              <w:spacing w:before="40" w:after="40"/>
              <w:rPr>
                <w:rFonts w:eastAsia="Aptos" w:cs="Arial"/>
                <w:i/>
                <w:iCs/>
                <w:sz w:val="20"/>
                <w:szCs w:val="20"/>
                <w:highlight w:val="yellow"/>
                <w:lang w:val="fr-FR"/>
              </w:rPr>
            </w:pPr>
            <w:r w:rsidRPr="00F7150E">
              <w:rPr>
                <w:rFonts w:eastAsia="Aptos" w:cs="Arial"/>
                <w:i/>
                <w:iCs/>
                <w:sz w:val="20"/>
                <w:szCs w:val="20"/>
                <w:lang w:val="fr-FR"/>
              </w:rPr>
              <w:t>6.5.1 Poursuivre le développement du concept de voies de migration marines dans le cadre de la Convention et l’intégrer aux mécanismes existants</w:t>
            </w:r>
          </w:p>
        </w:tc>
        <w:tc>
          <w:tcPr>
            <w:tcW w:w="5245" w:type="dxa"/>
          </w:tcPr>
          <w:p w14:paraId="687289BA" w14:textId="77777777" w:rsidR="00D15F48" w:rsidRPr="00F7150E" w:rsidRDefault="00230579" w:rsidP="007B1F8A">
            <w:pPr>
              <w:spacing w:before="40" w:after="40"/>
              <w:jc w:val="both"/>
              <w:cnfStyle w:val="000000000000" w:firstRow="0" w:lastRow="0" w:firstColumn="0" w:lastColumn="0" w:oddVBand="0" w:evenVBand="0" w:oddHBand="0" w:evenHBand="0" w:firstRowFirstColumn="0" w:firstRowLastColumn="0" w:lastRowFirstColumn="0" w:lastRowLastColumn="0"/>
              <w:rPr>
                <w:rFonts w:eastAsia="Aptos" w:cs="Arial"/>
                <w:i/>
                <w:iCs/>
                <w:sz w:val="20"/>
                <w:szCs w:val="20"/>
                <w:lang w:val="fr-FR"/>
              </w:rPr>
            </w:pPr>
            <w:r w:rsidRPr="00F7150E">
              <w:rPr>
                <w:rFonts w:eastAsia="Aptos" w:cs="Arial"/>
                <w:i/>
                <w:iCs/>
                <w:sz w:val="20"/>
                <w:szCs w:val="20"/>
                <w:lang w:val="fr-FR"/>
              </w:rPr>
              <w:t>Entreprendre une analyse complète de la situation des 6 voies de migration marines reconnues, y compris une analyse des lacunes en matière de politiques.</w:t>
            </w:r>
          </w:p>
          <w:p w14:paraId="0D1AA12E" w14:textId="77777777" w:rsidR="00D15F48" w:rsidRPr="00F7150E" w:rsidRDefault="00D15F48" w:rsidP="007B1F8A">
            <w:pPr>
              <w:spacing w:before="40" w:after="40"/>
              <w:jc w:val="both"/>
              <w:cnfStyle w:val="000000000000" w:firstRow="0" w:lastRow="0" w:firstColumn="0" w:lastColumn="0" w:oddVBand="0" w:evenVBand="0" w:oddHBand="0" w:evenHBand="0" w:firstRowFirstColumn="0" w:firstRowLastColumn="0" w:lastRowFirstColumn="0" w:lastRowLastColumn="0"/>
              <w:rPr>
                <w:rFonts w:eastAsia="Aptos" w:cs="Arial"/>
                <w:i/>
                <w:iCs/>
                <w:sz w:val="20"/>
                <w:szCs w:val="20"/>
                <w:lang w:val="fr-FR"/>
              </w:rPr>
            </w:pPr>
          </w:p>
          <w:p w14:paraId="51A617CF" w14:textId="77777777" w:rsidR="00D15F48" w:rsidRPr="00F7150E" w:rsidRDefault="00230579" w:rsidP="007B1F8A">
            <w:pPr>
              <w:spacing w:before="40" w:after="40"/>
              <w:jc w:val="both"/>
              <w:cnfStyle w:val="000000000000" w:firstRow="0" w:lastRow="0" w:firstColumn="0" w:lastColumn="0" w:oddVBand="0" w:evenVBand="0" w:oddHBand="0" w:evenHBand="0" w:firstRowFirstColumn="0" w:firstRowLastColumn="0" w:lastRowFirstColumn="0" w:lastRowLastColumn="0"/>
              <w:rPr>
                <w:rFonts w:eastAsia="Aptos" w:cs="Arial"/>
                <w:i/>
                <w:iCs/>
                <w:sz w:val="20"/>
                <w:szCs w:val="20"/>
                <w:lang w:val="fr-FR"/>
              </w:rPr>
            </w:pPr>
            <w:r w:rsidRPr="00F7150E">
              <w:rPr>
                <w:i/>
                <w:sz w:val="20"/>
                <w:szCs w:val="20"/>
                <w:lang w:val="fr-FR"/>
              </w:rPr>
              <w:t>Élaborer des recommandations visant à améliorer la conservation des oiseaux de mer migrateurs par l’identification, la reconnaissance et l’analyse des menaces liées aux voies de migration marines, ainsi que des recommandations sur les actions clés et les structures institutionnelles destinées à soutenir leur mise en œuvre.</w:t>
            </w:r>
          </w:p>
        </w:tc>
        <w:tc>
          <w:tcPr>
            <w:tcW w:w="1701" w:type="dxa"/>
          </w:tcPr>
          <w:p w14:paraId="6BEC3F95" w14:textId="77777777" w:rsidR="00D15F48" w:rsidRPr="00F7150E" w:rsidRDefault="00230579" w:rsidP="007B1F8A">
            <w:pPr>
              <w:spacing w:before="40" w:after="40"/>
              <w:cnfStyle w:val="000000000000" w:firstRow="0" w:lastRow="0" w:firstColumn="0" w:lastColumn="0" w:oddVBand="0" w:evenVBand="0" w:oddHBand="0" w:evenHBand="0" w:firstRowFirstColumn="0" w:firstRowLastColumn="0" w:lastRowFirstColumn="0" w:lastRowLastColumn="0"/>
              <w:rPr>
                <w:rFonts w:eastAsia="Aptos" w:cs="Arial"/>
                <w:i/>
                <w:iCs/>
                <w:sz w:val="20"/>
                <w:szCs w:val="20"/>
                <w:lang w:val="fr-FR"/>
              </w:rPr>
            </w:pPr>
            <w:proofErr w:type="spellStart"/>
            <w:r w:rsidRPr="00F7150E">
              <w:rPr>
                <w:rFonts w:eastAsia="Aptos" w:cs="Arial"/>
                <w:i/>
                <w:iCs/>
                <w:sz w:val="20"/>
                <w:szCs w:val="20"/>
                <w:lang w:val="fr-FR"/>
              </w:rPr>
              <w:t>Rés</w:t>
            </w:r>
            <w:proofErr w:type="spellEnd"/>
            <w:r w:rsidRPr="00F7150E">
              <w:rPr>
                <w:rFonts w:eastAsia="Aptos" w:cs="Arial"/>
                <w:i/>
                <w:iCs/>
                <w:sz w:val="20"/>
                <w:szCs w:val="20"/>
                <w:lang w:val="fr-FR"/>
              </w:rPr>
              <w:t>. 12.11 (Rev.COP14) Voies de migration</w:t>
            </w:r>
          </w:p>
          <w:p w14:paraId="615019BC" w14:textId="77777777" w:rsidR="00D15F48" w:rsidRPr="00F7150E" w:rsidRDefault="00D15F48" w:rsidP="007B1F8A">
            <w:pPr>
              <w:spacing w:before="40" w:after="40"/>
              <w:cnfStyle w:val="000000000000" w:firstRow="0" w:lastRow="0" w:firstColumn="0" w:lastColumn="0" w:oddVBand="0" w:evenVBand="0" w:oddHBand="0" w:evenHBand="0" w:firstRowFirstColumn="0" w:firstRowLastColumn="0" w:lastRowFirstColumn="0" w:lastRowLastColumn="0"/>
              <w:rPr>
                <w:rFonts w:eastAsia="Aptos" w:cs="Arial"/>
                <w:i/>
                <w:iCs/>
                <w:sz w:val="20"/>
                <w:szCs w:val="20"/>
                <w:lang w:val="fr-FR"/>
              </w:rPr>
            </w:pPr>
          </w:p>
          <w:p w14:paraId="58F81CA2" w14:textId="77777777" w:rsidR="00D15F48" w:rsidRPr="00F7150E" w:rsidRDefault="00230579" w:rsidP="007B1F8A">
            <w:pPr>
              <w:spacing w:before="40" w:after="40"/>
              <w:cnfStyle w:val="000000000000" w:firstRow="0" w:lastRow="0" w:firstColumn="0" w:lastColumn="0" w:oddVBand="0" w:evenVBand="0" w:oddHBand="0" w:evenHBand="0" w:firstRowFirstColumn="0" w:firstRowLastColumn="0" w:lastRowFirstColumn="0" w:lastRowLastColumn="0"/>
              <w:rPr>
                <w:rFonts w:eastAsia="Aptos" w:cs="Arial"/>
                <w:i/>
                <w:iCs/>
                <w:sz w:val="20"/>
                <w:szCs w:val="20"/>
                <w:lang w:val="fr-FR"/>
              </w:rPr>
            </w:pPr>
            <w:r w:rsidRPr="00F7150E">
              <w:rPr>
                <w:rFonts w:eastAsia="Aptos" w:cs="Arial"/>
                <w:i/>
                <w:iCs/>
                <w:sz w:val="20"/>
                <w:szCs w:val="20"/>
                <w:lang w:val="fr-FR"/>
              </w:rPr>
              <w:t>SPMS, Cible 1.1</w:t>
            </w:r>
          </w:p>
        </w:tc>
        <w:tc>
          <w:tcPr>
            <w:tcW w:w="1134" w:type="dxa"/>
          </w:tcPr>
          <w:p w14:paraId="416F5CCD" w14:textId="77777777" w:rsidR="00D15F48" w:rsidRPr="00F7150E" w:rsidRDefault="00230579" w:rsidP="007B1F8A">
            <w:pPr>
              <w:spacing w:before="40" w:after="40"/>
              <w:cnfStyle w:val="000000000000" w:firstRow="0" w:lastRow="0" w:firstColumn="0" w:lastColumn="0" w:oddVBand="0" w:evenVBand="0" w:oddHBand="0" w:evenHBand="0" w:firstRowFirstColumn="0" w:firstRowLastColumn="0" w:lastRowFirstColumn="0" w:lastRowLastColumn="0"/>
              <w:rPr>
                <w:rFonts w:eastAsia="Aptos" w:cs="Arial"/>
                <w:i/>
                <w:iCs/>
                <w:sz w:val="20"/>
                <w:szCs w:val="20"/>
                <w:lang w:val="fr-FR"/>
              </w:rPr>
            </w:pPr>
            <w:r w:rsidRPr="00F7150E">
              <w:rPr>
                <w:rFonts w:eastAsia="Aptos" w:cs="Arial"/>
                <w:i/>
                <w:iCs/>
                <w:sz w:val="20"/>
                <w:szCs w:val="20"/>
                <w:lang w:val="fr-FR"/>
              </w:rPr>
              <w:t>2026-2029</w:t>
            </w:r>
          </w:p>
        </w:tc>
        <w:tc>
          <w:tcPr>
            <w:tcW w:w="2410" w:type="dxa"/>
          </w:tcPr>
          <w:p w14:paraId="6847F82A" w14:textId="77777777" w:rsidR="00D15F48" w:rsidRPr="00F7150E" w:rsidRDefault="00230579" w:rsidP="007B1F8A">
            <w:pPr>
              <w:spacing w:before="40" w:after="40"/>
              <w:cnfStyle w:val="000000000000" w:firstRow="0" w:lastRow="0" w:firstColumn="0" w:lastColumn="0" w:oddVBand="0" w:evenVBand="0" w:oddHBand="0" w:evenHBand="0" w:firstRowFirstColumn="0" w:firstRowLastColumn="0" w:lastRowFirstColumn="0" w:lastRowLastColumn="0"/>
              <w:rPr>
                <w:rFonts w:eastAsia="Aptos" w:cs="Arial"/>
                <w:i/>
                <w:iCs/>
                <w:sz w:val="20"/>
                <w:szCs w:val="20"/>
                <w:lang w:val="fr-FR"/>
              </w:rPr>
            </w:pPr>
            <w:r w:rsidRPr="00F7150E">
              <w:rPr>
                <w:rFonts w:eastAsia="Aptos" w:cs="Arial"/>
                <w:i/>
                <w:iCs/>
                <w:sz w:val="20"/>
                <w:szCs w:val="20"/>
                <w:lang w:val="fr-FR"/>
              </w:rPr>
              <w:t>Groupe de travail sur les voies de migration, Parties concernées (chef de file)</w:t>
            </w:r>
          </w:p>
          <w:p w14:paraId="2C085F57" w14:textId="77777777" w:rsidR="00D15F48" w:rsidRPr="00F7150E" w:rsidRDefault="00D15F48" w:rsidP="007B1F8A">
            <w:pPr>
              <w:spacing w:before="40" w:after="40"/>
              <w:cnfStyle w:val="000000000000" w:firstRow="0" w:lastRow="0" w:firstColumn="0" w:lastColumn="0" w:oddVBand="0" w:evenVBand="0" w:oddHBand="0" w:evenHBand="0" w:firstRowFirstColumn="0" w:firstRowLastColumn="0" w:lastRowFirstColumn="0" w:lastRowLastColumn="0"/>
              <w:rPr>
                <w:rFonts w:eastAsia="Aptos" w:cs="Arial"/>
                <w:i/>
                <w:iCs/>
                <w:sz w:val="20"/>
                <w:szCs w:val="20"/>
                <w:lang w:val="fr-FR"/>
              </w:rPr>
            </w:pPr>
          </w:p>
          <w:p w14:paraId="583E5EA7" w14:textId="77777777" w:rsidR="00D15F48" w:rsidRPr="00F7150E" w:rsidRDefault="00230579" w:rsidP="007B1F8A">
            <w:pPr>
              <w:spacing w:before="40" w:after="40"/>
              <w:cnfStyle w:val="000000000000" w:firstRow="0" w:lastRow="0" w:firstColumn="0" w:lastColumn="0" w:oddVBand="0" w:evenVBand="0" w:oddHBand="0" w:evenHBand="0" w:firstRowFirstColumn="0" w:firstRowLastColumn="0" w:lastRowFirstColumn="0" w:lastRowLastColumn="0"/>
              <w:rPr>
                <w:rFonts w:eastAsia="Aptos" w:cs="Arial"/>
                <w:i/>
                <w:iCs/>
                <w:sz w:val="20"/>
                <w:szCs w:val="20"/>
                <w:lang w:val="fr-FR"/>
              </w:rPr>
            </w:pPr>
            <w:r w:rsidRPr="00F7150E">
              <w:rPr>
                <w:rFonts w:eastAsia="Aptos" w:cs="Arial"/>
                <w:i/>
                <w:iCs/>
                <w:sz w:val="20"/>
                <w:szCs w:val="20"/>
                <w:lang w:val="fr-FR"/>
              </w:rPr>
              <w:t xml:space="preserve">Non-Partie, </w:t>
            </w:r>
            <w:proofErr w:type="spellStart"/>
            <w:r w:rsidRPr="00F7150E">
              <w:rPr>
                <w:rFonts w:eastAsia="Aptos" w:cs="Arial"/>
                <w:i/>
                <w:iCs/>
                <w:sz w:val="20"/>
                <w:szCs w:val="20"/>
                <w:lang w:val="fr-FR"/>
              </w:rPr>
              <w:t>Birdlife</w:t>
            </w:r>
            <w:proofErr w:type="spellEnd"/>
            <w:r w:rsidRPr="00F7150E">
              <w:rPr>
                <w:rFonts w:eastAsia="Aptos" w:cs="Arial"/>
                <w:i/>
                <w:iCs/>
                <w:sz w:val="20"/>
                <w:szCs w:val="20"/>
                <w:lang w:val="fr-FR"/>
              </w:rPr>
              <w:t xml:space="preserve"> International et Secrétariat (soutien)</w:t>
            </w:r>
          </w:p>
        </w:tc>
        <w:tc>
          <w:tcPr>
            <w:tcW w:w="1417" w:type="dxa"/>
          </w:tcPr>
          <w:p w14:paraId="6BC20289" w14:textId="77777777" w:rsidR="00D15F48" w:rsidRPr="00F7150E" w:rsidRDefault="00230579" w:rsidP="007B1F8A">
            <w:pPr>
              <w:spacing w:before="40" w:after="40"/>
              <w:cnfStyle w:val="000000000000" w:firstRow="0" w:lastRow="0" w:firstColumn="0" w:lastColumn="0" w:oddVBand="0" w:evenVBand="0" w:oddHBand="0" w:evenHBand="0" w:firstRowFirstColumn="0" w:firstRowLastColumn="0" w:lastRowFirstColumn="0" w:lastRowLastColumn="0"/>
              <w:rPr>
                <w:rFonts w:eastAsia="Aptos" w:cs="Arial"/>
                <w:i/>
                <w:iCs/>
                <w:sz w:val="20"/>
                <w:szCs w:val="20"/>
                <w:lang w:val="fr-FR"/>
              </w:rPr>
            </w:pPr>
            <w:r w:rsidRPr="00F7150E">
              <w:rPr>
                <w:rFonts w:eastAsia="Aptos" w:cs="Arial"/>
                <w:i/>
                <w:iCs/>
                <w:sz w:val="20"/>
                <w:szCs w:val="20"/>
                <w:lang w:val="fr-FR"/>
              </w:rPr>
              <w:t>Sous réserve de ressources externes</w:t>
            </w:r>
          </w:p>
        </w:tc>
      </w:tr>
    </w:tbl>
    <w:p w14:paraId="31CC6FF2" w14:textId="77777777" w:rsidR="00954619" w:rsidRDefault="00954619">
      <w:r>
        <w:rPr>
          <w:b/>
          <w:bCs/>
        </w:rPr>
        <w:br w:type="page"/>
      </w:r>
    </w:p>
    <w:tbl>
      <w:tblPr>
        <w:tblStyle w:val="GridTable4-Accent41"/>
        <w:tblW w:w="14425" w:type="dxa"/>
        <w:tblLayout w:type="fixed"/>
        <w:tblLook w:val="06A0" w:firstRow="1" w:lastRow="0" w:firstColumn="1" w:lastColumn="0" w:noHBand="1" w:noVBand="1"/>
      </w:tblPr>
      <w:tblGrid>
        <w:gridCol w:w="2518"/>
        <w:gridCol w:w="5245"/>
        <w:gridCol w:w="1701"/>
        <w:gridCol w:w="1134"/>
        <w:gridCol w:w="2410"/>
        <w:gridCol w:w="1417"/>
      </w:tblGrid>
      <w:tr w:rsidR="00D15F48" w:rsidRPr="00F7150E" w14:paraId="7A93C029" w14:textId="77777777" w:rsidTr="0063143D">
        <w:trPr>
          <w:cnfStyle w:val="100000000000" w:firstRow="1" w:lastRow="0" w:firstColumn="0" w:lastColumn="0" w:oddVBand="0" w:evenVBand="0" w:oddHBand="0" w:evenHBand="0" w:firstRowFirstColumn="0" w:firstRowLastColumn="0" w:lastRowFirstColumn="0" w:lastRowLastColumn="0"/>
          <w:cantSplit/>
          <w:trHeight w:val="440"/>
        </w:trPr>
        <w:tc>
          <w:tcPr>
            <w:cnfStyle w:val="001000000000" w:firstRow="0" w:lastRow="0" w:firstColumn="1" w:lastColumn="0" w:oddVBand="0" w:evenVBand="0" w:oddHBand="0" w:evenHBand="0" w:firstRowFirstColumn="0" w:firstRowLastColumn="0" w:lastRowFirstColumn="0" w:lastRowLastColumn="0"/>
            <w:tcW w:w="2518" w:type="dxa"/>
            <w:shd w:val="clear" w:color="auto" w:fill="C1E4F5"/>
          </w:tcPr>
          <w:p w14:paraId="4063B6D0" w14:textId="47AC2320" w:rsidR="00D15F48" w:rsidRPr="00954619" w:rsidRDefault="00230579" w:rsidP="007B1F8A">
            <w:pPr>
              <w:spacing w:before="40" w:after="40"/>
              <w:rPr>
                <w:rFonts w:eastAsia="Aptos" w:cs="Arial"/>
                <w:i/>
                <w:iCs/>
                <w:color w:val="auto"/>
                <w:sz w:val="20"/>
                <w:szCs w:val="20"/>
                <w:highlight w:val="yellow"/>
                <w:lang w:val="fr-FR"/>
              </w:rPr>
            </w:pPr>
            <w:r w:rsidRPr="00954619">
              <w:rPr>
                <w:rFonts w:eastAsia="Aptos" w:cs="Arial"/>
                <w:i/>
                <w:iCs/>
                <w:color w:val="auto"/>
                <w:sz w:val="20"/>
                <w:szCs w:val="20"/>
                <w:lang w:val="fr-FR"/>
              </w:rPr>
              <w:lastRenderedPageBreak/>
              <w:t>Thème 7 :</w:t>
            </w:r>
          </w:p>
        </w:tc>
        <w:tc>
          <w:tcPr>
            <w:tcW w:w="11907" w:type="dxa"/>
            <w:gridSpan w:val="5"/>
            <w:shd w:val="clear" w:color="auto" w:fill="C1E4F5"/>
          </w:tcPr>
          <w:p w14:paraId="4C693143" w14:textId="77777777" w:rsidR="00D15F48" w:rsidRPr="00F7150E" w:rsidRDefault="00230579" w:rsidP="007B1F8A">
            <w:pPr>
              <w:spacing w:before="40" w:after="40"/>
              <w:jc w:val="both"/>
              <w:cnfStyle w:val="100000000000" w:firstRow="1" w:lastRow="0" w:firstColumn="0" w:lastColumn="0" w:oddVBand="0" w:evenVBand="0" w:oddHBand="0" w:evenHBand="0" w:firstRowFirstColumn="0" w:firstRowLastColumn="0" w:lastRowFirstColumn="0" w:lastRowLastColumn="0"/>
              <w:rPr>
                <w:rFonts w:eastAsia="Aptos" w:cs="Arial"/>
                <w:i/>
                <w:iCs/>
                <w:sz w:val="20"/>
                <w:szCs w:val="20"/>
                <w:lang w:val="fr-FR"/>
              </w:rPr>
            </w:pPr>
            <w:r w:rsidRPr="00F7150E">
              <w:rPr>
                <w:rFonts w:eastAsia="Aptos" w:cs="Arial"/>
                <w:i/>
                <w:iCs/>
                <w:sz w:val="20"/>
                <w:szCs w:val="20"/>
                <w:lang w:val="fr-FR"/>
              </w:rPr>
              <w:t>Renforcer les synergies entre les instruments de la famille de la CMS et d’autres mécanismes relatifs aux voies de migration</w:t>
            </w:r>
          </w:p>
        </w:tc>
      </w:tr>
      <w:tr w:rsidR="00D15F48" w:rsidRPr="00F7150E" w14:paraId="7B01C655" w14:textId="77777777" w:rsidTr="0063143D">
        <w:trPr>
          <w:cantSplit/>
          <w:trHeight w:val="5687"/>
        </w:trPr>
        <w:tc>
          <w:tcPr>
            <w:cnfStyle w:val="001000000000" w:firstRow="0" w:lastRow="0" w:firstColumn="1" w:lastColumn="0" w:oddVBand="0" w:evenVBand="0" w:oddHBand="0" w:evenHBand="0" w:firstRowFirstColumn="0" w:firstRowLastColumn="0" w:lastRowFirstColumn="0" w:lastRowLastColumn="0"/>
            <w:tcW w:w="2518" w:type="dxa"/>
          </w:tcPr>
          <w:p w14:paraId="113FE985" w14:textId="77777777" w:rsidR="00D15F48" w:rsidRPr="00F7150E" w:rsidRDefault="00230579" w:rsidP="007B1F8A">
            <w:pPr>
              <w:spacing w:before="40" w:after="40"/>
              <w:rPr>
                <w:rFonts w:eastAsia="Aptos" w:cs="Arial"/>
                <w:i/>
                <w:iCs/>
                <w:sz w:val="20"/>
                <w:szCs w:val="20"/>
                <w:lang w:val="fr-FR"/>
              </w:rPr>
            </w:pPr>
            <w:r w:rsidRPr="00F7150E">
              <w:rPr>
                <w:rFonts w:eastAsia="Aptos" w:cs="Arial"/>
                <w:i/>
                <w:iCs/>
                <w:sz w:val="20"/>
                <w:szCs w:val="20"/>
                <w:lang w:val="fr-FR"/>
              </w:rPr>
              <w:t>7.1 Faciliter les synergies entre les instruments de la CMS relatifs aux voies de migration et les autres mécanismes sur les voies de migration pour une meilleure réalisation d’objectifs complémentaires</w:t>
            </w:r>
          </w:p>
        </w:tc>
        <w:tc>
          <w:tcPr>
            <w:tcW w:w="5245" w:type="dxa"/>
          </w:tcPr>
          <w:p w14:paraId="5BEE5A46" w14:textId="77777777" w:rsidR="00D15F48" w:rsidRPr="00F7150E" w:rsidRDefault="00230579" w:rsidP="007B1F8A">
            <w:pPr>
              <w:spacing w:before="40" w:after="40"/>
              <w:jc w:val="both"/>
              <w:cnfStyle w:val="000000000000" w:firstRow="0" w:lastRow="0" w:firstColumn="0" w:lastColumn="0" w:oddVBand="0" w:evenVBand="0" w:oddHBand="0" w:evenHBand="0" w:firstRowFirstColumn="0" w:firstRowLastColumn="0" w:lastRowFirstColumn="0" w:lastRowLastColumn="0"/>
              <w:rPr>
                <w:i/>
                <w:sz w:val="20"/>
                <w:szCs w:val="20"/>
                <w:lang w:val="fr-FR"/>
              </w:rPr>
            </w:pPr>
            <w:r w:rsidRPr="00F7150E">
              <w:rPr>
                <w:i/>
                <w:sz w:val="20"/>
                <w:szCs w:val="20"/>
                <w:lang w:val="fr-FR"/>
              </w:rPr>
              <w:t xml:space="preserve">Organiser des réunions du « Réseau mondial </w:t>
            </w:r>
            <w:proofErr w:type="spellStart"/>
            <w:r w:rsidRPr="00F7150E">
              <w:rPr>
                <w:i/>
                <w:sz w:val="20"/>
                <w:szCs w:val="20"/>
                <w:lang w:val="fr-FR"/>
              </w:rPr>
              <w:t>Interflyway</w:t>
            </w:r>
            <w:proofErr w:type="spellEnd"/>
            <w:r w:rsidRPr="00F7150E">
              <w:rPr>
                <w:i/>
                <w:sz w:val="20"/>
                <w:szCs w:val="20"/>
                <w:lang w:val="fr-FR"/>
              </w:rPr>
              <w:t xml:space="preserve"> (GIN) » impliquant les cadres de la CMS et non-CMS pour la conservation des oiseaux migrateurs afin de partager les meilleures pratiques et les enseignements tirés en ce qui concerne la conservation des voies de migration et de promouvoir les synergies et de réduire les doubles emplois.</w:t>
            </w:r>
          </w:p>
          <w:p w14:paraId="620A09CB" w14:textId="77777777" w:rsidR="00D15F48" w:rsidRPr="00F7150E" w:rsidRDefault="00D15F48" w:rsidP="007B1F8A">
            <w:pPr>
              <w:spacing w:before="40" w:after="40"/>
              <w:jc w:val="both"/>
              <w:cnfStyle w:val="000000000000" w:firstRow="0" w:lastRow="0" w:firstColumn="0" w:lastColumn="0" w:oddVBand="0" w:evenVBand="0" w:oddHBand="0" w:evenHBand="0" w:firstRowFirstColumn="0" w:firstRowLastColumn="0" w:lastRowFirstColumn="0" w:lastRowLastColumn="0"/>
              <w:rPr>
                <w:rFonts w:eastAsia="Aptos" w:cs="Arial"/>
                <w:i/>
                <w:iCs/>
                <w:sz w:val="20"/>
                <w:szCs w:val="20"/>
                <w:lang w:val="fr-FR"/>
              </w:rPr>
            </w:pPr>
          </w:p>
          <w:p w14:paraId="36268CD5" w14:textId="77777777" w:rsidR="00D15F48" w:rsidRPr="00F7150E" w:rsidRDefault="00230579" w:rsidP="007B1F8A">
            <w:pPr>
              <w:spacing w:before="40" w:after="40"/>
              <w:jc w:val="both"/>
              <w:cnfStyle w:val="000000000000" w:firstRow="0" w:lastRow="0" w:firstColumn="0" w:lastColumn="0" w:oddVBand="0" w:evenVBand="0" w:oddHBand="0" w:evenHBand="0" w:firstRowFirstColumn="0" w:firstRowLastColumn="0" w:lastRowFirstColumn="0" w:lastRowLastColumn="0"/>
              <w:rPr>
                <w:rFonts w:eastAsia="Aptos" w:cs="Arial"/>
                <w:i/>
                <w:iCs/>
                <w:sz w:val="20"/>
                <w:szCs w:val="20"/>
                <w:lang w:val="fr-FR"/>
              </w:rPr>
            </w:pPr>
            <w:r w:rsidRPr="00F7150E">
              <w:rPr>
                <w:rFonts w:eastAsia="Aptos" w:cs="Arial"/>
                <w:i/>
                <w:iCs/>
                <w:sz w:val="20"/>
                <w:szCs w:val="20"/>
                <w:lang w:val="fr-FR"/>
              </w:rPr>
              <w:t>Promouvoir la sensibilisation et la communication sur les voies de migration, y compris les réseaux de sites critiques, afin de renforcer la visibilité des instruments disponibles en tant qu’outils utiles et la participation des parties prenantes dans les sites individuels.</w:t>
            </w:r>
          </w:p>
          <w:p w14:paraId="7FF5AA48" w14:textId="77777777" w:rsidR="00D15F48" w:rsidRPr="00F7150E" w:rsidRDefault="00230579" w:rsidP="007B1F8A">
            <w:pPr>
              <w:spacing w:before="40" w:after="40"/>
              <w:jc w:val="both"/>
              <w:cnfStyle w:val="000000000000" w:firstRow="0" w:lastRow="0" w:firstColumn="0" w:lastColumn="0" w:oddVBand="0" w:evenVBand="0" w:oddHBand="0" w:evenHBand="0" w:firstRowFirstColumn="0" w:firstRowLastColumn="0" w:lastRowFirstColumn="0" w:lastRowLastColumn="0"/>
              <w:rPr>
                <w:rFonts w:eastAsia="Aptos" w:cs="Arial"/>
                <w:i/>
                <w:iCs/>
                <w:sz w:val="20"/>
                <w:szCs w:val="20"/>
                <w:lang w:val="fr-FR"/>
              </w:rPr>
            </w:pPr>
            <w:r w:rsidRPr="00F7150E">
              <w:rPr>
                <w:rFonts w:eastAsia="Aptos" w:cs="Arial"/>
                <w:i/>
                <w:iCs/>
                <w:sz w:val="20"/>
                <w:szCs w:val="20"/>
                <w:lang w:val="fr-FR"/>
              </w:rPr>
              <w:t>Promouvoir activement les options permettant de mettre au point et d’intégrer les instruments nouveaux et existants de la CMS pour les Parties et les non-Parties afin de soutenir les oiseaux migrateurs, en particulier dans les voies de migration présentant des lacunes taxonomiques.</w:t>
            </w:r>
          </w:p>
        </w:tc>
        <w:tc>
          <w:tcPr>
            <w:tcW w:w="1701" w:type="dxa"/>
          </w:tcPr>
          <w:p w14:paraId="0E92835F" w14:textId="77777777" w:rsidR="00D15F48" w:rsidRPr="00F7150E" w:rsidRDefault="00230579" w:rsidP="007B1F8A">
            <w:pPr>
              <w:spacing w:before="40" w:after="40"/>
              <w:cnfStyle w:val="000000000000" w:firstRow="0" w:lastRow="0" w:firstColumn="0" w:lastColumn="0" w:oddVBand="0" w:evenVBand="0" w:oddHBand="0" w:evenHBand="0" w:firstRowFirstColumn="0" w:firstRowLastColumn="0" w:lastRowFirstColumn="0" w:lastRowLastColumn="0"/>
              <w:rPr>
                <w:rFonts w:eastAsia="Aptos" w:cs="Arial"/>
                <w:i/>
                <w:iCs/>
                <w:sz w:val="20"/>
                <w:szCs w:val="20"/>
                <w:lang w:val="fr-FR"/>
              </w:rPr>
            </w:pPr>
            <w:proofErr w:type="spellStart"/>
            <w:r w:rsidRPr="00F7150E">
              <w:rPr>
                <w:rFonts w:eastAsia="Aptos" w:cs="Arial"/>
                <w:i/>
                <w:iCs/>
                <w:sz w:val="20"/>
                <w:szCs w:val="20"/>
                <w:lang w:val="fr-FR"/>
              </w:rPr>
              <w:t>Rés</w:t>
            </w:r>
            <w:proofErr w:type="spellEnd"/>
            <w:r w:rsidRPr="00F7150E">
              <w:rPr>
                <w:rFonts w:eastAsia="Aptos" w:cs="Arial"/>
                <w:i/>
                <w:iCs/>
                <w:sz w:val="20"/>
                <w:szCs w:val="20"/>
                <w:lang w:val="fr-FR"/>
              </w:rPr>
              <w:t>. 12.11 (Rev.COP14) Voies de migration</w:t>
            </w:r>
          </w:p>
          <w:p w14:paraId="25C686B1" w14:textId="77777777" w:rsidR="00D15F48" w:rsidRPr="00F7150E" w:rsidRDefault="00D15F48" w:rsidP="007B1F8A">
            <w:pPr>
              <w:spacing w:before="40" w:after="40"/>
              <w:cnfStyle w:val="000000000000" w:firstRow="0" w:lastRow="0" w:firstColumn="0" w:lastColumn="0" w:oddVBand="0" w:evenVBand="0" w:oddHBand="0" w:evenHBand="0" w:firstRowFirstColumn="0" w:firstRowLastColumn="0" w:lastRowFirstColumn="0" w:lastRowLastColumn="0"/>
              <w:rPr>
                <w:rFonts w:eastAsia="Aptos" w:cs="Arial"/>
                <w:i/>
                <w:iCs/>
                <w:sz w:val="20"/>
                <w:szCs w:val="20"/>
                <w:lang w:val="fr-FR"/>
              </w:rPr>
            </w:pPr>
          </w:p>
          <w:p w14:paraId="4C29EA19" w14:textId="77777777" w:rsidR="00D15F48" w:rsidRPr="00F7150E" w:rsidRDefault="00230579" w:rsidP="007B1F8A">
            <w:pPr>
              <w:spacing w:before="40" w:after="40"/>
              <w:cnfStyle w:val="000000000000" w:firstRow="0" w:lastRow="0" w:firstColumn="0" w:lastColumn="0" w:oddVBand="0" w:evenVBand="0" w:oddHBand="0" w:evenHBand="0" w:firstRowFirstColumn="0" w:firstRowLastColumn="0" w:lastRowFirstColumn="0" w:lastRowLastColumn="0"/>
              <w:rPr>
                <w:rFonts w:eastAsia="Aptos" w:cs="Arial"/>
                <w:i/>
                <w:iCs/>
                <w:sz w:val="20"/>
                <w:szCs w:val="20"/>
                <w:lang w:val="fr-FR"/>
              </w:rPr>
            </w:pPr>
            <w:r w:rsidRPr="00F7150E">
              <w:rPr>
                <w:rFonts w:eastAsia="Aptos" w:cs="Arial"/>
                <w:i/>
                <w:iCs/>
                <w:sz w:val="20"/>
                <w:szCs w:val="20"/>
                <w:lang w:val="fr-FR"/>
              </w:rPr>
              <w:t>SPMS, Cibles 1.1, 5.5, 6.1, 6.2, 6.3, 6.4</w:t>
            </w:r>
          </w:p>
          <w:p w14:paraId="7F06AAF4" w14:textId="77777777" w:rsidR="00D15F48" w:rsidRPr="00F7150E" w:rsidRDefault="00D15F48" w:rsidP="007B1F8A">
            <w:pPr>
              <w:spacing w:before="40" w:after="40"/>
              <w:cnfStyle w:val="000000000000" w:firstRow="0" w:lastRow="0" w:firstColumn="0" w:lastColumn="0" w:oddVBand="0" w:evenVBand="0" w:oddHBand="0" w:evenHBand="0" w:firstRowFirstColumn="0" w:firstRowLastColumn="0" w:lastRowFirstColumn="0" w:lastRowLastColumn="0"/>
              <w:rPr>
                <w:rFonts w:eastAsia="Aptos" w:cs="Arial"/>
                <w:i/>
                <w:iCs/>
                <w:sz w:val="20"/>
                <w:szCs w:val="20"/>
                <w:lang w:val="fr-FR"/>
              </w:rPr>
            </w:pPr>
          </w:p>
        </w:tc>
        <w:tc>
          <w:tcPr>
            <w:tcW w:w="1134" w:type="dxa"/>
          </w:tcPr>
          <w:p w14:paraId="3DD945BB" w14:textId="77777777" w:rsidR="00D15F48" w:rsidRPr="00F7150E" w:rsidRDefault="00230579" w:rsidP="007B1F8A">
            <w:pPr>
              <w:spacing w:before="40" w:after="40"/>
              <w:cnfStyle w:val="000000000000" w:firstRow="0" w:lastRow="0" w:firstColumn="0" w:lastColumn="0" w:oddVBand="0" w:evenVBand="0" w:oddHBand="0" w:evenHBand="0" w:firstRowFirstColumn="0" w:firstRowLastColumn="0" w:lastRowFirstColumn="0" w:lastRowLastColumn="0"/>
              <w:rPr>
                <w:rFonts w:eastAsia="Aptos" w:cs="Arial"/>
                <w:i/>
                <w:iCs/>
                <w:sz w:val="20"/>
                <w:szCs w:val="20"/>
                <w:lang w:val="fr-FR"/>
              </w:rPr>
            </w:pPr>
            <w:r w:rsidRPr="00F7150E">
              <w:rPr>
                <w:rFonts w:eastAsia="Aptos" w:cs="Arial"/>
                <w:i/>
                <w:iCs/>
                <w:sz w:val="20"/>
                <w:szCs w:val="20"/>
                <w:lang w:val="fr-FR"/>
              </w:rPr>
              <w:t>2026-2029</w:t>
            </w:r>
          </w:p>
        </w:tc>
        <w:tc>
          <w:tcPr>
            <w:tcW w:w="2410" w:type="dxa"/>
          </w:tcPr>
          <w:p w14:paraId="5354F0C6" w14:textId="77777777" w:rsidR="00D15F48" w:rsidRPr="00F7150E" w:rsidRDefault="00230579" w:rsidP="007B1F8A">
            <w:pPr>
              <w:spacing w:before="40" w:after="40"/>
              <w:cnfStyle w:val="000000000000" w:firstRow="0" w:lastRow="0" w:firstColumn="0" w:lastColumn="0" w:oddVBand="0" w:evenVBand="0" w:oddHBand="0" w:evenHBand="0" w:firstRowFirstColumn="0" w:firstRowLastColumn="0" w:lastRowFirstColumn="0" w:lastRowLastColumn="0"/>
              <w:rPr>
                <w:rFonts w:eastAsia="Aptos" w:cs="Arial"/>
                <w:i/>
                <w:iCs/>
                <w:sz w:val="20"/>
                <w:szCs w:val="20"/>
                <w:lang w:val="fr-FR"/>
              </w:rPr>
            </w:pPr>
            <w:r w:rsidRPr="00F7150E">
              <w:rPr>
                <w:rFonts w:eastAsia="Aptos" w:cs="Arial"/>
                <w:i/>
                <w:iCs/>
                <w:sz w:val="20"/>
                <w:szCs w:val="20"/>
                <w:lang w:val="fr-FR"/>
              </w:rPr>
              <w:t>Groupe de travail sur les voies de migration, Parties et non-Parties (chef de file)</w:t>
            </w:r>
          </w:p>
        </w:tc>
        <w:tc>
          <w:tcPr>
            <w:tcW w:w="1417" w:type="dxa"/>
          </w:tcPr>
          <w:p w14:paraId="7CA5AD99" w14:textId="77777777" w:rsidR="00D15F48" w:rsidRPr="00F7150E" w:rsidRDefault="00230579" w:rsidP="007B1F8A">
            <w:pPr>
              <w:spacing w:before="40" w:after="40"/>
              <w:cnfStyle w:val="000000000000" w:firstRow="0" w:lastRow="0" w:firstColumn="0" w:lastColumn="0" w:oddVBand="0" w:evenVBand="0" w:oddHBand="0" w:evenHBand="0" w:firstRowFirstColumn="0" w:firstRowLastColumn="0" w:lastRowFirstColumn="0" w:lastRowLastColumn="0"/>
              <w:rPr>
                <w:rFonts w:eastAsia="Aptos" w:cs="Arial"/>
                <w:i/>
                <w:iCs/>
                <w:sz w:val="20"/>
                <w:szCs w:val="20"/>
                <w:lang w:val="fr-FR"/>
              </w:rPr>
            </w:pPr>
            <w:r w:rsidRPr="00F7150E">
              <w:rPr>
                <w:rFonts w:eastAsia="Aptos" w:cs="Arial"/>
                <w:i/>
                <w:iCs/>
                <w:sz w:val="20"/>
                <w:szCs w:val="20"/>
                <w:lang w:val="fr-FR"/>
              </w:rPr>
              <w:t>Sous réserve de ressources externes</w:t>
            </w:r>
          </w:p>
        </w:tc>
      </w:tr>
      <w:tr w:rsidR="00D15F48" w:rsidRPr="00F7150E" w14:paraId="3EAD8E12" w14:textId="77777777" w:rsidTr="0063143D">
        <w:trPr>
          <w:cantSplit/>
        </w:trPr>
        <w:tc>
          <w:tcPr>
            <w:cnfStyle w:val="001000000000" w:firstRow="0" w:lastRow="0" w:firstColumn="1" w:lastColumn="0" w:oddVBand="0" w:evenVBand="0" w:oddHBand="0" w:evenHBand="0" w:firstRowFirstColumn="0" w:firstRowLastColumn="0" w:lastRowFirstColumn="0" w:lastRowLastColumn="0"/>
            <w:tcW w:w="2518" w:type="dxa"/>
            <w:shd w:val="clear" w:color="auto" w:fill="C1E4F5"/>
          </w:tcPr>
          <w:p w14:paraId="0E229F8C" w14:textId="77777777" w:rsidR="00D15F48" w:rsidRPr="00F7150E" w:rsidRDefault="00230579" w:rsidP="007B1F8A">
            <w:pPr>
              <w:spacing w:before="40" w:after="40"/>
              <w:rPr>
                <w:rFonts w:eastAsia="Aptos" w:cs="Arial"/>
                <w:i/>
                <w:iCs/>
                <w:sz w:val="20"/>
                <w:szCs w:val="20"/>
                <w:highlight w:val="yellow"/>
                <w:lang w:val="fr-FR"/>
              </w:rPr>
            </w:pPr>
            <w:r w:rsidRPr="00F7150E">
              <w:rPr>
                <w:rFonts w:eastAsia="Aptos" w:cs="Arial"/>
                <w:i/>
                <w:iCs/>
                <w:sz w:val="20"/>
                <w:szCs w:val="20"/>
                <w:lang w:val="fr-FR"/>
              </w:rPr>
              <w:t>Thème 8 :</w:t>
            </w:r>
          </w:p>
        </w:tc>
        <w:tc>
          <w:tcPr>
            <w:tcW w:w="11907" w:type="dxa"/>
            <w:gridSpan w:val="5"/>
            <w:shd w:val="clear" w:color="auto" w:fill="C1E4F5"/>
          </w:tcPr>
          <w:p w14:paraId="614F6A4A" w14:textId="77777777" w:rsidR="00D15F48" w:rsidRPr="00F7150E" w:rsidRDefault="00230579" w:rsidP="007B1F8A">
            <w:pPr>
              <w:spacing w:before="40" w:after="40"/>
              <w:jc w:val="both"/>
              <w:cnfStyle w:val="000000000000" w:firstRow="0" w:lastRow="0" w:firstColumn="0" w:lastColumn="0" w:oddVBand="0" w:evenVBand="0" w:oddHBand="0" w:evenHBand="0" w:firstRowFirstColumn="0" w:firstRowLastColumn="0" w:lastRowFirstColumn="0" w:lastRowLastColumn="0"/>
              <w:rPr>
                <w:rFonts w:eastAsia="Aptos" w:cs="Arial"/>
                <w:i/>
                <w:iCs/>
                <w:sz w:val="20"/>
                <w:szCs w:val="20"/>
                <w:lang w:val="fr-FR"/>
              </w:rPr>
            </w:pPr>
            <w:r w:rsidRPr="00F7150E">
              <w:rPr>
                <w:rFonts w:eastAsia="Aptos" w:cs="Arial"/>
                <w:i/>
                <w:iCs/>
                <w:sz w:val="20"/>
                <w:szCs w:val="20"/>
                <w:lang w:val="fr-FR"/>
              </w:rPr>
              <w:t xml:space="preserve">Fonctionnement du Groupe de travail sur les voies de migration </w:t>
            </w:r>
          </w:p>
        </w:tc>
      </w:tr>
      <w:tr w:rsidR="00D15F48" w:rsidRPr="00F7150E" w14:paraId="6BF82C01" w14:textId="77777777" w:rsidTr="0063143D">
        <w:trPr>
          <w:cantSplit/>
        </w:trPr>
        <w:tc>
          <w:tcPr>
            <w:cnfStyle w:val="001000000000" w:firstRow="0" w:lastRow="0" w:firstColumn="1" w:lastColumn="0" w:oddVBand="0" w:evenVBand="0" w:oddHBand="0" w:evenHBand="0" w:firstRowFirstColumn="0" w:firstRowLastColumn="0" w:lastRowFirstColumn="0" w:lastRowLastColumn="0"/>
            <w:tcW w:w="2518" w:type="dxa"/>
          </w:tcPr>
          <w:p w14:paraId="233025AD" w14:textId="77777777" w:rsidR="00D15F48" w:rsidRPr="00F7150E" w:rsidRDefault="00230579" w:rsidP="007B1F8A">
            <w:pPr>
              <w:spacing w:before="40" w:after="40"/>
              <w:rPr>
                <w:i/>
                <w:sz w:val="20"/>
                <w:szCs w:val="20"/>
                <w:lang w:val="fr-FR"/>
              </w:rPr>
            </w:pPr>
            <w:r w:rsidRPr="00F7150E">
              <w:rPr>
                <w:i/>
                <w:sz w:val="20"/>
                <w:szCs w:val="20"/>
                <w:lang w:val="fr-FR"/>
              </w:rPr>
              <w:t>8.1 Organiser des réunions régulières du Groupe de travail sur les voies de migration afin de partager des informations et de rendre compte de la mise en œuvre du programme de travail</w:t>
            </w:r>
          </w:p>
          <w:p w14:paraId="09222F39" w14:textId="77777777" w:rsidR="00D15F48" w:rsidRPr="00F7150E" w:rsidRDefault="00D15F48" w:rsidP="007B1F8A">
            <w:pPr>
              <w:spacing w:before="40" w:after="40"/>
              <w:rPr>
                <w:rFonts w:eastAsia="Aptos" w:cs="Arial"/>
                <w:i/>
                <w:iCs/>
                <w:sz w:val="20"/>
                <w:szCs w:val="20"/>
                <w:highlight w:val="yellow"/>
                <w:lang w:val="fr-FR"/>
              </w:rPr>
            </w:pPr>
          </w:p>
        </w:tc>
        <w:tc>
          <w:tcPr>
            <w:tcW w:w="5245" w:type="dxa"/>
          </w:tcPr>
          <w:p w14:paraId="7F7A5B38" w14:textId="77777777" w:rsidR="00D15F48" w:rsidRPr="00F7150E" w:rsidRDefault="00230579" w:rsidP="007B1F8A">
            <w:pPr>
              <w:spacing w:before="40" w:after="40"/>
              <w:jc w:val="both"/>
              <w:cnfStyle w:val="000000000000" w:firstRow="0" w:lastRow="0" w:firstColumn="0" w:lastColumn="0" w:oddVBand="0" w:evenVBand="0" w:oddHBand="0" w:evenHBand="0" w:firstRowFirstColumn="0" w:firstRowLastColumn="0" w:lastRowFirstColumn="0" w:lastRowLastColumn="0"/>
              <w:rPr>
                <w:rFonts w:eastAsia="Aptos" w:cs="Arial"/>
                <w:i/>
                <w:iCs/>
                <w:sz w:val="20"/>
                <w:szCs w:val="20"/>
                <w:lang w:val="fr-FR"/>
              </w:rPr>
            </w:pPr>
            <w:r w:rsidRPr="00F7150E">
              <w:rPr>
                <w:rFonts w:eastAsia="Aptos" w:cs="Arial"/>
                <w:i/>
                <w:iCs/>
                <w:sz w:val="20"/>
                <w:szCs w:val="20"/>
                <w:lang w:val="fr-FR"/>
              </w:rPr>
              <w:t>Organiser des réunions annuelles du Groupe de travail sur les voies de migration entre la COP15 et la COP16.</w:t>
            </w:r>
          </w:p>
          <w:p w14:paraId="140A786B" w14:textId="77777777" w:rsidR="00D15F48" w:rsidRPr="00F7150E" w:rsidRDefault="00D15F48" w:rsidP="007B1F8A">
            <w:pPr>
              <w:spacing w:before="40" w:after="40"/>
              <w:jc w:val="both"/>
              <w:cnfStyle w:val="000000000000" w:firstRow="0" w:lastRow="0" w:firstColumn="0" w:lastColumn="0" w:oddVBand="0" w:evenVBand="0" w:oddHBand="0" w:evenHBand="0" w:firstRowFirstColumn="0" w:firstRowLastColumn="0" w:lastRowFirstColumn="0" w:lastRowLastColumn="0"/>
              <w:rPr>
                <w:rFonts w:eastAsia="Aptos" w:cs="Arial"/>
                <w:i/>
                <w:iCs/>
                <w:sz w:val="20"/>
                <w:szCs w:val="20"/>
                <w:lang w:val="fr-FR"/>
              </w:rPr>
            </w:pPr>
          </w:p>
          <w:p w14:paraId="70BA6B1F" w14:textId="77777777" w:rsidR="00D15F48" w:rsidRPr="00F7150E" w:rsidRDefault="00230579" w:rsidP="007B1F8A">
            <w:pPr>
              <w:spacing w:before="40" w:after="40"/>
              <w:jc w:val="both"/>
              <w:cnfStyle w:val="000000000000" w:firstRow="0" w:lastRow="0" w:firstColumn="0" w:lastColumn="0" w:oddVBand="0" w:evenVBand="0" w:oddHBand="0" w:evenHBand="0" w:firstRowFirstColumn="0" w:firstRowLastColumn="0" w:lastRowFirstColumn="0" w:lastRowLastColumn="0"/>
              <w:rPr>
                <w:i/>
                <w:sz w:val="20"/>
                <w:szCs w:val="20"/>
                <w:lang w:val="fr-FR"/>
              </w:rPr>
            </w:pPr>
            <w:r w:rsidRPr="00F7150E">
              <w:rPr>
                <w:i/>
                <w:sz w:val="20"/>
                <w:szCs w:val="20"/>
                <w:lang w:val="fr-FR"/>
              </w:rPr>
              <w:t>Rendre compte régulièrement à la Conférence des Parties de la mise en œuvre du programme de travail par l’intermédiaire du Conseil scientifique.</w:t>
            </w:r>
          </w:p>
        </w:tc>
        <w:tc>
          <w:tcPr>
            <w:tcW w:w="1701" w:type="dxa"/>
          </w:tcPr>
          <w:p w14:paraId="3AAC84B1" w14:textId="77777777" w:rsidR="00D15F48" w:rsidRPr="00F7150E" w:rsidRDefault="00230579" w:rsidP="007B1F8A">
            <w:pPr>
              <w:spacing w:before="40" w:after="40"/>
              <w:cnfStyle w:val="000000000000" w:firstRow="0" w:lastRow="0" w:firstColumn="0" w:lastColumn="0" w:oddVBand="0" w:evenVBand="0" w:oddHBand="0" w:evenHBand="0" w:firstRowFirstColumn="0" w:firstRowLastColumn="0" w:lastRowFirstColumn="0" w:lastRowLastColumn="0"/>
              <w:rPr>
                <w:rFonts w:eastAsia="Aptos" w:cs="Arial"/>
                <w:i/>
                <w:iCs/>
                <w:sz w:val="20"/>
                <w:szCs w:val="20"/>
                <w:lang w:val="fr-FR"/>
              </w:rPr>
            </w:pPr>
            <w:proofErr w:type="spellStart"/>
            <w:r w:rsidRPr="00F7150E">
              <w:rPr>
                <w:rFonts w:eastAsia="Aptos" w:cs="Arial"/>
                <w:i/>
                <w:iCs/>
                <w:sz w:val="20"/>
                <w:szCs w:val="20"/>
                <w:lang w:val="fr-FR"/>
              </w:rPr>
              <w:t>Rés</w:t>
            </w:r>
            <w:proofErr w:type="spellEnd"/>
            <w:r w:rsidRPr="00F7150E">
              <w:rPr>
                <w:rFonts w:eastAsia="Aptos" w:cs="Arial"/>
                <w:i/>
                <w:iCs/>
                <w:sz w:val="20"/>
                <w:szCs w:val="20"/>
                <w:lang w:val="fr-FR"/>
              </w:rPr>
              <w:t>. 12.11 (Rev.COP14) Voies de migration</w:t>
            </w:r>
          </w:p>
          <w:p w14:paraId="076B3AAB" w14:textId="77777777" w:rsidR="00D15F48" w:rsidRPr="00F7150E" w:rsidRDefault="00D15F48" w:rsidP="007B1F8A">
            <w:pPr>
              <w:spacing w:before="40" w:after="40"/>
              <w:cnfStyle w:val="000000000000" w:firstRow="0" w:lastRow="0" w:firstColumn="0" w:lastColumn="0" w:oddVBand="0" w:evenVBand="0" w:oddHBand="0" w:evenHBand="0" w:firstRowFirstColumn="0" w:firstRowLastColumn="0" w:lastRowFirstColumn="0" w:lastRowLastColumn="0"/>
              <w:rPr>
                <w:rFonts w:eastAsia="Aptos" w:cs="Arial"/>
                <w:i/>
                <w:iCs/>
                <w:sz w:val="20"/>
                <w:szCs w:val="20"/>
                <w:lang w:val="fr-FR"/>
              </w:rPr>
            </w:pPr>
          </w:p>
          <w:p w14:paraId="37B666B9" w14:textId="77777777" w:rsidR="00D15F48" w:rsidRPr="00F7150E" w:rsidRDefault="00230579" w:rsidP="007B1F8A">
            <w:pPr>
              <w:spacing w:before="40" w:after="40"/>
              <w:cnfStyle w:val="000000000000" w:firstRow="0" w:lastRow="0" w:firstColumn="0" w:lastColumn="0" w:oddVBand="0" w:evenVBand="0" w:oddHBand="0" w:evenHBand="0" w:firstRowFirstColumn="0" w:firstRowLastColumn="0" w:lastRowFirstColumn="0" w:lastRowLastColumn="0"/>
              <w:rPr>
                <w:rFonts w:eastAsia="Aptos" w:cs="Arial"/>
                <w:i/>
                <w:iCs/>
                <w:sz w:val="20"/>
                <w:szCs w:val="20"/>
                <w:lang w:val="fr-FR"/>
              </w:rPr>
            </w:pPr>
            <w:r w:rsidRPr="00F7150E">
              <w:rPr>
                <w:rFonts w:eastAsia="Aptos" w:cs="Arial"/>
                <w:i/>
                <w:iCs/>
                <w:sz w:val="20"/>
                <w:szCs w:val="20"/>
                <w:lang w:val="fr-FR"/>
              </w:rPr>
              <w:t>SPMS, Cibles 6.1, 6.2, 6.4</w:t>
            </w:r>
          </w:p>
          <w:p w14:paraId="6B8F8E50" w14:textId="77777777" w:rsidR="00D15F48" w:rsidRPr="00F7150E" w:rsidRDefault="00D15F48" w:rsidP="007B1F8A">
            <w:pPr>
              <w:spacing w:before="40" w:after="40"/>
              <w:cnfStyle w:val="000000000000" w:firstRow="0" w:lastRow="0" w:firstColumn="0" w:lastColumn="0" w:oddVBand="0" w:evenVBand="0" w:oddHBand="0" w:evenHBand="0" w:firstRowFirstColumn="0" w:firstRowLastColumn="0" w:lastRowFirstColumn="0" w:lastRowLastColumn="0"/>
              <w:rPr>
                <w:rFonts w:eastAsia="Aptos" w:cs="Arial"/>
                <w:i/>
                <w:iCs/>
                <w:sz w:val="20"/>
                <w:szCs w:val="20"/>
                <w:lang w:val="fr-FR"/>
              </w:rPr>
            </w:pPr>
          </w:p>
        </w:tc>
        <w:tc>
          <w:tcPr>
            <w:tcW w:w="1134" w:type="dxa"/>
          </w:tcPr>
          <w:p w14:paraId="7D537B5C" w14:textId="77777777" w:rsidR="00D15F48" w:rsidRPr="00F7150E" w:rsidRDefault="00230579" w:rsidP="007B1F8A">
            <w:pPr>
              <w:spacing w:before="40" w:after="40"/>
              <w:cnfStyle w:val="000000000000" w:firstRow="0" w:lastRow="0" w:firstColumn="0" w:lastColumn="0" w:oddVBand="0" w:evenVBand="0" w:oddHBand="0" w:evenHBand="0" w:firstRowFirstColumn="0" w:firstRowLastColumn="0" w:lastRowFirstColumn="0" w:lastRowLastColumn="0"/>
              <w:rPr>
                <w:rFonts w:eastAsia="Aptos" w:cs="Arial"/>
                <w:i/>
                <w:iCs/>
                <w:sz w:val="20"/>
                <w:szCs w:val="20"/>
                <w:lang w:val="fr-FR"/>
              </w:rPr>
            </w:pPr>
            <w:r w:rsidRPr="00F7150E">
              <w:rPr>
                <w:rFonts w:eastAsia="Aptos" w:cs="Arial"/>
                <w:i/>
                <w:iCs/>
                <w:sz w:val="20"/>
                <w:szCs w:val="20"/>
                <w:lang w:val="fr-FR"/>
              </w:rPr>
              <w:t>2026-2029</w:t>
            </w:r>
          </w:p>
        </w:tc>
        <w:tc>
          <w:tcPr>
            <w:tcW w:w="2410" w:type="dxa"/>
          </w:tcPr>
          <w:p w14:paraId="06B072A2" w14:textId="77777777" w:rsidR="00D15F48" w:rsidRPr="00F7150E" w:rsidRDefault="00230579" w:rsidP="007B1F8A">
            <w:pPr>
              <w:spacing w:before="40" w:after="40"/>
              <w:cnfStyle w:val="000000000000" w:firstRow="0" w:lastRow="0" w:firstColumn="0" w:lastColumn="0" w:oddVBand="0" w:evenVBand="0" w:oddHBand="0" w:evenHBand="0" w:firstRowFirstColumn="0" w:firstRowLastColumn="0" w:lastRowFirstColumn="0" w:lastRowLastColumn="0"/>
              <w:rPr>
                <w:rFonts w:eastAsia="Aptos" w:cs="Arial"/>
                <w:i/>
                <w:iCs/>
                <w:sz w:val="20"/>
                <w:szCs w:val="20"/>
                <w:lang w:val="fr-FR"/>
              </w:rPr>
            </w:pPr>
            <w:r w:rsidRPr="00F7150E">
              <w:rPr>
                <w:rFonts w:eastAsia="Aptos" w:cs="Arial"/>
                <w:i/>
                <w:iCs/>
                <w:sz w:val="20"/>
                <w:szCs w:val="20"/>
                <w:lang w:val="fr-FR"/>
              </w:rPr>
              <w:t>Groupe de travail sur les voies de migration (chef de file)</w:t>
            </w:r>
          </w:p>
          <w:p w14:paraId="3A2A6E38" w14:textId="77777777" w:rsidR="00D15F48" w:rsidRPr="00F7150E" w:rsidRDefault="00D15F48" w:rsidP="007B1F8A">
            <w:pPr>
              <w:spacing w:before="40" w:after="40"/>
              <w:cnfStyle w:val="000000000000" w:firstRow="0" w:lastRow="0" w:firstColumn="0" w:lastColumn="0" w:oddVBand="0" w:evenVBand="0" w:oddHBand="0" w:evenHBand="0" w:firstRowFirstColumn="0" w:firstRowLastColumn="0" w:lastRowFirstColumn="0" w:lastRowLastColumn="0"/>
              <w:rPr>
                <w:rFonts w:eastAsia="Aptos" w:cs="Arial"/>
                <w:i/>
                <w:iCs/>
                <w:sz w:val="20"/>
                <w:szCs w:val="20"/>
                <w:lang w:val="fr-FR"/>
              </w:rPr>
            </w:pPr>
          </w:p>
          <w:p w14:paraId="08D32B1F" w14:textId="77777777" w:rsidR="00D15F48" w:rsidRPr="00F7150E" w:rsidRDefault="00230579" w:rsidP="007B1F8A">
            <w:pPr>
              <w:spacing w:before="40" w:after="40"/>
              <w:cnfStyle w:val="000000000000" w:firstRow="0" w:lastRow="0" w:firstColumn="0" w:lastColumn="0" w:oddVBand="0" w:evenVBand="0" w:oddHBand="0" w:evenHBand="0" w:firstRowFirstColumn="0" w:firstRowLastColumn="0" w:lastRowFirstColumn="0" w:lastRowLastColumn="0"/>
              <w:rPr>
                <w:rFonts w:eastAsia="Aptos" w:cs="Arial"/>
                <w:i/>
                <w:iCs/>
                <w:sz w:val="20"/>
                <w:szCs w:val="20"/>
                <w:lang w:val="fr-FR"/>
              </w:rPr>
            </w:pPr>
            <w:r w:rsidRPr="00F7150E">
              <w:rPr>
                <w:rFonts w:eastAsia="Aptos" w:cs="Arial"/>
                <w:i/>
                <w:iCs/>
                <w:sz w:val="20"/>
                <w:szCs w:val="20"/>
                <w:lang w:val="fr-FR"/>
              </w:rPr>
              <w:t>Secrétariat (soutien)</w:t>
            </w:r>
          </w:p>
        </w:tc>
        <w:tc>
          <w:tcPr>
            <w:tcW w:w="1417" w:type="dxa"/>
          </w:tcPr>
          <w:p w14:paraId="2829F065" w14:textId="77777777" w:rsidR="00D15F48" w:rsidRPr="00F7150E" w:rsidRDefault="00230579" w:rsidP="007B1F8A">
            <w:pPr>
              <w:spacing w:before="40" w:after="40"/>
              <w:cnfStyle w:val="000000000000" w:firstRow="0" w:lastRow="0" w:firstColumn="0" w:lastColumn="0" w:oddVBand="0" w:evenVBand="0" w:oddHBand="0" w:evenHBand="0" w:firstRowFirstColumn="0" w:firstRowLastColumn="0" w:lastRowFirstColumn="0" w:lastRowLastColumn="0"/>
              <w:rPr>
                <w:rFonts w:eastAsia="Aptos" w:cs="Arial"/>
                <w:i/>
                <w:iCs/>
                <w:sz w:val="20"/>
                <w:szCs w:val="20"/>
                <w:lang w:val="fr-FR"/>
              </w:rPr>
            </w:pPr>
            <w:r w:rsidRPr="00F7150E">
              <w:rPr>
                <w:rFonts w:eastAsia="Aptos" w:cs="Arial"/>
                <w:i/>
                <w:iCs/>
                <w:sz w:val="20"/>
                <w:szCs w:val="20"/>
                <w:lang w:val="fr-FR"/>
              </w:rPr>
              <w:t>En nature ou sous réserve de ressources externes (entre autres, en fonction du format des réunions)</w:t>
            </w:r>
          </w:p>
        </w:tc>
      </w:tr>
    </w:tbl>
    <w:p w14:paraId="2ABD0FFC" w14:textId="77777777" w:rsidR="00D15F48" w:rsidRPr="00B4362E" w:rsidRDefault="00D15F48">
      <w:pPr>
        <w:tabs>
          <w:tab w:val="left" w:pos="3435"/>
        </w:tabs>
        <w:ind w:left="360"/>
        <w:jc w:val="both"/>
        <w:rPr>
          <w:rFonts w:eastAsia="Times New Roman" w:cs="Arial"/>
          <w:sz w:val="2"/>
          <w:szCs w:val="2"/>
          <w:lang w:val="fr-FR"/>
        </w:rPr>
      </w:pPr>
    </w:p>
    <w:sectPr w:rsidR="00D15F48" w:rsidRPr="00B4362E" w:rsidSect="00D15F48">
      <w:headerReference w:type="default" r:id="rId23"/>
      <w:headerReference w:type="first" r:id="rId24"/>
      <w:pgSz w:w="16838" w:h="11906" w:orient="landscape" w:code="9"/>
      <w:pgMar w:top="1440" w:right="1440" w:bottom="1440" w:left="1440" w:header="720" w:footer="5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B79FE" w14:textId="77777777" w:rsidR="00E4179E" w:rsidRDefault="00E4179E">
      <w:r>
        <w:rPr>
          <w:lang w:val="fr-FR"/>
        </w:rPr>
        <w:separator/>
      </w:r>
    </w:p>
  </w:endnote>
  <w:endnote w:type="continuationSeparator" w:id="0">
    <w:p w14:paraId="68CD5282" w14:textId="77777777" w:rsidR="00E4179E" w:rsidRDefault="00E4179E">
      <w:r>
        <w:rPr>
          <w:lang w:val="fr-FR"/>
        </w:rPr>
        <w:continuationSeparator/>
      </w:r>
    </w:p>
  </w:endnote>
  <w:endnote w:type="continuationNotice" w:id="1">
    <w:p w14:paraId="516D66DA" w14:textId="77777777" w:rsidR="00E4179E" w:rsidRDefault="00E417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501848836"/>
      <w:docPartObj>
        <w:docPartGallery w:val="Page Numbers (Bottom of Page)"/>
        <w:docPartUnique/>
      </w:docPartObj>
    </w:sdtPr>
    <w:sdtEndPr>
      <w:rPr>
        <w:noProof/>
      </w:rPr>
    </w:sdtEndPr>
    <w:sdtContent>
      <w:p w14:paraId="4AEFB8CE" w14:textId="77777777" w:rsidR="001F56E8" w:rsidRPr="004641A5" w:rsidRDefault="00D15F48" w:rsidP="001F56E8">
        <w:pPr>
          <w:pStyle w:val="Footer"/>
          <w:jc w:val="center"/>
          <w:rPr>
            <w:sz w:val="18"/>
            <w:szCs w:val="18"/>
          </w:rPr>
        </w:pPr>
        <w:r w:rsidRPr="004641A5">
          <w:rPr>
            <w:sz w:val="18"/>
            <w:szCs w:val="18"/>
          </w:rPr>
          <w:fldChar w:fldCharType="begin"/>
        </w:r>
        <w:r w:rsidR="001F56E8" w:rsidRPr="004641A5">
          <w:rPr>
            <w:sz w:val="18"/>
            <w:szCs w:val="18"/>
          </w:rPr>
          <w:instrText xml:space="preserve"> PAGE   \* MERGEFORMAT </w:instrText>
        </w:r>
        <w:r w:rsidRPr="004641A5">
          <w:rPr>
            <w:sz w:val="18"/>
            <w:szCs w:val="18"/>
          </w:rPr>
          <w:fldChar w:fldCharType="separate"/>
        </w:r>
        <w:r w:rsidR="006F19A1">
          <w:rPr>
            <w:noProof/>
            <w:sz w:val="18"/>
            <w:szCs w:val="18"/>
          </w:rPr>
          <w:t>8</w:t>
        </w:r>
        <w:r w:rsidRPr="004641A5">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2089192853"/>
      <w:docPartObj>
        <w:docPartGallery w:val="Page Numbers (Bottom of Page)"/>
        <w:docPartUnique/>
      </w:docPartObj>
    </w:sdtPr>
    <w:sdtEndPr>
      <w:rPr>
        <w:noProof/>
      </w:rPr>
    </w:sdtEndPr>
    <w:sdtContent>
      <w:p w14:paraId="0F3A3C1A" w14:textId="77777777" w:rsidR="001F56E8" w:rsidRPr="004641A5" w:rsidRDefault="00D15F48" w:rsidP="001F56E8">
        <w:pPr>
          <w:pStyle w:val="Footer"/>
          <w:jc w:val="center"/>
          <w:rPr>
            <w:sz w:val="18"/>
            <w:szCs w:val="18"/>
          </w:rPr>
        </w:pPr>
        <w:r w:rsidRPr="004641A5">
          <w:rPr>
            <w:sz w:val="18"/>
            <w:szCs w:val="18"/>
          </w:rPr>
          <w:fldChar w:fldCharType="begin"/>
        </w:r>
        <w:r w:rsidR="001F56E8" w:rsidRPr="004641A5">
          <w:rPr>
            <w:sz w:val="18"/>
            <w:szCs w:val="18"/>
          </w:rPr>
          <w:instrText xml:space="preserve"> PAGE   \* MERGEFORMAT </w:instrText>
        </w:r>
        <w:r w:rsidRPr="004641A5">
          <w:rPr>
            <w:sz w:val="18"/>
            <w:szCs w:val="18"/>
          </w:rPr>
          <w:fldChar w:fldCharType="separate"/>
        </w:r>
        <w:r w:rsidR="006F19A1">
          <w:rPr>
            <w:noProof/>
            <w:sz w:val="18"/>
            <w:szCs w:val="18"/>
          </w:rPr>
          <w:t>9</w:t>
        </w:r>
        <w:r w:rsidRPr="004641A5">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350448602"/>
      <w:docPartObj>
        <w:docPartGallery w:val="Page Numbers (Bottom of Page)"/>
        <w:docPartUnique/>
      </w:docPartObj>
    </w:sdtPr>
    <w:sdtEndPr>
      <w:rPr>
        <w:noProof/>
      </w:rPr>
    </w:sdtEndPr>
    <w:sdtContent>
      <w:p w14:paraId="65B37873" w14:textId="77777777" w:rsidR="00A77F9A" w:rsidRPr="00A77F9A" w:rsidRDefault="00D15F48" w:rsidP="00A77F9A">
        <w:pPr>
          <w:pStyle w:val="Footer"/>
          <w:jc w:val="center"/>
          <w:rPr>
            <w:sz w:val="18"/>
            <w:szCs w:val="18"/>
          </w:rPr>
        </w:pPr>
        <w:r w:rsidRPr="00A77F9A">
          <w:rPr>
            <w:sz w:val="18"/>
            <w:szCs w:val="18"/>
          </w:rPr>
          <w:fldChar w:fldCharType="begin"/>
        </w:r>
        <w:r w:rsidR="00A77F9A" w:rsidRPr="00A77F9A">
          <w:rPr>
            <w:sz w:val="18"/>
            <w:szCs w:val="18"/>
          </w:rPr>
          <w:instrText xml:space="preserve"> PAGE   \* MERGEFORMAT </w:instrText>
        </w:r>
        <w:r w:rsidRPr="00A77F9A">
          <w:rPr>
            <w:sz w:val="18"/>
            <w:szCs w:val="18"/>
          </w:rPr>
          <w:fldChar w:fldCharType="separate"/>
        </w:r>
        <w:r w:rsidR="006F19A1">
          <w:rPr>
            <w:noProof/>
            <w:sz w:val="18"/>
            <w:szCs w:val="18"/>
          </w:rPr>
          <w:t>3</w:t>
        </w:r>
        <w:r w:rsidRPr="00A77F9A">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3FE175" w14:textId="77777777" w:rsidR="00E4179E" w:rsidRDefault="00E4179E">
      <w:r>
        <w:rPr>
          <w:lang w:val="fr-FR"/>
        </w:rPr>
        <w:separator/>
      </w:r>
    </w:p>
  </w:footnote>
  <w:footnote w:type="continuationSeparator" w:id="0">
    <w:p w14:paraId="6F620241" w14:textId="77777777" w:rsidR="00E4179E" w:rsidRDefault="00E4179E">
      <w:r>
        <w:rPr>
          <w:lang w:val="fr-FR"/>
        </w:rPr>
        <w:continuationSeparator/>
      </w:r>
    </w:p>
  </w:footnote>
  <w:footnote w:type="continuationNotice" w:id="1">
    <w:p w14:paraId="1D8EB9D5" w14:textId="77777777" w:rsidR="00E4179E" w:rsidRDefault="00E4179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EACB5" w14:textId="77777777" w:rsidR="00D15F48" w:rsidRDefault="00230579">
    <w:pPr>
      <w:pBdr>
        <w:bottom w:val="single" w:sz="4" w:space="1" w:color="auto"/>
      </w:pBdr>
      <w:rPr>
        <w:rFonts w:cs="Arial"/>
        <w:i/>
        <w:iCs/>
        <w:sz w:val="18"/>
        <w:szCs w:val="18"/>
        <w:lang w:val="fr-FR"/>
      </w:rPr>
    </w:pPr>
    <w:r>
      <w:rPr>
        <w:rFonts w:cs="Arial"/>
        <w:i/>
        <w:iCs/>
        <w:sz w:val="18"/>
        <w:szCs w:val="18"/>
        <w:lang w:val="fr-FR"/>
      </w:rPr>
      <w:t>UNEP/CMS/ScC-SC8/Doc.9.3.3/Annexe</w:t>
    </w:r>
  </w:p>
  <w:p w14:paraId="60748F11" w14:textId="77777777" w:rsidR="00D15F48" w:rsidRDefault="00D15F48">
    <w:pPr>
      <w:pStyle w:val="Head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2BC0B" w14:textId="77777777" w:rsidR="00D15F48" w:rsidRDefault="00230579">
    <w:pPr>
      <w:pBdr>
        <w:bottom w:val="single" w:sz="4" w:space="1" w:color="auto"/>
      </w:pBdr>
      <w:jc w:val="right"/>
      <w:rPr>
        <w:rFonts w:cs="Arial"/>
        <w:i/>
        <w:iCs/>
        <w:sz w:val="18"/>
        <w:szCs w:val="18"/>
        <w:lang w:val="en-GB"/>
      </w:rPr>
    </w:pPr>
    <w:r>
      <w:rPr>
        <w:rFonts w:cs="Arial"/>
        <w:i/>
        <w:iCs/>
        <w:sz w:val="18"/>
        <w:szCs w:val="18"/>
        <w:lang w:val="en-GB"/>
      </w:rPr>
      <w:t>UNEP/CMS/ScC-SC6/</w:t>
    </w:r>
    <w:proofErr w:type="spellStart"/>
    <w:r>
      <w:rPr>
        <w:rFonts w:cs="Arial"/>
        <w:i/>
        <w:iCs/>
        <w:sz w:val="18"/>
        <w:szCs w:val="18"/>
        <w:lang w:val="en-GB"/>
      </w:rPr>
      <w:t>Doc.XX</w:t>
    </w:r>
    <w:proofErr w:type="spellEnd"/>
  </w:p>
  <w:p w14:paraId="21F4CC96" w14:textId="77777777" w:rsidR="00D15F48" w:rsidRDefault="00D15F48">
    <w:pPr>
      <w:pStyle w:val="Header"/>
      <w:rPr>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23AC6" w14:textId="0F8D83BE" w:rsidR="002B15DA" w:rsidRDefault="002B15DA" w:rsidP="002B15DA">
    <w:pPr>
      <w:pStyle w:val="Header"/>
    </w:pPr>
    <w:r>
      <w:rPr>
        <w:noProof/>
      </w:rPr>
      <w:drawing>
        <wp:anchor distT="0" distB="0" distL="114300" distR="114300" simplePos="0" relativeHeight="251661312" behindDoc="0" locked="0" layoutInCell="1" allowOverlap="1" wp14:anchorId="0DE57B99" wp14:editId="04FC59D2">
          <wp:simplePos x="0" y="0"/>
          <wp:positionH relativeFrom="column">
            <wp:posOffset>-595630</wp:posOffset>
          </wp:positionH>
          <wp:positionV relativeFrom="paragraph">
            <wp:posOffset>-542290</wp:posOffset>
          </wp:positionV>
          <wp:extent cx="1409700" cy="1409700"/>
          <wp:effectExtent l="0" t="0" r="0" b="0"/>
          <wp:wrapNone/>
          <wp:docPr id="8" name="Picture 5"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descr="A black and white logo&#10;&#10;AI-generated content may be incorr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09700" cy="14097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5DB4A0A9" wp14:editId="75844E34">
          <wp:simplePos x="0" y="0"/>
          <wp:positionH relativeFrom="column">
            <wp:posOffset>5800725</wp:posOffset>
          </wp:positionH>
          <wp:positionV relativeFrom="paragraph">
            <wp:posOffset>-333375</wp:posOffset>
          </wp:positionV>
          <wp:extent cx="585470" cy="822325"/>
          <wp:effectExtent l="0" t="0" r="5080" b="0"/>
          <wp:wrapNone/>
          <wp:docPr id="6" name="Picture 6" descr="cms_logo-for_letterhead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ms_logo-for_letterhead_black"/>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85470" cy="822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sidR="00000000">
      <w:rPr>
        <w:noProof/>
      </w:rPr>
      <w:pict w14:anchorId="6AD58FF4">
        <v:shapetype id="_x0000_t202" coordsize="21600,21600" o:spt="202" path="m,l,21600r21600,l21600,xe">
          <v:stroke joinstyle="miter"/>
          <v:path gradientshapeok="t" o:connecttype="rect"/>
        </v:shapetype>
        <v:shape id="Text Box 2" o:spid="_x0000_s1025" type="#_x0000_t202" style="position:absolute;margin-left:80.25pt;margin-top:-1.5pt;width:360.9pt;height:44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" filled="f" stroked="f" strokeweight="0">
          <v:textbox style="mso-fit-shape-to-text:t">
            <w:txbxContent>
              <w:p w14:paraId="6ED49C3E" w14:textId="77777777" w:rsidR="002B15DA" w:rsidRPr="00C64B0F" w:rsidRDefault="002B15DA" w:rsidP="002B15DA">
                <w:pPr>
                  <w:rPr>
                    <w:rFonts w:cs="Arial"/>
                    <w:b/>
                    <w:spacing w:val="5"/>
                    <w:sz w:val="32"/>
                    <w:lang w:val="fr-FR"/>
                  </w:rPr>
                </w:pPr>
                <w:r w:rsidRPr="00C64B0F">
                  <w:rPr>
                    <w:rFonts w:cs="Arial"/>
                    <w:b/>
                    <w:sz w:val="32"/>
                    <w:lang w:val="fr-FR"/>
                  </w:rPr>
                  <w:t xml:space="preserve">Convention sur la conservation des espèces </w:t>
                </w:r>
                <w:r w:rsidRPr="00C64B0F">
                  <w:rPr>
                    <w:rFonts w:cs="Arial"/>
                    <w:b/>
                    <w:spacing w:val="6"/>
                    <w:sz w:val="32"/>
                    <w:lang w:val="fr-FR"/>
                  </w:rPr>
                  <w:t>migratrices appartenant à la faune sauvage</w:t>
                </w:r>
              </w:p>
            </w:txbxContent>
          </v:textbox>
        </v:shape>
      </w:pict>
    </w:r>
  </w:p>
  <w:p w14:paraId="2E02C55E" w14:textId="77777777" w:rsidR="002B15DA" w:rsidRDefault="002B15D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651B1" w14:textId="77777777" w:rsidR="00D15F48" w:rsidRDefault="00230579">
    <w:pPr>
      <w:pBdr>
        <w:bottom w:val="single" w:sz="4" w:space="1" w:color="auto"/>
      </w:pBdr>
      <w:jc w:val="right"/>
      <w:rPr>
        <w:rFonts w:cs="Arial"/>
        <w:i/>
        <w:iCs/>
        <w:sz w:val="18"/>
        <w:szCs w:val="18"/>
        <w:lang w:val="en-GB"/>
      </w:rPr>
    </w:pPr>
    <w:r>
      <w:rPr>
        <w:rFonts w:cs="Arial"/>
        <w:i/>
        <w:iCs/>
        <w:sz w:val="18"/>
        <w:szCs w:val="18"/>
        <w:lang w:val="en-GB"/>
      </w:rPr>
      <w:t>UNEP/CMS/ScC-SC8/</w:t>
    </w:r>
    <w:proofErr w:type="spellStart"/>
    <w:r>
      <w:rPr>
        <w:rFonts w:cs="Arial"/>
        <w:i/>
        <w:iCs/>
        <w:sz w:val="18"/>
        <w:szCs w:val="18"/>
        <w:lang w:val="en-GB"/>
      </w:rPr>
      <w:t>Doc.XX</w:t>
    </w:r>
    <w:proofErr w:type="spellEnd"/>
  </w:p>
  <w:p w14:paraId="4D88B131" w14:textId="77777777" w:rsidR="00D15F48" w:rsidRDefault="00D15F48">
    <w:pPr>
      <w:pStyle w:val="Header"/>
      <w:rPr>
        <w:lang w:val="fr-FR"/>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4E8EC" w14:textId="77777777" w:rsidR="00857DC4" w:rsidRPr="00857DC4" w:rsidRDefault="00857DC4" w:rsidP="00780143">
    <w:pPr>
      <w:pBdr>
        <w:bottom w:val="single" w:sz="4" w:space="1" w:color="auto"/>
      </w:pBdr>
      <w:spacing w:before="120"/>
      <w:rPr>
        <w:rFonts w:cs="Arial"/>
        <w:i/>
        <w:iCs/>
        <w:sz w:val="18"/>
        <w:szCs w:val="18"/>
        <w:lang w:val="en-GB"/>
      </w:rPr>
    </w:pPr>
    <w:r w:rsidRPr="00857DC4">
      <w:rPr>
        <w:rFonts w:cs="Arial"/>
        <w:i/>
        <w:iCs/>
        <w:sz w:val="18"/>
        <w:szCs w:val="18"/>
        <w:lang w:val="en-GB"/>
      </w:rPr>
      <w:t>UNEP/CMS/ScC-SC</w:t>
    </w:r>
    <w:r w:rsidR="00CD397B">
      <w:rPr>
        <w:rFonts w:cs="Arial"/>
        <w:i/>
        <w:iCs/>
        <w:sz w:val="18"/>
        <w:szCs w:val="18"/>
        <w:lang w:val="en-GB"/>
      </w:rPr>
      <w:t>8</w:t>
    </w:r>
    <w:r w:rsidRPr="00857DC4">
      <w:rPr>
        <w:rFonts w:cs="Arial"/>
        <w:i/>
        <w:iCs/>
        <w:sz w:val="18"/>
        <w:szCs w:val="18"/>
        <w:lang w:val="en-GB"/>
      </w:rPr>
      <w:t>/Doc.</w:t>
    </w:r>
    <w:r w:rsidR="00780143">
      <w:rPr>
        <w:rFonts w:cs="Arial"/>
        <w:i/>
        <w:iCs/>
        <w:sz w:val="18"/>
        <w:szCs w:val="18"/>
        <w:lang w:val="en-GB"/>
      </w:rPr>
      <w:t>9.3.3</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45726" w14:textId="77777777" w:rsidR="00D15F48" w:rsidRDefault="00230579">
    <w:pPr>
      <w:pBdr>
        <w:bottom w:val="single" w:sz="4" w:space="1" w:color="auto"/>
      </w:pBdr>
      <w:jc w:val="right"/>
      <w:rPr>
        <w:rFonts w:cs="Arial"/>
        <w:i/>
        <w:iCs/>
        <w:sz w:val="18"/>
        <w:szCs w:val="18"/>
        <w:lang w:val="fr-FR"/>
      </w:rPr>
    </w:pPr>
    <w:r>
      <w:rPr>
        <w:rFonts w:cs="Arial"/>
        <w:i/>
        <w:iCs/>
        <w:sz w:val="18"/>
        <w:szCs w:val="18"/>
        <w:lang w:val="fr-FR"/>
      </w:rPr>
      <w:t>UNEP/CMS/ScC-SC8/Doc.9.3.3/Annexe</w:t>
    </w:r>
  </w:p>
  <w:p w14:paraId="65A0290A" w14:textId="77777777" w:rsidR="00D15F48" w:rsidRDefault="00D15F48">
    <w:pPr>
      <w:pStyle w:val="Header"/>
      <w:rPr>
        <w:lang w:val="fr-FR"/>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2F1ED" w14:textId="77777777" w:rsidR="00D15F48" w:rsidRDefault="00230579">
    <w:pPr>
      <w:pBdr>
        <w:bottom w:val="single" w:sz="4" w:space="1" w:color="auto"/>
      </w:pBdr>
      <w:spacing w:before="120"/>
      <w:jc w:val="right"/>
      <w:rPr>
        <w:rFonts w:cs="Arial"/>
        <w:i/>
        <w:iCs/>
        <w:sz w:val="18"/>
        <w:szCs w:val="18"/>
        <w:lang w:val="fr-FR"/>
      </w:rPr>
    </w:pPr>
    <w:r>
      <w:rPr>
        <w:rFonts w:cs="Arial"/>
        <w:i/>
        <w:iCs/>
        <w:sz w:val="18"/>
        <w:szCs w:val="18"/>
        <w:lang w:val="fr-FR"/>
      </w:rPr>
      <w:t>UNEP/CMS/ScC-SC8/Doc.9.3.3/Annexe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F1ED6"/>
    <w:multiLevelType w:val="hybridMultilevel"/>
    <w:tmpl w:val="44389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9579BE"/>
    <w:multiLevelType w:val="hybridMultilevel"/>
    <w:tmpl w:val="74DCBED2"/>
    <w:lvl w:ilvl="0" w:tplc="10000017">
      <w:start w:val="1"/>
      <w:numFmt w:val="lowerLetter"/>
      <w:lvlText w:val="%1)"/>
      <w:lvlJc w:val="left"/>
      <w:pPr>
        <w:ind w:left="1080" w:hanging="360"/>
      </w:pPr>
    </w:lvl>
    <w:lvl w:ilvl="1" w:tplc="10000019">
      <w:start w:val="1"/>
      <w:numFmt w:val="lowerLetter"/>
      <w:lvlText w:val="%2."/>
      <w:lvlJc w:val="left"/>
      <w:pPr>
        <w:ind w:left="1800" w:hanging="360"/>
      </w:pPr>
    </w:lvl>
    <w:lvl w:ilvl="2" w:tplc="1000001B">
      <w:start w:val="1"/>
      <w:numFmt w:val="lowerRoman"/>
      <w:lvlText w:val="%3."/>
      <w:lvlJc w:val="right"/>
      <w:pPr>
        <w:ind w:left="2520" w:hanging="180"/>
      </w:pPr>
    </w:lvl>
    <w:lvl w:ilvl="3" w:tplc="1000000F">
      <w:start w:val="1"/>
      <w:numFmt w:val="decimal"/>
      <w:lvlText w:val="%4."/>
      <w:lvlJc w:val="left"/>
      <w:pPr>
        <w:ind w:left="3240" w:hanging="360"/>
      </w:pPr>
    </w:lvl>
    <w:lvl w:ilvl="4" w:tplc="10000019">
      <w:start w:val="1"/>
      <w:numFmt w:val="lowerLetter"/>
      <w:lvlText w:val="%5."/>
      <w:lvlJc w:val="left"/>
      <w:pPr>
        <w:ind w:left="3960" w:hanging="360"/>
      </w:pPr>
    </w:lvl>
    <w:lvl w:ilvl="5" w:tplc="1000001B">
      <w:start w:val="1"/>
      <w:numFmt w:val="lowerRoman"/>
      <w:lvlText w:val="%6."/>
      <w:lvlJc w:val="right"/>
      <w:pPr>
        <w:ind w:left="4680" w:hanging="180"/>
      </w:pPr>
    </w:lvl>
    <w:lvl w:ilvl="6" w:tplc="1000000F">
      <w:start w:val="1"/>
      <w:numFmt w:val="decimal"/>
      <w:lvlText w:val="%7."/>
      <w:lvlJc w:val="left"/>
      <w:pPr>
        <w:ind w:left="5400" w:hanging="360"/>
      </w:pPr>
    </w:lvl>
    <w:lvl w:ilvl="7" w:tplc="10000019">
      <w:start w:val="1"/>
      <w:numFmt w:val="lowerLetter"/>
      <w:lvlText w:val="%8."/>
      <w:lvlJc w:val="left"/>
      <w:pPr>
        <w:ind w:left="6120" w:hanging="360"/>
      </w:pPr>
    </w:lvl>
    <w:lvl w:ilvl="8" w:tplc="1000001B">
      <w:start w:val="1"/>
      <w:numFmt w:val="lowerRoman"/>
      <w:lvlText w:val="%9."/>
      <w:lvlJc w:val="right"/>
      <w:pPr>
        <w:ind w:left="6840" w:hanging="180"/>
      </w:pPr>
    </w:lvl>
  </w:abstractNum>
  <w:abstractNum w:abstractNumId="2" w15:restartNumberingAfterBreak="0">
    <w:nsid w:val="0F9576EE"/>
    <w:multiLevelType w:val="hybridMultilevel"/>
    <w:tmpl w:val="C22E0D44"/>
    <w:lvl w:ilvl="0" w:tplc="882EE7B0">
      <w:start w:val="1"/>
      <w:numFmt w:val="decimal"/>
      <w:lvlText w:val="%1."/>
      <w:lvlJc w:val="left"/>
      <w:pPr>
        <w:ind w:left="360" w:hanging="360"/>
      </w:pPr>
    </w:lvl>
    <w:lvl w:ilvl="1" w:tplc="10000019">
      <w:start w:val="1"/>
      <w:numFmt w:val="lowerLetter"/>
      <w:lvlText w:val="%2."/>
      <w:lvlJc w:val="left"/>
      <w:pPr>
        <w:ind w:left="1080" w:hanging="360"/>
      </w:pPr>
    </w:lvl>
    <w:lvl w:ilvl="2" w:tplc="1000001B">
      <w:start w:val="1"/>
      <w:numFmt w:val="lowerRoman"/>
      <w:lvlText w:val="%3."/>
      <w:lvlJc w:val="right"/>
      <w:pPr>
        <w:ind w:left="1800" w:hanging="180"/>
      </w:pPr>
    </w:lvl>
    <w:lvl w:ilvl="3" w:tplc="1000000F">
      <w:start w:val="1"/>
      <w:numFmt w:val="decimal"/>
      <w:lvlText w:val="%4."/>
      <w:lvlJc w:val="left"/>
      <w:pPr>
        <w:ind w:left="2520" w:hanging="360"/>
      </w:pPr>
    </w:lvl>
    <w:lvl w:ilvl="4" w:tplc="10000019">
      <w:start w:val="1"/>
      <w:numFmt w:val="lowerLetter"/>
      <w:lvlText w:val="%5."/>
      <w:lvlJc w:val="left"/>
      <w:pPr>
        <w:ind w:left="3240" w:hanging="360"/>
      </w:pPr>
    </w:lvl>
    <w:lvl w:ilvl="5" w:tplc="1000001B">
      <w:start w:val="1"/>
      <w:numFmt w:val="lowerRoman"/>
      <w:lvlText w:val="%6."/>
      <w:lvlJc w:val="right"/>
      <w:pPr>
        <w:ind w:left="3960" w:hanging="180"/>
      </w:pPr>
    </w:lvl>
    <w:lvl w:ilvl="6" w:tplc="1000000F">
      <w:start w:val="1"/>
      <w:numFmt w:val="decimal"/>
      <w:lvlText w:val="%7."/>
      <w:lvlJc w:val="left"/>
      <w:pPr>
        <w:ind w:left="4680" w:hanging="360"/>
      </w:pPr>
    </w:lvl>
    <w:lvl w:ilvl="7" w:tplc="10000019">
      <w:start w:val="1"/>
      <w:numFmt w:val="lowerLetter"/>
      <w:lvlText w:val="%8."/>
      <w:lvlJc w:val="left"/>
      <w:pPr>
        <w:ind w:left="5400" w:hanging="360"/>
      </w:pPr>
    </w:lvl>
    <w:lvl w:ilvl="8" w:tplc="1000001B">
      <w:start w:val="1"/>
      <w:numFmt w:val="lowerRoman"/>
      <w:lvlText w:val="%9."/>
      <w:lvlJc w:val="right"/>
      <w:pPr>
        <w:ind w:left="6120" w:hanging="180"/>
      </w:pPr>
    </w:lvl>
  </w:abstractNum>
  <w:abstractNum w:abstractNumId="3" w15:restartNumberingAfterBreak="0">
    <w:nsid w:val="2207204D"/>
    <w:multiLevelType w:val="hybridMultilevel"/>
    <w:tmpl w:val="E9146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CB10F6"/>
    <w:multiLevelType w:val="hybridMultilevel"/>
    <w:tmpl w:val="9E8272E0"/>
    <w:lvl w:ilvl="0" w:tplc="B8308F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D7684C"/>
    <w:multiLevelType w:val="hybridMultilevel"/>
    <w:tmpl w:val="EA5439D0"/>
    <w:lvl w:ilvl="0" w:tplc="DF984646">
      <w:start w:val="1"/>
      <w:numFmt w:val="upperRoman"/>
      <w:lvlText w:val="%1."/>
      <w:lvlJc w:val="left"/>
      <w:pPr>
        <w:tabs>
          <w:tab w:val="num" w:pos="1080"/>
        </w:tabs>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8DA784A"/>
    <w:multiLevelType w:val="hybridMultilevel"/>
    <w:tmpl w:val="F87AF9A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30628C"/>
    <w:multiLevelType w:val="hybridMultilevel"/>
    <w:tmpl w:val="78E427B4"/>
    <w:lvl w:ilvl="0" w:tplc="E0745CB8">
      <w:start w:val="1"/>
      <w:numFmt w:val="upperRoman"/>
      <w:lvlText w:val="%1."/>
      <w:lvlJc w:val="left"/>
      <w:pPr>
        <w:tabs>
          <w:tab w:val="num" w:pos="1080"/>
        </w:tabs>
        <w:ind w:left="1080" w:hanging="720"/>
      </w:pPr>
      <w:rPr>
        <w:rFonts w:hint="default"/>
        <w:i/>
      </w:rPr>
    </w:lvl>
    <w:lvl w:ilvl="1" w:tplc="8A0218AA">
      <w:start w:val="1"/>
      <w:numFmt w:val="lowerLetter"/>
      <w:lvlText w:val="%2."/>
      <w:lvlJc w:val="left"/>
      <w:pPr>
        <w:ind w:left="1440" w:hanging="360"/>
      </w:pPr>
      <w:rPr>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58C5347"/>
    <w:multiLevelType w:val="hybridMultilevel"/>
    <w:tmpl w:val="82429F72"/>
    <w:lvl w:ilvl="0" w:tplc="6D4EA9E8">
      <w:start w:val="1"/>
      <w:numFmt w:val="lowerLetter"/>
      <w:lvlText w:val="%1."/>
      <w:lvlJc w:val="left"/>
      <w:pPr>
        <w:ind w:left="644" w:hanging="360"/>
      </w:pPr>
      <w:rPr>
        <w:b w:val="0"/>
        <w:bCs w:val="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45E63B3D"/>
    <w:multiLevelType w:val="hybridMultilevel"/>
    <w:tmpl w:val="BB7C2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6924E5"/>
    <w:multiLevelType w:val="hybridMultilevel"/>
    <w:tmpl w:val="D01C3BBC"/>
    <w:lvl w:ilvl="0" w:tplc="EDD0D146">
      <w:start w:val="1"/>
      <w:numFmt w:val="upperRoman"/>
      <w:lvlText w:val="%1."/>
      <w:lvlJc w:val="left"/>
      <w:pPr>
        <w:tabs>
          <w:tab w:val="num" w:pos="1080"/>
        </w:tabs>
        <w:ind w:left="1080" w:hanging="72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A3529F3"/>
    <w:multiLevelType w:val="hybridMultilevel"/>
    <w:tmpl w:val="06B0D8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F327945"/>
    <w:multiLevelType w:val="hybridMultilevel"/>
    <w:tmpl w:val="8BB03FE2"/>
    <w:lvl w:ilvl="0" w:tplc="B8308F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337ADC"/>
    <w:multiLevelType w:val="hybridMultilevel"/>
    <w:tmpl w:val="BBB8165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4A7644E"/>
    <w:multiLevelType w:val="hybridMultilevel"/>
    <w:tmpl w:val="66C62E58"/>
    <w:lvl w:ilvl="0" w:tplc="192029AE">
      <w:start w:val="1"/>
      <w:numFmt w:val="decimal"/>
      <w:lvlText w:val="%1."/>
      <w:lvlJc w:val="left"/>
      <w:pPr>
        <w:tabs>
          <w:tab w:val="num" w:pos="720"/>
        </w:tabs>
        <w:ind w:left="720" w:hanging="360"/>
      </w:pPr>
      <w:rPr>
        <w:rFonts w:ascii="Arial" w:hAnsi="Arial" w:cs="Arial" w:hint="default"/>
        <w:b w:val="0"/>
        <w:sz w:val="22"/>
        <w:szCs w:val="22"/>
      </w:rPr>
    </w:lvl>
    <w:lvl w:ilvl="1" w:tplc="65F60312">
      <w:numFmt w:val="none"/>
      <w:lvlText w:val=""/>
      <w:lvlJc w:val="left"/>
      <w:pPr>
        <w:tabs>
          <w:tab w:val="num" w:pos="360"/>
        </w:tabs>
      </w:pPr>
    </w:lvl>
    <w:lvl w:ilvl="2" w:tplc="3EA01006">
      <w:numFmt w:val="none"/>
      <w:lvlText w:val=""/>
      <w:lvlJc w:val="left"/>
      <w:pPr>
        <w:tabs>
          <w:tab w:val="num" w:pos="360"/>
        </w:tabs>
      </w:pPr>
    </w:lvl>
    <w:lvl w:ilvl="3" w:tplc="F560E5C4">
      <w:numFmt w:val="none"/>
      <w:lvlText w:val=""/>
      <w:lvlJc w:val="left"/>
      <w:pPr>
        <w:tabs>
          <w:tab w:val="num" w:pos="360"/>
        </w:tabs>
      </w:pPr>
    </w:lvl>
    <w:lvl w:ilvl="4" w:tplc="329E1F68">
      <w:numFmt w:val="none"/>
      <w:lvlText w:val=""/>
      <w:lvlJc w:val="left"/>
      <w:pPr>
        <w:tabs>
          <w:tab w:val="num" w:pos="360"/>
        </w:tabs>
      </w:pPr>
    </w:lvl>
    <w:lvl w:ilvl="5" w:tplc="22EC353C">
      <w:numFmt w:val="none"/>
      <w:lvlText w:val=""/>
      <w:lvlJc w:val="left"/>
      <w:pPr>
        <w:tabs>
          <w:tab w:val="num" w:pos="360"/>
        </w:tabs>
      </w:pPr>
    </w:lvl>
    <w:lvl w:ilvl="6" w:tplc="D13C7A3A">
      <w:numFmt w:val="none"/>
      <w:lvlText w:val=""/>
      <w:lvlJc w:val="left"/>
      <w:pPr>
        <w:tabs>
          <w:tab w:val="num" w:pos="360"/>
        </w:tabs>
      </w:pPr>
    </w:lvl>
    <w:lvl w:ilvl="7" w:tplc="9470FE92">
      <w:numFmt w:val="none"/>
      <w:lvlText w:val=""/>
      <w:lvlJc w:val="left"/>
      <w:pPr>
        <w:tabs>
          <w:tab w:val="num" w:pos="360"/>
        </w:tabs>
      </w:pPr>
    </w:lvl>
    <w:lvl w:ilvl="8" w:tplc="AEE406C0">
      <w:numFmt w:val="none"/>
      <w:lvlText w:val=""/>
      <w:lvlJc w:val="left"/>
      <w:pPr>
        <w:tabs>
          <w:tab w:val="num" w:pos="360"/>
        </w:tabs>
      </w:pPr>
    </w:lvl>
  </w:abstractNum>
  <w:abstractNum w:abstractNumId="15" w15:restartNumberingAfterBreak="0">
    <w:nsid w:val="5CDF29BC"/>
    <w:multiLevelType w:val="hybridMultilevel"/>
    <w:tmpl w:val="4C024620"/>
    <w:lvl w:ilvl="0" w:tplc="A0A696BE">
      <w:start w:val="1"/>
      <w:numFmt w:val="decimal"/>
      <w:pStyle w:val="Firstnumbering"/>
      <w:lvlText w:val="%1."/>
      <w:lvlJc w:val="left"/>
      <w:pPr>
        <w:ind w:left="50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2680C82"/>
    <w:multiLevelType w:val="hybridMultilevel"/>
    <w:tmpl w:val="FC5E6B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D522A3F"/>
    <w:multiLevelType w:val="hybridMultilevel"/>
    <w:tmpl w:val="C3E81BFE"/>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8" w15:restartNumberingAfterBreak="0">
    <w:nsid w:val="7AE27046"/>
    <w:multiLevelType w:val="hybridMultilevel"/>
    <w:tmpl w:val="0426A00E"/>
    <w:lvl w:ilvl="0" w:tplc="EE48C1F8">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83546589">
    <w:abstractNumId w:val="14"/>
  </w:num>
  <w:num w:numId="2" w16cid:durableId="1904484408">
    <w:abstractNumId w:val="10"/>
  </w:num>
  <w:num w:numId="3" w16cid:durableId="855115427">
    <w:abstractNumId w:val="18"/>
  </w:num>
  <w:num w:numId="4" w16cid:durableId="1366370419">
    <w:abstractNumId w:val="9"/>
  </w:num>
  <w:num w:numId="5" w16cid:durableId="641084161">
    <w:abstractNumId w:val="7"/>
  </w:num>
  <w:num w:numId="6" w16cid:durableId="598102971">
    <w:abstractNumId w:val="5"/>
  </w:num>
  <w:num w:numId="7" w16cid:durableId="1441024882">
    <w:abstractNumId w:val="16"/>
  </w:num>
  <w:num w:numId="8" w16cid:durableId="551582465">
    <w:abstractNumId w:val="13"/>
  </w:num>
  <w:num w:numId="9" w16cid:durableId="688918857">
    <w:abstractNumId w:val="8"/>
  </w:num>
  <w:num w:numId="10" w16cid:durableId="1106536429">
    <w:abstractNumId w:val="6"/>
  </w:num>
  <w:num w:numId="11" w16cid:durableId="394283758">
    <w:abstractNumId w:val="0"/>
  </w:num>
  <w:num w:numId="12" w16cid:durableId="2112359352">
    <w:abstractNumId w:val="3"/>
  </w:num>
  <w:num w:numId="13" w16cid:durableId="1486505741">
    <w:abstractNumId w:val="17"/>
  </w:num>
  <w:num w:numId="14" w16cid:durableId="2042168248">
    <w:abstractNumId w:val="11"/>
  </w:num>
  <w:num w:numId="15" w16cid:durableId="1592086312">
    <w:abstractNumId w:val="12"/>
  </w:num>
  <w:num w:numId="16" w16cid:durableId="49772286">
    <w:abstractNumId w:val="4"/>
  </w:num>
  <w:num w:numId="17" w16cid:durableId="1725254674">
    <w:abstractNumId w:val="15"/>
  </w:num>
  <w:num w:numId="18" w16cid:durableId="153716249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634941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evenAndOddHeaders/>
  <w:characterSpacingControl w:val="doNotCompress"/>
  <w:hdrShapeDefaults>
    <o:shapedefaults v:ext="edit" spidmax="2051"/>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8562CA"/>
    <w:rsid w:val="00017A66"/>
    <w:rsid w:val="000210F8"/>
    <w:rsid w:val="00032406"/>
    <w:rsid w:val="00034DBD"/>
    <w:rsid w:val="00034F7E"/>
    <w:rsid w:val="00045015"/>
    <w:rsid w:val="00051664"/>
    <w:rsid w:val="00062598"/>
    <w:rsid w:val="00063003"/>
    <w:rsid w:val="000652C6"/>
    <w:rsid w:val="000776F0"/>
    <w:rsid w:val="00095434"/>
    <w:rsid w:val="000A52F9"/>
    <w:rsid w:val="000B4EEE"/>
    <w:rsid w:val="000C2262"/>
    <w:rsid w:val="000C286B"/>
    <w:rsid w:val="000E28AD"/>
    <w:rsid w:val="000F4744"/>
    <w:rsid w:val="00103E83"/>
    <w:rsid w:val="00141317"/>
    <w:rsid w:val="00143FC2"/>
    <w:rsid w:val="00150572"/>
    <w:rsid w:val="001654EA"/>
    <w:rsid w:val="001B12B6"/>
    <w:rsid w:val="001B7C41"/>
    <w:rsid w:val="001C7FFD"/>
    <w:rsid w:val="001D45B8"/>
    <w:rsid w:val="001F214D"/>
    <w:rsid w:val="001F3996"/>
    <w:rsid w:val="001F56E8"/>
    <w:rsid w:val="00217248"/>
    <w:rsid w:val="00225416"/>
    <w:rsid w:val="00230579"/>
    <w:rsid w:val="0023618C"/>
    <w:rsid w:val="002404CB"/>
    <w:rsid w:val="00243254"/>
    <w:rsid w:val="0027620E"/>
    <w:rsid w:val="002B15DA"/>
    <w:rsid w:val="002B3425"/>
    <w:rsid w:val="002D33DD"/>
    <w:rsid w:val="002D5744"/>
    <w:rsid w:val="002E1615"/>
    <w:rsid w:val="002F0077"/>
    <w:rsid w:val="002F2584"/>
    <w:rsid w:val="00301568"/>
    <w:rsid w:val="0031087E"/>
    <w:rsid w:val="00375394"/>
    <w:rsid w:val="003878B8"/>
    <w:rsid w:val="003A176B"/>
    <w:rsid w:val="003B1260"/>
    <w:rsid w:val="003C1A96"/>
    <w:rsid w:val="003C2285"/>
    <w:rsid w:val="003C45F5"/>
    <w:rsid w:val="003D3CAE"/>
    <w:rsid w:val="003D7753"/>
    <w:rsid w:val="003E32E1"/>
    <w:rsid w:val="00442581"/>
    <w:rsid w:val="004442C7"/>
    <w:rsid w:val="0045113C"/>
    <w:rsid w:val="00454346"/>
    <w:rsid w:val="004641A5"/>
    <w:rsid w:val="004647C0"/>
    <w:rsid w:val="00490FF8"/>
    <w:rsid w:val="004B29B4"/>
    <w:rsid w:val="004C59A0"/>
    <w:rsid w:val="004F08DB"/>
    <w:rsid w:val="004F5550"/>
    <w:rsid w:val="005043D0"/>
    <w:rsid w:val="00511000"/>
    <w:rsid w:val="00534C9F"/>
    <w:rsid w:val="00543797"/>
    <w:rsid w:val="005576EE"/>
    <w:rsid w:val="00561A7B"/>
    <w:rsid w:val="00565B1C"/>
    <w:rsid w:val="005872F6"/>
    <w:rsid w:val="00595E1E"/>
    <w:rsid w:val="005A0362"/>
    <w:rsid w:val="005A1580"/>
    <w:rsid w:val="005D00EE"/>
    <w:rsid w:val="005E1A0D"/>
    <w:rsid w:val="005E5EBA"/>
    <w:rsid w:val="005F2061"/>
    <w:rsid w:val="005F7B3E"/>
    <w:rsid w:val="006069CF"/>
    <w:rsid w:val="00623CFD"/>
    <w:rsid w:val="0063143D"/>
    <w:rsid w:val="00633615"/>
    <w:rsid w:val="006641AC"/>
    <w:rsid w:val="006A071C"/>
    <w:rsid w:val="006B0385"/>
    <w:rsid w:val="006F19A1"/>
    <w:rsid w:val="006F26E4"/>
    <w:rsid w:val="0071293F"/>
    <w:rsid w:val="0071781C"/>
    <w:rsid w:val="00735E2A"/>
    <w:rsid w:val="00763277"/>
    <w:rsid w:val="00777A8E"/>
    <w:rsid w:val="00780143"/>
    <w:rsid w:val="007850C7"/>
    <w:rsid w:val="007873A8"/>
    <w:rsid w:val="00791152"/>
    <w:rsid w:val="007A75A1"/>
    <w:rsid w:val="007B1F8A"/>
    <w:rsid w:val="007E238D"/>
    <w:rsid w:val="007E4CF4"/>
    <w:rsid w:val="007F52DD"/>
    <w:rsid w:val="007F6EBD"/>
    <w:rsid w:val="00804BF3"/>
    <w:rsid w:val="00805AD9"/>
    <w:rsid w:val="00807CEE"/>
    <w:rsid w:val="00814429"/>
    <w:rsid w:val="00814D37"/>
    <w:rsid w:val="00820D3C"/>
    <w:rsid w:val="00822E98"/>
    <w:rsid w:val="00825617"/>
    <w:rsid w:val="00831550"/>
    <w:rsid w:val="00843F33"/>
    <w:rsid w:val="00844F23"/>
    <w:rsid w:val="008562CA"/>
    <w:rsid w:val="00857DC4"/>
    <w:rsid w:val="00884B42"/>
    <w:rsid w:val="00885EA3"/>
    <w:rsid w:val="00887360"/>
    <w:rsid w:val="008A3EA2"/>
    <w:rsid w:val="008A5B68"/>
    <w:rsid w:val="008B012A"/>
    <w:rsid w:val="008B3952"/>
    <w:rsid w:val="008D124F"/>
    <w:rsid w:val="008D7252"/>
    <w:rsid w:val="008E0018"/>
    <w:rsid w:val="008E3E7E"/>
    <w:rsid w:val="008F3867"/>
    <w:rsid w:val="00954619"/>
    <w:rsid w:val="00966666"/>
    <w:rsid w:val="009833CA"/>
    <w:rsid w:val="009917A2"/>
    <w:rsid w:val="009A012D"/>
    <w:rsid w:val="009A0DD0"/>
    <w:rsid w:val="009A40F8"/>
    <w:rsid w:val="009C19C3"/>
    <w:rsid w:val="009C7B88"/>
    <w:rsid w:val="009F415B"/>
    <w:rsid w:val="00A03A0D"/>
    <w:rsid w:val="00A10251"/>
    <w:rsid w:val="00A21B78"/>
    <w:rsid w:val="00A258AE"/>
    <w:rsid w:val="00A309E5"/>
    <w:rsid w:val="00A35530"/>
    <w:rsid w:val="00A40CC0"/>
    <w:rsid w:val="00A50374"/>
    <w:rsid w:val="00A51B0B"/>
    <w:rsid w:val="00A57F01"/>
    <w:rsid w:val="00A64CB9"/>
    <w:rsid w:val="00A77F9A"/>
    <w:rsid w:val="00AB7979"/>
    <w:rsid w:val="00AC5A40"/>
    <w:rsid w:val="00AD18DC"/>
    <w:rsid w:val="00B215D7"/>
    <w:rsid w:val="00B4362E"/>
    <w:rsid w:val="00B43FA1"/>
    <w:rsid w:val="00B535D1"/>
    <w:rsid w:val="00B66044"/>
    <w:rsid w:val="00BD0324"/>
    <w:rsid w:val="00BD7A99"/>
    <w:rsid w:val="00BE1FCF"/>
    <w:rsid w:val="00BE7C6B"/>
    <w:rsid w:val="00BF3A59"/>
    <w:rsid w:val="00C01943"/>
    <w:rsid w:val="00C119CF"/>
    <w:rsid w:val="00C12A72"/>
    <w:rsid w:val="00C20127"/>
    <w:rsid w:val="00C22752"/>
    <w:rsid w:val="00C32CDD"/>
    <w:rsid w:val="00C37847"/>
    <w:rsid w:val="00C50FB0"/>
    <w:rsid w:val="00C51531"/>
    <w:rsid w:val="00C515BD"/>
    <w:rsid w:val="00C522D2"/>
    <w:rsid w:val="00C52562"/>
    <w:rsid w:val="00C57E00"/>
    <w:rsid w:val="00C625FD"/>
    <w:rsid w:val="00C6402A"/>
    <w:rsid w:val="00C73B1E"/>
    <w:rsid w:val="00CB37D1"/>
    <w:rsid w:val="00CB655F"/>
    <w:rsid w:val="00CD1554"/>
    <w:rsid w:val="00CD397B"/>
    <w:rsid w:val="00D01671"/>
    <w:rsid w:val="00D15371"/>
    <w:rsid w:val="00D15F48"/>
    <w:rsid w:val="00D217F1"/>
    <w:rsid w:val="00D27EB7"/>
    <w:rsid w:val="00D3197C"/>
    <w:rsid w:val="00D41C11"/>
    <w:rsid w:val="00D420DF"/>
    <w:rsid w:val="00D45D96"/>
    <w:rsid w:val="00D528FC"/>
    <w:rsid w:val="00D5397B"/>
    <w:rsid w:val="00D6044C"/>
    <w:rsid w:val="00D6324F"/>
    <w:rsid w:val="00D8705A"/>
    <w:rsid w:val="00D94C6F"/>
    <w:rsid w:val="00DA207A"/>
    <w:rsid w:val="00DB4110"/>
    <w:rsid w:val="00DB5F96"/>
    <w:rsid w:val="00DC3E72"/>
    <w:rsid w:val="00DC7969"/>
    <w:rsid w:val="00DD5B36"/>
    <w:rsid w:val="00DF14D9"/>
    <w:rsid w:val="00DF5256"/>
    <w:rsid w:val="00E058E4"/>
    <w:rsid w:val="00E211A3"/>
    <w:rsid w:val="00E25F80"/>
    <w:rsid w:val="00E4179E"/>
    <w:rsid w:val="00E774DB"/>
    <w:rsid w:val="00F01E83"/>
    <w:rsid w:val="00F16103"/>
    <w:rsid w:val="00F21693"/>
    <w:rsid w:val="00F4206A"/>
    <w:rsid w:val="00F4602C"/>
    <w:rsid w:val="00F7150E"/>
    <w:rsid w:val="00F94C8F"/>
    <w:rsid w:val="00FB35BA"/>
    <w:rsid w:val="00FB5E34"/>
    <w:rsid w:val="00FC641D"/>
    <w:rsid w:val="00FE7C1F"/>
    <w:rsid w:val="00FF2AF1"/>
    <w:rsid w:val="00FF521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9D1C708"/>
  <w15:docId w15:val="{8EB5220A-8B50-4487-B134-82FF77492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40F8"/>
    <w:rPr>
      <w:rFonts w:ascii="Arial" w:hAnsi="Arial"/>
    </w:rPr>
  </w:style>
  <w:style w:type="paragraph" w:styleId="Heading2">
    <w:name w:val="heading 2"/>
    <w:basedOn w:val="Normal"/>
    <w:next w:val="Normal"/>
    <w:link w:val="Heading2Char"/>
    <w:qFormat/>
    <w:rsid w:val="005576EE"/>
    <w:pPr>
      <w:keepNext/>
      <w:widowControl w:val="0"/>
      <w:tabs>
        <w:tab w:val="left" w:pos="-720"/>
        <w:tab w:val="left" w:pos="310"/>
        <w:tab w:val="left" w:pos="835"/>
      </w:tabs>
      <w:jc w:val="center"/>
      <w:outlineLvl w:val="1"/>
    </w:pPr>
    <w:rPr>
      <w:rFonts w:ascii="Times New Roman" w:eastAsia="Times New Roman" w:hAnsi="Times New Roman" w:cs="Times New Roman"/>
      <w:b/>
      <w:bCs/>
      <w:snapToGrid w:val="0"/>
      <w:szCs w:val="20"/>
      <w:lang w:val="en-GB"/>
    </w:rPr>
  </w:style>
  <w:style w:type="paragraph" w:styleId="Heading4">
    <w:name w:val="heading 4"/>
    <w:basedOn w:val="Normal"/>
    <w:next w:val="Normal"/>
    <w:link w:val="Heading4Char"/>
    <w:qFormat/>
    <w:rsid w:val="005576EE"/>
    <w:pPr>
      <w:keepNext/>
      <w:widowControl w:val="0"/>
      <w:outlineLvl w:val="3"/>
    </w:pPr>
    <w:rPr>
      <w:rFonts w:ascii="Times New Roman" w:eastAsia="Times New Roman" w:hAnsi="Times New Roman" w:cs="Times New Roman"/>
      <w:b/>
      <w:bCs/>
      <w:snapToGrid w:val="0"/>
      <w:sz w:val="24"/>
      <w:szCs w:val="20"/>
      <w:lang w:val="en-GB"/>
    </w:rPr>
  </w:style>
  <w:style w:type="paragraph" w:styleId="Heading5">
    <w:name w:val="heading 5"/>
    <w:basedOn w:val="Normal"/>
    <w:next w:val="Normal"/>
    <w:link w:val="Heading5Char"/>
    <w:qFormat/>
    <w:rsid w:val="005576EE"/>
    <w:pPr>
      <w:keepNext/>
      <w:widowControl w:val="0"/>
      <w:jc w:val="both"/>
      <w:outlineLvl w:val="4"/>
    </w:pPr>
    <w:rPr>
      <w:rFonts w:ascii="Times New Roman" w:eastAsia="Times New Roman" w:hAnsi="Times New Roman" w:cs="Times New Roman"/>
      <w:i/>
      <w:iCs/>
      <w:snapToGrid w:val="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562CA"/>
    <w:pPr>
      <w:tabs>
        <w:tab w:val="center" w:pos="4680"/>
        <w:tab w:val="right" w:pos="9360"/>
      </w:tabs>
    </w:pPr>
  </w:style>
  <w:style w:type="character" w:customStyle="1" w:styleId="HeaderChar">
    <w:name w:val="Header Char"/>
    <w:basedOn w:val="DefaultParagraphFont"/>
    <w:link w:val="Header"/>
    <w:uiPriority w:val="99"/>
    <w:rsid w:val="008562CA"/>
    <w:rPr>
      <w:rFonts w:ascii="Arial" w:hAnsi="Arial"/>
    </w:rPr>
  </w:style>
  <w:style w:type="paragraph" w:styleId="Footer">
    <w:name w:val="footer"/>
    <w:basedOn w:val="Normal"/>
    <w:link w:val="FooterChar"/>
    <w:uiPriority w:val="99"/>
    <w:unhideWhenUsed/>
    <w:rsid w:val="008562CA"/>
    <w:pPr>
      <w:tabs>
        <w:tab w:val="center" w:pos="4680"/>
        <w:tab w:val="right" w:pos="9360"/>
      </w:tabs>
    </w:pPr>
  </w:style>
  <w:style w:type="character" w:customStyle="1" w:styleId="FooterChar">
    <w:name w:val="Footer Char"/>
    <w:basedOn w:val="DefaultParagraphFont"/>
    <w:link w:val="Footer"/>
    <w:uiPriority w:val="99"/>
    <w:rsid w:val="008562CA"/>
    <w:rPr>
      <w:rFonts w:ascii="Arial" w:hAnsi="Arial"/>
    </w:rPr>
  </w:style>
  <w:style w:type="character" w:customStyle="1" w:styleId="Heading2Char">
    <w:name w:val="Heading 2 Char"/>
    <w:basedOn w:val="DefaultParagraphFont"/>
    <w:link w:val="Heading2"/>
    <w:rsid w:val="005576EE"/>
    <w:rPr>
      <w:rFonts w:ascii="Times New Roman" w:eastAsia="Times New Roman" w:hAnsi="Times New Roman" w:cs="Times New Roman"/>
      <w:b/>
      <w:bCs/>
      <w:snapToGrid w:val="0"/>
      <w:szCs w:val="20"/>
      <w:lang w:val="en-GB"/>
    </w:rPr>
  </w:style>
  <w:style w:type="character" w:customStyle="1" w:styleId="Heading4Char">
    <w:name w:val="Heading 4 Char"/>
    <w:basedOn w:val="DefaultParagraphFont"/>
    <w:link w:val="Heading4"/>
    <w:rsid w:val="005576EE"/>
    <w:rPr>
      <w:rFonts w:ascii="Times New Roman" w:eastAsia="Times New Roman" w:hAnsi="Times New Roman" w:cs="Times New Roman"/>
      <w:b/>
      <w:bCs/>
      <w:snapToGrid w:val="0"/>
      <w:sz w:val="24"/>
      <w:szCs w:val="20"/>
      <w:lang w:val="en-GB"/>
    </w:rPr>
  </w:style>
  <w:style w:type="character" w:customStyle="1" w:styleId="Heading5Char">
    <w:name w:val="Heading 5 Char"/>
    <w:basedOn w:val="DefaultParagraphFont"/>
    <w:link w:val="Heading5"/>
    <w:rsid w:val="005576EE"/>
    <w:rPr>
      <w:rFonts w:ascii="Times New Roman" w:eastAsia="Times New Roman" w:hAnsi="Times New Roman" w:cs="Times New Roman"/>
      <w:i/>
      <w:iCs/>
      <w:snapToGrid w:val="0"/>
      <w:lang w:val="en-GB"/>
    </w:rPr>
  </w:style>
  <w:style w:type="paragraph" w:customStyle="1" w:styleId="1AutoList1">
    <w:name w:val="1AutoList1"/>
    <w:rsid w:val="005576EE"/>
    <w:pPr>
      <w:widowControl w:val="0"/>
      <w:tabs>
        <w:tab w:val="left" w:pos="720"/>
      </w:tabs>
      <w:autoSpaceDE w:val="0"/>
      <w:autoSpaceDN w:val="0"/>
      <w:adjustRightInd w:val="0"/>
      <w:ind w:left="720" w:hanging="720"/>
      <w:jc w:val="both"/>
    </w:pPr>
    <w:rPr>
      <w:rFonts w:ascii="Times New Roman" w:eastAsia="Times New Roman" w:hAnsi="Times New Roman" w:cs="Times New Roman"/>
      <w:sz w:val="20"/>
      <w:szCs w:val="24"/>
      <w:lang w:val="en-GB"/>
    </w:rPr>
  </w:style>
  <w:style w:type="character" w:styleId="Strong">
    <w:name w:val="Strong"/>
    <w:uiPriority w:val="22"/>
    <w:qFormat/>
    <w:rsid w:val="005576EE"/>
    <w:rPr>
      <w:b/>
      <w:bCs/>
    </w:rPr>
  </w:style>
  <w:style w:type="character" w:styleId="Hyperlink">
    <w:name w:val="Hyperlink"/>
    <w:rsid w:val="005576EE"/>
    <w:rPr>
      <w:color w:val="0000FF"/>
      <w:u w:val="single"/>
    </w:rPr>
  </w:style>
  <w:style w:type="paragraph" w:styleId="BodyTextIndent3">
    <w:name w:val="Body Text Indent 3"/>
    <w:basedOn w:val="Normal"/>
    <w:link w:val="BodyTextIndent3Char"/>
    <w:rsid w:val="005576EE"/>
    <w:pPr>
      <w:widowControl w:val="0"/>
      <w:ind w:left="709" w:hanging="709"/>
      <w:jc w:val="both"/>
    </w:pPr>
    <w:rPr>
      <w:rFonts w:ascii="Times New Roman" w:eastAsia="Times New Roman" w:hAnsi="Times New Roman" w:cs="Times New Roman"/>
      <w:b/>
      <w:bCs/>
      <w:snapToGrid w:val="0"/>
      <w:szCs w:val="20"/>
      <w:lang w:val="en-GB"/>
    </w:rPr>
  </w:style>
  <w:style w:type="character" w:customStyle="1" w:styleId="BodyTextIndent3Char">
    <w:name w:val="Body Text Indent 3 Char"/>
    <w:basedOn w:val="DefaultParagraphFont"/>
    <w:link w:val="BodyTextIndent3"/>
    <w:rsid w:val="005576EE"/>
    <w:rPr>
      <w:rFonts w:ascii="Times New Roman" w:eastAsia="Times New Roman" w:hAnsi="Times New Roman" w:cs="Times New Roman"/>
      <w:b/>
      <w:bCs/>
      <w:snapToGrid w:val="0"/>
      <w:szCs w:val="20"/>
      <w:lang w:val="en-GB"/>
    </w:rPr>
  </w:style>
  <w:style w:type="paragraph" w:styleId="ListParagraph">
    <w:name w:val="List Paragraph"/>
    <w:basedOn w:val="Normal"/>
    <w:link w:val="ListParagraphChar"/>
    <w:uiPriority w:val="34"/>
    <w:qFormat/>
    <w:rsid w:val="005576EE"/>
    <w:pPr>
      <w:widowControl w:val="0"/>
      <w:ind w:left="720"/>
      <w:contextualSpacing/>
    </w:pPr>
    <w:rPr>
      <w:rFonts w:ascii="Times New Roman" w:eastAsia="Times New Roman" w:hAnsi="Times New Roman" w:cs="Times New Roman"/>
      <w:snapToGrid w:val="0"/>
      <w:sz w:val="24"/>
      <w:szCs w:val="20"/>
      <w:lang w:val="en-GB"/>
    </w:rPr>
  </w:style>
  <w:style w:type="character" w:customStyle="1" w:styleId="ListParagraphChar">
    <w:name w:val="List Paragraph Char"/>
    <w:link w:val="ListParagraph"/>
    <w:uiPriority w:val="34"/>
    <w:locked/>
    <w:rsid w:val="005576EE"/>
    <w:rPr>
      <w:rFonts w:ascii="Times New Roman" w:eastAsia="Times New Roman" w:hAnsi="Times New Roman" w:cs="Times New Roman"/>
      <w:snapToGrid w:val="0"/>
      <w:sz w:val="24"/>
      <w:szCs w:val="20"/>
      <w:lang w:val="en-GB"/>
    </w:rPr>
  </w:style>
  <w:style w:type="paragraph" w:customStyle="1" w:styleId="Default">
    <w:name w:val="Default"/>
    <w:rsid w:val="00D15371"/>
    <w:pPr>
      <w:autoSpaceDE w:val="0"/>
      <w:autoSpaceDN w:val="0"/>
      <w:adjustRightInd w:val="0"/>
    </w:pPr>
    <w:rPr>
      <w:rFonts w:ascii="Garamond" w:hAnsi="Garamond" w:cs="Garamond"/>
      <w:color w:val="000000"/>
      <w:sz w:val="24"/>
      <w:szCs w:val="24"/>
      <w:lang w:val="en-GB"/>
    </w:rPr>
  </w:style>
  <w:style w:type="character" w:customStyle="1" w:styleId="UnresolvedMention1">
    <w:name w:val="Unresolved Mention1"/>
    <w:basedOn w:val="DefaultParagraphFont"/>
    <w:uiPriority w:val="99"/>
    <w:semiHidden/>
    <w:unhideWhenUsed/>
    <w:rsid w:val="00DD5B36"/>
    <w:rPr>
      <w:color w:val="605E5C"/>
      <w:shd w:val="clear" w:color="auto" w:fill="E1DFDD"/>
    </w:rPr>
  </w:style>
  <w:style w:type="paragraph" w:customStyle="1" w:styleId="Firstnumbering">
    <w:name w:val="First numbering"/>
    <w:basedOn w:val="ListParagraph"/>
    <w:link w:val="FirstnumberingChar"/>
    <w:qFormat/>
    <w:rsid w:val="004641A5"/>
    <w:pPr>
      <w:numPr>
        <w:numId w:val="17"/>
      </w:numPr>
      <w:suppressAutoHyphens/>
      <w:autoSpaceDE w:val="0"/>
      <w:autoSpaceDN w:val="0"/>
      <w:ind w:left="540" w:hanging="540"/>
      <w:jc w:val="both"/>
      <w:textAlignment w:val="baseline"/>
    </w:pPr>
    <w:rPr>
      <w:rFonts w:ascii="Arial" w:hAnsi="Arial" w:cs="Arial"/>
      <w:snapToGrid/>
    </w:rPr>
  </w:style>
  <w:style w:type="character" w:customStyle="1" w:styleId="FirstnumberingChar">
    <w:name w:val="First numbering Char"/>
    <w:basedOn w:val="ListParagraphChar"/>
    <w:link w:val="Firstnumbering"/>
    <w:rsid w:val="004641A5"/>
    <w:rPr>
      <w:rFonts w:ascii="Arial" w:eastAsia="Times New Roman" w:hAnsi="Arial" w:cs="Arial"/>
      <w:snapToGrid/>
      <w:sz w:val="24"/>
      <w:szCs w:val="20"/>
      <w:lang w:val="en-GB"/>
    </w:rPr>
  </w:style>
  <w:style w:type="character" w:styleId="FollowedHyperlink">
    <w:name w:val="FollowedHyperlink"/>
    <w:basedOn w:val="DefaultParagraphFont"/>
    <w:uiPriority w:val="99"/>
    <w:semiHidden/>
    <w:unhideWhenUsed/>
    <w:rsid w:val="00E211A3"/>
    <w:rPr>
      <w:color w:val="954F72" w:themeColor="followedHyperlink"/>
      <w:u w:val="single"/>
    </w:rPr>
  </w:style>
  <w:style w:type="table" w:customStyle="1" w:styleId="GridTable4-Accent41">
    <w:name w:val="Grid Table 4 - Accent 41"/>
    <w:basedOn w:val="TableNormal"/>
    <w:next w:val="GridTable4-Accent42"/>
    <w:uiPriority w:val="49"/>
    <w:rsid w:val="00A03A0D"/>
    <w:rPr>
      <w:kern w:val="2"/>
      <w:lang w:val="en-AU"/>
    </w:rPr>
    <w:tblPr>
      <w:tblStyleRowBandSize w:val="1"/>
      <w:tblStyleColBandSize w:val="1"/>
      <w:tblBorders>
        <w:top w:val="single" w:sz="4" w:space="0" w:color="60CAF3"/>
        <w:left w:val="single" w:sz="4" w:space="0" w:color="60CAF3"/>
        <w:bottom w:val="single" w:sz="4" w:space="0" w:color="60CAF3"/>
        <w:right w:val="single" w:sz="4" w:space="0" w:color="60CAF3"/>
        <w:insideH w:val="single" w:sz="4" w:space="0" w:color="60CAF3"/>
        <w:insideV w:val="single" w:sz="4" w:space="0" w:color="60CAF3"/>
      </w:tblBorders>
    </w:tblPr>
    <w:tblStylePr w:type="firstRow">
      <w:rPr>
        <w:b/>
        <w:bCs/>
        <w:color w:val="FFFFFF"/>
      </w:rPr>
      <w:tblPr/>
      <w:tcPr>
        <w:tcBorders>
          <w:top w:val="single" w:sz="4" w:space="0" w:color="0F9ED5"/>
          <w:left w:val="single" w:sz="4" w:space="0" w:color="0F9ED5"/>
          <w:bottom w:val="single" w:sz="4" w:space="0" w:color="0F9ED5"/>
          <w:right w:val="single" w:sz="4" w:space="0" w:color="0F9ED5"/>
          <w:insideH w:val="nil"/>
          <w:insideV w:val="nil"/>
        </w:tcBorders>
        <w:shd w:val="clear" w:color="auto" w:fill="0F9ED5"/>
      </w:tcPr>
    </w:tblStylePr>
    <w:tblStylePr w:type="lastRow">
      <w:rPr>
        <w:b/>
        <w:bCs/>
      </w:rPr>
      <w:tblPr/>
      <w:tcPr>
        <w:tcBorders>
          <w:top w:val="double" w:sz="4" w:space="0" w:color="0F9ED5"/>
        </w:tcBorders>
      </w:tcPr>
    </w:tblStylePr>
    <w:tblStylePr w:type="firstCol">
      <w:rPr>
        <w:b/>
        <w:bCs/>
      </w:rPr>
    </w:tblStylePr>
    <w:tblStylePr w:type="lastCol">
      <w:rPr>
        <w:b/>
        <w:bCs/>
      </w:rPr>
    </w:tblStylePr>
    <w:tblStylePr w:type="band1Vert">
      <w:tblPr/>
      <w:tcPr>
        <w:shd w:val="clear" w:color="auto" w:fill="CAEDFB"/>
      </w:tcPr>
    </w:tblStylePr>
    <w:tblStylePr w:type="band1Horz">
      <w:tblPr/>
      <w:tcPr>
        <w:shd w:val="clear" w:color="auto" w:fill="CAEDFB"/>
      </w:tcPr>
    </w:tblStylePr>
  </w:style>
  <w:style w:type="table" w:customStyle="1" w:styleId="GridTable4-Accent42">
    <w:name w:val="Grid Table 4 - Accent 42"/>
    <w:basedOn w:val="TableNormal"/>
    <w:uiPriority w:val="49"/>
    <w:rsid w:val="00A03A0D"/>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styleId="CommentReference">
    <w:name w:val="annotation reference"/>
    <w:basedOn w:val="DefaultParagraphFont"/>
    <w:uiPriority w:val="99"/>
    <w:semiHidden/>
    <w:unhideWhenUsed/>
    <w:rsid w:val="00805AD9"/>
    <w:rPr>
      <w:sz w:val="16"/>
      <w:szCs w:val="16"/>
    </w:rPr>
  </w:style>
  <w:style w:type="paragraph" w:styleId="CommentText">
    <w:name w:val="annotation text"/>
    <w:basedOn w:val="Normal"/>
    <w:link w:val="CommentTextChar"/>
    <w:uiPriority w:val="99"/>
    <w:unhideWhenUsed/>
    <w:rsid w:val="00805AD9"/>
    <w:rPr>
      <w:sz w:val="20"/>
      <w:szCs w:val="20"/>
    </w:rPr>
  </w:style>
  <w:style w:type="character" w:customStyle="1" w:styleId="CommentTextChar">
    <w:name w:val="Comment Text Char"/>
    <w:basedOn w:val="DefaultParagraphFont"/>
    <w:link w:val="CommentText"/>
    <w:uiPriority w:val="99"/>
    <w:rsid w:val="00805AD9"/>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05AD9"/>
    <w:rPr>
      <w:b/>
      <w:bCs/>
    </w:rPr>
  </w:style>
  <w:style w:type="character" w:customStyle="1" w:styleId="CommentSubjectChar">
    <w:name w:val="Comment Subject Char"/>
    <w:basedOn w:val="CommentTextChar"/>
    <w:link w:val="CommentSubject"/>
    <w:uiPriority w:val="99"/>
    <w:semiHidden/>
    <w:rsid w:val="00805AD9"/>
    <w:rPr>
      <w:rFonts w:ascii="Arial" w:hAnsi="Arial"/>
      <w:b/>
      <w:bCs/>
      <w:sz w:val="20"/>
      <w:szCs w:val="20"/>
    </w:rPr>
  </w:style>
  <w:style w:type="paragraph" w:styleId="Revision">
    <w:name w:val="Revision"/>
    <w:hidden/>
    <w:uiPriority w:val="99"/>
    <w:semiHidden/>
    <w:rsid w:val="003E32E1"/>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280605">
      <w:bodyDiv w:val="1"/>
      <w:marLeft w:val="0"/>
      <w:marRight w:val="0"/>
      <w:marTop w:val="0"/>
      <w:marBottom w:val="0"/>
      <w:divBdr>
        <w:top w:val="none" w:sz="0" w:space="0" w:color="auto"/>
        <w:left w:val="none" w:sz="0" w:space="0" w:color="auto"/>
        <w:bottom w:val="none" w:sz="0" w:space="0" w:color="auto"/>
        <w:right w:val="none" w:sz="0" w:space="0" w:color="auto"/>
      </w:divBdr>
    </w:div>
    <w:div w:id="284846960">
      <w:bodyDiv w:val="1"/>
      <w:marLeft w:val="0"/>
      <w:marRight w:val="0"/>
      <w:marTop w:val="0"/>
      <w:marBottom w:val="0"/>
      <w:divBdr>
        <w:top w:val="none" w:sz="0" w:space="0" w:color="auto"/>
        <w:left w:val="none" w:sz="0" w:space="0" w:color="auto"/>
        <w:bottom w:val="none" w:sz="0" w:space="0" w:color="auto"/>
        <w:right w:val="none" w:sz="0" w:space="0" w:color="auto"/>
      </w:divBdr>
    </w:div>
    <w:div w:id="395587973">
      <w:bodyDiv w:val="1"/>
      <w:marLeft w:val="0"/>
      <w:marRight w:val="0"/>
      <w:marTop w:val="0"/>
      <w:marBottom w:val="0"/>
      <w:divBdr>
        <w:top w:val="none" w:sz="0" w:space="0" w:color="auto"/>
        <w:left w:val="none" w:sz="0" w:space="0" w:color="auto"/>
        <w:bottom w:val="none" w:sz="0" w:space="0" w:color="auto"/>
        <w:right w:val="none" w:sz="0" w:space="0" w:color="auto"/>
      </w:divBdr>
    </w:div>
    <w:div w:id="742533149">
      <w:bodyDiv w:val="1"/>
      <w:marLeft w:val="0"/>
      <w:marRight w:val="0"/>
      <w:marTop w:val="0"/>
      <w:marBottom w:val="0"/>
      <w:divBdr>
        <w:top w:val="none" w:sz="0" w:space="0" w:color="auto"/>
        <w:left w:val="none" w:sz="0" w:space="0" w:color="auto"/>
        <w:bottom w:val="none" w:sz="0" w:space="0" w:color="auto"/>
        <w:right w:val="none" w:sz="0" w:space="0" w:color="auto"/>
      </w:divBdr>
    </w:div>
    <w:div w:id="754865426">
      <w:bodyDiv w:val="1"/>
      <w:marLeft w:val="0"/>
      <w:marRight w:val="0"/>
      <w:marTop w:val="0"/>
      <w:marBottom w:val="0"/>
      <w:divBdr>
        <w:top w:val="none" w:sz="0" w:space="0" w:color="auto"/>
        <w:left w:val="none" w:sz="0" w:space="0" w:color="auto"/>
        <w:bottom w:val="none" w:sz="0" w:space="0" w:color="auto"/>
        <w:right w:val="none" w:sz="0" w:space="0" w:color="auto"/>
      </w:divBdr>
    </w:div>
    <w:div w:id="1130710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https://www.cms.int/fr/node/46049"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s://www.cms.int/fr/node/41518"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ms.int/fr/node/41518"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header" Target="header7.xml"/><Relationship Id="rId5" Type="http://schemas.openxmlformats.org/officeDocument/2006/relationships/styles" Target="styles.xml"/><Relationship Id="rId15" Type="http://schemas.openxmlformats.org/officeDocument/2006/relationships/hyperlink" Target="https://www.cms.int/fr/node/41496" TargetMode="External"/><Relationship Id="rId23" Type="http://schemas.openxmlformats.org/officeDocument/2006/relationships/header" Target="header6.xml"/><Relationship Id="rId10" Type="http://schemas.openxmlformats.org/officeDocument/2006/relationships/header" Target="header1.xml"/><Relationship Id="rId19" Type="http://schemas.openxmlformats.org/officeDocument/2006/relationships/hyperlink" Target="https://www.cms.int/fr/node/46374"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6f186221d9cf7c9a7108dbe54f4958c9">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6c6d4f79006ecf891092d3ae07d7f021"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SharedWithUsers xmlns="c15478a5-0be8-4f5d-8383-b307d5ba8bf6">
      <UserInfo>
        <DisplayName>Catherine Brueckner</DisplayName>
        <AccountId>12</AccountId>
        <AccountType/>
      </UserInfo>
      <UserInfo>
        <DisplayName>System Account</DisplayName>
        <AccountId>1073741823</AccountId>
        <AccountType/>
      </UserInfo>
      <UserInfo>
        <DisplayName>Thilan Mannan(Affiliate)</DisplayName>
        <AccountId>78</AccountId>
        <AccountType/>
      </UserInfo>
    </SharedWithUsers>
    <Reviewer xmlns="a7b50396-0b06-45c1-b28e-46f86d566a10" xsi:nil="true"/>
    <MariaJoseOrtiz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Props1.xml><?xml version="1.0" encoding="utf-8"?>
<ds:datastoreItem xmlns:ds="http://schemas.openxmlformats.org/officeDocument/2006/customXml" ds:itemID="{D405066A-53E2-4B40-AB09-EFC4BAF8D3EF}">
  <ds:schemaRefs>
    <ds:schemaRef ds:uri="http://schemas.microsoft.com/sharepoint/v3/contenttype/forms"/>
  </ds:schemaRefs>
</ds:datastoreItem>
</file>

<file path=customXml/itemProps2.xml><?xml version="1.0" encoding="utf-8"?>
<ds:datastoreItem xmlns:ds="http://schemas.openxmlformats.org/officeDocument/2006/customXml" ds:itemID="{A47AD796-4E01-4328-B872-C286A75C68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466929-160B-45B0-8DCA-4CE74A4326EB}">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15</TotalTime>
  <Pages>18</Pages>
  <Words>4332</Words>
  <Characters>24697</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UNEP/CMS Secretariat</dc:creator>
  <cp:lastModifiedBy>Catherine Brueckner</cp:lastModifiedBy>
  <cp:revision>18</cp:revision>
  <cp:lastPrinted>2019-12-07T05:21:00Z</cp:lastPrinted>
  <dcterms:created xsi:type="dcterms:W3CDTF">2025-11-28T08:52:00Z</dcterms:created>
  <dcterms:modified xsi:type="dcterms:W3CDTF">2025-11-28T09:15:00Z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TaxKeyword">
    <vt:lpwstr/>
  </property>
  <property fmtid="{D5CDD505-2E9C-101B-9397-08002B2CF9AE}" pid="5" name="MediaServiceImageTags">
    <vt:lpwstr/>
  </property>
  <property fmtid="{D5CDD505-2E9C-101B-9397-08002B2CF9AE}" pid="6" name="docLang">
    <vt:lpwstr>en</vt:lpwstr>
  </property>
</Properties>
</file>