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D8513E">
      <w:pPr>
        <w:pStyle w:val="Heading2"/>
        <w:keepNext w:val="0"/>
        <w:jc w:val="right"/>
        <w:rPr>
          <w:rFonts w:cs="Arial"/>
          <w:sz w:val="22"/>
          <w:szCs w:val="22"/>
          <w:lang w:val="en-GB"/>
        </w:rPr>
      </w:pPr>
      <w:r>
        <w:rPr>
          <w:rFonts w:cs="Arial"/>
          <w:sz w:val="22"/>
          <w:szCs w:val="22"/>
          <w:lang w:val="en-GB"/>
        </w:rPr>
        <w:t>ADDENDUM 1</w:t>
      </w:r>
    </w:p>
    <w:p w14:paraId="29165735" w14:textId="438EFE83" w:rsidR="00355BE3" w:rsidRDefault="009B66DE" w:rsidP="00D8513E">
      <w:pPr>
        <w:jc w:val="right"/>
        <w:rPr>
          <w:b/>
          <w:bCs/>
          <w:sz w:val="22"/>
          <w:szCs w:val="22"/>
          <w:lang w:val="en-GB"/>
        </w:rPr>
      </w:pPr>
      <w:r w:rsidRPr="009B66DE">
        <w:rPr>
          <w:b/>
          <w:bCs/>
          <w:sz w:val="22"/>
          <w:szCs w:val="22"/>
          <w:lang w:val="en-GB"/>
        </w:rPr>
        <w:t>In session version</w:t>
      </w:r>
    </w:p>
    <w:p w14:paraId="662873F1" w14:textId="77777777" w:rsidR="009B66DE" w:rsidRPr="009B66DE" w:rsidRDefault="009B66DE" w:rsidP="00D8513E">
      <w:pPr>
        <w:jc w:val="right"/>
        <w:rPr>
          <w:b/>
          <w:bCs/>
          <w:sz w:val="22"/>
          <w:szCs w:val="22"/>
          <w:lang w:val="en-GB"/>
        </w:rPr>
      </w:pPr>
    </w:p>
    <w:p w14:paraId="591C5C34" w14:textId="77777777" w:rsidR="00355BE3" w:rsidRDefault="00355BE3" w:rsidP="00D8513E">
      <w:pPr>
        <w:pStyle w:val="Heading2"/>
        <w:keepNext w:val="0"/>
        <w:spacing w:after="120"/>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D8513E">
      <w:pPr>
        <w:pStyle w:val="Heading2"/>
        <w:keepNext w:val="0"/>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D8513E">
      <w:pPr>
        <w:pStyle w:val="Heading2"/>
        <w:keepNext w:val="0"/>
        <w:jc w:val="center"/>
        <w:rPr>
          <w:rFonts w:cs="Arial"/>
          <w:sz w:val="22"/>
          <w:szCs w:val="22"/>
          <w:lang w:val="en-GB"/>
        </w:rPr>
      </w:pPr>
    </w:p>
    <w:p w14:paraId="0DD5CF63" w14:textId="77777777" w:rsidR="00D8513E" w:rsidRDefault="00D2408F" w:rsidP="00D8513E">
      <w:pPr>
        <w:jc w:val="center"/>
        <w:rPr>
          <w:b/>
          <w:bCs/>
          <w:sz w:val="22"/>
          <w:szCs w:val="22"/>
        </w:rPr>
      </w:pPr>
      <w:r w:rsidRPr="00D8513E">
        <w:rPr>
          <w:rFonts w:ascii="Arial Bold" w:hAnsi="Arial Bold"/>
          <w:b/>
          <w:bCs/>
          <w:caps/>
          <w:sz w:val="22"/>
          <w:szCs w:val="22"/>
        </w:rPr>
        <w:t>Proposal for a Concerted Action for the Lahille’s bottlenose dolphin</w:t>
      </w:r>
      <w:r>
        <w:rPr>
          <w:b/>
          <w:bCs/>
          <w:sz w:val="22"/>
          <w:szCs w:val="22"/>
        </w:rPr>
        <w:t xml:space="preserve"> (</w:t>
      </w:r>
      <w:r>
        <w:rPr>
          <w:b/>
          <w:bCs/>
          <w:i/>
          <w:iCs/>
          <w:sz w:val="22"/>
          <w:szCs w:val="22"/>
        </w:rPr>
        <w:t xml:space="preserve">Tursiops truncatus </w:t>
      </w:r>
      <w:proofErr w:type="spellStart"/>
      <w:r>
        <w:rPr>
          <w:b/>
          <w:bCs/>
          <w:i/>
          <w:iCs/>
          <w:sz w:val="22"/>
          <w:szCs w:val="22"/>
        </w:rPr>
        <w:t>gephyreys</w:t>
      </w:r>
      <w:proofErr w:type="spellEnd"/>
      <w:r>
        <w:rPr>
          <w:b/>
          <w:bCs/>
          <w:sz w:val="22"/>
          <w:szCs w:val="22"/>
        </w:rPr>
        <w:t xml:space="preserve">) </w:t>
      </w:r>
    </w:p>
    <w:p w14:paraId="2E0CA0C7" w14:textId="7B58843B" w:rsidR="000329BC" w:rsidRPr="00D2408F" w:rsidRDefault="00D2408F" w:rsidP="00D8513E">
      <w:pPr>
        <w:jc w:val="center"/>
        <w:rPr>
          <w:b/>
          <w:bCs/>
          <w:sz w:val="22"/>
          <w:szCs w:val="22"/>
        </w:rPr>
      </w:pPr>
      <w:r w:rsidRPr="00D8513E">
        <w:rPr>
          <w:rFonts w:ascii="Arial Bold" w:hAnsi="Arial Bold"/>
          <w:b/>
          <w:bCs/>
          <w:caps/>
          <w:sz w:val="22"/>
          <w:szCs w:val="22"/>
        </w:rPr>
        <w:t>already listed on Appendix I and II of the Convention</w:t>
      </w:r>
    </w:p>
    <w:p w14:paraId="36150901" w14:textId="77777777" w:rsidR="001577CC" w:rsidRPr="00743376" w:rsidRDefault="001577CC" w:rsidP="00D8513E">
      <w:pPr>
        <w:jc w:val="center"/>
        <w:rPr>
          <w:sz w:val="22"/>
          <w:szCs w:val="22"/>
        </w:rPr>
      </w:pPr>
    </w:p>
    <w:p w14:paraId="5F359992" w14:textId="678A062D" w:rsidR="00355BE3" w:rsidRDefault="00355BE3" w:rsidP="00D8513E">
      <w:pPr>
        <w:pStyle w:val="Heading2"/>
        <w:keepNext w:val="0"/>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625EBE">
        <w:rPr>
          <w:rFonts w:cs="Arial"/>
          <w:sz w:val="22"/>
          <w:szCs w:val="22"/>
        </w:rPr>
        <w:t>31</w:t>
      </w:r>
      <w:r w:rsidR="00F46F61">
        <w:rPr>
          <w:rFonts w:cs="Arial"/>
          <w:sz w:val="22"/>
          <w:szCs w:val="22"/>
        </w:rPr>
        <w:t>.</w:t>
      </w:r>
      <w:r w:rsidR="00D2408F">
        <w:rPr>
          <w:rFonts w:cs="Arial"/>
          <w:sz w:val="22"/>
          <w:szCs w:val="22"/>
        </w:rPr>
        <w:t>3.8</w:t>
      </w:r>
    </w:p>
    <w:p w14:paraId="26516C5A" w14:textId="77777777" w:rsidR="00355BE3" w:rsidRDefault="00355BE3" w:rsidP="00D8513E">
      <w:pPr>
        <w:rPr>
          <w:rFonts w:cs="Arial"/>
          <w:sz w:val="22"/>
          <w:szCs w:val="22"/>
        </w:rPr>
      </w:pPr>
    </w:p>
    <w:p w14:paraId="0F4A8C58" w14:textId="6598F13E" w:rsidR="001577CC" w:rsidRPr="00C24DCF" w:rsidRDefault="001577CC" w:rsidP="00D8513E">
      <w:pPr>
        <w:jc w:val="center"/>
        <w:rPr>
          <w:rFonts w:cs="Arial"/>
          <w:sz w:val="22"/>
          <w:szCs w:val="22"/>
          <w:lang w:val="pt-PT"/>
        </w:rPr>
      </w:pPr>
      <w:r w:rsidRPr="00C24DCF">
        <w:rPr>
          <w:rFonts w:cs="Arial"/>
          <w:sz w:val="22"/>
          <w:szCs w:val="22"/>
          <w:lang w:val="pt-PT"/>
        </w:rPr>
        <w:t>(ScC-SC8 Agenda item</w:t>
      </w:r>
      <w:r w:rsidR="00C24DCF" w:rsidRPr="00C24DCF">
        <w:rPr>
          <w:rFonts w:cs="Arial"/>
          <w:sz w:val="22"/>
          <w:szCs w:val="22"/>
          <w:lang w:val="pt-PT"/>
        </w:rPr>
        <w:t xml:space="preserve"> </w:t>
      </w:r>
      <w:r w:rsidR="00625EBE">
        <w:rPr>
          <w:rFonts w:cs="Arial"/>
          <w:sz w:val="22"/>
          <w:szCs w:val="22"/>
          <w:lang w:val="pt-PT"/>
        </w:rPr>
        <w:t>14.</w:t>
      </w:r>
      <w:r w:rsidR="00D2408F">
        <w:rPr>
          <w:rFonts w:cs="Arial"/>
          <w:sz w:val="22"/>
          <w:szCs w:val="22"/>
          <w:lang w:val="pt-PT"/>
        </w:rPr>
        <w:t>3.8</w:t>
      </w:r>
      <w:r w:rsidR="00C24DCF">
        <w:rPr>
          <w:rFonts w:cs="Arial"/>
          <w:sz w:val="22"/>
          <w:szCs w:val="22"/>
          <w:lang w:val="pt-PT"/>
        </w:rPr>
        <w:t>)</w:t>
      </w:r>
    </w:p>
    <w:p w14:paraId="4C6CFF5D" w14:textId="77777777" w:rsidR="00B91E3F" w:rsidRPr="00C24DCF" w:rsidRDefault="00B91E3F" w:rsidP="00D8513E">
      <w:pPr>
        <w:rPr>
          <w:rFonts w:cs="Arial"/>
          <w:sz w:val="22"/>
          <w:szCs w:val="22"/>
          <w:lang w:val="pt-PT"/>
        </w:rPr>
      </w:pPr>
    </w:p>
    <w:p w14:paraId="709AA868" w14:textId="77777777" w:rsidR="00C24DCF" w:rsidRDefault="00C24DCF" w:rsidP="00D8513E">
      <w:pPr>
        <w:rPr>
          <w:rFonts w:cs="Arial"/>
          <w:b/>
          <w:sz w:val="22"/>
          <w:szCs w:val="22"/>
        </w:rPr>
      </w:pPr>
    </w:p>
    <w:p w14:paraId="1CCBE382" w14:textId="77777777" w:rsidR="004066F1" w:rsidRDefault="004066F1" w:rsidP="00D8513E">
      <w:pPr>
        <w:rPr>
          <w:rFonts w:cs="Arial"/>
          <w:b/>
          <w:sz w:val="22"/>
          <w:szCs w:val="22"/>
        </w:rPr>
      </w:pPr>
      <w:r w:rsidRPr="00DF4423">
        <w:rPr>
          <w:rFonts w:cs="Arial"/>
          <w:b/>
          <w:sz w:val="22"/>
          <w:szCs w:val="22"/>
        </w:rPr>
        <w:t>GENERAL COMMENTS ON THE DOCUMENT</w:t>
      </w:r>
    </w:p>
    <w:p w14:paraId="27CE893D" w14:textId="77777777" w:rsidR="00B80978" w:rsidRDefault="00B80978" w:rsidP="00D8513E">
      <w:pPr>
        <w:rPr>
          <w:rFonts w:cs="Arial"/>
          <w:sz w:val="22"/>
          <w:szCs w:val="22"/>
        </w:rPr>
      </w:pPr>
    </w:p>
    <w:p w14:paraId="25256270" w14:textId="7940CE24" w:rsidR="00D268DE" w:rsidRPr="00D268DE" w:rsidRDefault="00D268DE" w:rsidP="00D268DE">
      <w:pPr>
        <w:jc w:val="both"/>
        <w:rPr>
          <w:rFonts w:cs="Arial"/>
          <w:sz w:val="22"/>
          <w:szCs w:val="22"/>
          <w:lang/>
        </w:rPr>
      </w:pPr>
      <w:r w:rsidRPr="00D268DE">
        <w:rPr>
          <w:rFonts w:cs="Arial"/>
          <w:sz w:val="22"/>
          <w:szCs w:val="22"/>
          <w:lang/>
        </w:rPr>
        <w:t>The I</w:t>
      </w:r>
      <w:r>
        <w:rPr>
          <w:rFonts w:cs="Arial"/>
          <w:sz w:val="22"/>
          <w:szCs w:val="22"/>
          <w:lang/>
        </w:rPr>
        <w:t xml:space="preserve">nternational </w:t>
      </w:r>
      <w:r w:rsidRPr="00D268DE">
        <w:rPr>
          <w:rFonts w:cs="Arial"/>
          <w:sz w:val="22"/>
          <w:szCs w:val="22"/>
          <w:lang/>
        </w:rPr>
        <w:t>W</w:t>
      </w:r>
      <w:r>
        <w:rPr>
          <w:rFonts w:cs="Arial"/>
          <w:sz w:val="22"/>
          <w:szCs w:val="22"/>
          <w:lang/>
        </w:rPr>
        <w:t xml:space="preserve">haling </w:t>
      </w:r>
      <w:r w:rsidRPr="00D268DE">
        <w:rPr>
          <w:rFonts w:cs="Arial"/>
          <w:sz w:val="22"/>
          <w:szCs w:val="22"/>
          <w:lang/>
        </w:rPr>
        <w:t>C</w:t>
      </w:r>
      <w:r>
        <w:rPr>
          <w:rFonts w:cs="Arial"/>
          <w:sz w:val="22"/>
          <w:szCs w:val="22"/>
          <w:lang/>
        </w:rPr>
        <w:t xml:space="preserve">ommission (IWC) </w:t>
      </w:r>
      <w:r w:rsidR="001D4A33">
        <w:rPr>
          <w:rFonts w:cs="Arial"/>
          <w:sz w:val="22"/>
          <w:szCs w:val="22"/>
          <w:lang/>
        </w:rPr>
        <w:t>noted that it</w:t>
      </w:r>
      <w:r w:rsidRPr="00D268DE">
        <w:rPr>
          <w:rFonts w:cs="Arial"/>
          <w:sz w:val="22"/>
          <w:szCs w:val="22"/>
          <w:lang/>
        </w:rPr>
        <w:t xml:space="preserve"> has been engaged in the development of this Concerted Action and fully support</w:t>
      </w:r>
      <w:r w:rsidR="001D4A33">
        <w:rPr>
          <w:rFonts w:cs="Arial"/>
          <w:sz w:val="22"/>
          <w:szCs w:val="22"/>
          <w:lang/>
        </w:rPr>
        <w:t>ed</w:t>
      </w:r>
      <w:r w:rsidRPr="00D268DE">
        <w:rPr>
          <w:rFonts w:cs="Arial"/>
          <w:sz w:val="22"/>
          <w:szCs w:val="22"/>
          <w:lang/>
        </w:rPr>
        <w:t xml:space="preserve"> the proposal. </w:t>
      </w:r>
      <w:r w:rsidR="001D4A33">
        <w:rPr>
          <w:rFonts w:cs="Arial"/>
          <w:sz w:val="22"/>
          <w:szCs w:val="22"/>
          <w:lang/>
        </w:rPr>
        <w:t>They</w:t>
      </w:r>
      <w:r w:rsidRPr="00D268DE">
        <w:rPr>
          <w:rFonts w:cs="Arial"/>
          <w:sz w:val="22"/>
          <w:szCs w:val="22"/>
          <w:lang/>
        </w:rPr>
        <w:t xml:space="preserve"> welcome</w:t>
      </w:r>
      <w:r w:rsidR="001D4A33">
        <w:rPr>
          <w:rFonts w:cs="Arial"/>
          <w:sz w:val="22"/>
          <w:szCs w:val="22"/>
          <w:lang/>
        </w:rPr>
        <w:t>d</w:t>
      </w:r>
      <w:r w:rsidRPr="00D268DE">
        <w:rPr>
          <w:rFonts w:cs="Arial"/>
          <w:sz w:val="22"/>
          <w:szCs w:val="22"/>
          <w:lang/>
        </w:rPr>
        <w:t xml:space="preserve"> ongoing collaboration between the IWC, CMS, </w:t>
      </w:r>
      <w:r w:rsidR="004E0108">
        <w:rPr>
          <w:rFonts w:cs="Arial"/>
          <w:sz w:val="22"/>
          <w:szCs w:val="22"/>
          <w:lang/>
        </w:rPr>
        <w:t>R</w:t>
      </w:r>
      <w:r w:rsidRPr="00D268DE">
        <w:rPr>
          <w:rFonts w:cs="Arial"/>
          <w:sz w:val="22"/>
          <w:szCs w:val="22"/>
          <w:lang/>
        </w:rPr>
        <w:t xml:space="preserve">ange </w:t>
      </w:r>
      <w:r w:rsidR="004E0108">
        <w:rPr>
          <w:rFonts w:cs="Arial"/>
          <w:sz w:val="22"/>
          <w:szCs w:val="22"/>
          <w:lang/>
        </w:rPr>
        <w:t>S</w:t>
      </w:r>
      <w:r w:rsidRPr="00D268DE">
        <w:rPr>
          <w:rFonts w:cs="Arial"/>
          <w:sz w:val="22"/>
          <w:szCs w:val="22"/>
          <w:lang/>
        </w:rPr>
        <w:t xml:space="preserve">tates and other relevant stakeholders to ensure the IWC Conservation </w:t>
      </w:r>
      <w:r w:rsidR="00B661D7">
        <w:rPr>
          <w:rFonts w:cs="Arial"/>
          <w:sz w:val="22"/>
          <w:szCs w:val="22"/>
          <w:lang/>
        </w:rPr>
        <w:t>M</w:t>
      </w:r>
      <w:r w:rsidRPr="00D268DE">
        <w:rPr>
          <w:rFonts w:cs="Arial"/>
          <w:sz w:val="22"/>
          <w:szCs w:val="22"/>
          <w:lang/>
        </w:rPr>
        <w:t>anagement Plan for Lahille’s, which is now moving into its implementation phase, and the proposed CMS Concerted Action work together in a fully complementary and harmonised way, to avoid duplication and maximise effectiveness for the conservation of the subspecies.</w:t>
      </w:r>
    </w:p>
    <w:p w14:paraId="7EB29A1A" w14:textId="77777777" w:rsidR="00D268DE" w:rsidRDefault="00D268DE" w:rsidP="00445300">
      <w:pPr>
        <w:jc w:val="both"/>
        <w:rPr>
          <w:rFonts w:cs="Arial"/>
          <w:sz w:val="22"/>
          <w:szCs w:val="22"/>
          <w:lang/>
        </w:rPr>
      </w:pPr>
    </w:p>
    <w:p w14:paraId="6898C7C0" w14:textId="057114E1" w:rsidR="001A699D" w:rsidRPr="00445300" w:rsidRDefault="00445300" w:rsidP="00445300">
      <w:pPr>
        <w:jc w:val="both"/>
        <w:rPr>
          <w:rFonts w:cs="Arial"/>
          <w:sz w:val="22"/>
          <w:szCs w:val="22"/>
          <w:lang/>
        </w:rPr>
      </w:pPr>
      <w:r>
        <w:rPr>
          <w:rFonts w:cs="Arial"/>
          <w:sz w:val="22"/>
          <w:szCs w:val="22"/>
          <w:lang/>
        </w:rPr>
        <w:t xml:space="preserve">The </w:t>
      </w:r>
      <w:r w:rsidRPr="00445300">
        <w:rPr>
          <w:rFonts w:cs="Arial"/>
          <w:sz w:val="22"/>
          <w:szCs w:val="22"/>
          <w:lang/>
        </w:rPr>
        <w:t>IUCN S</w:t>
      </w:r>
      <w:r>
        <w:rPr>
          <w:rFonts w:cs="Arial"/>
          <w:sz w:val="22"/>
          <w:szCs w:val="22"/>
          <w:lang/>
        </w:rPr>
        <w:t xml:space="preserve">pecies </w:t>
      </w:r>
      <w:r w:rsidRPr="00445300">
        <w:rPr>
          <w:rFonts w:cs="Arial"/>
          <w:sz w:val="22"/>
          <w:szCs w:val="22"/>
          <w:lang/>
        </w:rPr>
        <w:t>S</w:t>
      </w:r>
      <w:r>
        <w:rPr>
          <w:rFonts w:cs="Arial"/>
          <w:sz w:val="22"/>
          <w:szCs w:val="22"/>
          <w:lang/>
        </w:rPr>
        <w:t xml:space="preserve">urvival </w:t>
      </w:r>
      <w:r w:rsidRPr="00445300">
        <w:rPr>
          <w:rFonts w:cs="Arial"/>
          <w:sz w:val="22"/>
          <w:szCs w:val="22"/>
          <w:lang/>
        </w:rPr>
        <w:t>C</w:t>
      </w:r>
      <w:r>
        <w:rPr>
          <w:rFonts w:cs="Arial"/>
          <w:sz w:val="22"/>
          <w:szCs w:val="22"/>
          <w:lang/>
        </w:rPr>
        <w:t>ommission (SSC)</w:t>
      </w:r>
      <w:r w:rsidRPr="00445300">
        <w:rPr>
          <w:rFonts w:cs="Arial"/>
          <w:sz w:val="22"/>
          <w:szCs w:val="22"/>
          <w:lang/>
        </w:rPr>
        <w:t xml:space="preserve"> Cetacean Specialist Group </w:t>
      </w:r>
      <w:r w:rsidR="00B661D7">
        <w:rPr>
          <w:rFonts w:cs="Arial"/>
          <w:sz w:val="22"/>
          <w:szCs w:val="22"/>
          <w:lang/>
        </w:rPr>
        <w:t>stated</w:t>
      </w:r>
      <w:r>
        <w:rPr>
          <w:rFonts w:cs="Arial"/>
          <w:sz w:val="22"/>
          <w:szCs w:val="22"/>
          <w:lang/>
        </w:rPr>
        <w:t xml:space="preserve"> that, l</w:t>
      </w:r>
      <w:r w:rsidR="001A699D" w:rsidRPr="00445300">
        <w:rPr>
          <w:rFonts w:cs="Arial"/>
          <w:sz w:val="22"/>
          <w:szCs w:val="22"/>
          <w:lang/>
        </w:rPr>
        <w:t>ike the Franciscana, the endangered Lahille’s subspecies of bottlenose dolphin is also considered by the IUCN SSC Cetacean Specialist Group to be a priority species for conservation action. It is the subject of the first formal collaboration between the IUCN Conservation Planning Specialist Group and the IWC to apply CPSG planning processes and principles to a species or population that is the subject of an IWC CMP.  This collaboration should support the objectives of the Concerted Action, and again foster greater synergy between the CMS, IWC and IUCN.</w:t>
      </w:r>
    </w:p>
    <w:p w14:paraId="1EFD7BDD" w14:textId="77777777" w:rsidR="00C3289C" w:rsidRDefault="00C3289C" w:rsidP="00C3289C">
      <w:pPr>
        <w:pStyle w:val="ListParagraph"/>
        <w:ind w:left="0"/>
        <w:contextualSpacing w:val="0"/>
        <w:rPr>
          <w:rFonts w:cs="Arial"/>
          <w:sz w:val="22"/>
          <w:szCs w:val="22"/>
          <w:highlight w:val="yellow"/>
        </w:rPr>
      </w:pPr>
    </w:p>
    <w:p w14:paraId="76063228" w14:textId="166BB014" w:rsidR="00CF27DC" w:rsidRDefault="00995DD6" w:rsidP="00995DD6">
      <w:pPr>
        <w:pStyle w:val="ListParagraph"/>
        <w:ind w:left="0"/>
        <w:contextualSpacing w:val="0"/>
        <w:jc w:val="both"/>
        <w:rPr>
          <w:rFonts w:cs="Arial"/>
          <w:sz w:val="22"/>
          <w:szCs w:val="22"/>
        </w:rPr>
      </w:pPr>
      <w:r w:rsidRPr="00995DD6">
        <w:rPr>
          <w:rFonts w:cs="Arial"/>
          <w:sz w:val="22"/>
          <w:szCs w:val="22"/>
        </w:rPr>
        <w:t>The COP</w:t>
      </w:r>
      <w:r w:rsidR="009A5C0E">
        <w:rPr>
          <w:rFonts w:cs="Arial"/>
          <w:sz w:val="22"/>
          <w:szCs w:val="22"/>
        </w:rPr>
        <w:t>-appointed Councillor</w:t>
      </w:r>
      <w:r w:rsidRPr="00995DD6">
        <w:rPr>
          <w:rFonts w:cs="Arial"/>
          <w:sz w:val="22"/>
          <w:szCs w:val="22"/>
        </w:rPr>
        <w:t xml:space="preserve"> for Marine Pollution thanked the proponents and expressed his strong support for the proposal. In addition, he noted that</w:t>
      </w:r>
      <w:r w:rsidR="009A5C0E">
        <w:rPr>
          <w:rFonts w:cs="Arial"/>
          <w:sz w:val="22"/>
          <w:szCs w:val="22"/>
        </w:rPr>
        <w:t xml:space="preserve"> – </w:t>
      </w:r>
      <w:r w:rsidRPr="00995DD6">
        <w:rPr>
          <w:rFonts w:cs="Arial"/>
          <w:sz w:val="22"/>
          <w:szCs w:val="22"/>
        </w:rPr>
        <w:t>as is regrettably all too typical for many populations of dolphins and porpoises living in coastal areas around the world</w:t>
      </w:r>
      <w:r w:rsidR="009A5C0E">
        <w:rPr>
          <w:rFonts w:cs="Arial"/>
          <w:sz w:val="22"/>
          <w:szCs w:val="22"/>
        </w:rPr>
        <w:t xml:space="preserve"> – </w:t>
      </w:r>
      <w:r w:rsidRPr="00995DD6">
        <w:rPr>
          <w:rFonts w:cs="Arial"/>
          <w:sz w:val="22"/>
          <w:szCs w:val="22"/>
        </w:rPr>
        <w:t>high levels of persistent pollution are reported in the tissues of these animals, including PCBs. In this case, reported levels are high enough to be compromising the health of the animals including their reproduction. This is touched on in the proposal</w:t>
      </w:r>
      <w:r w:rsidR="001E14CA">
        <w:rPr>
          <w:rFonts w:cs="Arial"/>
          <w:sz w:val="22"/>
          <w:szCs w:val="22"/>
        </w:rPr>
        <w:t>,</w:t>
      </w:r>
      <w:r w:rsidRPr="00995DD6">
        <w:rPr>
          <w:rFonts w:cs="Arial"/>
          <w:sz w:val="22"/>
          <w:szCs w:val="22"/>
        </w:rPr>
        <w:t xml:space="preserve"> but the C</w:t>
      </w:r>
      <w:r w:rsidR="001E14CA">
        <w:rPr>
          <w:rFonts w:cs="Arial"/>
          <w:sz w:val="22"/>
          <w:szCs w:val="22"/>
        </w:rPr>
        <w:t>ouncillor</w:t>
      </w:r>
      <w:r w:rsidRPr="00995DD6">
        <w:rPr>
          <w:rFonts w:cs="Arial"/>
          <w:sz w:val="22"/>
          <w:szCs w:val="22"/>
        </w:rPr>
        <w:t xml:space="preserve"> encouraged that in order to ensure the recovery of this subspecies, more attention should be paid to this important factor that is impairing their survival.</w:t>
      </w:r>
    </w:p>
    <w:p w14:paraId="3715C247" w14:textId="77777777" w:rsidR="00995DD6" w:rsidRPr="00976587" w:rsidRDefault="00995DD6" w:rsidP="00D8513E">
      <w:pPr>
        <w:pStyle w:val="ListParagraph"/>
        <w:ind w:left="0"/>
        <w:contextualSpacing w:val="0"/>
        <w:rPr>
          <w:rFonts w:cs="Arial"/>
          <w:sz w:val="22"/>
          <w:szCs w:val="22"/>
        </w:rPr>
      </w:pPr>
    </w:p>
    <w:p w14:paraId="22E43B99" w14:textId="4B64AF01" w:rsidR="00170AB1" w:rsidRPr="00DF4423" w:rsidRDefault="00170AB1" w:rsidP="00D8513E">
      <w:pPr>
        <w:rPr>
          <w:rFonts w:cs="Arial"/>
          <w:b/>
          <w:sz w:val="22"/>
          <w:szCs w:val="22"/>
        </w:rPr>
      </w:pPr>
      <w:r w:rsidRPr="00DF4423">
        <w:rPr>
          <w:rFonts w:cs="Arial"/>
          <w:b/>
          <w:sz w:val="22"/>
          <w:szCs w:val="22"/>
        </w:rPr>
        <w:t>RECOMMENDATIONS TO COP1</w:t>
      </w:r>
      <w:r w:rsidR="009618C5">
        <w:rPr>
          <w:rFonts w:cs="Arial"/>
          <w:b/>
          <w:sz w:val="22"/>
          <w:szCs w:val="22"/>
        </w:rPr>
        <w:t>5</w:t>
      </w:r>
    </w:p>
    <w:p w14:paraId="0BC0D81A" w14:textId="77777777" w:rsidR="00B80978" w:rsidRDefault="00B80978" w:rsidP="00D8513E">
      <w:pPr>
        <w:jc w:val="both"/>
        <w:rPr>
          <w:rFonts w:cs="Arial"/>
          <w:sz w:val="22"/>
          <w:szCs w:val="22"/>
        </w:rPr>
      </w:pPr>
    </w:p>
    <w:p w14:paraId="4893F484" w14:textId="2AE29D67" w:rsidR="004B0347" w:rsidRPr="004A2554" w:rsidRDefault="004B0347" w:rsidP="00D8513E">
      <w:pPr>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w:t>
      </w:r>
      <w:proofErr w:type="gramStart"/>
      <w:r w:rsidRPr="009C4089">
        <w:rPr>
          <w:rFonts w:cs="Arial"/>
          <w:sz w:val="22"/>
          <w:szCs w:val="22"/>
        </w:rPr>
        <w:t>to adopt</w:t>
      </w:r>
      <w:proofErr w:type="gramEnd"/>
      <w:r w:rsidRPr="009C4089">
        <w:rPr>
          <w:rFonts w:cs="Arial"/>
          <w:sz w:val="22"/>
          <w:szCs w:val="22"/>
        </w:rPr>
        <w:t xml:space="preserve"> the</w:t>
      </w:r>
      <w:r w:rsidR="001E14CA">
        <w:rPr>
          <w:rFonts w:cs="Arial"/>
          <w:sz w:val="22"/>
          <w:szCs w:val="22"/>
        </w:rPr>
        <w:t xml:space="preserve"> proposal for </w:t>
      </w:r>
      <w:proofErr w:type="gramStart"/>
      <w:r w:rsidR="001E14CA">
        <w:rPr>
          <w:rFonts w:cs="Arial"/>
          <w:sz w:val="22"/>
          <w:szCs w:val="22"/>
        </w:rPr>
        <w:t>a concerted</w:t>
      </w:r>
      <w:proofErr w:type="gramEnd"/>
      <w:r w:rsidR="001E14CA">
        <w:rPr>
          <w:rFonts w:cs="Arial"/>
          <w:sz w:val="22"/>
          <w:szCs w:val="22"/>
        </w:rPr>
        <w:t xml:space="preserve"> action for </w:t>
      </w:r>
      <w:proofErr w:type="gramStart"/>
      <w:r w:rsidR="001E14CA">
        <w:rPr>
          <w:rFonts w:cs="Arial"/>
          <w:sz w:val="22"/>
          <w:szCs w:val="22"/>
        </w:rPr>
        <w:t xml:space="preserve">the </w:t>
      </w:r>
      <w:r w:rsidR="00D268DE">
        <w:rPr>
          <w:rFonts w:cs="Arial"/>
          <w:sz w:val="22"/>
          <w:szCs w:val="22"/>
        </w:rPr>
        <w:t>L</w:t>
      </w:r>
      <w:r w:rsidR="001E14CA">
        <w:rPr>
          <w:rFonts w:cs="Arial"/>
          <w:sz w:val="22"/>
          <w:szCs w:val="22"/>
        </w:rPr>
        <w:t>ahille’s</w:t>
      </w:r>
      <w:proofErr w:type="gramEnd"/>
      <w:r w:rsidR="001E14CA">
        <w:rPr>
          <w:rFonts w:cs="Arial"/>
          <w:sz w:val="22"/>
          <w:szCs w:val="22"/>
        </w:rPr>
        <w:t xml:space="preserve"> bottlenose dolphin</w:t>
      </w:r>
      <w:r>
        <w:rPr>
          <w:rFonts w:cs="Arial"/>
          <w:bCs/>
          <w:sz w:val="22"/>
          <w:szCs w:val="22"/>
        </w:rPr>
        <w:t>.</w:t>
      </w:r>
    </w:p>
    <w:p w14:paraId="4999E447" w14:textId="77777777" w:rsidR="00170AB1" w:rsidRDefault="00170AB1" w:rsidP="00D8513E">
      <w:pPr>
        <w:rPr>
          <w:rFonts w:cs="Arial"/>
          <w:sz w:val="22"/>
          <w:szCs w:val="22"/>
        </w:rPr>
      </w:pPr>
    </w:p>
    <w:p w14:paraId="124E4A3F" w14:textId="7D50E94A" w:rsidR="007F3C45" w:rsidRDefault="007F3C45" w:rsidP="00D8513E">
      <w:pPr>
        <w:rPr>
          <w:rFonts w:cs="Arial"/>
          <w:sz w:val="22"/>
          <w:szCs w:val="22"/>
        </w:rPr>
      </w:pPr>
    </w:p>
    <w:sectPr w:rsidR="007F3C45"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0730" w14:textId="77777777" w:rsidR="00D36CF1" w:rsidRDefault="00D36CF1" w:rsidP="00355BE3">
      <w:r>
        <w:separator/>
      </w:r>
    </w:p>
  </w:endnote>
  <w:endnote w:type="continuationSeparator" w:id="0">
    <w:p w14:paraId="32B4C4AF" w14:textId="77777777" w:rsidR="00D36CF1" w:rsidRDefault="00D36CF1" w:rsidP="00355BE3">
      <w:r>
        <w:continuationSeparator/>
      </w:r>
    </w:p>
  </w:endnote>
  <w:endnote w:type="continuationNotice" w:id="1">
    <w:p w14:paraId="4297E3A6" w14:textId="77777777" w:rsidR="00D36CF1" w:rsidRDefault="00D36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0990" w14:textId="77777777" w:rsidR="00D36CF1" w:rsidRDefault="00D36CF1" w:rsidP="00355BE3">
      <w:r>
        <w:separator/>
      </w:r>
    </w:p>
  </w:footnote>
  <w:footnote w:type="continuationSeparator" w:id="0">
    <w:p w14:paraId="10033FBB" w14:textId="77777777" w:rsidR="00D36CF1" w:rsidRDefault="00D36CF1" w:rsidP="00355BE3">
      <w:r>
        <w:continuationSeparator/>
      </w:r>
    </w:p>
  </w:footnote>
  <w:footnote w:type="continuationNotice" w:id="1">
    <w:p w14:paraId="006417AE" w14:textId="77777777" w:rsidR="00D36CF1" w:rsidRDefault="00D36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451EE04F"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625EBE">
      <w:rPr>
        <w:rFonts w:cs="Arial"/>
        <w:i/>
        <w:szCs w:val="18"/>
      </w:rPr>
      <w:t>31.</w:t>
    </w:r>
    <w:r w:rsidR="00D2408F">
      <w:rPr>
        <w:rFonts w:cs="Arial"/>
        <w:i/>
        <w:szCs w:val="18"/>
      </w:rPr>
      <w:t>3.8</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14CCA"/>
    <w:rsid w:val="00023F35"/>
    <w:rsid w:val="000256D1"/>
    <w:rsid w:val="000320FA"/>
    <w:rsid w:val="000329BC"/>
    <w:rsid w:val="0003542E"/>
    <w:rsid w:val="00046A87"/>
    <w:rsid w:val="00046D46"/>
    <w:rsid w:val="000E1D50"/>
    <w:rsid w:val="000F53E4"/>
    <w:rsid w:val="00136F0D"/>
    <w:rsid w:val="0015466C"/>
    <w:rsid w:val="001577CC"/>
    <w:rsid w:val="00167370"/>
    <w:rsid w:val="00170AB1"/>
    <w:rsid w:val="001925CF"/>
    <w:rsid w:val="001A699D"/>
    <w:rsid w:val="001C23E2"/>
    <w:rsid w:val="001C3A5B"/>
    <w:rsid w:val="001D4A33"/>
    <w:rsid w:val="001E14CA"/>
    <w:rsid w:val="002423B4"/>
    <w:rsid w:val="00261FA8"/>
    <w:rsid w:val="002671B0"/>
    <w:rsid w:val="00275CED"/>
    <w:rsid w:val="002D6FC0"/>
    <w:rsid w:val="002E6285"/>
    <w:rsid w:val="002F1CFF"/>
    <w:rsid w:val="0033193D"/>
    <w:rsid w:val="00355BE3"/>
    <w:rsid w:val="00356511"/>
    <w:rsid w:val="00395436"/>
    <w:rsid w:val="003B274C"/>
    <w:rsid w:val="003B3D49"/>
    <w:rsid w:val="003D6362"/>
    <w:rsid w:val="003D7DE9"/>
    <w:rsid w:val="00402D76"/>
    <w:rsid w:val="004066F1"/>
    <w:rsid w:val="00420279"/>
    <w:rsid w:val="00420FCA"/>
    <w:rsid w:val="00443C28"/>
    <w:rsid w:val="00445300"/>
    <w:rsid w:val="004B0347"/>
    <w:rsid w:val="004D368A"/>
    <w:rsid w:val="004E0108"/>
    <w:rsid w:val="004E72A4"/>
    <w:rsid w:val="004F044B"/>
    <w:rsid w:val="005057F8"/>
    <w:rsid w:val="00512B49"/>
    <w:rsid w:val="005143FD"/>
    <w:rsid w:val="00521854"/>
    <w:rsid w:val="0052672F"/>
    <w:rsid w:val="005330F7"/>
    <w:rsid w:val="005460FA"/>
    <w:rsid w:val="005530A2"/>
    <w:rsid w:val="00563598"/>
    <w:rsid w:val="00564AA9"/>
    <w:rsid w:val="00587079"/>
    <w:rsid w:val="005A11D3"/>
    <w:rsid w:val="005B2560"/>
    <w:rsid w:val="005D2576"/>
    <w:rsid w:val="005E2684"/>
    <w:rsid w:val="00605C4C"/>
    <w:rsid w:val="006115DD"/>
    <w:rsid w:val="006155DC"/>
    <w:rsid w:val="00625EBE"/>
    <w:rsid w:val="00682002"/>
    <w:rsid w:val="006A75AC"/>
    <w:rsid w:val="006B7367"/>
    <w:rsid w:val="006E5DB3"/>
    <w:rsid w:val="006F2D15"/>
    <w:rsid w:val="00706A2A"/>
    <w:rsid w:val="007117FE"/>
    <w:rsid w:val="00741852"/>
    <w:rsid w:val="00743376"/>
    <w:rsid w:val="007463B6"/>
    <w:rsid w:val="007474AD"/>
    <w:rsid w:val="007C2815"/>
    <w:rsid w:val="007C7661"/>
    <w:rsid w:val="007E30A8"/>
    <w:rsid w:val="007F3C45"/>
    <w:rsid w:val="0081222C"/>
    <w:rsid w:val="008255C0"/>
    <w:rsid w:val="00834FB0"/>
    <w:rsid w:val="00882BAB"/>
    <w:rsid w:val="008976C1"/>
    <w:rsid w:val="008B1A28"/>
    <w:rsid w:val="008C20ED"/>
    <w:rsid w:val="008D0A1F"/>
    <w:rsid w:val="008E31C5"/>
    <w:rsid w:val="008E6E58"/>
    <w:rsid w:val="008F2858"/>
    <w:rsid w:val="0090217C"/>
    <w:rsid w:val="009028F8"/>
    <w:rsid w:val="009163C0"/>
    <w:rsid w:val="00950CDA"/>
    <w:rsid w:val="00956E36"/>
    <w:rsid w:val="009618C5"/>
    <w:rsid w:val="00976587"/>
    <w:rsid w:val="00995DD6"/>
    <w:rsid w:val="009976E6"/>
    <w:rsid w:val="009A4BDF"/>
    <w:rsid w:val="009A5C0E"/>
    <w:rsid w:val="009B5E01"/>
    <w:rsid w:val="009B66DE"/>
    <w:rsid w:val="009E5236"/>
    <w:rsid w:val="009E6539"/>
    <w:rsid w:val="00A1777D"/>
    <w:rsid w:val="00A23A88"/>
    <w:rsid w:val="00A43C69"/>
    <w:rsid w:val="00A47C08"/>
    <w:rsid w:val="00A56E57"/>
    <w:rsid w:val="00A731F8"/>
    <w:rsid w:val="00AA31DB"/>
    <w:rsid w:val="00B33C1F"/>
    <w:rsid w:val="00B500E4"/>
    <w:rsid w:val="00B509DB"/>
    <w:rsid w:val="00B661D7"/>
    <w:rsid w:val="00B80978"/>
    <w:rsid w:val="00B91E3F"/>
    <w:rsid w:val="00B948DD"/>
    <w:rsid w:val="00BA0566"/>
    <w:rsid w:val="00C053C6"/>
    <w:rsid w:val="00C24DCF"/>
    <w:rsid w:val="00C3289C"/>
    <w:rsid w:val="00C3405E"/>
    <w:rsid w:val="00C67FC0"/>
    <w:rsid w:val="00C77F16"/>
    <w:rsid w:val="00CF27DC"/>
    <w:rsid w:val="00D00334"/>
    <w:rsid w:val="00D1569E"/>
    <w:rsid w:val="00D177AE"/>
    <w:rsid w:val="00D2408F"/>
    <w:rsid w:val="00D268DE"/>
    <w:rsid w:val="00D36CF1"/>
    <w:rsid w:val="00D57852"/>
    <w:rsid w:val="00D8513E"/>
    <w:rsid w:val="00D87174"/>
    <w:rsid w:val="00DB7964"/>
    <w:rsid w:val="00DD6458"/>
    <w:rsid w:val="00DE2B86"/>
    <w:rsid w:val="00E409C9"/>
    <w:rsid w:val="00E41417"/>
    <w:rsid w:val="00E44F30"/>
    <w:rsid w:val="00EB3DA3"/>
    <w:rsid w:val="00EB678B"/>
    <w:rsid w:val="00ED5AC6"/>
    <w:rsid w:val="00ED7383"/>
    <w:rsid w:val="00F11E8B"/>
    <w:rsid w:val="00F30FD4"/>
    <w:rsid w:val="00F45C35"/>
    <w:rsid w:val="00F46F61"/>
    <w:rsid w:val="00F6334A"/>
    <w:rsid w:val="00F67DEB"/>
    <w:rsid w:val="00FD09C9"/>
    <w:rsid w:val="0411E6D6"/>
    <w:rsid w:val="0B89ADBC"/>
    <w:rsid w:val="2437D55B"/>
    <w:rsid w:val="397CF9D8"/>
    <w:rsid w:val="579198B4"/>
    <w:rsid w:val="7172CAC6"/>
    <w:rsid w:val="77F59B48"/>
    <w:rsid w:val="79E0C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6D214553-8B16-4CD6-B77C-AA012753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Revision">
    <w:name w:val="Revision"/>
    <w:hidden/>
    <w:uiPriority w:val="99"/>
    <w:semiHidden/>
    <w:rsid w:val="00014CCA"/>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2C21C-C76A-4F16-85ED-1BC7998FC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purl.org/dc/terms/"/>
    <ds:schemaRef ds:uri="c15478a5-0be8-4f5d-8383-b307d5ba8bf6"/>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85ec44e-1bab-4c0b-9df0-6ba128686fc9"/>
    <ds:schemaRef ds:uri="a7b50396-0b06-45c1-b28e-46f86d566a10"/>
    <ds:schemaRef ds:uri="http://www.w3.org/XML/1998/namespace"/>
    <ds:schemaRef ds:uri="http://purl.org/dc/dcmitype/"/>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31</cp:revision>
  <dcterms:created xsi:type="dcterms:W3CDTF">2025-12-09T14:49:00Z</dcterms:created>
  <dcterms:modified xsi:type="dcterms:W3CDTF">2025-12-17T13:09:00Z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