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6BECB" w14:textId="77777777" w:rsidR="003C454F" w:rsidRPr="00EC2A58" w:rsidRDefault="003C454F" w:rsidP="003C454F">
      <w:pPr>
        <w:widowControl w:val="0"/>
        <w:tabs>
          <w:tab w:val="left" w:pos="-1057"/>
          <w:tab w:val="left" w:pos="-720"/>
        </w:tabs>
        <w:suppressAutoHyphens/>
        <w:autoSpaceDE w:val="0"/>
        <w:autoSpaceDN w:val="0"/>
        <w:spacing w:after="0" w:line="240" w:lineRule="auto"/>
        <w:textAlignment w:val="baseline"/>
        <w:rPr>
          <w:rFonts w:eastAsia="Times New Roman" w:cs="Arial"/>
          <w:spacing w:val="-8"/>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3C454F" w:rsidRPr="003C454F" w14:paraId="7E3948E6" w14:textId="77777777" w:rsidTr="00E62483">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4AD2248C" w14:textId="77777777" w:rsidR="003C454F" w:rsidRPr="00EC2A58" w:rsidRDefault="003C454F" w:rsidP="00E62483">
            <w:pPr>
              <w:widowControl w:val="0"/>
              <w:suppressAutoHyphens/>
              <w:autoSpaceDE w:val="0"/>
              <w:autoSpaceDN w:val="0"/>
              <w:spacing w:after="0" w:line="240" w:lineRule="auto"/>
              <w:textAlignment w:val="baseline"/>
              <w:rPr>
                <w:rFonts w:ascii="Calibri" w:eastAsia="Calibri" w:hAnsi="Calibri" w:cs="Times New Roman"/>
              </w:rPr>
            </w:pPr>
            <w:bookmarkStart w:id="0" w:name="_Hlk208560930"/>
            <w:r w:rsidRPr="00EC2A58">
              <w:rPr>
                <w:rFonts w:eastAsia="Times New Roman" w:cs="Arial"/>
                <w:noProof/>
              </w:rPr>
              <w:drawing>
                <wp:inline distT="0" distB="0" distL="0" distR="0" wp14:anchorId="7623A852" wp14:editId="50FD4148">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7AD0EE8A" w14:textId="77777777" w:rsidR="003C454F" w:rsidRPr="00EC2A58" w:rsidRDefault="003C454F" w:rsidP="00E62483">
            <w:pPr>
              <w:widowControl w:val="0"/>
              <w:suppressAutoHyphens/>
              <w:autoSpaceDE w:val="0"/>
              <w:autoSpaceDN w:val="0"/>
              <w:spacing w:after="0" w:line="240" w:lineRule="auto"/>
              <w:textAlignment w:val="baseline"/>
              <w:rPr>
                <w:rFonts w:eastAsia="Times New Roman" w:cs="Arial"/>
                <w:lang w:val="fr-FR"/>
              </w:rPr>
            </w:pPr>
          </w:p>
        </w:tc>
        <w:tc>
          <w:tcPr>
            <w:tcW w:w="4414" w:type="dxa"/>
            <w:tcBorders>
              <w:top w:val="single" w:sz="12" w:space="0" w:color="000000"/>
              <w:bottom w:val="single" w:sz="12" w:space="0" w:color="000000"/>
            </w:tcBorders>
            <w:tcMar>
              <w:top w:w="85" w:type="dxa"/>
              <w:left w:w="108" w:type="dxa"/>
              <w:bottom w:w="0" w:type="dxa"/>
              <w:right w:w="108" w:type="dxa"/>
            </w:tcMar>
          </w:tcPr>
          <w:p w14:paraId="3C5C229D" w14:textId="77777777" w:rsidR="003C454F" w:rsidRPr="00EC2A58" w:rsidRDefault="003C454F" w:rsidP="00E62483">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35A8ABE4" w14:textId="77777777" w:rsidR="003C454F" w:rsidRPr="00EC2A58" w:rsidRDefault="003C454F" w:rsidP="00E62483">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22D70EEA" w14:textId="77777777" w:rsidR="003C454F" w:rsidRPr="00EC2A58" w:rsidRDefault="003C454F" w:rsidP="00E62483">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2F63EC9E" w14:textId="77777777" w:rsidR="003C454F" w:rsidRPr="00EC2A58" w:rsidRDefault="003C454F" w:rsidP="00E62483">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708" w:type="dxa"/>
            <w:tcBorders>
              <w:top w:val="single" w:sz="12" w:space="0" w:color="000000"/>
              <w:bottom w:val="single" w:sz="12" w:space="0" w:color="000000"/>
            </w:tcBorders>
            <w:tcMar>
              <w:top w:w="85" w:type="dxa"/>
              <w:left w:w="108" w:type="dxa"/>
              <w:bottom w:w="0" w:type="dxa"/>
              <w:right w:w="108" w:type="dxa"/>
            </w:tcMar>
          </w:tcPr>
          <w:p w14:paraId="2779396C" w14:textId="2EB604D4" w:rsidR="003C454F" w:rsidRPr="00AF3AEC" w:rsidRDefault="003C454F" w:rsidP="00E6248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sidRPr="00EC2A58">
              <w:rPr>
                <w:rFonts w:eastAsia="Arial" w:cs="Arial"/>
                <w:lang w:val="fr-FR"/>
              </w:rPr>
              <w:t>UNEP/CMS/COP1</w:t>
            </w:r>
            <w:r>
              <w:rPr>
                <w:rFonts w:eastAsia="Arial" w:cs="Arial"/>
                <w:lang w:val="fr-FR"/>
              </w:rPr>
              <w:t>5</w:t>
            </w:r>
            <w:r w:rsidRPr="00EC2A58">
              <w:rPr>
                <w:rFonts w:eastAsia="Arial" w:cs="Arial"/>
                <w:lang w:val="fr-FR"/>
              </w:rPr>
              <w:t>/Doc.</w:t>
            </w:r>
            <w:r w:rsidR="00041B56">
              <w:rPr>
                <w:rFonts w:eastAsia="Arial" w:cs="Arial"/>
                <w:lang w:val="fr-FR"/>
              </w:rPr>
              <w:t>31.3.3</w:t>
            </w:r>
          </w:p>
          <w:p w14:paraId="709CBDC5" w14:textId="0D5040AC" w:rsidR="003C454F" w:rsidRPr="00AF3AEC" w:rsidRDefault="00041B56" w:rsidP="00E6248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Pr>
                <w:rFonts w:eastAsia="Arial" w:cs="Arial"/>
                <w:lang w:val="fr-FR"/>
              </w:rPr>
              <w:t xml:space="preserve">23 octobre </w:t>
            </w:r>
            <w:r w:rsidR="003C454F" w:rsidRPr="00AF3AEC">
              <w:rPr>
                <w:rFonts w:eastAsia="Arial" w:cs="Arial"/>
                <w:lang w:val="fr-FR"/>
              </w:rPr>
              <w:t>2025</w:t>
            </w:r>
          </w:p>
          <w:p w14:paraId="48293117" w14:textId="77777777" w:rsidR="003C454F" w:rsidRPr="00FC4F18" w:rsidRDefault="003C454F" w:rsidP="00E62483">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Français</w:t>
            </w:r>
          </w:p>
          <w:p w14:paraId="6F4D2960" w14:textId="77777777" w:rsidR="003C454F" w:rsidRPr="00FC4F18" w:rsidRDefault="003C454F" w:rsidP="00E62483">
            <w:pPr>
              <w:widowControl w:val="0"/>
              <w:suppressAutoHyphens/>
              <w:autoSpaceDE w:val="0"/>
              <w:autoSpaceDN w:val="0"/>
              <w:spacing w:after="120" w:line="240" w:lineRule="auto"/>
              <w:textAlignment w:val="baseline"/>
              <w:rPr>
                <w:rFonts w:ascii="Calibri" w:eastAsia="Calibri" w:hAnsi="Calibri" w:cs="Times New Roman"/>
                <w:lang w:val="fr-FR"/>
              </w:rPr>
            </w:pPr>
            <w:r w:rsidRPr="00EC2A58">
              <w:rPr>
                <w:rFonts w:eastAsia="Arial" w:cs="Arial"/>
                <w:lang w:val="fr-FR"/>
              </w:rPr>
              <w:t>Original : Anglais</w:t>
            </w:r>
          </w:p>
        </w:tc>
      </w:tr>
    </w:tbl>
    <w:p w14:paraId="76AE97A9" w14:textId="77777777" w:rsidR="003C454F" w:rsidRPr="00EC2A58" w:rsidRDefault="003C454F" w:rsidP="003C454F">
      <w:pPr>
        <w:widowControl w:val="0"/>
        <w:tabs>
          <w:tab w:val="left" w:pos="-1057"/>
          <w:tab w:val="left" w:pos="-720"/>
        </w:tabs>
        <w:suppressAutoHyphens/>
        <w:autoSpaceDE w:val="0"/>
        <w:autoSpaceDN w:val="0"/>
        <w:spacing w:after="0" w:line="240" w:lineRule="auto"/>
        <w:textAlignment w:val="baseline"/>
        <w:rPr>
          <w:rFonts w:eastAsia="Arial" w:cs="Arial"/>
          <w:sz w:val="8"/>
          <w:szCs w:val="8"/>
          <w:lang w:val="fr-FR"/>
        </w:rPr>
      </w:pPr>
      <w:bookmarkStart w:id="1" w:name="_Hlk208560946"/>
      <w:bookmarkEnd w:id="0"/>
    </w:p>
    <w:p w14:paraId="22FD3531" w14:textId="77777777" w:rsidR="003C454F" w:rsidRPr="00EC2A58" w:rsidRDefault="003C454F" w:rsidP="003C454F">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1</w:t>
      </w:r>
      <w:r>
        <w:rPr>
          <w:rFonts w:eastAsia="Arial" w:cs="Arial"/>
          <w:lang w:val="fr-FR"/>
        </w:rPr>
        <w:t>5</w:t>
      </w:r>
      <w:r w:rsidRPr="00EC2A58">
        <w:rPr>
          <w:rFonts w:eastAsia="Arial" w:cs="Arial"/>
          <w:vertAlign w:val="superscript"/>
          <w:lang w:val="fr-FR"/>
        </w:rPr>
        <w:t>ème</w:t>
      </w:r>
      <w:r w:rsidRPr="00EC2A58">
        <w:rPr>
          <w:rFonts w:eastAsia="Arial" w:cs="Arial"/>
          <w:lang w:val="fr-FR"/>
        </w:rPr>
        <w:t xml:space="preserve"> SESSION DE LA CONFÉRENCE DES PARTIES</w:t>
      </w:r>
    </w:p>
    <w:p w14:paraId="66EE69F2" w14:textId="77777777" w:rsidR="003C454F" w:rsidRPr="00EC2A58" w:rsidRDefault="003C454F" w:rsidP="003C454F">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rFonts w:eastAsia="Arial" w:cs="Arial"/>
          <w:bCs/>
          <w:lang w:val="fr-FR"/>
        </w:rPr>
        <w:t>Campo Grande, Brésil, 23 au 29 mars 2026</w:t>
      </w:r>
    </w:p>
    <w:p w14:paraId="63635E40" w14:textId="6915781C" w:rsidR="003C454F" w:rsidRPr="00EC2A58" w:rsidRDefault="003C454F" w:rsidP="003C454F">
      <w:pPr>
        <w:widowControl w:val="0"/>
        <w:suppressAutoHyphens/>
        <w:autoSpaceDE w:val="0"/>
        <w:autoSpaceDN w:val="0"/>
        <w:spacing w:after="0" w:line="228" w:lineRule="auto"/>
        <w:textAlignment w:val="baseline"/>
        <w:rPr>
          <w:rFonts w:ascii="Calibri" w:eastAsia="Calibri" w:hAnsi="Calibri" w:cs="Times New Roman"/>
          <w:lang w:val="fr-FR"/>
        </w:rPr>
      </w:pPr>
      <w:r w:rsidRPr="00EC2A58">
        <w:rPr>
          <w:rFonts w:eastAsia="Arial" w:cs="Arial"/>
          <w:iCs/>
          <w:lang w:val="fr-FR"/>
        </w:rPr>
        <w:t xml:space="preserve">Point </w:t>
      </w:r>
      <w:r w:rsidR="009A3973">
        <w:rPr>
          <w:rFonts w:eastAsia="Arial" w:cs="Arial"/>
          <w:iCs/>
          <w:lang w:val="fr-FR"/>
        </w:rPr>
        <w:t>31.3.3</w:t>
      </w:r>
      <w:r w:rsidRPr="00EC2A58">
        <w:rPr>
          <w:rFonts w:eastAsia="Arial" w:cs="Arial"/>
          <w:iCs/>
          <w:lang w:val="fr-FR"/>
        </w:rPr>
        <w:t xml:space="preserve"> de l’ordre du jour</w:t>
      </w:r>
    </w:p>
    <w:bookmarkEnd w:id="1"/>
    <w:p w14:paraId="3D78BF17" w14:textId="77777777" w:rsidR="006300B6" w:rsidRPr="000546A6" w:rsidRDefault="006300B6">
      <w:pPr>
        <w:widowControl w:val="0"/>
        <w:suppressAutoHyphens/>
        <w:autoSpaceDE w:val="0"/>
        <w:autoSpaceDN w:val="0"/>
        <w:spacing w:after="0" w:line="240" w:lineRule="auto"/>
        <w:jc w:val="both"/>
        <w:textAlignment w:val="baseline"/>
        <w:rPr>
          <w:rFonts w:eastAsia="Times New Roman" w:cs="Arial"/>
          <w:lang w:val="fr-FR"/>
        </w:rPr>
      </w:pPr>
    </w:p>
    <w:p w14:paraId="5C479904" w14:textId="77777777" w:rsidR="006300B6" w:rsidRPr="000546A6" w:rsidRDefault="006300B6">
      <w:pPr>
        <w:widowControl w:val="0"/>
        <w:suppressAutoHyphens/>
        <w:autoSpaceDE w:val="0"/>
        <w:autoSpaceDN w:val="0"/>
        <w:spacing w:after="0" w:line="240" w:lineRule="auto"/>
        <w:jc w:val="both"/>
        <w:textAlignment w:val="baseline"/>
        <w:rPr>
          <w:rFonts w:eastAsia="Times New Roman" w:cs="Arial"/>
          <w:lang w:val="fr-FR"/>
        </w:rPr>
      </w:pPr>
    </w:p>
    <w:p w14:paraId="41C6091E" w14:textId="77777777" w:rsidR="006300B6" w:rsidRPr="000546A6" w:rsidRDefault="00CC76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90" w:right="-367"/>
        <w:jc w:val="center"/>
        <w:textAlignment w:val="baseline"/>
        <w:outlineLvl w:val="1"/>
        <w:rPr>
          <w:rFonts w:eastAsia="Times New Roman" w:cs="Arial"/>
          <w:b/>
          <w:bCs/>
          <w:lang w:val="fr-FR"/>
        </w:rPr>
      </w:pPr>
      <w:r w:rsidRPr="000546A6">
        <w:rPr>
          <w:rFonts w:eastAsia="Times New Roman" w:cs="Arial"/>
          <w:b/>
          <w:bCs/>
          <w:lang w:val="fr-FR"/>
        </w:rPr>
        <w:t>PROPOSITION D'ACTION CONCERTÉE POUR</w:t>
      </w:r>
    </w:p>
    <w:p w14:paraId="6558957E" w14:textId="77777777" w:rsidR="006300B6" w:rsidRPr="000546A6" w:rsidRDefault="00CC7671">
      <w:pPr>
        <w:widowControl w:val="0"/>
        <w:tabs>
          <w:tab w:val="left" w:pos="8295"/>
        </w:tabs>
        <w:suppressAutoHyphens/>
        <w:autoSpaceDE w:val="0"/>
        <w:autoSpaceDN w:val="0"/>
        <w:spacing w:after="0" w:line="240" w:lineRule="auto"/>
        <w:jc w:val="center"/>
        <w:textAlignment w:val="baseline"/>
        <w:rPr>
          <w:rFonts w:eastAsia="Times New Roman" w:cs="Arial"/>
          <w:sz w:val="21"/>
          <w:szCs w:val="21"/>
          <w:lang w:val="fr-FR"/>
        </w:rPr>
      </w:pPr>
      <w:r w:rsidRPr="000546A6">
        <w:rPr>
          <w:rFonts w:eastAsia="Times New Roman" w:cs="Arial"/>
          <w:b/>
          <w:bCs/>
          <w:lang w:val="fr-FR"/>
        </w:rPr>
        <w:t xml:space="preserve">POUR LE LYNX COMMUN </w:t>
      </w:r>
      <w:r w:rsidRPr="000546A6">
        <w:rPr>
          <w:rFonts w:eastAsia="Times New Roman" w:cs="Arial"/>
          <w:b/>
          <w:bCs/>
          <w:i/>
          <w:iCs/>
          <w:lang w:val="fr-FR"/>
        </w:rPr>
        <w:t>(</w:t>
      </w:r>
      <w:r w:rsidRPr="000546A6">
        <w:rPr>
          <w:rFonts w:eastAsia="Times New Roman" w:cs="Arial"/>
          <w:b/>
          <w:bCs/>
          <w:lang w:val="fr-FR"/>
        </w:rPr>
        <w:t xml:space="preserve">Lynx </w:t>
      </w:r>
      <w:proofErr w:type="spellStart"/>
      <w:r w:rsidRPr="000546A6">
        <w:rPr>
          <w:rFonts w:eastAsia="Times New Roman" w:cs="Arial"/>
          <w:b/>
          <w:bCs/>
          <w:lang w:val="fr-FR"/>
        </w:rPr>
        <w:t>lynx</w:t>
      </w:r>
      <w:proofErr w:type="spellEnd"/>
      <w:r w:rsidRPr="000546A6">
        <w:rPr>
          <w:rFonts w:eastAsia="Times New Roman" w:cs="Arial"/>
          <w:sz w:val="21"/>
          <w:szCs w:val="21"/>
          <w:lang w:val="fr-FR"/>
        </w:rPr>
        <w:t>)*</w:t>
      </w:r>
    </w:p>
    <w:p w14:paraId="126BFB90" w14:textId="77777777" w:rsidR="006300B6" w:rsidRPr="000546A6" w:rsidRDefault="006300B6">
      <w:pPr>
        <w:widowControl w:val="0"/>
        <w:suppressAutoHyphens/>
        <w:autoSpaceDE w:val="0"/>
        <w:autoSpaceDN w:val="0"/>
        <w:spacing w:after="0" w:line="240" w:lineRule="auto"/>
        <w:jc w:val="both"/>
        <w:textAlignment w:val="baseline"/>
        <w:rPr>
          <w:rFonts w:eastAsia="Times New Roman" w:cs="Arial"/>
          <w:sz w:val="21"/>
          <w:szCs w:val="21"/>
          <w:lang w:val="fr-FR"/>
        </w:rPr>
      </w:pPr>
    </w:p>
    <w:p w14:paraId="539E6F4B" w14:textId="77777777" w:rsidR="006300B6" w:rsidRPr="000546A6" w:rsidRDefault="00CC7671">
      <w:pPr>
        <w:widowControl w:val="0"/>
        <w:suppressAutoHyphens/>
        <w:autoSpaceDE w:val="0"/>
        <w:autoSpaceDN w:val="0"/>
        <w:spacing w:after="0" w:line="240" w:lineRule="auto"/>
        <w:jc w:val="both"/>
        <w:textAlignment w:val="baseline"/>
        <w:rPr>
          <w:rFonts w:eastAsia="Times New Roman" w:cs="Arial"/>
          <w:sz w:val="21"/>
          <w:szCs w:val="21"/>
          <w:lang w:val="fr-FR"/>
        </w:rPr>
      </w:pPr>
      <w:r w:rsidRPr="000546A6">
        <w:rPr>
          <w:rFonts w:ascii="Times New Roman" w:hAnsi="Times New Roman"/>
          <w:noProof/>
          <w:sz w:val="24"/>
          <w:szCs w:val="24"/>
          <w:lang w:val="fr-FR"/>
        </w:rPr>
        <mc:AlternateContent>
          <mc:Choice Requires="wps">
            <w:drawing>
              <wp:anchor distT="0" distB="0" distL="114300" distR="114300" simplePos="0" relativeHeight="251659264" behindDoc="0" locked="0" layoutInCell="1" allowOverlap="1" wp14:anchorId="2BB63846" wp14:editId="557CAE77">
                <wp:simplePos x="0" y="0"/>
                <wp:positionH relativeFrom="column">
                  <wp:posOffset>762000</wp:posOffset>
                </wp:positionH>
                <wp:positionV relativeFrom="paragraph">
                  <wp:posOffset>154940</wp:posOffset>
                </wp:positionV>
                <wp:extent cx="4304665" cy="1619250"/>
                <wp:effectExtent l="0" t="0" r="19685" b="19050"/>
                <wp:wrapNone/>
                <wp:docPr id="5" name="Text Box 1"/>
                <wp:cNvGraphicFramePr/>
                <a:graphic xmlns:a="http://schemas.openxmlformats.org/drawingml/2006/main">
                  <a:graphicData uri="http://schemas.microsoft.com/office/word/2010/wordprocessingShape">
                    <wps:wsp>
                      <wps:cNvSpPr txBox="1"/>
                      <wps:spPr>
                        <a:xfrm>
                          <a:off x="0" y="0"/>
                          <a:ext cx="4304665" cy="1619250"/>
                        </a:xfrm>
                        <a:prstGeom prst="rect">
                          <a:avLst/>
                        </a:prstGeom>
                        <a:solidFill>
                          <a:srgbClr val="FFFFFF"/>
                        </a:solidFill>
                        <a:ln w="3172">
                          <a:solidFill>
                            <a:srgbClr val="000000"/>
                          </a:solidFill>
                          <a:prstDash val="solid"/>
                        </a:ln>
                      </wps:spPr>
                      <wps:txbx>
                        <w:txbxContent>
                          <w:p w14:paraId="06FF3313" w14:textId="77777777" w:rsidR="006300B6" w:rsidRDefault="00CC7671">
                            <w:pPr>
                              <w:spacing w:after="0"/>
                              <w:rPr>
                                <w:rFonts w:cs="Arial"/>
                                <w:lang w:val="fr-FR"/>
                              </w:rPr>
                            </w:pPr>
                            <w:r>
                              <w:rPr>
                                <w:rFonts w:cs="Arial"/>
                                <w:lang w:val="fr-FR"/>
                              </w:rPr>
                              <w:t>Résumé :</w:t>
                            </w:r>
                          </w:p>
                          <w:p w14:paraId="075706F2" w14:textId="77777777" w:rsidR="006300B6" w:rsidRDefault="006300B6">
                            <w:pPr>
                              <w:widowControl w:val="0"/>
                              <w:autoSpaceDE w:val="0"/>
                              <w:spacing w:after="0" w:line="240" w:lineRule="auto"/>
                              <w:jc w:val="both"/>
                              <w:rPr>
                                <w:rFonts w:cs="Times New Roman"/>
                                <w:lang w:val="fr-FR"/>
                              </w:rPr>
                            </w:pPr>
                          </w:p>
                          <w:p w14:paraId="30B21761" w14:textId="77777777" w:rsidR="006300B6" w:rsidRDefault="00CC7671">
                            <w:pPr>
                              <w:autoSpaceDE w:val="0"/>
                              <w:spacing w:after="0" w:line="240" w:lineRule="auto"/>
                              <w:jc w:val="both"/>
                              <w:rPr>
                                <w:lang w:val="fr-FR"/>
                              </w:rPr>
                            </w:pPr>
                            <w:r>
                              <w:rPr>
                                <w:lang w:val="fr-FR"/>
                              </w:rPr>
                              <w:t xml:space="preserve">Le Programme des Nations Unies pour l'environnement/Secrétariat de la Convention des Carpates et le Groupe d'experts des félins de l'Union internationale pour la conservation de la nature (UICN) ont soumis la proposition ci-jointe* pour la poursuite des </w:t>
                            </w:r>
                            <w:r>
                              <w:rPr>
                                <w:b/>
                                <w:bCs/>
                                <w:lang w:val="fr-FR"/>
                              </w:rPr>
                              <w:t>Actions concertées pour le lynx commun (</w:t>
                            </w:r>
                            <w:r>
                              <w:rPr>
                                <w:b/>
                                <w:bCs/>
                                <w:i/>
                                <w:iCs/>
                                <w:lang w:val="fr-FR"/>
                              </w:rPr>
                              <w:t>Lynx lynx</w:t>
                            </w:r>
                            <w:r>
                              <w:rPr>
                                <w:b/>
                                <w:bCs/>
                                <w:lang w:val="fr-FR"/>
                              </w:rPr>
                              <w:t>)</w:t>
                            </w:r>
                            <w:r>
                              <w:rPr>
                                <w:lang w:val="fr-FR"/>
                              </w:rPr>
                              <w:t xml:space="preserve"> conformément au processus élaboré dans la Résolution 12.28</w:t>
                            </w:r>
                            <w:r>
                              <w:rPr>
                                <w:rFonts w:eastAsia="Times New Roman" w:cs="Arial"/>
                                <w:lang w:val="fr-FR"/>
                              </w:rPr>
                              <w:t xml:space="preserve"> (Rev.COP14).</w:t>
                            </w:r>
                          </w:p>
                          <w:p w14:paraId="3B37B72F" w14:textId="77777777" w:rsidR="006300B6" w:rsidRDefault="006300B6">
                            <w:pPr>
                              <w:spacing w:after="0" w:line="240" w:lineRule="auto"/>
                              <w:rPr>
                                <w:rFonts w:cs="Arial"/>
                                <w:lang w:val="fr-FR"/>
                              </w:rPr>
                            </w:pPr>
                          </w:p>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margin">
                  <wp14:pctHeight>0</wp14:pctHeight>
                </wp14:sizeRelV>
              </wp:anchor>
            </w:drawing>
          </mc:Choice>
          <mc:Fallback>
            <w:pict>
              <v:shapetype w14:anchorId="2BB63846" id="_x0000_t202" coordsize="21600,21600" o:spt="202" path="m,l,21600r21600,l21600,xe">
                <v:stroke joinstyle="miter"/>
                <v:path gradientshapeok="t" o:connecttype="rect"/>
              </v:shapetype>
              <v:shape id="Text Box 1" o:spid="_x0000_s1026" type="#_x0000_t202" style="position:absolute;left:0;text-align:left;margin-left:60pt;margin-top:12.2pt;width:338.9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" strokeweight=".08811mm">
                <v:textbox>
                  <w:txbxContent>
                    <w:p w14:paraId="06FF3313" w14:textId="77777777" w:rsidR="006300B6" w:rsidRDefault="00CC7671">
                      <w:pPr>
                        <w:spacing w:after="0"/>
                        <w:rPr>
                          <w:rFonts w:cs="Arial"/>
                          <w:lang w:val="fr-FR"/>
                        </w:rPr>
                      </w:pPr>
                      <w:r>
                        <w:rPr>
                          <w:rFonts w:cs="Arial"/>
                          <w:lang w:val="fr-FR"/>
                        </w:rPr>
                        <w:t>Résumé :</w:t>
                      </w:r>
                    </w:p>
                    <w:p w14:paraId="075706F2" w14:textId="77777777" w:rsidR="006300B6" w:rsidRDefault="006300B6">
                      <w:pPr>
                        <w:widowControl w:val="0"/>
                        <w:autoSpaceDE w:val="0"/>
                        <w:spacing w:after="0" w:line="240" w:lineRule="auto"/>
                        <w:jc w:val="both"/>
                        <w:rPr>
                          <w:rFonts w:cs="Times New Roman"/>
                          <w:lang w:val="fr-FR"/>
                        </w:rPr>
                      </w:pPr>
                    </w:p>
                    <w:p w14:paraId="30B21761" w14:textId="77777777" w:rsidR="006300B6" w:rsidRDefault="00CC7671">
                      <w:pPr>
                        <w:autoSpaceDE w:val="0"/>
                        <w:spacing w:after="0" w:line="240" w:lineRule="auto"/>
                        <w:jc w:val="both"/>
                        <w:rPr>
                          <w:lang w:val="fr-FR"/>
                        </w:rPr>
                      </w:pPr>
                      <w:r>
                        <w:rPr>
                          <w:lang w:val="fr-FR"/>
                        </w:rPr>
                        <w:t xml:space="preserve">Le Programme des Nations Unies pour l'environnement/Secrétariat de la Convention des Carpates et le Groupe d'experts des félins de l'Union internationale pour la conservation de la nature (UICN) ont soumis la proposition ci-jointe* pour la poursuite des </w:t>
                      </w:r>
                      <w:r>
                        <w:rPr>
                          <w:b/>
                          <w:bCs/>
                          <w:lang w:val="fr-FR"/>
                        </w:rPr>
                        <w:t>Actions concertées pour le lynx commun (</w:t>
                      </w:r>
                      <w:r>
                        <w:rPr>
                          <w:b/>
                          <w:bCs/>
                          <w:i/>
                          <w:iCs/>
                          <w:lang w:val="fr-FR"/>
                        </w:rPr>
                        <w:t>Lynx lynx</w:t>
                      </w:r>
                      <w:r>
                        <w:rPr>
                          <w:b/>
                          <w:bCs/>
                          <w:lang w:val="fr-FR"/>
                        </w:rPr>
                        <w:t>)</w:t>
                      </w:r>
                      <w:r>
                        <w:rPr>
                          <w:lang w:val="fr-FR"/>
                        </w:rPr>
                        <w:t xml:space="preserve"> conformément au processus élaboré dans la Résolution 12.28</w:t>
                      </w:r>
                      <w:r>
                        <w:rPr>
                          <w:rFonts w:eastAsia="Times New Roman" w:cs="Arial"/>
                          <w:lang w:val="fr-FR"/>
                        </w:rPr>
                        <w:t xml:space="preserve"> (Rev.COP14).</w:t>
                      </w:r>
                    </w:p>
                    <w:p w14:paraId="3B37B72F" w14:textId="77777777" w:rsidR="006300B6" w:rsidRDefault="006300B6">
                      <w:pPr>
                        <w:spacing w:after="0" w:line="240" w:lineRule="auto"/>
                        <w:rPr>
                          <w:rFonts w:cs="Arial"/>
                          <w:lang w:val="fr-FR"/>
                        </w:rPr>
                      </w:pPr>
                    </w:p>
                  </w:txbxContent>
                </v:textbox>
              </v:shape>
            </w:pict>
          </mc:Fallback>
        </mc:AlternateContent>
      </w:r>
    </w:p>
    <w:p w14:paraId="002081FE" w14:textId="77777777" w:rsidR="006300B6" w:rsidRPr="000546A6" w:rsidRDefault="006300B6">
      <w:pPr>
        <w:widowControl w:val="0"/>
        <w:suppressAutoHyphens/>
        <w:autoSpaceDE w:val="0"/>
        <w:autoSpaceDN w:val="0"/>
        <w:spacing w:after="0" w:line="240" w:lineRule="auto"/>
        <w:jc w:val="both"/>
        <w:textAlignment w:val="baseline"/>
        <w:rPr>
          <w:rFonts w:eastAsia="Times New Roman" w:cs="Arial"/>
          <w:sz w:val="21"/>
          <w:szCs w:val="21"/>
          <w:lang w:val="fr-FR"/>
        </w:rPr>
      </w:pPr>
    </w:p>
    <w:p w14:paraId="7A279668" w14:textId="77777777" w:rsidR="006300B6" w:rsidRPr="000546A6" w:rsidRDefault="006300B6">
      <w:pPr>
        <w:widowControl w:val="0"/>
        <w:suppressAutoHyphens/>
        <w:autoSpaceDE w:val="0"/>
        <w:autoSpaceDN w:val="0"/>
        <w:spacing w:after="0" w:line="240" w:lineRule="auto"/>
        <w:jc w:val="both"/>
        <w:textAlignment w:val="baseline"/>
        <w:rPr>
          <w:rFonts w:eastAsia="Times New Roman" w:cs="Arial"/>
          <w:sz w:val="21"/>
          <w:szCs w:val="21"/>
          <w:lang w:val="fr-FR"/>
        </w:rPr>
      </w:pPr>
    </w:p>
    <w:p w14:paraId="5BC20945" w14:textId="77777777" w:rsidR="006300B6" w:rsidRPr="000546A6" w:rsidRDefault="006300B6">
      <w:pPr>
        <w:widowControl w:val="0"/>
        <w:suppressAutoHyphens/>
        <w:autoSpaceDE w:val="0"/>
        <w:autoSpaceDN w:val="0"/>
        <w:spacing w:after="0" w:line="240" w:lineRule="auto"/>
        <w:jc w:val="both"/>
        <w:textAlignment w:val="baseline"/>
        <w:rPr>
          <w:rFonts w:eastAsia="Times New Roman" w:cs="Arial"/>
          <w:sz w:val="21"/>
          <w:szCs w:val="21"/>
          <w:lang w:val="fr-FR"/>
        </w:rPr>
      </w:pPr>
    </w:p>
    <w:p w14:paraId="3DEA7D19" w14:textId="77777777" w:rsidR="006300B6" w:rsidRPr="000546A6" w:rsidRDefault="006300B6">
      <w:pPr>
        <w:widowControl w:val="0"/>
        <w:suppressAutoHyphens/>
        <w:autoSpaceDE w:val="0"/>
        <w:autoSpaceDN w:val="0"/>
        <w:spacing w:after="0" w:line="240" w:lineRule="auto"/>
        <w:jc w:val="both"/>
        <w:textAlignment w:val="baseline"/>
        <w:rPr>
          <w:rFonts w:eastAsia="Times New Roman" w:cs="Arial"/>
          <w:sz w:val="21"/>
          <w:szCs w:val="21"/>
          <w:lang w:val="fr-FR"/>
        </w:rPr>
      </w:pPr>
    </w:p>
    <w:p w14:paraId="67CE0A89" w14:textId="77777777" w:rsidR="006300B6" w:rsidRPr="000546A6" w:rsidRDefault="006300B6">
      <w:pPr>
        <w:widowControl w:val="0"/>
        <w:suppressAutoHyphens/>
        <w:autoSpaceDE w:val="0"/>
        <w:autoSpaceDN w:val="0"/>
        <w:spacing w:after="0" w:line="240" w:lineRule="auto"/>
        <w:jc w:val="both"/>
        <w:textAlignment w:val="baseline"/>
        <w:rPr>
          <w:rFonts w:eastAsia="Times New Roman" w:cs="Arial"/>
          <w:sz w:val="21"/>
          <w:szCs w:val="21"/>
          <w:lang w:val="fr-FR"/>
        </w:rPr>
      </w:pPr>
    </w:p>
    <w:p w14:paraId="66771D88" w14:textId="77777777" w:rsidR="006300B6" w:rsidRPr="000546A6" w:rsidRDefault="006300B6">
      <w:pPr>
        <w:widowControl w:val="0"/>
        <w:suppressAutoHyphens/>
        <w:autoSpaceDE w:val="0"/>
        <w:autoSpaceDN w:val="0"/>
        <w:spacing w:after="0" w:line="240" w:lineRule="auto"/>
        <w:jc w:val="both"/>
        <w:textAlignment w:val="baseline"/>
        <w:rPr>
          <w:rFonts w:eastAsia="Times New Roman" w:cs="Arial"/>
          <w:sz w:val="21"/>
          <w:szCs w:val="21"/>
          <w:lang w:val="fr-FR"/>
        </w:rPr>
      </w:pPr>
    </w:p>
    <w:p w14:paraId="02B4DC9A" w14:textId="77777777" w:rsidR="006300B6" w:rsidRPr="000546A6" w:rsidRDefault="006300B6">
      <w:pPr>
        <w:widowControl w:val="0"/>
        <w:suppressAutoHyphens/>
        <w:autoSpaceDE w:val="0"/>
        <w:autoSpaceDN w:val="0"/>
        <w:spacing w:after="0" w:line="240" w:lineRule="auto"/>
        <w:jc w:val="both"/>
        <w:textAlignment w:val="baseline"/>
        <w:rPr>
          <w:rFonts w:eastAsia="Times New Roman" w:cs="Arial"/>
          <w:sz w:val="21"/>
          <w:szCs w:val="21"/>
          <w:lang w:val="fr-FR"/>
        </w:rPr>
      </w:pPr>
    </w:p>
    <w:p w14:paraId="6F7FAC86" w14:textId="77777777" w:rsidR="006300B6" w:rsidRPr="000546A6" w:rsidRDefault="006300B6">
      <w:pPr>
        <w:widowControl w:val="0"/>
        <w:suppressAutoHyphens/>
        <w:autoSpaceDE w:val="0"/>
        <w:autoSpaceDN w:val="0"/>
        <w:spacing w:after="0" w:line="240" w:lineRule="auto"/>
        <w:jc w:val="both"/>
        <w:textAlignment w:val="baseline"/>
        <w:rPr>
          <w:rFonts w:eastAsia="Times New Roman" w:cs="Arial"/>
          <w:sz w:val="21"/>
          <w:szCs w:val="21"/>
          <w:lang w:val="fr-FR"/>
        </w:rPr>
      </w:pPr>
    </w:p>
    <w:p w14:paraId="100A93CF" w14:textId="77777777" w:rsidR="006300B6" w:rsidRPr="000546A6" w:rsidRDefault="006300B6">
      <w:pPr>
        <w:widowControl w:val="0"/>
        <w:suppressAutoHyphens/>
        <w:autoSpaceDE w:val="0"/>
        <w:autoSpaceDN w:val="0"/>
        <w:spacing w:after="0" w:line="240" w:lineRule="auto"/>
        <w:jc w:val="both"/>
        <w:textAlignment w:val="baseline"/>
        <w:rPr>
          <w:rFonts w:eastAsia="Times New Roman" w:cs="Arial"/>
          <w:sz w:val="21"/>
          <w:szCs w:val="21"/>
          <w:lang w:val="fr-FR"/>
        </w:rPr>
      </w:pPr>
    </w:p>
    <w:p w14:paraId="00D531D0" w14:textId="77777777" w:rsidR="006300B6" w:rsidRPr="000546A6" w:rsidRDefault="006300B6">
      <w:pPr>
        <w:widowControl w:val="0"/>
        <w:suppressAutoHyphens/>
        <w:autoSpaceDE w:val="0"/>
        <w:autoSpaceDN w:val="0"/>
        <w:spacing w:after="0" w:line="240" w:lineRule="auto"/>
        <w:jc w:val="both"/>
        <w:textAlignment w:val="baseline"/>
        <w:rPr>
          <w:rFonts w:eastAsia="Times New Roman" w:cs="Arial"/>
          <w:sz w:val="21"/>
          <w:szCs w:val="21"/>
          <w:lang w:val="fr-FR"/>
        </w:rPr>
      </w:pPr>
    </w:p>
    <w:p w14:paraId="0DE4A23A" w14:textId="77777777" w:rsidR="006300B6" w:rsidRPr="000546A6" w:rsidRDefault="006300B6">
      <w:pPr>
        <w:widowControl w:val="0"/>
        <w:suppressAutoHyphens/>
        <w:autoSpaceDE w:val="0"/>
        <w:autoSpaceDN w:val="0"/>
        <w:spacing w:after="0" w:line="240" w:lineRule="auto"/>
        <w:jc w:val="both"/>
        <w:textAlignment w:val="baseline"/>
        <w:rPr>
          <w:rFonts w:eastAsia="Times New Roman" w:cs="Arial"/>
          <w:sz w:val="21"/>
          <w:szCs w:val="21"/>
          <w:lang w:val="fr-FR"/>
        </w:rPr>
      </w:pPr>
    </w:p>
    <w:p w14:paraId="17303E40" w14:textId="77777777" w:rsidR="006300B6" w:rsidRPr="000546A6" w:rsidRDefault="006300B6">
      <w:pPr>
        <w:widowControl w:val="0"/>
        <w:tabs>
          <w:tab w:val="left" w:pos="7245"/>
        </w:tabs>
        <w:suppressAutoHyphens/>
        <w:autoSpaceDE w:val="0"/>
        <w:autoSpaceDN w:val="0"/>
        <w:spacing w:after="0" w:line="240" w:lineRule="auto"/>
        <w:jc w:val="both"/>
        <w:textAlignment w:val="baseline"/>
        <w:rPr>
          <w:rFonts w:eastAsia="Times New Roman" w:cs="Arial"/>
          <w:sz w:val="21"/>
          <w:szCs w:val="21"/>
          <w:lang w:val="fr-FR"/>
        </w:rPr>
      </w:pPr>
    </w:p>
    <w:p w14:paraId="30D0DE8D" w14:textId="77777777" w:rsidR="006300B6" w:rsidRPr="000546A6" w:rsidRDefault="006300B6">
      <w:pPr>
        <w:widowControl w:val="0"/>
        <w:suppressAutoHyphens/>
        <w:autoSpaceDE w:val="0"/>
        <w:autoSpaceDN w:val="0"/>
        <w:spacing w:after="0" w:line="240" w:lineRule="auto"/>
        <w:jc w:val="both"/>
        <w:textAlignment w:val="baseline"/>
        <w:rPr>
          <w:rFonts w:eastAsia="Times New Roman" w:cs="Arial"/>
          <w:lang w:val="fr-FR"/>
        </w:rPr>
      </w:pPr>
    </w:p>
    <w:p w14:paraId="57F69961" w14:textId="77777777" w:rsidR="006300B6" w:rsidRPr="000546A6" w:rsidRDefault="006300B6">
      <w:pPr>
        <w:widowControl w:val="0"/>
        <w:suppressAutoHyphens/>
        <w:autoSpaceDE w:val="0"/>
        <w:autoSpaceDN w:val="0"/>
        <w:spacing w:after="0" w:line="240" w:lineRule="auto"/>
        <w:jc w:val="both"/>
        <w:textAlignment w:val="baseline"/>
        <w:rPr>
          <w:rFonts w:eastAsia="Times New Roman" w:cs="Arial"/>
          <w:lang w:val="fr-FR"/>
        </w:rPr>
      </w:pPr>
    </w:p>
    <w:p w14:paraId="2A6711BE" w14:textId="77777777" w:rsidR="006300B6" w:rsidRPr="000546A6" w:rsidRDefault="006300B6">
      <w:pPr>
        <w:spacing w:after="0" w:line="240" w:lineRule="auto"/>
        <w:jc w:val="both"/>
        <w:rPr>
          <w:lang w:val="fr-FR"/>
        </w:rPr>
      </w:pPr>
    </w:p>
    <w:p w14:paraId="4F206C9B" w14:textId="77777777" w:rsidR="006300B6" w:rsidRPr="000546A6" w:rsidRDefault="006300B6">
      <w:pPr>
        <w:spacing w:after="0" w:line="240" w:lineRule="auto"/>
        <w:jc w:val="both"/>
        <w:rPr>
          <w:lang w:val="fr-FR"/>
        </w:rPr>
      </w:pPr>
    </w:p>
    <w:p w14:paraId="29F35432" w14:textId="77777777" w:rsidR="006300B6" w:rsidRPr="000546A6" w:rsidRDefault="006300B6">
      <w:pPr>
        <w:spacing w:after="0" w:line="240" w:lineRule="auto"/>
        <w:jc w:val="both"/>
        <w:rPr>
          <w:lang w:val="fr-FR"/>
        </w:rPr>
      </w:pPr>
    </w:p>
    <w:p w14:paraId="76F1CC7D" w14:textId="77777777" w:rsidR="006300B6" w:rsidRPr="000546A6" w:rsidRDefault="006300B6">
      <w:pPr>
        <w:spacing w:after="0" w:line="240" w:lineRule="auto"/>
        <w:jc w:val="both"/>
        <w:rPr>
          <w:lang w:val="fr-FR"/>
        </w:rPr>
      </w:pPr>
    </w:p>
    <w:p w14:paraId="353EDECE" w14:textId="77777777" w:rsidR="006300B6" w:rsidRPr="000546A6" w:rsidRDefault="006300B6">
      <w:pPr>
        <w:spacing w:after="0" w:line="240" w:lineRule="auto"/>
        <w:jc w:val="both"/>
        <w:rPr>
          <w:lang w:val="fr-FR"/>
        </w:rPr>
      </w:pPr>
    </w:p>
    <w:p w14:paraId="47F6675E" w14:textId="77777777" w:rsidR="006300B6" w:rsidRPr="000546A6" w:rsidRDefault="006300B6">
      <w:pPr>
        <w:spacing w:after="0" w:line="240" w:lineRule="auto"/>
        <w:jc w:val="both"/>
        <w:rPr>
          <w:lang w:val="fr-FR"/>
        </w:rPr>
      </w:pPr>
    </w:p>
    <w:p w14:paraId="52E85584" w14:textId="77777777" w:rsidR="006300B6" w:rsidRPr="000546A6" w:rsidRDefault="006300B6">
      <w:pPr>
        <w:spacing w:after="0" w:line="240" w:lineRule="auto"/>
        <w:jc w:val="both"/>
        <w:rPr>
          <w:lang w:val="fr-FR"/>
        </w:rPr>
      </w:pPr>
    </w:p>
    <w:p w14:paraId="36259706" w14:textId="77777777" w:rsidR="006300B6" w:rsidRPr="000546A6" w:rsidRDefault="006300B6">
      <w:pPr>
        <w:spacing w:after="0" w:line="240" w:lineRule="auto"/>
        <w:jc w:val="both"/>
        <w:rPr>
          <w:lang w:val="fr-FR"/>
        </w:rPr>
      </w:pPr>
    </w:p>
    <w:p w14:paraId="5B1F9480" w14:textId="77777777" w:rsidR="006300B6" w:rsidRPr="000546A6" w:rsidRDefault="006300B6">
      <w:pPr>
        <w:spacing w:after="0" w:line="240" w:lineRule="auto"/>
        <w:jc w:val="both"/>
        <w:rPr>
          <w:sz w:val="20"/>
          <w:szCs w:val="20"/>
          <w:lang w:val="fr-FR"/>
        </w:rPr>
      </w:pPr>
    </w:p>
    <w:p w14:paraId="6590CBBD" w14:textId="77777777" w:rsidR="006300B6" w:rsidRPr="000546A6" w:rsidRDefault="006300B6">
      <w:pPr>
        <w:spacing w:after="0" w:line="240" w:lineRule="auto"/>
        <w:jc w:val="both"/>
        <w:rPr>
          <w:sz w:val="20"/>
          <w:szCs w:val="20"/>
          <w:lang w:val="fr-FR"/>
        </w:rPr>
      </w:pPr>
    </w:p>
    <w:p w14:paraId="7EE4F84F" w14:textId="77777777" w:rsidR="006300B6" w:rsidRPr="000546A6" w:rsidRDefault="006300B6">
      <w:pPr>
        <w:spacing w:after="0" w:line="240" w:lineRule="auto"/>
        <w:jc w:val="both"/>
        <w:rPr>
          <w:sz w:val="20"/>
          <w:szCs w:val="20"/>
          <w:lang w:val="fr-FR"/>
        </w:rPr>
      </w:pPr>
    </w:p>
    <w:p w14:paraId="3116E90F" w14:textId="77777777" w:rsidR="006300B6" w:rsidRPr="000546A6" w:rsidRDefault="006300B6">
      <w:pPr>
        <w:spacing w:after="0" w:line="240" w:lineRule="auto"/>
        <w:jc w:val="both"/>
        <w:rPr>
          <w:sz w:val="20"/>
          <w:szCs w:val="20"/>
          <w:lang w:val="fr-FR"/>
        </w:rPr>
      </w:pPr>
    </w:p>
    <w:p w14:paraId="56F7AFC0" w14:textId="77777777" w:rsidR="006300B6" w:rsidRPr="000546A6" w:rsidRDefault="006300B6">
      <w:pPr>
        <w:spacing w:after="0" w:line="240" w:lineRule="auto"/>
        <w:jc w:val="both"/>
        <w:rPr>
          <w:sz w:val="20"/>
          <w:szCs w:val="20"/>
          <w:lang w:val="fr-FR"/>
        </w:rPr>
      </w:pPr>
    </w:p>
    <w:p w14:paraId="771E47A4" w14:textId="77777777" w:rsidR="006300B6" w:rsidRPr="000546A6" w:rsidRDefault="006300B6">
      <w:pPr>
        <w:spacing w:after="0" w:line="240" w:lineRule="auto"/>
        <w:jc w:val="both"/>
        <w:rPr>
          <w:sz w:val="20"/>
          <w:szCs w:val="20"/>
          <w:lang w:val="fr-FR"/>
        </w:rPr>
      </w:pPr>
    </w:p>
    <w:p w14:paraId="5FAF582F" w14:textId="77777777" w:rsidR="006300B6" w:rsidRPr="000546A6" w:rsidRDefault="006300B6">
      <w:pPr>
        <w:spacing w:after="0" w:line="240" w:lineRule="auto"/>
        <w:jc w:val="both"/>
        <w:rPr>
          <w:sz w:val="20"/>
          <w:szCs w:val="20"/>
          <w:lang w:val="fr-FR"/>
        </w:rPr>
      </w:pPr>
    </w:p>
    <w:p w14:paraId="64D6FBC8" w14:textId="77777777" w:rsidR="006300B6" w:rsidRPr="000546A6" w:rsidRDefault="006300B6">
      <w:pPr>
        <w:spacing w:after="0" w:line="240" w:lineRule="auto"/>
        <w:jc w:val="both"/>
        <w:rPr>
          <w:sz w:val="20"/>
          <w:szCs w:val="20"/>
          <w:lang w:val="fr-FR"/>
        </w:rPr>
      </w:pPr>
    </w:p>
    <w:p w14:paraId="26861966" w14:textId="77777777" w:rsidR="006300B6" w:rsidRPr="000546A6" w:rsidRDefault="006300B6">
      <w:pPr>
        <w:spacing w:after="0" w:line="240" w:lineRule="auto"/>
        <w:jc w:val="both"/>
        <w:rPr>
          <w:sz w:val="20"/>
          <w:szCs w:val="20"/>
          <w:lang w:val="fr-FR"/>
        </w:rPr>
      </w:pPr>
    </w:p>
    <w:p w14:paraId="01892D8F" w14:textId="77777777" w:rsidR="006300B6" w:rsidRPr="000546A6" w:rsidRDefault="006300B6">
      <w:pPr>
        <w:spacing w:after="0" w:line="240" w:lineRule="auto"/>
        <w:jc w:val="both"/>
        <w:rPr>
          <w:sz w:val="20"/>
          <w:szCs w:val="20"/>
          <w:lang w:val="fr-FR"/>
        </w:rPr>
      </w:pPr>
    </w:p>
    <w:p w14:paraId="06A56FB7" w14:textId="77777777" w:rsidR="006300B6" w:rsidRPr="000546A6" w:rsidRDefault="006300B6">
      <w:pPr>
        <w:spacing w:after="0" w:line="240" w:lineRule="auto"/>
        <w:jc w:val="both"/>
        <w:rPr>
          <w:sz w:val="20"/>
          <w:szCs w:val="20"/>
          <w:lang w:val="fr-FR"/>
        </w:rPr>
      </w:pPr>
    </w:p>
    <w:p w14:paraId="13BB6BC4" w14:textId="77777777" w:rsidR="006300B6" w:rsidRPr="000546A6" w:rsidRDefault="006300B6">
      <w:pPr>
        <w:spacing w:after="0" w:line="240" w:lineRule="auto"/>
        <w:jc w:val="both"/>
        <w:rPr>
          <w:sz w:val="20"/>
          <w:szCs w:val="20"/>
          <w:lang w:val="fr-FR"/>
        </w:rPr>
      </w:pPr>
    </w:p>
    <w:p w14:paraId="6CFD08E4" w14:textId="77777777" w:rsidR="006300B6" w:rsidRPr="000546A6" w:rsidRDefault="006300B6">
      <w:pPr>
        <w:spacing w:after="0" w:line="240" w:lineRule="auto"/>
        <w:jc w:val="both"/>
        <w:rPr>
          <w:sz w:val="20"/>
          <w:szCs w:val="20"/>
          <w:lang w:val="fr-FR"/>
        </w:rPr>
      </w:pPr>
    </w:p>
    <w:p w14:paraId="424B1483" w14:textId="77777777" w:rsidR="006300B6" w:rsidRPr="000546A6" w:rsidRDefault="006300B6">
      <w:pPr>
        <w:spacing w:after="0" w:line="240" w:lineRule="auto"/>
        <w:jc w:val="both"/>
        <w:rPr>
          <w:sz w:val="20"/>
          <w:szCs w:val="20"/>
          <w:lang w:val="fr-FR"/>
        </w:rPr>
      </w:pPr>
    </w:p>
    <w:p w14:paraId="555EB10B" w14:textId="3FB802A5" w:rsidR="006300B6" w:rsidRPr="00487FF3" w:rsidRDefault="00CC7671">
      <w:pPr>
        <w:spacing w:after="0" w:line="240" w:lineRule="auto"/>
        <w:jc w:val="both"/>
        <w:rPr>
          <w:sz w:val="18"/>
          <w:szCs w:val="18"/>
          <w:lang w:val="fr-FR"/>
        </w:rPr>
      </w:pPr>
      <w:r w:rsidRPr="00487FF3">
        <w:rPr>
          <w:sz w:val="18"/>
          <w:szCs w:val="18"/>
          <w:lang w:val="fr-FR"/>
        </w:rPr>
        <w:t>*</w:t>
      </w:r>
      <w:r w:rsidR="00487FF3" w:rsidRPr="00487FF3">
        <w:rPr>
          <w:rFonts w:eastAsia="Times New Roman"/>
          <w:sz w:val="18"/>
          <w:szCs w:val="18"/>
          <w:lang w:val="fr-FR"/>
        </w:rPr>
        <w:t>Les appellations géographiques utilisées dans ce document n'impliquent d'aucune manière l'opinion de la part du Secrétariat de la CMS (ou du Programme des Nations Unies pour l'Environnement) concernant le statut juridique de tout pays, territoire ou zone ou concernant la délimitation de ses frontières ou limites. La responsabilité du contenu du document repose exclusivement sur son auteur</w:t>
      </w:r>
      <w:r w:rsidRPr="00487FF3">
        <w:rPr>
          <w:sz w:val="18"/>
          <w:szCs w:val="18"/>
          <w:lang w:val="fr-FR"/>
        </w:rPr>
        <w:t>.</w:t>
      </w:r>
    </w:p>
    <w:p w14:paraId="14CFA53D" w14:textId="77777777" w:rsidR="006300B6" w:rsidRPr="00487FF3" w:rsidRDefault="00CC76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90" w:right="-367"/>
        <w:jc w:val="center"/>
        <w:textAlignment w:val="baseline"/>
        <w:outlineLvl w:val="1"/>
        <w:rPr>
          <w:rFonts w:eastAsia="Times New Roman" w:cs="Arial"/>
          <w:b/>
          <w:bCs/>
          <w:lang w:val="fr-FR"/>
        </w:rPr>
      </w:pPr>
      <w:r w:rsidRPr="00487FF3">
        <w:rPr>
          <w:rFonts w:eastAsia="Times New Roman" w:cs="Arial"/>
          <w:b/>
          <w:bCs/>
          <w:lang w:val="fr-FR"/>
        </w:rPr>
        <w:lastRenderedPageBreak/>
        <w:t>PROPOSITION D'ACTION CONCERTÉE POUR</w:t>
      </w:r>
    </w:p>
    <w:p w14:paraId="7D02C1D0" w14:textId="77777777" w:rsidR="006300B6" w:rsidRPr="00487FF3" w:rsidRDefault="00CC76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90" w:right="-367"/>
        <w:jc w:val="center"/>
        <w:textAlignment w:val="baseline"/>
        <w:outlineLvl w:val="1"/>
        <w:rPr>
          <w:rFonts w:eastAsia="Times New Roman" w:cs="Arial"/>
          <w:b/>
          <w:bCs/>
          <w:lang w:val="fr-FR"/>
        </w:rPr>
      </w:pPr>
      <w:r w:rsidRPr="00487FF3">
        <w:rPr>
          <w:rFonts w:eastAsia="Times New Roman" w:cs="Arial"/>
          <w:b/>
          <w:bCs/>
          <w:lang w:val="fr-FR"/>
        </w:rPr>
        <w:t xml:space="preserve"> </w:t>
      </w:r>
      <w:r w:rsidRPr="00487FF3">
        <w:rPr>
          <w:rFonts w:eastAsia="Times New Roman" w:cs="Arial"/>
          <w:b/>
          <w:bCs/>
          <w:lang w:val="fr-FR"/>
        </w:rPr>
        <w:t xml:space="preserve">POUR LE LYNX COMMUN </w:t>
      </w:r>
      <w:r w:rsidRPr="00487FF3">
        <w:rPr>
          <w:rFonts w:eastAsia="Times New Roman" w:cs="Arial"/>
          <w:b/>
          <w:bCs/>
          <w:lang w:val="fr-FR"/>
        </w:rPr>
        <w:t>(</w:t>
      </w:r>
      <w:r w:rsidRPr="00487FF3">
        <w:rPr>
          <w:rFonts w:eastAsia="Times New Roman" w:cs="Arial"/>
          <w:b/>
          <w:bCs/>
          <w:i/>
          <w:iCs/>
          <w:lang w:val="fr-FR"/>
        </w:rPr>
        <w:t xml:space="preserve">Lynx </w:t>
      </w:r>
      <w:proofErr w:type="spellStart"/>
      <w:r w:rsidRPr="00487FF3">
        <w:rPr>
          <w:rFonts w:eastAsia="Times New Roman" w:cs="Arial"/>
          <w:b/>
          <w:bCs/>
          <w:i/>
          <w:iCs/>
          <w:lang w:val="fr-FR"/>
        </w:rPr>
        <w:t>lynx</w:t>
      </w:r>
      <w:proofErr w:type="spellEnd"/>
      <w:r w:rsidRPr="00487FF3">
        <w:rPr>
          <w:rFonts w:eastAsia="Times New Roman" w:cs="Arial"/>
          <w:b/>
          <w:bCs/>
          <w:lang w:val="fr-FR"/>
        </w:rPr>
        <w:t>)*</w:t>
      </w:r>
    </w:p>
    <w:p w14:paraId="6DD252A7" w14:textId="77777777" w:rsidR="006300B6" w:rsidRPr="000546A6" w:rsidRDefault="006300B6">
      <w:pPr>
        <w:suppressAutoHyphens/>
        <w:autoSpaceDN w:val="0"/>
        <w:spacing w:after="0" w:line="240" w:lineRule="auto"/>
        <w:jc w:val="center"/>
        <w:textAlignment w:val="baseline"/>
        <w:rPr>
          <w:rFonts w:eastAsia="Calibri" w:cs="Arial"/>
          <w:b/>
          <w:lang w:val="fr-FR"/>
        </w:rPr>
      </w:pPr>
    </w:p>
    <w:p w14:paraId="38B9C7E1" w14:textId="77777777" w:rsidR="006300B6" w:rsidRPr="000546A6" w:rsidRDefault="006300B6">
      <w:pPr>
        <w:suppressAutoHyphens/>
        <w:autoSpaceDN w:val="0"/>
        <w:spacing w:after="0" w:line="240" w:lineRule="auto"/>
        <w:jc w:val="center"/>
        <w:textAlignment w:val="baseline"/>
        <w:rPr>
          <w:rFonts w:eastAsia="Calibri" w:cs="Arial"/>
          <w:b/>
          <w:lang w:val="fr-FR"/>
        </w:rPr>
      </w:pPr>
    </w:p>
    <w:p w14:paraId="4A35DC47" w14:textId="47E025E8" w:rsidR="006300B6" w:rsidRPr="000546A6" w:rsidRDefault="00CC7671">
      <w:pPr>
        <w:suppressAutoHyphens/>
        <w:autoSpaceDN w:val="0"/>
        <w:spacing w:after="0" w:line="240" w:lineRule="auto"/>
        <w:jc w:val="both"/>
        <w:textAlignment w:val="baseline"/>
        <w:rPr>
          <w:rFonts w:eastAsia="Calibri" w:cs="Arial"/>
          <w:lang w:val="fr-FR"/>
        </w:rPr>
      </w:pPr>
      <w:r w:rsidRPr="000546A6">
        <w:rPr>
          <w:rFonts w:eastAsia="Calibri" w:cs="Arial"/>
          <w:b/>
          <w:lang w:val="fr-FR"/>
        </w:rPr>
        <w:t>Auteurs de la proposition</w:t>
      </w:r>
    </w:p>
    <w:p w14:paraId="0F506BF5" w14:textId="77777777" w:rsidR="006300B6" w:rsidRPr="000546A6" w:rsidRDefault="006300B6">
      <w:pPr>
        <w:suppressAutoHyphens/>
        <w:autoSpaceDN w:val="0"/>
        <w:spacing w:after="0" w:line="240" w:lineRule="auto"/>
        <w:jc w:val="both"/>
        <w:textAlignment w:val="baseline"/>
        <w:rPr>
          <w:rFonts w:eastAsia="Calibri" w:cs="Arial"/>
          <w:lang w:val="fr-FR"/>
        </w:rPr>
      </w:pPr>
    </w:p>
    <w:p w14:paraId="1B4A5984" w14:textId="77777777" w:rsidR="006300B6" w:rsidRPr="000546A6" w:rsidRDefault="00CC7671">
      <w:pPr>
        <w:suppressAutoHyphens/>
        <w:autoSpaceDN w:val="0"/>
        <w:spacing w:after="0" w:line="240" w:lineRule="auto"/>
        <w:jc w:val="both"/>
        <w:textAlignment w:val="baseline"/>
        <w:rPr>
          <w:rFonts w:eastAsia="Calibri" w:cs="Arial"/>
          <w:lang w:val="fr-FR"/>
        </w:rPr>
      </w:pPr>
      <w:r w:rsidRPr="000546A6">
        <w:rPr>
          <w:rFonts w:eastAsia="Calibri" w:cs="Arial"/>
          <w:lang w:val="fr-FR"/>
        </w:rPr>
        <w:t>Programme des Nations Unies pour l'environnement / Secrétariat de la Convention des Carpates et Groupe d’experts des félins de la Commission de la sauvegarde des espèces (CSE) de l'Union internationale pour la conservation de la nature (UICN)</w:t>
      </w:r>
    </w:p>
    <w:p w14:paraId="0E58E9AF" w14:textId="77777777" w:rsidR="006300B6" w:rsidRPr="000546A6" w:rsidRDefault="006300B6">
      <w:pPr>
        <w:suppressAutoHyphens/>
        <w:autoSpaceDN w:val="0"/>
        <w:spacing w:after="0" w:line="240" w:lineRule="auto"/>
        <w:ind w:left="540" w:hanging="540"/>
        <w:jc w:val="both"/>
        <w:textAlignment w:val="baseline"/>
        <w:rPr>
          <w:rFonts w:eastAsia="Calibri" w:cs="Arial"/>
          <w:lang w:val="fr-FR"/>
        </w:rPr>
      </w:pPr>
    </w:p>
    <w:p w14:paraId="0409920E" w14:textId="575A7C9F" w:rsidR="006300B6" w:rsidRPr="000546A6" w:rsidRDefault="00CC7671">
      <w:pPr>
        <w:suppressAutoHyphens/>
        <w:autoSpaceDN w:val="0"/>
        <w:spacing w:after="0" w:line="240" w:lineRule="auto"/>
        <w:jc w:val="both"/>
        <w:textAlignment w:val="baseline"/>
        <w:rPr>
          <w:rFonts w:eastAsia="Calibri" w:cs="Arial"/>
          <w:bCs/>
          <w:lang w:val="fr-FR"/>
        </w:rPr>
      </w:pPr>
      <w:r w:rsidRPr="000546A6">
        <w:rPr>
          <w:rFonts w:eastAsia="Calibri" w:cs="Arial"/>
          <w:b/>
          <w:lang w:val="fr-FR"/>
        </w:rPr>
        <w:t>Espèce cible, taxon inférieur ou population, ou groupe de taxons ayant des besoins communs</w:t>
      </w:r>
    </w:p>
    <w:p w14:paraId="7E34CE64" w14:textId="77777777" w:rsidR="006300B6" w:rsidRPr="000546A6" w:rsidRDefault="006300B6">
      <w:pPr>
        <w:suppressAutoHyphens/>
        <w:autoSpaceDN w:val="0"/>
        <w:spacing w:after="0" w:line="240" w:lineRule="auto"/>
        <w:jc w:val="both"/>
        <w:textAlignment w:val="baseline"/>
        <w:rPr>
          <w:rFonts w:eastAsia="Calibri" w:cs="Arial"/>
          <w:bCs/>
          <w:lang w:val="fr-FR"/>
        </w:rPr>
      </w:pPr>
    </w:p>
    <w:p w14:paraId="4ADED215" w14:textId="77777777" w:rsidR="006300B6" w:rsidRPr="000546A6" w:rsidRDefault="00CC7671">
      <w:pPr>
        <w:suppressAutoHyphens/>
        <w:autoSpaceDN w:val="0"/>
        <w:spacing w:after="0" w:line="240" w:lineRule="auto"/>
        <w:jc w:val="both"/>
        <w:textAlignment w:val="baseline"/>
        <w:rPr>
          <w:rFonts w:eastAsia="Calibri" w:cs="Arial"/>
          <w:bCs/>
          <w:lang w:val="fr-FR"/>
        </w:rPr>
      </w:pPr>
      <w:r w:rsidRPr="000546A6">
        <w:rPr>
          <w:rFonts w:eastAsia="Calibri" w:cs="Arial"/>
          <w:bCs/>
          <w:lang w:val="fr-FR"/>
        </w:rPr>
        <w:t>Lynx commun (</w:t>
      </w:r>
      <w:r w:rsidRPr="000546A6">
        <w:rPr>
          <w:rFonts w:eastAsia="Calibri" w:cs="Arial"/>
          <w:bCs/>
          <w:i/>
          <w:lang w:val="fr-FR"/>
        </w:rPr>
        <w:t xml:space="preserve">Lynx </w:t>
      </w:r>
      <w:proofErr w:type="spellStart"/>
      <w:r w:rsidRPr="000546A6">
        <w:rPr>
          <w:rFonts w:eastAsia="Calibri" w:cs="Arial"/>
          <w:bCs/>
          <w:i/>
          <w:lang w:val="fr-FR"/>
        </w:rPr>
        <w:t>lynx</w:t>
      </w:r>
      <w:proofErr w:type="spellEnd"/>
      <w:r w:rsidRPr="000546A6">
        <w:rPr>
          <w:rFonts w:eastAsia="Calibri" w:cs="Arial"/>
          <w:bCs/>
          <w:lang w:val="fr-FR"/>
        </w:rPr>
        <w:t xml:space="preserve">, </w:t>
      </w:r>
      <w:proofErr w:type="spellStart"/>
      <w:r w:rsidRPr="000546A6">
        <w:rPr>
          <w:rFonts w:eastAsia="Calibri" w:cs="Arial"/>
          <w:bCs/>
          <w:lang w:val="fr-FR"/>
        </w:rPr>
        <w:t>Linneus</w:t>
      </w:r>
      <w:proofErr w:type="spellEnd"/>
      <w:r w:rsidRPr="000546A6">
        <w:rPr>
          <w:rFonts w:eastAsia="Calibri" w:cs="Arial"/>
          <w:bCs/>
          <w:lang w:val="fr-FR"/>
        </w:rPr>
        <w:t xml:space="preserve">, 1758), en particulier les sous-espèces </w:t>
      </w:r>
      <w:r w:rsidRPr="000546A6">
        <w:rPr>
          <w:rFonts w:eastAsia="Calibri" w:cs="Arial"/>
          <w:bCs/>
          <w:i/>
          <w:lang w:val="fr-FR"/>
        </w:rPr>
        <w:t xml:space="preserve">Lynx </w:t>
      </w:r>
      <w:proofErr w:type="spellStart"/>
      <w:r w:rsidRPr="000546A6">
        <w:rPr>
          <w:rFonts w:eastAsia="Calibri" w:cs="Arial"/>
          <w:bCs/>
          <w:i/>
          <w:lang w:val="fr-FR"/>
        </w:rPr>
        <w:t>lynx</w:t>
      </w:r>
      <w:proofErr w:type="spellEnd"/>
      <w:r w:rsidRPr="000546A6">
        <w:rPr>
          <w:rFonts w:eastAsia="Calibri" w:cs="Arial"/>
          <w:bCs/>
          <w:i/>
          <w:lang w:val="fr-FR"/>
        </w:rPr>
        <w:t xml:space="preserve"> </w:t>
      </w:r>
      <w:proofErr w:type="spellStart"/>
      <w:r w:rsidRPr="000546A6">
        <w:rPr>
          <w:rFonts w:eastAsia="Calibri" w:cs="Arial"/>
          <w:bCs/>
          <w:i/>
          <w:lang w:val="fr-FR"/>
        </w:rPr>
        <w:t>balcanicus</w:t>
      </w:r>
      <w:proofErr w:type="spellEnd"/>
      <w:r w:rsidRPr="000546A6">
        <w:rPr>
          <w:rFonts w:eastAsia="Calibri" w:cs="Arial"/>
          <w:bCs/>
          <w:lang w:val="fr-FR"/>
        </w:rPr>
        <w:t xml:space="preserve"> (</w:t>
      </w:r>
      <w:proofErr w:type="spellStart"/>
      <w:r w:rsidRPr="000546A6">
        <w:rPr>
          <w:rFonts w:eastAsia="Calibri" w:cs="Arial"/>
          <w:bCs/>
          <w:lang w:val="fr-FR"/>
        </w:rPr>
        <w:t>Bureš</w:t>
      </w:r>
      <w:proofErr w:type="spellEnd"/>
      <w:r w:rsidRPr="000546A6">
        <w:rPr>
          <w:rFonts w:eastAsia="Calibri" w:cs="Arial"/>
          <w:bCs/>
          <w:lang w:val="fr-FR"/>
        </w:rPr>
        <w:t xml:space="preserve">, 1941), </w:t>
      </w:r>
      <w:r w:rsidRPr="000546A6">
        <w:rPr>
          <w:rFonts w:eastAsia="Calibri" w:cs="Arial"/>
          <w:i/>
          <w:iCs/>
          <w:lang w:val="fr-FR"/>
        </w:rPr>
        <w:t xml:space="preserve">Lynx </w:t>
      </w:r>
      <w:proofErr w:type="spellStart"/>
      <w:r w:rsidRPr="000546A6">
        <w:rPr>
          <w:rFonts w:eastAsia="Calibri" w:cs="Arial"/>
          <w:i/>
          <w:iCs/>
          <w:lang w:val="fr-FR"/>
        </w:rPr>
        <w:t>lynx</w:t>
      </w:r>
      <w:proofErr w:type="spellEnd"/>
      <w:r w:rsidRPr="000546A6">
        <w:rPr>
          <w:rFonts w:eastAsia="Calibri" w:cs="Arial"/>
          <w:i/>
          <w:iCs/>
          <w:lang w:val="fr-FR"/>
        </w:rPr>
        <w:t xml:space="preserve"> </w:t>
      </w:r>
      <w:proofErr w:type="spellStart"/>
      <w:r w:rsidRPr="000546A6">
        <w:rPr>
          <w:rFonts w:eastAsia="Calibri" w:cs="Arial"/>
          <w:i/>
          <w:iCs/>
          <w:lang w:val="fr-FR"/>
        </w:rPr>
        <w:t>carpathicus</w:t>
      </w:r>
      <w:proofErr w:type="spellEnd"/>
      <w:r w:rsidRPr="000546A6">
        <w:rPr>
          <w:rFonts w:eastAsia="Calibri" w:cs="Arial"/>
          <w:bCs/>
          <w:lang w:val="fr-FR"/>
        </w:rPr>
        <w:t xml:space="preserve"> (</w:t>
      </w:r>
      <w:proofErr w:type="spellStart"/>
      <w:r w:rsidRPr="000546A6">
        <w:rPr>
          <w:rFonts w:eastAsia="Calibri" w:cs="Arial"/>
          <w:bCs/>
          <w:lang w:val="fr-FR"/>
        </w:rPr>
        <w:t>Kratochvil</w:t>
      </w:r>
      <w:proofErr w:type="spellEnd"/>
      <w:r w:rsidRPr="000546A6">
        <w:rPr>
          <w:rFonts w:eastAsia="Calibri" w:cs="Arial"/>
          <w:bCs/>
          <w:lang w:val="fr-FR"/>
        </w:rPr>
        <w:t xml:space="preserve"> &amp; </w:t>
      </w:r>
      <w:proofErr w:type="spellStart"/>
      <w:r w:rsidRPr="000546A6">
        <w:rPr>
          <w:rFonts w:eastAsia="Calibri" w:cs="Arial"/>
          <w:bCs/>
          <w:lang w:val="fr-FR"/>
        </w:rPr>
        <w:t>Štollmann</w:t>
      </w:r>
      <w:proofErr w:type="spellEnd"/>
      <w:r w:rsidRPr="000546A6">
        <w:rPr>
          <w:rFonts w:eastAsia="Calibri" w:cs="Arial"/>
          <w:bCs/>
          <w:lang w:val="fr-FR"/>
        </w:rPr>
        <w:t xml:space="preserve">, 1963), </w:t>
      </w:r>
      <w:r w:rsidRPr="000546A6">
        <w:rPr>
          <w:rFonts w:eastAsia="Calibri" w:cs="Arial"/>
          <w:i/>
          <w:iCs/>
          <w:lang w:val="fr-FR"/>
        </w:rPr>
        <w:t xml:space="preserve">Lynx </w:t>
      </w:r>
      <w:proofErr w:type="spellStart"/>
      <w:r w:rsidRPr="000546A6">
        <w:rPr>
          <w:rFonts w:eastAsia="Calibri" w:cs="Arial"/>
          <w:i/>
          <w:iCs/>
          <w:lang w:val="fr-FR"/>
        </w:rPr>
        <w:t>lynx</w:t>
      </w:r>
      <w:proofErr w:type="spellEnd"/>
      <w:r w:rsidRPr="000546A6">
        <w:rPr>
          <w:rFonts w:eastAsia="Calibri" w:cs="Arial"/>
          <w:i/>
          <w:iCs/>
          <w:lang w:val="fr-FR"/>
        </w:rPr>
        <w:t xml:space="preserve"> </w:t>
      </w:r>
      <w:proofErr w:type="spellStart"/>
      <w:r w:rsidRPr="000546A6">
        <w:rPr>
          <w:rFonts w:eastAsia="Calibri" w:cs="Arial"/>
          <w:i/>
          <w:iCs/>
          <w:lang w:val="fr-FR"/>
        </w:rPr>
        <w:t>dinniki</w:t>
      </w:r>
      <w:proofErr w:type="spellEnd"/>
      <w:r w:rsidRPr="000546A6">
        <w:rPr>
          <w:rFonts w:eastAsia="Calibri" w:cs="Arial"/>
          <w:bCs/>
          <w:lang w:val="fr-FR"/>
        </w:rPr>
        <w:t xml:space="preserve"> (</w:t>
      </w:r>
      <w:proofErr w:type="spellStart"/>
      <w:r w:rsidRPr="000546A6">
        <w:rPr>
          <w:rFonts w:eastAsia="Calibri" w:cs="Arial"/>
          <w:bCs/>
          <w:lang w:val="fr-FR"/>
        </w:rPr>
        <w:t>Satunin</w:t>
      </w:r>
      <w:proofErr w:type="spellEnd"/>
      <w:r w:rsidRPr="000546A6">
        <w:rPr>
          <w:rFonts w:eastAsia="Calibri" w:cs="Arial"/>
          <w:bCs/>
          <w:lang w:val="fr-FR"/>
        </w:rPr>
        <w:t xml:space="preserve">, 1915) et </w:t>
      </w:r>
      <w:r w:rsidRPr="000546A6">
        <w:rPr>
          <w:rFonts w:eastAsia="Calibri" w:cs="Arial"/>
          <w:bCs/>
          <w:i/>
          <w:lang w:val="fr-FR"/>
        </w:rPr>
        <w:t xml:space="preserve">Lynx </w:t>
      </w:r>
      <w:proofErr w:type="spellStart"/>
      <w:r w:rsidRPr="000546A6">
        <w:rPr>
          <w:rFonts w:eastAsia="Calibri" w:cs="Arial"/>
          <w:bCs/>
          <w:i/>
          <w:lang w:val="fr-FR"/>
        </w:rPr>
        <w:t>lynx</w:t>
      </w:r>
      <w:proofErr w:type="spellEnd"/>
      <w:r w:rsidRPr="000546A6">
        <w:rPr>
          <w:rFonts w:eastAsia="Calibri" w:cs="Arial"/>
          <w:bCs/>
          <w:i/>
          <w:lang w:val="fr-FR"/>
        </w:rPr>
        <w:t xml:space="preserve"> </w:t>
      </w:r>
      <w:proofErr w:type="spellStart"/>
      <w:r w:rsidRPr="000546A6">
        <w:rPr>
          <w:rFonts w:eastAsia="Calibri" w:cs="Arial"/>
          <w:bCs/>
          <w:i/>
          <w:lang w:val="fr-FR"/>
        </w:rPr>
        <w:t>isabellinus</w:t>
      </w:r>
      <w:proofErr w:type="spellEnd"/>
      <w:r w:rsidRPr="000546A6">
        <w:rPr>
          <w:rFonts w:eastAsia="Calibri" w:cs="Arial"/>
          <w:bCs/>
          <w:lang w:val="fr-FR"/>
        </w:rPr>
        <w:t xml:space="preserve"> (Blyth, 1847).</w:t>
      </w:r>
    </w:p>
    <w:p w14:paraId="612E3DED" w14:textId="77777777" w:rsidR="006300B6" w:rsidRPr="000546A6" w:rsidRDefault="006300B6">
      <w:pPr>
        <w:suppressAutoHyphens/>
        <w:autoSpaceDN w:val="0"/>
        <w:spacing w:after="0" w:line="240" w:lineRule="auto"/>
        <w:jc w:val="both"/>
        <w:textAlignment w:val="baseline"/>
        <w:rPr>
          <w:rFonts w:eastAsia="Calibri" w:cs="Arial"/>
          <w:bCs/>
          <w:lang w:val="fr-FR"/>
        </w:rPr>
      </w:pPr>
    </w:p>
    <w:p w14:paraId="460AA62F" w14:textId="77777777" w:rsidR="006300B6" w:rsidRPr="000546A6" w:rsidRDefault="00CC7671">
      <w:pPr>
        <w:suppressAutoHyphens/>
        <w:autoSpaceDN w:val="0"/>
        <w:spacing w:after="0" w:line="240" w:lineRule="auto"/>
        <w:jc w:val="both"/>
        <w:textAlignment w:val="baseline"/>
        <w:rPr>
          <w:rFonts w:eastAsia="Calibri" w:cs="Arial"/>
          <w:bCs/>
          <w:lang w:val="fr-FR"/>
        </w:rPr>
      </w:pPr>
      <w:r w:rsidRPr="000546A6">
        <w:rPr>
          <w:rFonts w:eastAsia="Calibri" w:cs="Arial"/>
          <w:bCs/>
          <w:i/>
          <w:lang w:val="fr-FR"/>
        </w:rPr>
        <w:t xml:space="preserve">Le Lynx </w:t>
      </w:r>
      <w:proofErr w:type="spellStart"/>
      <w:r w:rsidRPr="000546A6">
        <w:rPr>
          <w:rFonts w:eastAsia="Calibri" w:cs="Arial"/>
          <w:bCs/>
          <w:i/>
          <w:lang w:val="fr-FR"/>
        </w:rPr>
        <w:t>lynx</w:t>
      </w:r>
      <w:proofErr w:type="spellEnd"/>
      <w:r w:rsidRPr="000546A6">
        <w:rPr>
          <w:rFonts w:eastAsia="Calibri" w:cs="Arial"/>
          <w:bCs/>
          <w:i/>
          <w:lang w:val="fr-FR"/>
        </w:rPr>
        <w:t xml:space="preserve"> </w:t>
      </w:r>
      <w:proofErr w:type="spellStart"/>
      <w:r w:rsidRPr="000546A6">
        <w:rPr>
          <w:rFonts w:eastAsia="Calibri" w:cs="Arial"/>
          <w:bCs/>
          <w:i/>
          <w:lang w:val="fr-FR"/>
        </w:rPr>
        <w:t>balcanicus</w:t>
      </w:r>
      <w:proofErr w:type="spellEnd"/>
      <w:r w:rsidRPr="000546A6">
        <w:rPr>
          <w:rFonts w:eastAsia="Calibri" w:cs="Arial"/>
          <w:bCs/>
          <w:lang w:val="fr-FR"/>
        </w:rPr>
        <w:t xml:space="preserve"> a été inscrit à l'annexe I de la Convention sur la conservation des espèces migratrices appartenant à la faune sauvage, tandis que les </w:t>
      </w:r>
      <w:r w:rsidRPr="000546A6">
        <w:rPr>
          <w:rFonts w:eastAsia="Calibri" w:cs="Arial"/>
          <w:bCs/>
          <w:i/>
          <w:lang w:val="fr-FR"/>
        </w:rPr>
        <w:t xml:space="preserve">L. l. </w:t>
      </w:r>
      <w:proofErr w:type="spellStart"/>
      <w:r w:rsidRPr="000546A6">
        <w:rPr>
          <w:rFonts w:eastAsia="Calibri" w:cs="Arial"/>
          <w:bCs/>
          <w:i/>
          <w:lang w:val="fr-FR"/>
        </w:rPr>
        <w:t>carpathicus</w:t>
      </w:r>
      <w:proofErr w:type="spellEnd"/>
      <w:r w:rsidRPr="000546A6">
        <w:rPr>
          <w:rFonts w:eastAsia="Calibri" w:cs="Arial"/>
          <w:bCs/>
          <w:lang w:val="fr-FR"/>
        </w:rPr>
        <w:t xml:space="preserve">, </w:t>
      </w:r>
      <w:r w:rsidRPr="000546A6">
        <w:rPr>
          <w:rFonts w:eastAsia="Calibri" w:cs="Arial"/>
          <w:bCs/>
          <w:i/>
          <w:lang w:val="fr-FR"/>
        </w:rPr>
        <w:t xml:space="preserve">L. l. </w:t>
      </w:r>
      <w:proofErr w:type="spellStart"/>
      <w:r w:rsidRPr="000546A6">
        <w:rPr>
          <w:rFonts w:eastAsia="Calibri" w:cs="Arial"/>
          <w:bCs/>
          <w:i/>
          <w:lang w:val="fr-FR"/>
        </w:rPr>
        <w:t>dinniki</w:t>
      </w:r>
      <w:proofErr w:type="spellEnd"/>
      <w:r w:rsidRPr="000546A6">
        <w:rPr>
          <w:rFonts w:eastAsia="Calibri" w:cs="Arial"/>
          <w:bCs/>
          <w:lang w:val="fr-FR"/>
        </w:rPr>
        <w:t xml:space="preserve"> et </w:t>
      </w:r>
      <w:r w:rsidRPr="000546A6">
        <w:rPr>
          <w:rFonts w:eastAsia="Calibri" w:cs="Arial"/>
          <w:bCs/>
          <w:i/>
          <w:lang w:val="fr-FR"/>
        </w:rPr>
        <w:t xml:space="preserve">L. l. </w:t>
      </w:r>
      <w:proofErr w:type="spellStart"/>
      <w:r w:rsidRPr="000546A6">
        <w:rPr>
          <w:rFonts w:eastAsia="Calibri" w:cs="Arial"/>
          <w:bCs/>
          <w:i/>
          <w:lang w:val="fr-FR"/>
        </w:rPr>
        <w:t>isabellinus</w:t>
      </w:r>
      <w:proofErr w:type="spellEnd"/>
      <w:r w:rsidRPr="000546A6">
        <w:rPr>
          <w:rFonts w:eastAsia="Calibri" w:cs="Arial"/>
          <w:bCs/>
          <w:lang w:val="fr-FR"/>
        </w:rPr>
        <w:t xml:space="preserve"> sont inclus sous </w:t>
      </w:r>
      <w:r w:rsidRPr="000546A6">
        <w:rPr>
          <w:rFonts w:eastAsia="Calibri" w:cs="Arial"/>
          <w:bCs/>
          <w:i/>
          <w:lang w:val="fr-FR"/>
        </w:rPr>
        <w:t>L. lynx</w:t>
      </w:r>
      <w:r w:rsidRPr="000546A6">
        <w:rPr>
          <w:rFonts w:eastAsia="Calibri" w:cs="Arial"/>
          <w:bCs/>
          <w:lang w:val="fr-FR"/>
        </w:rPr>
        <w:t xml:space="preserve"> inscrit à l'annexe II lors de la COP14 en 2024.</w:t>
      </w:r>
    </w:p>
    <w:p w14:paraId="219620EF" w14:textId="77777777" w:rsidR="006300B6" w:rsidRPr="000546A6" w:rsidRDefault="006300B6">
      <w:pPr>
        <w:suppressAutoHyphens/>
        <w:autoSpaceDN w:val="0"/>
        <w:spacing w:after="0" w:line="240" w:lineRule="auto"/>
        <w:ind w:left="540" w:hanging="540"/>
        <w:jc w:val="both"/>
        <w:textAlignment w:val="baseline"/>
        <w:rPr>
          <w:rFonts w:eastAsia="Calibri" w:cs="Arial"/>
          <w:lang w:val="fr-FR"/>
        </w:rPr>
      </w:pPr>
    </w:p>
    <w:p w14:paraId="177A2BB8" w14:textId="54E68AA3" w:rsidR="006300B6" w:rsidRPr="000546A6" w:rsidRDefault="00CC7671">
      <w:pPr>
        <w:suppressAutoHyphens/>
        <w:autoSpaceDN w:val="0"/>
        <w:spacing w:after="0" w:line="240" w:lineRule="auto"/>
        <w:jc w:val="both"/>
        <w:textAlignment w:val="baseline"/>
        <w:rPr>
          <w:rFonts w:eastAsia="Calibri" w:cs="Arial"/>
          <w:lang w:val="fr-FR"/>
        </w:rPr>
      </w:pPr>
      <w:r w:rsidRPr="000546A6">
        <w:rPr>
          <w:rFonts w:eastAsia="Calibri" w:cs="Arial"/>
          <w:b/>
          <w:lang w:val="fr-FR"/>
        </w:rPr>
        <w:t xml:space="preserve">Aire de répartition géographique </w:t>
      </w:r>
    </w:p>
    <w:p w14:paraId="44EC02D7" w14:textId="77777777" w:rsidR="006300B6" w:rsidRPr="000546A6" w:rsidRDefault="006300B6">
      <w:pPr>
        <w:suppressAutoHyphens/>
        <w:autoSpaceDN w:val="0"/>
        <w:spacing w:after="0" w:line="240" w:lineRule="auto"/>
        <w:jc w:val="both"/>
        <w:textAlignment w:val="baseline"/>
        <w:rPr>
          <w:rFonts w:eastAsia="Calibri" w:cs="Arial"/>
          <w:lang w:val="fr-FR"/>
        </w:rPr>
      </w:pPr>
    </w:p>
    <w:p w14:paraId="2D35D982" w14:textId="77777777" w:rsidR="006300B6" w:rsidRPr="000546A6" w:rsidRDefault="00CC7671">
      <w:pPr>
        <w:suppressAutoHyphens/>
        <w:autoSpaceDN w:val="0"/>
        <w:spacing w:after="0" w:line="240" w:lineRule="auto"/>
        <w:jc w:val="both"/>
        <w:textAlignment w:val="baseline"/>
        <w:rPr>
          <w:rFonts w:eastAsia="Calibri" w:cs="Arial"/>
          <w:lang w:val="fr-FR"/>
        </w:rPr>
      </w:pPr>
      <w:r w:rsidRPr="000546A6">
        <w:rPr>
          <w:rFonts w:eastAsia="Calibri" w:cs="Arial"/>
          <w:lang w:val="fr-FR"/>
        </w:rPr>
        <w:t xml:space="preserve">Le lynx commun est une espèce paléarctique répartie de l’Atlantique en Europe jusqu’au Pacifique dans le nord de l’Asie, mais qui se divise en plusieurs sous-espèces distinctes, dont quatre constituent les taxons cibles de cette proposition : le </w:t>
      </w:r>
      <w:r w:rsidRPr="000546A6">
        <w:rPr>
          <w:rFonts w:eastAsia="Calibri" w:cs="Arial"/>
          <w:i/>
          <w:iCs/>
          <w:lang w:val="fr-FR"/>
        </w:rPr>
        <w:t xml:space="preserve">L. l. </w:t>
      </w:r>
      <w:proofErr w:type="spellStart"/>
      <w:r w:rsidRPr="000546A6">
        <w:rPr>
          <w:rFonts w:eastAsia="Calibri" w:cs="Arial"/>
          <w:i/>
          <w:iCs/>
          <w:lang w:val="fr-FR"/>
        </w:rPr>
        <w:t>balcanicus</w:t>
      </w:r>
      <w:proofErr w:type="spellEnd"/>
      <w:r w:rsidRPr="000546A6">
        <w:rPr>
          <w:rFonts w:eastAsia="Calibri" w:cs="Arial"/>
          <w:lang w:val="fr-FR"/>
        </w:rPr>
        <w:t xml:space="preserve"> est aujourd’hui limité à une très petite population dans la région frontalière de la Macédoine du Nord et de l’Albanie ; historiquement, il occupait le sud-ouest des Balkans. Le </w:t>
      </w:r>
      <w:r w:rsidRPr="000546A6">
        <w:rPr>
          <w:rFonts w:eastAsia="Calibri" w:cs="Arial"/>
          <w:i/>
          <w:iCs/>
          <w:lang w:val="fr-FR"/>
        </w:rPr>
        <w:t xml:space="preserve">L. l. </w:t>
      </w:r>
      <w:proofErr w:type="spellStart"/>
      <w:r w:rsidRPr="000546A6">
        <w:rPr>
          <w:rFonts w:eastAsia="Calibri" w:cs="Arial"/>
          <w:i/>
          <w:iCs/>
          <w:lang w:val="fr-FR"/>
        </w:rPr>
        <w:t>carpathicus</w:t>
      </w:r>
      <w:proofErr w:type="spellEnd"/>
      <w:r w:rsidRPr="000546A6">
        <w:rPr>
          <w:rFonts w:eastAsia="Calibri" w:cs="Arial"/>
          <w:lang w:val="fr-FR"/>
        </w:rPr>
        <w:t xml:space="preserve"> était historiquement limité aux montagnes des Carpates, mais comprend aujourd’hui plusieurs populations réintroduites en Europe occidentale et centrale, où le lynx avait disparu. Le </w:t>
      </w:r>
      <w:r w:rsidRPr="000546A6">
        <w:rPr>
          <w:rFonts w:eastAsia="Calibri" w:cs="Arial"/>
          <w:i/>
          <w:iCs/>
          <w:lang w:val="fr-FR"/>
        </w:rPr>
        <w:t xml:space="preserve">L. l. </w:t>
      </w:r>
      <w:proofErr w:type="spellStart"/>
      <w:r w:rsidRPr="000546A6">
        <w:rPr>
          <w:rFonts w:eastAsia="Calibri" w:cs="Arial"/>
          <w:i/>
          <w:iCs/>
          <w:lang w:val="fr-FR"/>
        </w:rPr>
        <w:t>dinniki</w:t>
      </w:r>
      <w:r w:rsidRPr="000546A6">
        <w:rPr>
          <w:rFonts w:eastAsia="Calibri" w:cs="Arial"/>
          <w:lang w:val="fr-FR"/>
        </w:rPr>
        <w:t>est</w:t>
      </w:r>
      <w:proofErr w:type="spellEnd"/>
      <w:r w:rsidRPr="000546A6">
        <w:rPr>
          <w:rFonts w:eastAsia="Calibri" w:cs="Arial"/>
          <w:lang w:val="fr-FR"/>
        </w:rPr>
        <w:t xml:space="preserve"> la sous-espèce du Caucase, qui s’étend des montagnes du Caucase vers le sud et l’ouest jusqu’à la pé</w:t>
      </w:r>
      <w:r w:rsidRPr="000546A6">
        <w:rPr>
          <w:rFonts w:eastAsia="Calibri" w:cs="Arial"/>
          <w:lang w:val="fr-FR"/>
        </w:rPr>
        <w:t xml:space="preserve">ninsule anatolienne, le nord de l’Irak et l’Iran. Le </w:t>
      </w:r>
      <w:r w:rsidRPr="000546A6">
        <w:rPr>
          <w:rFonts w:eastAsia="Calibri" w:cs="Arial"/>
          <w:i/>
          <w:iCs/>
          <w:lang w:val="fr-FR"/>
        </w:rPr>
        <w:t xml:space="preserve">L. l. </w:t>
      </w:r>
      <w:proofErr w:type="spellStart"/>
      <w:r w:rsidRPr="000546A6">
        <w:rPr>
          <w:rFonts w:eastAsia="Calibri" w:cs="Arial"/>
          <w:i/>
          <w:iCs/>
          <w:lang w:val="fr-FR"/>
        </w:rPr>
        <w:t>isabellinus</w:t>
      </w:r>
      <w:proofErr w:type="spellEnd"/>
      <w:r w:rsidRPr="000546A6">
        <w:rPr>
          <w:rFonts w:eastAsia="Calibri" w:cs="Arial"/>
          <w:lang w:val="fr-FR"/>
        </w:rPr>
        <w:t xml:space="preserve"> est la sous-espèce d'Asie centrale, présente dans les chaînes montagneuses du Pamir, de l'</w:t>
      </w:r>
      <w:proofErr w:type="spellStart"/>
      <w:r w:rsidRPr="000546A6">
        <w:rPr>
          <w:rFonts w:eastAsia="Calibri" w:cs="Arial"/>
          <w:lang w:val="fr-FR"/>
        </w:rPr>
        <w:t>Hindukush</w:t>
      </w:r>
      <w:proofErr w:type="spellEnd"/>
      <w:r w:rsidRPr="000546A6">
        <w:rPr>
          <w:rFonts w:eastAsia="Calibri" w:cs="Arial"/>
          <w:lang w:val="fr-FR"/>
        </w:rPr>
        <w:t xml:space="preserve">, du Tien Shan et (en partie) de l'Himalaya, qui incluent vraisemblablement des zones steppiques telles que le bassin de </w:t>
      </w:r>
      <w:proofErr w:type="spellStart"/>
      <w:r w:rsidRPr="000546A6">
        <w:rPr>
          <w:rFonts w:eastAsia="Calibri" w:cs="Arial"/>
          <w:lang w:val="fr-FR"/>
        </w:rPr>
        <w:t>Dhungar</w:t>
      </w:r>
      <w:proofErr w:type="spellEnd"/>
      <w:r w:rsidRPr="000546A6">
        <w:rPr>
          <w:rFonts w:eastAsia="Calibri" w:cs="Arial"/>
          <w:lang w:val="fr-FR"/>
        </w:rPr>
        <w:t xml:space="preserve">. Ces quatre sous-espèces sont clairement séparées de la vaste aire de répartition continue des </w:t>
      </w:r>
      <w:r w:rsidRPr="000546A6">
        <w:rPr>
          <w:rFonts w:eastAsia="Calibri" w:cs="Arial"/>
          <w:i/>
          <w:lang w:val="fr-FR"/>
        </w:rPr>
        <w:t>L. l. lynx</w:t>
      </w:r>
      <w:r w:rsidRPr="000546A6">
        <w:rPr>
          <w:rFonts w:eastAsia="Calibri" w:cs="Arial"/>
          <w:lang w:val="fr-FR"/>
        </w:rPr>
        <w:t xml:space="preserve"> et </w:t>
      </w:r>
      <w:r w:rsidRPr="000546A6">
        <w:rPr>
          <w:rFonts w:eastAsia="Calibri" w:cs="Arial"/>
          <w:i/>
          <w:iCs/>
          <w:lang w:val="fr-FR"/>
        </w:rPr>
        <w:t xml:space="preserve">L. l. </w:t>
      </w:r>
      <w:proofErr w:type="spellStart"/>
      <w:r w:rsidRPr="000546A6">
        <w:rPr>
          <w:rFonts w:eastAsia="Calibri" w:cs="Arial"/>
          <w:i/>
          <w:iCs/>
          <w:lang w:val="fr-FR"/>
        </w:rPr>
        <w:t>wrangeli</w:t>
      </w:r>
      <w:proofErr w:type="spellEnd"/>
      <w:r w:rsidRPr="000546A6">
        <w:rPr>
          <w:rFonts w:eastAsia="Calibri" w:cs="Arial"/>
          <w:lang w:val="fr-FR"/>
        </w:rPr>
        <w:t xml:space="preserve"> dans la ceinture de forêts boréales d’Eurasie (Fig. 1). </w:t>
      </w:r>
    </w:p>
    <w:p w14:paraId="05E61D2F" w14:textId="77777777" w:rsidR="006300B6" w:rsidRPr="000546A6" w:rsidRDefault="006300B6">
      <w:pPr>
        <w:suppressAutoHyphens/>
        <w:autoSpaceDN w:val="0"/>
        <w:spacing w:after="0" w:line="240" w:lineRule="auto"/>
        <w:ind w:left="540"/>
        <w:jc w:val="both"/>
        <w:textAlignment w:val="baseline"/>
        <w:rPr>
          <w:rFonts w:eastAsia="Calibri" w:cs="Arial"/>
          <w:b/>
          <w:lang w:val="fr-FR"/>
        </w:rPr>
      </w:pPr>
    </w:p>
    <w:p w14:paraId="67FA3617" w14:textId="77777777" w:rsidR="006300B6" w:rsidRPr="000546A6" w:rsidRDefault="00CC7671">
      <w:pPr>
        <w:suppressAutoHyphens/>
        <w:autoSpaceDN w:val="0"/>
        <w:spacing w:after="0" w:line="240" w:lineRule="auto"/>
        <w:ind w:left="540"/>
        <w:jc w:val="both"/>
        <w:textAlignment w:val="baseline"/>
        <w:rPr>
          <w:rFonts w:eastAsia="Calibri" w:cs="Arial"/>
          <w:lang w:val="fr-FR"/>
        </w:rPr>
      </w:pPr>
      <w:r w:rsidRPr="000546A6">
        <w:rPr>
          <w:rFonts w:eastAsia="Calibri" w:cs="Arial"/>
          <w:noProof/>
          <w:lang w:val="fr-FR" w:eastAsia="de-CH"/>
        </w:rPr>
        <w:drawing>
          <wp:inline distT="0" distB="0" distL="0" distR="0" wp14:anchorId="0A812045" wp14:editId="16BFA0E1">
            <wp:extent cx="5730875" cy="1859915"/>
            <wp:effectExtent l="0" t="0" r="3175" b="6985"/>
            <wp:docPr id="46545092" name="Picture 1" descr="A map of different countries/regi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45092" name="Picture 1" descr="A map of different countries/regions&#10;&#10;AI-generated content may be incorrect."/>
                    <pic:cNvPicPr/>
                  </pic:nvPicPr>
                  <pic:blipFill>
                    <a:blip r:embed="rId12"/>
                    <a:stretch>
                      <a:fillRect/>
                    </a:stretch>
                  </pic:blipFill>
                  <pic:spPr>
                    <a:xfrm>
                      <a:off x="0" y="0"/>
                      <a:ext cx="5730875" cy="1859915"/>
                    </a:xfrm>
                    <a:prstGeom prst="rect">
                      <a:avLst/>
                    </a:prstGeom>
                  </pic:spPr>
                </pic:pic>
              </a:graphicData>
            </a:graphic>
          </wp:inline>
        </w:drawing>
      </w:r>
    </w:p>
    <w:p w14:paraId="04F9FC08" w14:textId="54934C52" w:rsidR="00956266" w:rsidRDefault="00956266">
      <w:pPr>
        <w:suppressAutoHyphens/>
        <w:autoSpaceDN w:val="0"/>
        <w:spacing w:after="0" w:line="240" w:lineRule="auto"/>
        <w:ind w:left="540" w:hanging="540"/>
        <w:jc w:val="both"/>
        <w:textAlignment w:val="baseline"/>
        <w:rPr>
          <w:rFonts w:eastAsia="Calibri" w:cs="Arial"/>
          <w:lang w:val="fr-FR"/>
        </w:rPr>
      </w:pPr>
      <w:r>
        <w:rPr>
          <w:rFonts w:eastAsia="Calibri" w:cs="Arial"/>
          <w:lang w:val="fr-FR"/>
        </w:rPr>
        <w:br w:type="page"/>
      </w:r>
    </w:p>
    <w:p w14:paraId="0546730F" w14:textId="63395073" w:rsidR="006300B6" w:rsidRPr="000546A6" w:rsidRDefault="00CC7671">
      <w:pPr>
        <w:tabs>
          <w:tab w:val="left" w:pos="900"/>
        </w:tabs>
        <w:suppressAutoHyphens/>
        <w:autoSpaceDN w:val="0"/>
        <w:spacing w:after="0" w:line="240" w:lineRule="auto"/>
        <w:jc w:val="both"/>
        <w:textAlignment w:val="baseline"/>
        <w:rPr>
          <w:rFonts w:eastAsia="Calibri" w:cs="Arial"/>
          <w:lang w:val="fr-FR"/>
        </w:rPr>
      </w:pPr>
      <w:r w:rsidRPr="000546A6">
        <w:rPr>
          <w:rFonts w:eastAsia="Calibri" w:cs="Arial"/>
          <w:b/>
          <w:lang w:val="fr-FR"/>
        </w:rPr>
        <w:lastRenderedPageBreak/>
        <w:t xml:space="preserve">Résumé des activités </w:t>
      </w:r>
    </w:p>
    <w:p w14:paraId="7AB8CA1B" w14:textId="77777777" w:rsidR="006300B6" w:rsidRPr="000546A6" w:rsidRDefault="006300B6">
      <w:pPr>
        <w:tabs>
          <w:tab w:val="left" w:pos="900"/>
        </w:tabs>
        <w:suppressAutoHyphens/>
        <w:autoSpaceDN w:val="0"/>
        <w:spacing w:after="0" w:line="240" w:lineRule="auto"/>
        <w:jc w:val="both"/>
        <w:textAlignment w:val="baseline"/>
        <w:rPr>
          <w:rFonts w:eastAsia="Calibri" w:cs="Arial"/>
          <w:lang w:val="fr-FR"/>
        </w:rPr>
      </w:pPr>
    </w:p>
    <w:p w14:paraId="1E2E6ED6" w14:textId="77777777" w:rsidR="006300B6" w:rsidRPr="000546A6" w:rsidRDefault="00CC7671">
      <w:pPr>
        <w:tabs>
          <w:tab w:val="left" w:pos="900"/>
        </w:tabs>
        <w:suppressAutoHyphens/>
        <w:autoSpaceDN w:val="0"/>
        <w:spacing w:after="0" w:line="240" w:lineRule="auto"/>
        <w:jc w:val="both"/>
        <w:textAlignment w:val="baseline"/>
        <w:rPr>
          <w:rFonts w:eastAsia="Calibri" w:cs="Arial"/>
          <w:lang w:val="fr-FR"/>
        </w:rPr>
      </w:pPr>
      <w:r w:rsidRPr="000546A6">
        <w:rPr>
          <w:rFonts w:eastAsia="Calibri" w:cs="Arial"/>
          <w:lang w:val="fr-FR"/>
        </w:rPr>
        <w:t xml:space="preserve"> Alors que l’aire de répartition boréale du lynx commun est vaste, continue et stable, les sous-espèces « du sud » (Fig. 1) ont perdu la majeure partie de leur aire de répartition historique (en Europe) ou leur état de conservation, y compris l’aire de répartition, la taille et la tendance de la population, reste largement inconnu (en Asie). Ces quatre sous-espèces dépendent de mesures de conservation et, étant réparties sur de nombreux États de l'aire de répartition, nécessitent une coopération transfronta</w:t>
      </w:r>
      <w:r w:rsidRPr="000546A6">
        <w:rPr>
          <w:rFonts w:eastAsia="Calibri" w:cs="Arial"/>
          <w:lang w:val="fr-FR"/>
        </w:rPr>
        <w:t xml:space="preserve">lière pour assurer leur conservation à long terme. La suggestion initiale prévoyait (1) l'élaboration d'un plan d’action pour la conservation de </w:t>
      </w:r>
      <w:r w:rsidRPr="000546A6">
        <w:rPr>
          <w:rFonts w:eastAsia="Calibri" w:cs="Arial"/>
          <w:i/>
          <w:iCs/>
          <w:lang w:val="fr-FR"/>
        </w:rPr>
        <w:t xml:space="preserve">L. l. </w:t>
      </w:r>
      <w:proofErr w:type="spellStart"/>
      <w:r w:rsidRPr="000546A6">
        <w:rPr>
          <w:rFonts w:eastAsia="Calibri" w:cs="Arial"/>
          <w:i/>
          <w:iCs/>
          <w:lang w:val="fr-FR"/>
        </w:rPr>
        <w:t>balcanicus</w:t>
      </w:r>
      <w:proofErr w:type="spellEnd"/>
      <w:r w:rsidRPr="000546A6">
        <w:rPr>
          <w:rFonts w:eastAsia="Calibri" w:cs="Arial"/>
          <w:lang w:val="fr-FR"/>
        </w:rPr>
        <w:t xml:space="preserve"> avec une approche spatialisée, (2) une stratégie de conservation pour les Carpates, (3) des recommandations pour la réintroduction, le rétablissement génétique et la sélection d’individus pour le domaine de L</w:t>
      </w:r>
      <w:r w:rsidRPr="000546A6">
        <w:rPr>
          <w:rFonts w:eastAsia="Calibri" w:cs="Arial"/>
          <w:i/>
          <w:iCs/>
          <w:lang w:val="fr-FR"/>
        </w:rPr>
        <w:t xml:space="preserve">. l. </w:t>
      </w:r>
      <w:proofErr w:type="spellStart"/>
      <w:r w:rsidRPr="000546A6">
        <w:rPr>
          <w:rFonts w:eastAsia="Calibri" w:cs="Arial"/>
          <w:i/>
          <w:iCs/>
          <w:lang w:val="fr-FR"/>
        </w:rPr>
        <w:t>carpathicus</w:t>
      </w:r>
      <w:proofErr w:type="spellEnd"/>
      <w:r w:rsidRPr="000546A6">
        <w:rPr>
          <w:rFonts w:eastAsia="Calibri" w:cs="Arial"/>
          <w:lang w:val="fr-FR"/>
        </w:rPr>
        <w:t xml:space="preserve"> en Europe continentale, (4) et (5) la réalisation une étude de base pour les </w:t>
      </w:r>
      <w:r w:rsidRPr="000546A6">
        <w:rPr>
          <w:rFonts w:eastAsia="Calibri" w:cs="Arial"/>
          <w:i/>
          <w:iCs/>
          <w:lang w:val="fr-FR"/>
        </w:rPr>
        <w:t xml:space="preserve">L. l. </w:t>
      </w:r>
      <w:proofErr w:type="spellStart"/>
      <w:r w:rsidRPr="000546A6">
        <w:rPr>
          <w:rFonts w:eastAsia="Calibri" w:cs="Arial"/>
          <w:i/>
          <w:iCs/>
          <w:lang w:val="fr-FR"/>
        </w:rPr>
        <w:t>dinniki</w:t>
      </w:r>
      <w:proofErr w:type="spellEnd"/>
      <w:r w:rsidRPr="000546A6">
        <w:rPr>
          <w:rFonts w:eastAsia="Calibri" w:cs="Arial"/>
          <w:lang w:val="fr-FR"/>
        </w:rPr>
        <w:t xml:space="preserve"> et </w:t>
      </w:r>
      <w:r w:rsidRPr="000546A6">
        <w:rPr>
          <w:rFonts w:eastAsia="Calibri" w:cs="Arial"/>
          <w:i/>
          <w:iCs/>
          <w:lang w:val="fr-FR"/>
        </w:rPr>
        <w:t xml:space="preserve">L. l. </w:t>
      </w:r>
      <w:proofErr w:type="spellStart"/>
      <w:r w:rsidRPr="000546A6">
        <w:rPr>
          <w:rFonts w:eastAsia="Calibri" w:cs="Arial"/>
          <w:i/>
          <w:iCs/>
          <w:lang w:val="fr-FR"/>
        </w:rPr>
        <w:t>isabellinus</w:t>
      </w:r>
      <w:proofErr w:type="spellEnd"/>
      <w:r w:rsidRPr="000546A6">
        <w:rPr>
          <w:rFonts w:eastAsia="Calibri" w:cs="Arial"/>
          <w:lang w:val="fr-FR"/>
        </w:rPr>
        <w:t>, permettant d</w:t>
      </w:r>
      <w:r w:rsidRPr="000546A6">
        <w:rPr>
          <w:rFonts w:eastAsia="Calibri" w:cs="Arial"/>
          <w:lang w:val="fr-FR"/>
        </w:rPr>
        <w:t xml:space="preserve">’évaluer leur état de conservation, par exemple selon les critères de la Liste rouge de l’Union internationale pour la conservation de la nature (UICN). </w:t>
      </w:r>
    </w:p>
    <w:p w14:paraId="765ED97C" w14:textId="77777777" w:rsidR="006300B6" w:rsidRPr="000546A6" w:rsidRDefault="006300B6">
      <w:pPr>
        <w:tabs>
          <w:tab w:val="left" w:pos="900"/>
        </w:tabs>
        <w:suppressAutoHyphens/>
        <w:autoSpaceDN w:val="0"/>
        <w:spacing w:after="0" w:line="240" w:lineRule="auto"/>
        <w:jc w:val="both"/>
        <w:textAlignment w:val="baseline"/>
        <w:rPr>
          <w:rFonts w:eastAsia="Calibri" w:cs="Arial"/>
          <w:lang w:val="fr-FR"/>
        </w:rPr>
      </w:pPr>
    </w:p>
    <w:p w14:paraId="2FCA70C5" w14:textId="77777777" w:rsidR="006300B6" w:rsidRPr="000546A6" w:rsidRDefault="00CC7671">
      <w:pPr>
        <w:tabs>
          <w:tab w:val="left" w:pos="900"/>
        </w:tabs>
        <w:suppressAutoHyphens/>
        <w:autoSpaceDN w:val="0"/>
        <w:spacing w:after="0" w:line="240" w:lineRule="auto"/>
        <w:jc w:val="both"/>
        <w:textAlignment w:val="baseline"/>
        <w:rPr>
          <w:rFonts w:eastAsia="Calibri" w:cs="Arial"/>
          <w:lang w:val="fr-FR"/>
        </w:rPr>
      </w:pPr>
      <w:r w:rsidRPr="000546A6">
        <w:rPr>
          <w:rFonts w:eastAsia="Calibri" w:cs="Arial"/>
          <w:lang w:val="fr-FR"/>
        </w:rPr>
        <w:t>Cependant, à l’exception de l’activité 1, les activités 2 à 5 nécessitent une prolongation de leur période de mise en œuvre jusqu’à la fin de l'année 2026. Veuillez trouver ci-dessous une description de l’avancement des activités et des nouvelles échéances proposées.</w:t>
      </w:r>
    </w:p>
    <w:p w14:paraId="0454FFD3" w14:textId="77777777" w:rsidR="006300B6" w:rsidRPr="000546A6" w:rsidRDefault="006300B6">
      <w:pPr>
        <w:suppressAutoHyphens/>
        <w:autoSpaceDN w:val="0"/>
        <w:spacing w:after="0" w:line="240" w:lineRule="auto"/>
        <w:ind w:left="540" w:hanging="540"/>
        <w:jc w:val="both"/>
        <w:textAlignment w:val="baseline"/>
        <w:rPr>
          <w:rFonts w:eastAsia="Calibri" w:cs="Arial"/>
          <w:lang w:val="fr-FR"/>
        </w:rPr>
      </w:pPr>
    </w:p>
    <w:p w14:paraId="4BE6F55A" w14:textId="2B26D928" w:rsidR="006300B6" w:rsidRPr="000546A6" w:rsidRDefault="00CC7671">
      <w:pPr>
        <w:suppressAutoHyphens/>
        <w:autoSpaceDN w:val="0"/>
        <w:spacing w:after="0" w:line="240" w:lineRule="auto"/>
        <w:jc w:val="both"/>
        <w:textAlignment w:val="baseline"/>
        <w:rPr>
          <w:rFonts w:eastAsia="Calibri" w:cs="Arial"/>
          <w:lang w:val="fr-FR"/>
        </w:rPr>
      </w:pPr>
      <w:r w:rsidRPr="000546A6">
        <w:rPr>
          <w:rFonts w:eastAsia="Calibri" w:cs="Arial"/>
          <w:b/>
          <w:lang w:val="fr-FR"/>
        </w:rPr>
        <w:t xml:space="preserve">Activités et résultats escomptés </w:t>
      </w:r>
    </w:p>
    <w:p w14:paraId="765F6445" w14:textId="77777777" w:rsidR="006300B6" w:rsidRPr="000546A6" w:rsidRDefault="006300B6">
      <w:pPr>
        <w:suppressAutoHyphens/>
        <w:autoSpaceDN w:val="0"/>
        <w:spacing w:after="0" w:line="240" w:lineRule="auto"/>
        <w:jc w:val="both"/>
        <w:textAlignment w:val="baseline"/>
        <w:rPr>
          <w:rFonts w:eastAsia="Calibri" w:cs="Arial"/>
          <w:lang w:val="fr-FR"/>
        </w:rPr>
      </w:pPr>
    </w:p>
    <w:p w14:paraId="44969E75" w14:textId="77777777" w:rsidR="006300B6" w:rsidRPr="000546A6" w:rsidRDefault="00CC7671">
      <w:pPr>
        <w:suppressAutoHyphens/>
        <w:autoSpaceDN w:val="0"/>
        <w:spacing w:after="0" w:line="240" w:lineRule="auto"/>
        <w:jc w:val="both"/>
        <w:textAlignment w:val="baseline"/>
        <w:rPr>
          <w:rFonts w:eastAsia="Calibri" w:cs="Arial"/>
          <w:lang w:val="fr-FR"/>
        </w:rPr>
      </w:pPr>
      <w:r w:rsidRPr="000546A6">
        <w:rPr>
          <w:rFonts w:eastAsia="Calibri" w:cs="Arial"/>
          <w:lang w:val="fr-FR"/>
        </w:rPr>
        <w:t>Les résultats (conclusions attendues) et les activités associées sont présentés sous forme de tableau dans le cadre logique figurant en annexe. Vous trouverez ci-dessous une brève description de chaque bloc.</w:t>
      </w:r>
    </w:p>
    <w:p w14:paraId="6149BDDA" w14:textId="77777777" w:rsidR="006300B6" w:rsidRPr="000546A6" w:rsidRDefault="006300B6">
      <w:pPr>
        <w:autoSpaceDE w:val="0"/>
        <w:autoSpaceDN w:val="0"/>
        <w:adjustRightInd w:val="0"/>
        <w:spacing w:after="0" w:line="240" w:lineRule="auto"/>
        <w:rPr>
          <w:rFonts w:eastAsia="Calibri" w:cs="Arial"/>
          <w:lang w:val="fr-FR"/>
        </w:rPr>
      </w:pPr>
    </w:p>
    <w:p w14:paraId="65053BBF" w14:textId="77777777" w:rsidR="006300B6" w:rsidRPr="000546A6" w:rsidRDefault="00CC7671">
      <w:pPr>
        <w:numPr>
          <w:ilvl w:val="0"/>
          <w:numId w:val="12"/>
        </w:numPr>
        <w:suppressAutoHyphens/>
        <w:autoSpaceDE w:val="0"/>
        <w:autoSpaceDN w:val="0"/>
        <w:adjustRightInd w:val="0"/>
        <w:spacing w:after="0" w:line="240" w:lineRule="auto"/>
        <w:ind w:left="720"/>
        <w:jc w:val="both"/>
        <w:textAlignment w:val="baseline"/>
        <w:rPr>
          <w:rFonts w:eastAsia="Calibri" w:cs="Arial"/>
          <w:lang w:val="fr-FR"/>
        </w:rPr>
      </w:pPr>
      <w:r w:rsidRPr="000546A6">
        <w:rPr>
          <w:rFonts w:eastAsia="Calibri" w:cs="Arial"/>
          <w:lang w:val="fr-FR"/>
        </w:rPr>
        <w:t xml:space="preserve">Le lynx des Balkans </w:t>
      </w:r>
      <w:r w:rsidRPr="000546A6">
        <w:rPr>
          <w:rFonts w:eastAsia="Calibri" w:cs="Arial"/>
          <w:i/>
          <w:iCs/>
          <w:lang w:val="fr-FR"/>
        </w:rPr>
        <w:t xml:space="preserve">L. l. </w:t>
      </w:r>
      <w:proofErr w:type="spellStart"/>
      <w:r w:rsidRPr="000546A6">
        <w:rPr>
          <w:rFonts w:eastAsia="Calibri" w:cs="Arial"/>
          <w:i/>
          <w:iCs/>
          <w:lang w:val="fr-FR"/>
        </w:rPr>
        <w:t>balcanicus</w:t>
      </w:r>
      <w:proofErr w:type="spellEnd"/>
      <w:r w:rsidRPr="000546A6">
        <w:rPr>
          <w:rFonts w:eastAsia="Calibri" w:cs="Arial"/>
          <w:lang w:val="fr-FR"/>
        </w:rPr>
        <w:t xml:space="preserve"> provient d’un refuge glaciaire en Asie du Sud-Est et était historiquement limité aux chaînes de montagnes du sud de la péninsule balkanique. Il aujourd’hui uniquement présent dans la zone transfrontalière entre la Macédoine du Nord et le nord-est de l’Albanie et est inscrit comme En danger critique d’extinction sur la Liste rouge de l’Union internationale pour la conservation de la nature (UICN). Son aire de rétablissement potentielle comprend des habitats adaptés en Macédoine du Nord et en Albanie, mais é</w:t>
      </w:r>
      <w:r w:rsidRPr="000546A6">
        <w:rPr>
          <w:rFonts w:eastAsia="Calibri" w:cs="Arial"/>
          <w:lang w:val="fr-FR"/>
        </w:rPr>
        <w:t xml:space="preserve">galement en Grèce, au Monténégro, en Bosnie-Herzégovine et dans la région du Kosovo (sous le régime de la Résolution 1244/99 du Conseil de sécurité des Nations unies). La biologie, l’écologie et l'état de conservation sont relativement bien connus grâce à un programme de recherche et de conservation continu, mais ce qui fait défaut, c’est une coopération institutionnelle transfrontalière. </w:t>
      </w:r>
    </w:p>
    <w:p w14:paraId="14D1E947" w14:textId="77777777" w:rsidR="006300B6" w:rsidRPr="000546A6" w:rsidRDefault="006300B6">
      <w:pPr>
        <w:autoSpaceDE w:val="0"/>
        <w:autoSpaceDN w:val="0"/>
        <w:adjustRightInd w:val="0"/>
        <w:spacing w:after="0" w:line="240" w:lineRule="auto"/>
        <w:ind w:left="720" w:hanging="360"/>
        <w:jc w:val="both"/>
        <w:rPr>
          <w:rFonts w:eastAsia="Calibri" w:cs="Arial"/>
          <w:lang w:val="fr-FR"/>
        </w:rPr>
      </w:pPr>
    </w:p>
    <w:p w14:paraId="53EF08EE" w14:textId="77777777" w:rsidR="006300B6" w:rsidRPr="000546A6" w:rsidRDefault="00CC7671">
      <w:pPr>
        <w:autoSpaceDE w:val="0"/>
        <w:autoSpaceDN w:val="0"/>
        <w:adjustRightInd w:val="0"/>
        <w:spacing w:after="0" w:line="240" w:lineRule="auto"/>
        <w:ind w:left="720"/>
        <w:jc w:val="both"/>
        <w:rPr>
          <w:rFonts w:eastAsia="Calibri" w:cs="Arial"/>
          <w:lang w:val="fr-FR"/>
        </w:rPr>
      </w:pPr>
      <w:r w:rsidRPr="000546A6">
        <w:rPr>
          <w:rFonts w:eastAsia="Calibri" w:cs="Arial"/>
          <w:b/>
          <w:bCs/>
          <w:lang w:val="fr-FR"/>
        </w:rPr>
        <w:t xml:space="preserve">La Stratégie de conservation à l’échelle de l’aire de répartition du lynx des Balkans </w:t>
      </w:r>
      <w:r w:rsidRPr="000546A6">
        <w:rPr>
          <w:rFonts w:eastAsia="Calibri" w:cs="Arial"/>
          <w:b/>
          <w:bCs/>
          <w:i/>
          <w:lang w:val="fr-FR"/>
        </w:rPr>
        <w:t xml:space="preserve">(L. l. </w:t>
      </w:r>
      <w:proofErr w:type="spellStart"/>
      <w:r w:rsidRPr="000546A6">
        <w:rPr>
          <w:rFonts w:eastAsia="Calibri" w:cs="Arial"/>
          <w:b/>
          <w:bCs/>
          <w:i/>
          <w:lang w:val="fr-FR"/>
        </w:rPr>
        <w:t>balcanicus</w:t>
      </w:r>
      <w:proofErr w:type="spellEnd"/>
      <w:r w:rsidRPr="000546A6">
        <w:rPr>
          <w:rFonts w:eastAsia="Calibri" w:cs="Arial"/>
          <w:b/>
          <w:bCs/>
          <w:lang w:val="fr-FR"/>
        </w:rPr>
        <w:t>)</w:t>
      </w:r>
      <w:r w:rsidRPr="000546A6">
        <w:rPr>
          <w:rFonts w:eastAsia="Calibri" w:cs="Arial"/>
          <w:lang w:val="fr-FR"/>
        </w:rPr>
        <w:t xml:space="preserve"> a été élaborée à la suite des évaluations actualisées de l'Union internationale pour la conservation de la nature (UICN). L'évaluation de la Liste rouge et l'évaluation du Statut vert de l'espèce sont terminées et prêtes à être publiées sur le site Web de la Liste rouge de l'UICN. La Stratégie de conservation a été élaborée par une équipe d’experts lors de cinq ateliers en ligne au cours de l’hiver/printemps 2025 et de nombreuses réunions de coordination internes. Elle a été soumise aux É</w:t>
      </w:r>
      <w:r w:rsidRPr="000546A6">
        <w:rPr>
          <w:rFonts w:eastAsia="Calibri" w:cs="Arial"/>
          <w:lang w:val="fr-FR"/>
        </w:rPr>
        <w:t xml:space="preserve">tats de l'air de répartition, puis examinée avec eux lors d’un atelier organisé à Skopje (Macédoine du Nord) du 2 au 5 juin 2025. La stratégie a ensuite été envoyée aux pays de l'aire de répartition à des fins de consultation. Le comité de rédaction a ensuite révisé la stratégie en fonction des commentaires et des recommandations reçus pendant la période de consultation. La version finale de la stratégie a été soumise aux conventions de Bonn et de Berne le </w:t>
      </w:r>
      <w:r w:rsidRPr="000546A6">
        <w:rPr>
          <w:rFonts w:eastAsia="Calibri" w:cs="Arial"/>
          <w:vertAlign w:val="superscript"/>
          <w:lang w:val="fr-FR"/>
        </w:rPr>
        <w:t>23</w:t>
      </w:r>
      <w:r w:rsidRPr="000546A6">
        <w:rPr>
          <w:rFonts w:eastAsia="Calibri" w:cs="Arial"/>
          <w:lang w:val="fr-FR"/>
        </w:rPr>
        <w:t xml:space="preserve"> octobre 2025. </w:t>
      </w:r>
    </w:p>
    <w:p w14:paraId="14367EE3" w14:textId="77777777" w:rsidR="006300B6" w:rsidRPr="000546A6" w:rsidRDefault="006300B6">
      <w:pPr>
        <w:numPr>
          <w:ilvl w:val="1"/>
          <w:numId w:val="13"/>
        </w:numPr>
        <w:suppressAutoHyphens/>
        <w:autoSpaceDE w:val="0"/>
        <w:autoSpaceDN w:val="0"/>
        <w:adjustRightInd w:val="0"/>
        <w:spacing w:after="0" w:line="240" w:lineRule="auto"/>
        <w:textAlignment w:val="baseline"/>
        <w:rPr>
          <w:rFonts w:eastAsia="Calibri" w:cs="Arial"/>
          <w:lang w:val="fr-FR"/>
        </w:rPr>
      </w:pPr>
    </w:p>
    <w:p w14:paraId="09AE7793" w14:textId="77777777" w:rsidR="006300B6" w:rsidRPr="000546A6" w:rsidRDefault="00CC7671">
      <w:pPr>
        <w:numPr>
          <w:ilvl w:val="0"/>
          <w:numId w:val="12"/>
        </w:numPr>
        <w:tabs>
          <w:tab w:val="left" w:pos="810"/>
        </w:tabs>
        <w:suppressAutoHyphens/>
        <w:autoSpaceDE w:val="0"/>
        <w:autoSpaceDN w:val="0"/>
        <w:adjustRightInd w:val="0"/>
        <w:spacing w:after="80" w:line="240" w:lineRule="auto"/>
        <w:ind w:left="720"/>
        <w:jc w:val="both"/>
        <w:textAlignment w:val="baseline"/>
        <w:rPr>
          <w:rFonts w:eastAsia="Calibri" w:cs="Arial"/>
          <w:lang w:val="fr-FR"/>
        </w:rPr>
      </w:pPr>
      <w:r w:rsidRPr="000546A6">
        <w:rPr>
          <w:rFonts w:eastAsia="Calibri" w:cs="Arial"/>
          <w:i/>
          <w:iCs/>
          <w:lang w:val="fr-FR"/>
        </w:rPr>
        <w:t xml:space="preserve">Le Lynx </w:t>
      </w:r>
      <w:proofErr w:type="spellStart"/>
      <w:r w:rsidRPr="000546A6">
        <w:rPr>
          <w:rFonts w:eastAsia="Calibri" w:cs="Arial"/>
          <w:i/>
          <w:iCs/>
          <w:lang w:val="fr-FR"/>
        </w:rPr>
        <w:t>lynx</w:t>
      </w:r>
      <w:proofErr w:type="spellEnd"/>
      <w:r w:rsidRPr="000546A6">
        <w:rPr>
          <w:rFonts w:eastAsia="Calibri" w:cs="Arial"/>
          <w:i/>
          <w:iCs/>
          <w:lang w:val="fr-FR"/>
        </w:rPr>
        <w:t xml:space="preserve"> </w:t>
      </w:r>
      <w:proofErr w:type="spellStart"/>
      <w:r w:rsidRPr="000546A6">
        <w:rPr>
          <w:rFonts w:eastAsia="Calibri" w:cs="Arial"/>
          <w:i/>
          <w:iCs/>
          <w:lang w:val="fr-FR"/>
        </w:rPr>
        <w:t>carpathicus</w:t>
      </w:r>
      <w:proofErr w:type="spellEnd"/>
      <w:r w:rsidRPr="000546A6">
        <w:rPr>
          <w:rFonts w:eastAsia="Calibri" w:cs="Arial"/>
          <w:i/>
          <w:iCs/>
          <w:lang w:val="fr-FR"/>
        </w:rPr>
        <w:t xml:space="preserve"> </w:t>
      </w:r>
      <w:r w:rsidRPr="000546A6">
        <w:rPr>
          <w:rFonts w:eastAsia="Calibri" w:cs="Arial"/>
          <w:lang w:val="fr-FR"/>
        </w:rPr>
        <w:t xml:space="preserve">est limité à la chaîne de montagnes des Carpates. Alors que la population en Roumanie est considérée comme stable, la population en Slovaquie </w:t>
      </w:r>
      <w:r w:rsidRPr="000546A6">
        <w:rPr>
          <w:rFonts w:eastAsia="Calibri" w:cs="Arial"/>
          <w:lang w:val="fr-FR"/>
        </w:rPr>
        <w:lastRenderedPageBreak/>
        <w:t>et en République tchèque semble diminuer, et la population en Ukraine est probablement si faible que la répartition homogène risque d'être affectée. Il est urgent d'établir une coopération transfrontalière à l'échelle de l'aire de répartition afin d'assurer son suivi et sa conservation. Le processus d'</w:t>
      </w:r>
      <w:r w:rsidRPr="000546A6">
        <w:rPr>
          <w:rFonts w:eastAsia="Calibri" w:cs="Arial"/>
          <w:b/>
          <w:bCs/>
          <w:lang w:val="fr-FR"/>
        </w:rPr>
        <w:t>élaboration de la stratégie</w:t>
      </w:r>
      <w:r w:rsidRPr="000546A6">
        <w:rPr>
          <w:rFonts w:eastAsia="Calibri" w:cs="Arial"/>
          <w:lang w:val="fr-FR"/>
        </w:rPr>
        <w:t xml:space="preserve"> a été lancé sous l’égi</w:t>
      </w:r>
      <w:r w:rsidRPr="000546A6">
        <w:rPr>
          <w:rFonts w:eastAsia="Calibri" w:cs="Arial"/>
          <w:lang w:val="fr-FR"/>
        </w:rPr>
        <w:t xml:space="preserve">de du Secrétariat de la Convention des Carpates, en collaboration avec des organisations régionales de conservation et des institutions scientifiques chargées de soutenir son développement et de guider la mise en place et la mise en </w:t>
      </w:r>
      <w:proofErr w:type="spellStart"/>
      <w:r w:rsidRPr="000546A6">
        <w:rPr>
          <w:rFonts w:eastAsia="Calibri" w:cs="Arial"/>
          <w:lang w:val="fr-FR"/>
        </w:rPr>
        <w:t>oeuvre</w:t>
      </w:r>
      <w:proofErr w:type="spellEnd"/>
      <w:r w:rsidRPr="000546A6">
        <w:rPr>
          <w:rFonts w:eastAsia="Calibri" w:cs="Arial"/>
          <w:lang w:val="fr-FR"/>
        </w:rPr>
        <w:t xml:space="preserve"> des activités de conservation via des plans d’action nationaux, conformément aux lignes directrices de l'Union internationale pour la conservation de la nature (UICN) pour la planification stratégique de la conservation des espèces. Les progrès suivants ont été réalisés :</w:t>
      </w:r>
    </w:p>
    <w:p w14:paraId="052E0338" w14:textId="77777777" w:rsidR="006300B6" w:rsidRPr="000546A6" w:rsidRDefault="00CC7671">
      <w:pPr>
        <w:numPr>
          <w:ilvl w:val="0"/>
          <w:numId w:val="14"/>
        </w:numPr>
        <w:tabs>
          <w:tab w:val="left" w:pos="810"/>
        </w:tabs>
        <w:suppressAutoHyphens/>
        <w:autoSpaceDE w:val="0"/>
        <w:autoSpaceDN w:val="0"/>
        <w:adjustRightInd w:val="0"/>
        <w:spacing w:after="80" w:line="240" w:lineRule="auto"/>
        <w:ind w:left="1080"/>
        <w:jc w:val="both"/>
        <w:textAlignment w:val="baseline"/>
        <w:rPr>
          <w:rFonts w:eastAsia="Calibri" w:cs="Arial"/>
          <w:lang w:val="fr-FR"/>
        </w:rPr>
      </w:pPr>
      <w:r w:rsidRPr="000546A6">
        <w:rPr>
          <w:rFonts w:eastAsia="Calibri" w:cs="Arial"/>
          <w:lang w:val="fr-FR"/>
        </w:rPr>
        <w:t>Les projets d'évaluation de la Liste rouge et d'évaluation du Statut vert de l'espèce ont été finalisés afin de contribuer au processus de planification.</w:t>
      </w:r>
    </w:p>
    <w:p w14:paraId="513E3364" w14:textId="77777777" w:rsidR="006300B6" w:rsidRPr="000546A6" w:rsidRDefault="00CC7671">
      <w:pPr>
        <w:numPr>
          <w:ilvl w:val="0"/>
          <w:numId w:val="14"/>
        </w:numPr>
        <w:tabs>
          <w:tab w:val="left" w:pos="810"/>
        </w:tabs>
        <w:suppressAutoHyphens/>
        <w:autoSpaceDE w:val="0"/>
        <w:autoSpaceDN w:val="0"/>
        <w:adjustRightInd w:val="0"/>
        <w:spacing w:after="80" w:line="240" w:lineRule="auto"/>
        <w:ind w:left="1080"/>
        <w:jc w:val="both"/>
        <w:textAlignment w:val="baseline"/>
        <w:rPr>
          <w:rFonts w:eastAsia="Calibri" w:cs="Arial"/>
          <w:lang w:val="fr-FR"/>
        </w:rPr>
      </w:pPr>
      <w:r w:rsidRPr="000546A6">
        <w:rPr>
          <w:rFonts w:eastAsia="Calibri" w:cs="Arial"/>
          <w:lang w:val="fr-FR"/>
        </w:rPr>
        <w:t>Une discussion a été menée avec le Secrétariat de la Convention des Carpates concernant l'élaboration conjointe d'une stratégie de conservation couvrant l'ensemble de l'aire de répartition.</w:t>
      </w:r>
    </w:p>
    <w:p w14:paraId="5A465812" w14:textId="77777777" w:rsidR="006300B6" w:rsidRPr="000546A6" w:rsidRDefault="00CC7671">
      <w:pPr>
        <w:numPr>
          <w:ilvl w:val="0"/>
          <w:numId w:val="14"/>
        </w:numPr>
        <w:tabs>
          <w:tab w:val="left" w:pos="810"/>
        </w:tabs>
        <w:suppressAutoHyphens/>
        <w:autoSpaceDE w:val="0"/>
        <w:autoSpaceDN w:val="0"/>
        <w:adjustRightInd w:val="0"/>
        <w:spacing w:after="0" w:line="240" w:lineRule="auto"/>
        <w:ind w:left="1080"/>
        <w:jc w:val="both"/>
        <w:textAlignment w:val="baseline"/>
        <w:rPr>
          <w:rFonts w:eastAsia="Calibri" w:cs="Arial"/>
          <w:lang w:val="fr-FR"/>
        </w:rPr>
      </w:pPr>
      <w:r w:rsidRPr="000546A6">
        <w:rPr>
          <w:rFonts w:eastAsia="Calibri" w:cs="Arial"/>
          <w:lang w:val="fr-FR"/>
        </w:rPr>
        <w:t>Les dates des ateliers et des réunions en présentiel restent à déterminer, en fonction des fonds disponibles.</w:t>
      </w:r>
    </w:p>
    <w:p w14:paraId="57AD9516" w14:textId="77777777" w:rsidR="006300B6" w:rsidRPr="000546A6" w:rsidRDefault="006300B6">
      <w:pPr>
        <w:autoSpaceDE w:val="0"/>
        <w:autoSpaceDN w:val="0"/>
        <w:adjustRightInd w:val="0"/>
        <w:spacing w:after="0" w:line="240" w:lineRule="auto"/>
        <w:ind w:left="1800"/>
        <w:rPr>
          <w:rFonts w:eastAsia="Calibri" w:cs="Arial"/>
          <w:lang w:val="fr-FR"/>
        </w:rPr>
      </w:pPr>
    </w:p>
    <w:p w14:paraId="393D5212" w14:textId="77777777" w:rsidR="006300B6" w:rsidRPr="000546A6" w:rsidRDefault="00CC7671">
      <w:pPr>
        <w:numPr>
          <w:ilvl w:val="0"/>
          <w:numId w:val="12"/>
        </w:numPr>
        <w:suppressAutoHyphens/>
        <w:autoSpaceDE w:val="0"/>
        <w:autoSpaceDN w:val="0"/>
        <w:adjustRightInd w:val="0"/>
        <w:spacing w:after="0" w:line="240" w:lineRule="auto"/>
        <w:ind w:left="720"/>
        <w:jc w:val="both"/>
        <w:textAlignment w:val="baseline"/>
        <w:rPr>
          <w:rFonts w:eastAsia="Calibri" w:cs="Arial"/>
          <w:lang w:val="fr-FR"/>
        </w:rPr>
      </w:pPr>
      <w:r w:rsidRPr="000546A6">
        <w:rPr>
          <w:rFonts w:eastAsia="Calibri" w:cs="Arial"/>
          <w:lang w:val="fr-FR"/>
        </w:rPr>
        <w:t>Le lynx commun était largement répandu en Europe continentale, mais il s'est éteint au cours du XIX</w:t>
      </w:r>
      <w:r w:rsidRPr="000546A6">
        <w:rPr>
          <w:rFonts w:eastAsia="Calibri" w:cs="Arial"/>
          <w:lang w:val="fr-FR"/>
        </w:rPr>
        <w:t>ᵉ</w:t>
      </w:r>
      <w:r w:rsidRPr="000546A6">
        <w:rPr>
          <w:rFonts w:eastAsia="Calibri" w:cs="Arial"/>
          <w:lang w:val="fr-FR"/>
        </w:rPr>
        <w:t xml:space="preserve"> et du début du XX</w:t>
      </w:r>
      <w:r w:rsidRPr="000546A6">
        <w:rPr>
          <w:rFonts w:eastAsia="Calibri" w:cs="Arial"/>
          <w:lang w:val="fr-FR"/>
        </w:rPr>
        <w:t>ᵉ</w:t>
      </w:r>
      <w:r w:rsidRPr="000546A6">
        <w:rPr>
          <w:rFonts w:eastAsia="Calibri" w:cs="Arial"/>
          <w:lang w:val="fr-FR"/>
        </w:rPr>
        <w:t xml:space="preserve"> siècle. La réintroduction du </w:t>
      </w:r>
      <w:r w:rsidRPr="000546A6">
        <w:rPr>
          <w:rFonts w:eastAsia="Calibri" w:cs="Arial"/>
          <w:i/>
          <w:iCs/>
          <w:lang w:val="fr-FR"/>
        </w:rPr>
        <w:t xml:space="preserve">L. l. </w:t>
      </w:r>
      <w:proofErr w:type="spellStart"/>
      <w:r w:rsidRPr="000546A6">
        <w:rPr>
          <w:rFonts w:eastAsia="Calibri" w:cs="Arial"/>
          <w:i/>
          <w:iCs/>
          <w:lang w:val="fr-FR"/>
        </w:rPr>
        <w:t>carpathicus</w:t>
      </w:r>
      <w:proofErr w:type="spellEnd"/>
      <w:r w:rsidRPr="000546A6">
        <w:rPr>
          <w:rFonts w:eastAsia="Calibri" w:cs="Arial"/>
          <w:lang w:val="fr-FR"/>
        </w:rPr>
        <w:t xml:space="preserve"> dans les zones montagneuses de l'Europe continentale a commencé il y a 50 ans, en utilisant des lynx capturés à l’état sauvage en Slovaquie. Les populations réintroduites restent très petites et isolées, et les plus anciennes d’entre elles souffrent de consanguinité. Pour sauver les populations existantes et rétablir une métapopulation viable de lynx en Europe occidentale et centrale, il est urgent de mettre en place une coopération transfr</w:t>
      </w:r>
      <w:r w:rsidRPr="000546A6">
        <w:rPr>
          <w:rFonts w:eastAsia="Calibri" w:cs="Arial"/>
          <w:lang w:val="fr-FR"/>
        </w:rPr>
        <w:t>ontalière étroite. Les populations existantes doivent être renforcées et de nouvelles populations doivent être établies afin d’améliorer la connectivité. L’approvisionnement en lynx est difficile, car la disponibilité des individus provenant à la fois des populations sources naturelles et des programmes d’élevage de conservation est limitée, et plusieurs programmes de réintroduction de lynx sont en concurrence. La surveillance et l’évaluation génétique doivent être harmonisés, et les protocoles de transfert</w:t>
      </w:r>
      <w:r w:rsidRPr="000546A6">
        <w:rPr>
          <w:rFonts w:eastAsia="Calibri" w:cs="Arial"/>
          <w:lang w:val="fr-FR"/>
        </w:rPr>
        <w:t xml:space="preserve">, de surveillance sanitaire, de reproduction et de formation doivent être standardisés et largement acceptés par toutes les autorités décisionnelles nationales et infranationales sur le continent européen. </w:t>
      </w:r>
    </w:p>
    <w:p w14:paraId="008257A8" w14:textId="77777777" w:rsidR="006300B6" w:rsidRPr="000546A6" w:rsidRDefault="006300B6">
      <w:pPr>
        <w:autoSpaceDE w:val="0"/>
        <w:autoSpaceDN w:val="0"/>
        <w:adjustRightInd w:val="0"/>
        <w:spacing w:after="0" w:line="240" w:lineRule="auto"/>
        <w:ind w:left="1080"/>
        <w:jc w:val="both"/>
        <w:rPr>
          <w:rFonts w:eastAsia="Calibri" w:cs="Arial"/>
          <w:lang w:val="fr-FR"/>
        </w:rPr>
      </w:pPr>
    </w:p>
    <w:p w14:paraId="236976B7" w14:textId="77777777" w:rsidR="006300B6" w:rsidRPr="000546A6" w:rsidRDefault="00CC7671">
      <w:pPr>
        <w:autoSpaceDE w:val="0"/>
        <w:autoSpaceDN w:val="0"/>
        <w:adjustRightInd w:val="0"/>
        <w:spacing w:after="80" w:line="240" w:lineRule="auto"/>
        <w:ind w:left="720"/>
        <w:jc w:val="both"/>
        <w:rPr>
          <w:rFonts w:eastAsia="Calibri" w:cs="Arial"/>
          <w:lang w:val="fr-FR"/>
        </w:rPr>
      </w:pPr>
      <w:r w:rsidRPr="000546A6">
        <w:rPr>
          <w:rFonts w:eastAsia="Calibri" w:cs="Arial"/>
          <w:lang w:val="fr-FR"/>
        </w:rPr>
        <w:t xml:space="preserve">Nous allons, en coopération avec le Groupe de travail sur le lynx des Carpates, élaborer des </w:t>
      </w:r>
      <w:r w:rsidRPr="000546A6">
        <w:rPr>
          <w:rFonts w:eastAsia="Calibri" w:cs="Arial"/>
          <w:b/>
          <w:bCs/>
          <w:lang w:val="fr-FR"/>
        </w:rPr>
        <w:t xml:space="preserve">lignes directrices pour le rétablissement du lynx en Europe centrale et occidentale sur la base des « Recommandations de Bonn » </w:t>
      </w:r>
      <w:r w:rsidRPr="000546A6">
        <w:rPr>
          <w:rFonts w:eastAsia="Calibri" w:cs="Arial"/>
          <w:lang w:val="fr-FR"/>
        </w:rPr>
        <w:t xml:space="preserve">(par exemple, la Recommandation n° 204 (2019) du Comité permanent de la Convention relative à la conservation de la vie sauvage et du milieu naturel de l'Europe [Convention de Berne]), fournissant une orientation générale pour le rétablissement d’une métapopulation et des protocoles concrets pour l’approvisionnement et la gestion des transferts et réintroductions. Certains progrès </w:t>
      </w:r>
      <w:r w:rsidRPr="000546A6">
        <w:rPr>
          <w:rFonts w:eastAsia="Calibri" w:cs="Arial"/>
          <w:lang w:val="fr-FR"/>
        </w:rPr>
        <w:t>ont été réalisés comme suit :</w:t>
      </w:r>
    </w:p>
    <w:p w14:paraId="1FFC042E" w14:textId="77777777" w:rsidR="006300B6" w:rsidRPr="000546A6" w:rsidRDefault="00CC7671">
      <w:pPr>
        <w:numPr>
          <w:ilvl w:val="0"/>
          <w:numId w:val="14"/>
        </w:numPr>
        <w:suppressAutoHyphens/>
        <w:autoSpaceDE w:val="0"/>
        <w:autoSpaceDN w:val="0"/>
        <w:adjustRightInd w:val="0"/>
        <w:spacing w:after="80" w:line="240" w:lineRule="auto"/>
        <w:ind w:left="1080"/>
        <w:jc w:val="both"/>
        <w:textAlignment w:val="baseline"/>
        <w:rPr>
          <w:rFonts w:eastAsia="Calibri" w:cs="Arial"/>
          <w:lang w:val="fr-FR"/>
        </w:rPr>
      </w:pPr>
      <w:r w:rsidRPr="000546A6">
        <w:rPr>
          <w:rFonts w:eastAsia="Calibri" w:cs="Arial"/>
          <w:lang w:val="fr-FR"/>
        </w:rPr>
        <w:t xml:space="preserve">Les populations de Lynx des Carpates réintroduites au sein de l'aire de répartition ont été incluses dans l'évaluation de la Liste rouge et l'évaluation du Statut vert de l'espèce. </w:t>
      </w:r>
    </w:p>
    <w:p w14:paraId="22391272" w14:textId="77777777" w:rsidR="006300B6" w:rsidRPr="000546A6" w:rsidRDefault="00CC7671">
      <w:pPr>
        <w:numPr>
          <w:ilvl w:val="0"/>
          <w:numId w:val="14"/>
        </w:numPr>
        <w:suppressAutoHyphens/>
        <w:autoSpaceDE w:val="0"/>
        <w:autoSpaceDN w:val="0"/>
        <w:adjustRightInd w:val="0"/>
        <w:spacing w:after="0" w:line="240" w:lineRule="auto"/>
        <w:ind w:left="1080"/>
        <w:jc w:val="both"/>
        <w:textAlignment w:val="baseline"/>
        <w:rPr>
          <w:rFonts w:eastAsia="Calibri" w:cs="Arial"/>
          <w:lang w:val="fr-FR"/>
        </w:rPr>
      </w:pPr>
      <w:r w:rsidRPr="000546A6">
        <w:rPr>
          <w:rFonts w:eastAsia="Calibri" w:cs="Arial"/>
          <w:lang w:val="fr-FR"/>
        </w:rPr>
        <w:t xml:space="preserve">La Commission de la sauvegarde des espèces (CSE) de l'UICN prépare actuellement des lignes directrices pour la réintroduction et la conservation du lynx dans le « Royaume du lynx des Carpates ». Ce travail est réalisé en coopération avec le groupe d'experts « </w:t>
      </w:r>
      <w:proofErr w:type="spellStart"/>
      <w:r w:rsidRPr="000546A6">
        <w:rPr>
          <w:rFonts w:eastAsia="Calibri" w:cs="Arial"/>
          <w:lang w:val="fr-FR"/>
        </w:rPr>
        <w:t>Linking</w:t>
      </w:r>
      <w:proofErr w:type="spellEnd"/>
      <w:r w:rsidRPr="000546A6">
        <w:rPr>
          <w:rFonts w:eastAsia="Calibri" w:cs="Arial"/>
          <w:lang w:val="fr-FR"/>
        </w:rPr>
        <w:t xml:space="preserve"> Lynx ». Les lignes directrices seront finalisées dès que la stratégie à l'échelle de l'aire de répartition (Activité 2 ci-dessus) sera disponible (en principe au printemps 2027). </w:t>
      </w:r>
    </w:p>
    <w:p w14:paraId="5266186E" w14:textId="77777777" w:rsidR="006300B6" w:rsidRPr="000546A6" w:rsidRDefault="00CC7671">
      <w:pPr>
        <w:numPr>
          <w:ilvl w:val="0"/>
          <w:numId w:val="12"/>
        </w:numPr>
        <w:suppressAutoHyphens/>
        <w:autoSpaceDE w:val="0"/>
        <w:autoSpaceDN w:val="0"/>
        <w:adjustRightInd w:val="0"/>
        <w:spacing w:after="80" w:line="240" w:lineRule="auto"/>
        <w:ind w:left="720"/>
        <w:jc w:val="both"/>
        <w:textAlignment w:val="baseline"/>
        <w:rPr>
          <w:rFonts w:eastAsia="Calibri" w:cs="Arial"/>
          <w:lang w:val="fr-FR"/>
        </w:rPr>
      </w:pPr>
      <w:r w:rsidRPr="000546A6">
        <w:rPr>
          <w:rFonts w:eastAsia="Calibri" w:cs="Arial"/>
          <w:lang w:val="fr-FR"/>
        </w:rPr>
        <w:lastRenderedPageBreak/>
        <w:t xml:space="preserve">La sous-espèce d'Asie centrale </w:t>
      </w:r>
      <w:r w:rsidRPr="000546A6">
        <w:rPr>
          <w:rFonts w:eastAsia="Calibri" w:cs="Arial"/>
          <w:i/>
          <w:iCs/>
          <w:lang w:val="fr-FR"/>
        </w:rPr>
        <w:t xml:space="preserve">L. l. </w:t>
      </w:r>
      <w:proofErr w:type="spellStart"/>
      <w:r w:rsidRPr="000546A6">
        <w:rPr>
          <w:rFonts w:eastAsia="Calibri" w:cs="Arial"/>
          <w:i/>
          <w:iCs/>
          <w:lang w:val="fr-FR"/>
        </w:rPr>
        <w:t>isabellinus</w:t>
      </w:r>
      <w:proofErr w:type="spellEnd"/>
      <w:r w:rsidRPr="000546A6">
        <w:rPr>
          <w:rFonts w:eastAsia="Calibri" w:cs="Arial"/>
          <w:lang w:val="fr-FR"/>
        </w:rPr>
        <w:t xml:space="preserve"> se distingue des autres sous-espèces de lynx par son apparence, mais probablement aussi par ses caractéristiques écologiques. Cependant, il s'agit de la sous-espèce la moins connue, et les informations sur sa répartition, son abondance et sa tendance ne sont pas disponibles. Son état de conservation n'a donc jamais été évalué selon les procédures de la Liste rouge de l'UICN. Cependant, son aire de répartition chevauche largement celle du léopard des neiges (une espèce inscrite à la Convention sur la conser</w:t>
      </w:r>
      <w:r w:rsidRPr="000546A6">
        <w:rPr>
          <w:rFonts w:eastAsia="Calibri" w:cs="Arial"/>
          <w:lang w:val="fr-FR"/>
        </w:rPr>
        <w:t>vation des espèces migratrices appartenant à la faune sauvage et considérée dans le cadre de l'Initiative pour les mammifères d’Asie centrale de la Convention sur la conservation des espèces migratrices appartenant à la faune sauvage), et nous espérons tirer parti du réseau établi pour la conservation du léopard des neiges pour recueillir également des données sur le lynx. En étroite coopération avec les institutions scientifiques et de conservation des États de l'aire de répartition, une étude de base sera</w:t>
      </w:r>
      <w:r w:rsidRPr="000546A6">
        <w:rPr>
          <w:rFonts w:eastAsia="Calibri" w:cs="Arial"/>
          <w:lang w:val="fr-FR"/>
        </w:rPr>
        <w:t xml:space="preserve"> menée, conduisant à une évaluation solide de l'état de conservation du lynx d’Asie centrale. L'étude sera basée sur (i) un examen des publications, (ii) la compilation de toutes les données sur les prises accidentelles provenant du piégeage photographique dans la région et (iii) une enquête par questionnaire à échelle fine avec les parties prenantes, réalisée par de (jeunes) experts locaux. Cela permettra non seulement de compiler des informations pour éclairer les approches de conservation ultérieures, ma</w:t>
      </w:r>
      <w:r w:rsidRPr="000546A6">
        <w:rPr>
          <w:rFonts w:eastAsia="Calibri" w:cs="Arial"/>
          <w:lang w:val="fr-FR"/>
        </w:rPr>
        <w:t xml:space="preserve">is aussi de sensibiliser et de renforcer les moyens et d'établir un réseau pour une coopération future. Quelques progrès ont été réalisés concernant </w:t>
      </w:r>
      <w:r w:rsidRPr="000546A6">
        <w:rPr>
          <w:rFonts w:eastAsia="Calibri" w:cs="Arial"/>
          <w:b/>
          <w:bCs/>
          <w:lang w:val="fr-FR"/>
        </w:rPr>
        <w:t>l’étude et les premières évaluations de Union internationale pour la conservation de la nature (UICN) du lynx du Turkestan (</w:t>
      </w:r>
      <w:r w:rsidRPr="000546A6">
        <w:rPr>
          <w:rFonts w:eastAsia="Calibri" w:cs="Arial"/>
          <w:b/>
          <w:bCs/>
          <w:i/>
          <w:lang w:val="fr-FR"/>
        </w:rPr>
        <w:t xml:space="preserve">L. l. </w:t>
      </w:r>
      <w:proofErr w:type="spellStart"/>
      <w:r w:rsidRPr="000546A6">
        <w:rPr>
          <w:rFonts w:eastAsia="Calibri" w:cs="Arial"/>
          <w:b/>
          <w:bCs/>
          <w:i/>
          <w:lang w:val="fr-FR"/>
        </w:rPr>
        <w:t>isabellinus</w:t>
      </w:r>
      <w:proofErr w:type="spellEnd"/>
      <w:r w:rsidRPr="000546A6">
        <w:rPr>
          <w:rFonts w:eastAsia="Calibri" w:cs="Arial"/>
          <w:b/>
          <w:bCs/>
          <w:lang w:val="fr-FR"/>
        </w:rPr>
        <w:t>) en Asie centrale</w:t>
      </w:r>
      <w:r w:rsidRPr="000546A6">
        <w:rPr>
          <w:rFonts w:eastAsia="Calibri" w:cs="Arial"/>
          <w:lang w:val="fr-FR"/>
        </w:rPr>
        <w:t>, comme suit :</w:t>
      </w:r>
    </w:p>
    <w:p w14:paraId="31C42179" w14:textId="77777777" w:rsidR="006300B6" w:rsidRPr="000546A6" w:rsidRDefault="00CC7671">
      <w:pPr>
        <w:numPr>
          <w:ilvl w:val="0"/>
          <w:numId w:val="14"/>
        </w:numPr>
        <w:suppressAutoHyphens/>
        <w:autoSpaceDE w:val="0"/>
        <w:autoSpaceDN w:val="0"/>
        <w:adjustRightInd w:val="0"/>
        <w:spacing w:after="80" w:line="240" w:lineRule="auto"/>
        <w:ind w:left="1080"/>
        <w:jc w:val="both"/>
        <w:textAlignment w:val="baseline"/>
        <w:rPr>
          <w:rFonts w:eastAsia="Calibri" w:cs="Arial"/>
          <w:lang w:val="fr-FR"/>
        </w:rPr>
      </w:pPr>
      <w:r w:rsidRPr="000546A6">
        <w:rPr>
          <w:rFonts w:eastAsia="Calibri" w:cs="Arial"/>
          <w:lang w:val="fr-FR"/>
        </w:rPr>
        <w:t xml:space="preserve">Une enquête est en cours sur l'ensemble de l'aire de répartition, et les États de l'aire de répartition devraient transmettre leurs résultats d'ici octobre 2025. </w:t>
      </w:r>
    </w:p>
    <w:p w14:paraId="4C44E829" w14:textId="77777777" w:rsidR="006300B6" w:rsidRPr="000546A6" w:rsidRDefault="00CC7671">
      <w:pPr>
        <w:numPr>
          <w:ilvl w:val="0"/>
          <w:numId w:val="14"/>
        </w:numPr>
        <w:suppressAutoHyphens/>
        <w:autoSpaceDE w:val="0"/>
        <w:autoSpaceDN w:val="0"/>
        <w:adjustRightInd w:val="0"/>
        <w:spacing w:after="80" w:line="240" w:lineRule="auto"/>
        <w:ind w:left="1080"/>
        <w:jc w:val="both"/>
        <w:textAlignment w:val="baseline"/>
        <w:rPr>
          <w:rFonts w:eastAsia="Calibri" w:cs="Arial"/>
          <w:lang w:val="fr-FR"/>
        </w:rPr>
      </w:pPr>
      <w:r w:rsidRPr="000546A6">
        <w:rPr>
          <w:rFonts w:eastAsia="Calibri" w:cs="Arial"/>
          <w:lang w:val="fr-FR"/>
        </w:rPr>
        <w:t xml:space="preserve">Une formation a été dispensée aux évaluateurs (évaluations de la Liste rouge et du Statut vert) lors de deux ateliers en ligne. </w:t>
      </w:r>
    </w:p>
    <w:p w14:paraId="0A8B587F" w14:textId="77777777" w:rsidR="006300B6" w:rsidRPr="000546A6" w:rsidRDefault="00CC7671">
      <w:pPr>
        <w:numPr>
          <w:ilvl w:val="0"/>
          <w:numId w:val="14"/>
        </w:numPr>
        <w:suppressAutoHyphens/>
        <w:autoSpaceDE w:val="0"/>
        <w:autoSpaceDN w:val="0"/>
        <w:adjustRightInd w:val="0"/>
        <w:spacing w:after="80" w:line="240" w:lineRule="auto"/>
        <w:ind w:left="1080"/>
        <w:jc w:val="both"/>
        <w:textAlignment w:val="baseline"/>
        <w:rPr>
          <w:rFonts w:eastAsia="Calibri" w:cs="Arial"/>
          <w:lang w:val="fr-FR"/>
        </w:rPr>
      </w:pPr>
      <w:r w:rsidRPr="000546A6">
        <w:rPr>
          <w:rFonts w:eastAsia="Calibri" w:cs="Arial"/>
          <w:lang w:val="fr-FR"/>
        </w:rPr>
        <w:t xml:space="preserve">L'évaluation de la Liste rouge est en cours et sera complétée par une évaluation du Statut vert de l'espèce. Il est prévu d'ajouter une évaluation de la vulnérabilité au changement climatique, car l'Asie centrale sera sans doute fortement touchée par ces phénomènes. </w:t>
      </w:r>
    </w:p>
    <w:p w14:paraId="1ECEAD52" w14:textId="77777777" w:rsidR="006300B6" w:rsidRPr="000546A6" w:rsidRDefault="00CC7671">
      <w:pPr>
        <w:numPr>
          <w:ilvl w:val="0"/>
          <w:numId w:val="14"/>
        </w:numPr>
        <w:suppressAutoHyphens/>
        <w:autoSpaceDE w:val="0"/>
        <w:autoSpaceDN w:val="0"/>
        <w:adjustRightInd w:val="0"/>
        <w:spacing w:after="0" w:line="240" w:lineRule="auto"/>
        <w:ind w:left="1080"/>
        <w:jc w:val="both"/>
        <w:textAlignment w:val="baseline"/>
        <w:rPr>
          <w:rFonts w:eastAsia="Calibri" w:cs="Arial"/>
          <w:lang w:val="fr-FR"/>
        </w:rPr>
      </w:pPr>
      <w:r w:rsidRPr="000546A6">
        <w:rPr>
          <w:rFonts w:eastAsia="Calibri" w:cs="Arial"/>
          <w:lang w:val="fr-FR"/>
        </w:rPr>
        <w:t xml:space="preserve">Les activités prévues devraient être finalisées à l'été 2026. </w:t>
      </w:r>
    </w:p>
    <w:p w14:paraId="79DBEA91" w14:textId="77777777" w:rsidR="006300B6" w:rsidRPr="000546A6" w:rsidRDefault="006300B6">
      <w:pPr>
        <w:autoSpaceDE w:val="0"/>
        <w:autoSpaceDN w:val="0"/>
        <w:adjustRightInd w:val="0"/>
        <w:spacing w:after="0" w:line="240" w:lineRule="auto"/>
        <w:ind w:left="1080"/>
        <w:rPr>
          <w:rFonts w:eastAsia="Calibri" w:cs="Arial"/>
          <w:lang w:val="fr-FR"/>
        </w:rPr>
      </w:pPr>
    </w:p>
    <w:p w14:paraId="04C2BD55" w14:textId="77777777" w:rsidR="006300B6" w:rsidRPr="000546A6" w:rsidRDefault="00CC7671">
      <w:pPr>
        <w:numPr>
          <w:ilvl w:val="0"/>
          <w:numId w:val="12"/>
        </w:numPr>
        <w:suppressAutoHyphens/>
        <w:autoSpaceDE w:val="0"/>
        <w:autoSpaceDN w:val="0"/>
        <w:adjustRightInd w:val="0"/>
        <w:spacing w:after="0" w:line="240" w:lineRule="auto"/>
        <w:ind w:left="720"/>
        <w:jc w:val="both"/>
        <w:textAlignment w:val="baseline"/>
        <w:rPr>
          <w:rFonts w:eastAsia="Calibri" w:cs="Arial"/>
          <w:lang w:val="fr-FR"/>
        </w:rPr>
      </w:pPr>
      <w:r w:rsidRPr="000546A6">
        <w:rPr>
          <w:rFonts w:eastAsia="Calibri" w:cs="Arial"/>
          <w:lang w:val="fr-FR"/>
        </w:rPr>
        <w:t xml:space="preserve">La sous-espèce caucasienne </w:t>
      </w:r>
      <w:r w:rsidRPr="000546A6">
        <w:rPr>
          <w:rFonts w:eastAsia="Calibri" w:cs="Arial"/>
          <w:i/>
          <w:iCs/>
          <w:lang w:val="fr-FR"/>
        </w:rPr>
        <w:t xml:space="preserve">L. l. </w:t>
      </w:r>
      <w:proofErr w:type="spellStart"/>
      <w:r w:rsidRPr="000546A6">
        <w:rPr>
          <w:rFonts w:eastAsia="Calibri" w:cs="Arial"/>
          <w:i/>
          <w:iCs/>
          <w:lang w:val="fr-FR"/>
        </w:rPr>
        <w:t>dinniki</w:t>
      </w:r>
      <w:proofErr w:type="spellEnd"/>
      <w:r w:rsidRPr="000546A6">
        <w:rPr>
          <w:rFonts w:eastAsia="Calibri" w:cs="Arial"/>
          <w:lang w:val="fr-FR"/>
        </w:rPr>
        <w:t xml:space="preserve"> est répartie dans la chaîne du Caucase et plus au sud et au sud-ouest. On dispose de plus d'informations sur son aire de répartition et ses caractéristiques écologiques que pour la sous-espèce d'Asie centrale, mais aucune information sur les tendances n'est disponible, et les données sur l'ensemble de l'aire de répartition sont trop limitées pour permettre une évaluation solide de l'état de conservation de cette sous-espèce. Par conséquent, l'approche proposée consistera à nouveau à réaliser u</w:t>
      </w:r>
      <w:r w:rsidRPr="000546A6">
        <w:rPr>
          <w:rFonts w:eastAsia="Calibri" w:cs="Arial"/>
          <w:lang w:val="fr-FR"/>
        </w:rPr>
        <w:t xml:space="preserve">ne étude de base dans l'ensemble de l'aire de répartition, une première évaluation de l'état de conservation, la formation de (jeunes) experts locaux et la mise en place d'un réseau d'organisations institutionnelles et privées. </w:t>
      </w:r>
    </w:p>
    <w:p w14:paraId="3DE614B6" w14:textId="77777777" w:rsidR="006300B6" w:rsidRPr="000546A6" w:rsidRDefault="006300B6">
      <w:pPr>
        <w:autoSpaceDE w:val="0"/>
        <w:autoSpaceDN w:val="0"/>
        <w:adjustRightInd w:val="0"/>
        <w:spacing w:after="0" w:line="240" w:lineRule="auto"/>
        <w:ind w:left="720"/>
        <w:jc w:val="both"/>
        <w:rPr>
          <w:rFonts w:eastAsia="Calibri" w:cs="Arial"/>
          <w:lang w:val="fr-FR"/>
        </w:rPr>
      </w:pPr>
    </w:p>
    <w:p w14:paraId="3EB551C0" w14:textId="77777777" w:rsidR="006300B6" w:rsidRPr="000546A6" w:rsidRDefault="00CC7671">
      <w:pPr>
        <w:autoSpaceDE w:val="0"/>
        <w:autoSpaceDN w:val="0"/>
        <w:adjustRightInd w:val="0"/>
        <w:spacing w:after="0" w:line="240" w:lineRule="auto"/>
        <w:ind w:left="720"/>
        <w:jc w:val="both"/>
        <w:rPr>
          <w:rFonts w:eastAsia="Calibri" w:cs="Arial"/>
          <w:lang w:val="fr-FR"/>
        </w:rPr>
      </w:pPr>
      <w:r w:rsidRPr="000546A6">
        <w:rPr>
          <w:rFonts w:eastAsia="Calibri" w:cs="Arial"/>
          <w:lang w:val="fr-FR"/>
        </w:rPr>
        <w:t xml:space="preserve">En ce qui concerne </w:t>
      </w:r>
      <w:r w:rsidRPr="000546A6">
        <w:rPr>
          <w:rFonts w:eastAsia="Calibri" w:cs="Arial"/>
          <w:b/>
          <w:bCs/>
          <w:lang w:val="fr-FR"/>
        </w:rPr>
        <w:t>l’étude et la première évaluation de Union internationale pour la conservation de la nature (UICN) du lynx caucasien (</w:t>
      </w:r>
      <w:r w:rsidRPr="000546A6">
        <w:rPr>
          <w:rFonts w:eastAsia="Calibri" w:cs="Arial"/>
          <w:b/>
          <w:bCs/>
          <w:i/>
          <w:lang w:val="fr-FR"/>
        </w:rPr>
        <w:t xml:space="preserve">L. l. </w:t>
      </w:r>
      <w:proofErr w:type="spellStart"/>
      <w:r w:rsidRPr="000546A6">
        <w:rPr>
          <w:rFonts w:eastAsia="Calibri" w:cs="Arial"/>
          <w:b/>
          <w:bCs/>
          <w:i/>
          <w:lang w:val="fr-FR"/>
        </w:rPr>
        <w:t>dinniki</w:t>
      </w:r>
      <w:proofErr w:type="spellEnd"/>
      <w:r w:rsidRPr="000546A6">
        <w:rPr>
          <w:rFonts w:eastAsia="Calibri" w:cs="Arial"/>
          <w:b/>
          <w:bCs/>
          <w:lang w:val="fr-FR"/>
        </w:rPr>
        <w:t>) en Anatolie et en Asie du Sud-Ouest</w:t>
      </w:r>
      <w:r w:rsidRPr="000546A6">
        <w:rPr>
          <w:rFonts w:eastAsia="Calibri" w:cs="Arial"/>
          <w:lang w:val="fr-FR"/>
        </w:rPr>
        <w:t>, veuillez trouver ci‑dessous quelques avancées sur les activités :</w:t>
      </w:r>
    </w:p>
    <w:p w14:paraId="4D0DFF1A" w14:textId="77777777" w:rsidR="006300B6" w:rsidRPr="000546A6" w:rsidRDefault="00CC7671">
      <w:pPr>
        <w:numPr>
          <w:ilvl w:val="0"/>
          <w:numId w:val="14"/>
        </w:numPr>
        <w:tabs>
          <w:tab w:val="left" w:pos="1080"/>
        </w:tabs>
        <w:suppressAutoHyphens/>
        <w:autoSpaceDE w:val="0"/>
        <w:autoSpaceDN w:val="0"/>
        <w:adjustRightInd w:val="0"/>
        <w:spacing w:after="80" w:line="240" w:lineRule="auto"/>
        <w:ind w:left="1080"/>
        <w:jc w:val="both"/>
        <w:textAlignment w:val="baseline"/>
        <w:rPr>
          <w:rFonts w:eastAsia="Calibri" w:cs="Arial"/>
          <w:lang w:val="fr-FR"/>
        </w:rPr>
      </w:pPr>
      <w:r w:rsidRPr="000546A6">
        <w:rPr>
          <w:rFonts w:eastAsia="Calibri" w:cs="Arial"/>
          <w:lang w:val="fr-FR"/>
        </w:rPr>
        <w:t xml:space="preserve">L'enquête (compilation des données fournies par les États de l'aire de répartition) a commencé ; cependant, des retards ont été enregistrés, principalement en raison des difficultés de communication. </w:t>
      </w:r>
    </w:p>
    <w:p w14:paraId="2D0065CF" w14:textId="77777777" w:rsidR="006300B6" w:rsidRPr="000546A6" w:rsidRDefault="00CC7671">
      <w:pPr>
        <w:numPr>
          <w:ilvl w:val="0"/>
          <w:numId w:val="14"/>
        </w:numPr>
        <w:tabs>
          <w:tab w:val="left" w:pos="1080"/>
        </w:tabs>
        <w:suppressAutoHyphens/>
        <w:autoSpaceDE w:val="0"/>
        <w:autoSpaceDN w:val="0"/>
        <w:adjustRightInd w:val="0"/>
        <w:spacing w:after="80" w:line="240" w:lineRule="auto"/>
        <w:ind w:left="1080"/>
        <w:jc w:val="both"/>
        <w:textAlignment w:val="baseline"/>
        <w:rPr>
          <w:rFonts w:eastAsia="Calibri" w:cs="Arial"/>
          <w:lang w:val="fr-FR"/>
        </w:rPr>
      </w:pPr>
      <w:r w:rsidRPr="000546A6">
        <w:rPr>
          <w:rFonts w:eastAsia="Calibri" w:cs="Arial"/>
          <w:lang w:val="fr-FR"/>
        </w:rPr>
        <w:t xml:space="preserve">Une formation a été dispensée aux évaluateurs (évaluations de la Liste rouge et du Statut vert) lors de deux ateliers en ligne. </w:t>
      </w:r>
    </w:p>
    <w:p w14:paraId="034E761E" w14:textId="77777777" w:rsidR="006300B6" w:rsidRPr="000546A6" w:rsidRDefault="00CC7671">
      <w:pPr>
        <w:numPr>
          <w:ilvl w:val="0"/>
          <w:numId w:val="14"/>
        </w:numPr>
        <w:tabs>
          <w:tab w:val="left" w:pos="1080"/>
        </w:tabs>
        <w:suppressAutoHyphens/>
        <w:autoSpaceDE w:val="0"/>
        <w:autoSpaceDN w:val="0"/>
        <w:adjustRightInd w:val="0"/>
        <w:spacing w:after="80" w:line="240" w:lineRule="auto"/>
        <w:ind w:left="1080"/>
        <w:jc w:val="both"/>
        <w:textAlignment w:val="baseline"/>
        <w:rPr>
          <w:rFonts w:eastAsia="Calibri" w:cs="Arial"/>
          <w:lang w:val="fr-FR"/>
        </w:rPr>
      </w:pPr>
      <w:r w:rsidRPr="000546A6">
        <w:rPr>
          <w:rFonts w:eastAsia="Calibri" w:cs="Arial"/>
          <w:lang w:val="fr-FR"/>
        </w:rPr>
        <w:lastRenderedPageBreak/>
        <w:t xml:space="preserve">Il serait judicieux de compléter la démarche par des évaluations du Statut vert de l'espèce et de sa vulnérabilité au changement climatique, mais ces évaluations ne seront lancées que lorsque l'évaluation de la Liste rouge aura progressé et sera disponible à titre de projet. </w:t>
      </w:r>
    </w:p>
    <w:p w14:paraId="74160E0C" w14:textId="77777777" w:rsidR="006300B6" w:rsidRPr="000546A6" w:rsidRDefault="00CC7671">
      <w:pPr>
        <w:numPr>
          <w:ilvl w:val="0"/>
          <w:numId w:val="14"/>
        </w:numPr>
        <w:tabs>
          <w:tab w:val="left" w:pos="1080"/>
        </w:tabs>
        <w:suppressAutoHyphens/>
        <w:autoSpaceDE w:val="0"/>
        <w:autoSpaceDN w:val="0"/>
        <w:adjustRightInd w:val="0"/>
        <w:spacing w:after="0" w:line="240" w:lineRule="auto"/>
        <w:ind w:left="1080"/>
        <w:jc w:val="both"/>
        <w:textAlignment w:val="baseline"/>
        <w:rPr>
          <w:rFonts w:eastAsia="Calibri" w:cs="Arial"/>
          <w:lang w:val="fr-FR"/>
        </w:rPr>
      </w:pPr>
      <w:r w:rsidRPr="000546A6">
        <w:rPr>
          <w:rFonts w:eastAsia="Calibri" w:cs="Arial"/>
          <w:lang w:val="fr-FR"/>
        </w:rPr>
        <w:t xml:space="preserve">Si les difficultés susmentionnées sont surmontées, les activités prévues devraient être achevées en 2026. </w:t>
      </w:r>
    </w:p>
    <w:p w14:paraId="0D25E890" w14:textId="77777777" w:rsidR="006300B6" w:rsidRPr="000546A6" w:rsidRDefault="006300B6">
      <w:pPr>
        <w:suppressAutoHyphens/>
        <w:autoSpaceDN w:val="0"/>
        <w:spacing w:after="0" w:line="240" w:lineRule="auto"/>
        <w:ind w:left="540" w:hanging="540"/>
        <w:jc w:val="both"/>
        <w:textAlignment w:val="baseline"/>
        <w:rPr>
          <w:rFonts w:eastAsia="Calibri" w:cs="Arial"/>
          <w:lang w:val="fr-FR"/>
        </w:rPr>
      </w:pPr>
    </w:p>
    <w:p w14:paraId="02578CA5" w14:textId="77777777" w:rsidR="006300B6" w:rsidRPr="000546A6" w:rsidRDefault="00CC7671">
      <w:pPr>
        <w:suppressAutoHyphens/>
        <w:autoSpaceDN w:val="0"/>
        <w:spacing w:after="0" w:line="240" w:lineRule="auto"/>
        <w:jc w:val="both"/>
        <w:textAlignment w:val="baseline"/>
        <w:rPr>
          <w:rFonts w:eastAsia="Calibri" w:cs="Arial"/>
          <w:lang w:val="fr-FR"/>
        </w:rPr>
      </w:pPr>
      <w:r w:rsidRPr="000546A6">
        <w:rPr>
          <w:rFonts w:eastAsia="Calibri" w:cs="Arial"/>
          <w:b/>
          <w:lang w:val="fr-FR"/>
        </w:rPr>
        <w:t>Avantages associés</w:t>
      </w:r>
    </w:p>
    <w:p w14:paraId="73BB4F7C" w14:textId="77777777" w:rsidR="006300B6" w:rsidRPr="000546A6" w:rsidRDefault="006300B6">
      <w:pPr>
        <w:suppressAutoHyphens/>
        <w:autoSpaceDN w:val="0"/>
        <w:spacing w:after="0" w:line="240" w:lineRule="auto"/>
        <w:jc w:val="both"/>
        <w:textAlignment w:val="baseline"/>
        <w:rPr>
          <w:rFonts w:eastAsia="Calibri" w:cs="Arial"/>
          <w:lang w:val="fr-FR"/>
        </w:rPr>
      </w:pPr>
    </w:p>
    <w:p w14:paraId="73E53511" w14:textId="77777777" w:rsidR="006300B6" w:rsidRPr="000546A6" w:rsidRDefault="00CC7671">
      <w:pPr>
        <w:suppressAutoHyphens/>
        <w:autoSpaceDN w:val="0"/>
        <w:spacing w:after="0" w:line="240" w:lineRule="auto"/>
        <w:jc w:val="both"/>
        <w:textAlignment w:val="baseline"/>
        <w:rPr>
          <w:rFonts w:eastAsia="Calibri" w:cs="Arial"/>
          <w:lang w:val="fr-FR"/>
        </w:rPr>
      </w:pPr>
      <w:r w:rsidRPr="000546A6">
        <w:rPr>
          <w:rFonts w:eastAsia="Calibri" w:cs="Arial"/>
          <w:lang w:val="fr-FR"/>
        </w:rPr>
        <w:t>D'une manière générale, le lynx est une espèce phare qui occupe une place centrale dans son aire de répartition. Sa conservation dépend donc fortement de la sensibilisation et implique la conservation des habitats et des populations de proies. En Europe, il s'agit notamment d'améliorer la connectivité entre les grands complexes d'habitats et de gérer les populations de chevreuils (qui sont les principales proies). La coopération entre institutions scientifiques et ONG de conservation est bien établie (notam</w:t>
      </w:r>
      <w:r w:rsidRPr="000546A6">
        <w:rPr>
          <w:rFonts w:eastAsia="Calibri" w:cs="Arial"/>
          <w:lang w:val="fr-FR"/>
        </w:rPr>
        <w:t>ment pour la sous-espèce du lynx des Balkans), mais la coopération conceptuelle et pratique entre les agences de conservation aux niveaux national et infranational doit être renforcée.</w:t>
      </w:r>
    </w:p>
    <w:p w14:paraId="3B31C908" w14:textId="77777777" w:rsidR="006300B6" w:rsidRPr="000546A6" w:rsidRDefault="006300B6">
      <w:pPr>
        <w:suppressAutoHyphens/>
        <w:autoSpaceDN w:val="0"/>
        <w:spacing w:after="0" w:line="240" w:lineRule="auto"/>
        <w:jc w:val="both"/>
        <w:textAlignment w:val="baseline"/>
        <w:rPr>
          <w:rFonts w:eastAsia="Calibri" w:cs="Arial"/>
          <w:b/>
          <w:lang w:val="fr-FR"/>
        </w:rPr>
      </w:pPr>
    </w:p>
    <w:p w14:paraId="7FFA1B7B" w14:textId="77777777" w:rsidR="006300B6" w:rsidRPr="000546A6" w:rsidRDefault="00CC7671">
      <w:pPr>
        <w:suppressAutoHyphens/>
        <w:autoSpaceDN w:val="0"/>
        <w:spacing w:after="0" w:line="240" w:lineRule="auto"/>
        <w:jc w:val="both"/>
        <w:textAlignment w:val="baseline"/>
        <w:rPr>
          <w:rFonts w:eastAsia="Calibri" w:cs="Arial"/>
          <w:lang w:val="fr-FR"/>
        </w:rPr>
      </w:pPr>
      <w:r w:rsidRPr="000546A6">
        <w:rPr>
          <w:rFonts w:eastAsia="Calibri" w:cs="Arial"/>
          <w:lang w:val="fr-FR"/>
        </w:rPr>
        <w:t>En Asie, les activités de conservation du lynx proposées permettront de sensibiliser le public, de renforcer les moyens d'action et d'encourager la coopération institutionnelle. On suppose que la fragmentation de l'habitat est moins importante qu'en Europe, mais les clôtures frontalières, le développement des infrastructures et le manque de coopération transfrontalière risquent d'entraîner une fragmentation future de la population, ce qui est potentiellement dangereux, en particulier en Asie centrale, où l'</w:t>
      </w:r>
      <w:r w:rsidRPr="000546A6">
        <w:rPr>
          <w:rFonts w:eastAsia="Calibri" w:cs="Arial"/>
          <w:lang w:val="fr-FR"/>
        </w:rPr>
        <w:t>on suppose que la densité est globalement faible et que la distribution linéaire est prononcée et dépend des habitats ayant une couverture dense.</w:t>
      </w:r>
    </w:p>
    <w:p w14:paraId="38FD4D3F" w14:textId="77777777" w:rsidR="006300B6" w:rsidRPr="000546A6" w:rsidRDefault="006300B6">
      <w:pPr>
        <w:suppressAutoHyphens/>
        <w:autoSpaceDN w:val="0"/>
        <w:spacing w:after="0" w:line="240" w:lineRule="auto"/>
        <w:ind w:left="540" w:hanging="540"/>
        <w:jc w:val="both"/>
        <w:textAlignment w:val="baseline"/>
        <w:rPr>
          <w:rFonts w:eastAsia="Calibri" w:cs="Arial"/>
          <w:lang w:val="fr-FR"/>
        </w:rPr>
      </w:pPr>
    </w:p>
    <w:p w14:paraId="6889449F" w14:textId="77777777" w:rsidR="006300B6" w:rsidRPr="000546A6" w:rsidRDefault="00CC7671">
      <w:pPr>
        <w:suppressAutoHyphens/>
        <w:autoSpaceDN w:val="0"/>
        <w:spacing w:after="0" w:line="240" w:lineRule="auto"/>
        <w:jc w:val="both"/>
        <w:textAlignment w:val="baseline"/>
        <w:rPr>
          <w:rFonts w:eastAsia="Calibri" w:cs="Arial"/>
          <w:lang w:val="fr-FR"/>
        </w:rPr>
      </w:pPr>
      <w:r w:rsidRPr="000546A6">
        <w:rPr>
          <w:rFonts w:eastAsia="Calibri" w:cs="Arial"/>
          <w:b/>
          <w:lang w:val="fr-FR"/>
        </w:rPr>
        <w:t>Délai</w:t>
      </w:r>
    </w:p>
    <w:p w14:paraId="751A86B0" w14:textId="77777777" w:rsidR="006300B6" w:rsidRPr="000546A6" w:rsidRDefault="006300B6">
      <w:pPr>
        <w:suppressAutoHyphens/>
        <w:autoSpaceDN w:val="0"/>
        <w:spacing w:after="0" w:line="240" w:lineRule="auto"/>
        <w:jc w:val="both"/>
        <w:textAlignment w:val="baseline"/>
        <w:rPr>
          <w:rFonts w:eastAsia="Calibri" w:cs="Arial"/>
          <w:lang w:val="fr-FR"/>
        </w:rPr>
      </w:pPr>
    </w:p>
    <w:p w14:paraId="15AE029B" w14:textId="77777777" w:rsidR="006300B6" w:rsidRPr="000546A6" w:rsidRDefault="00CC7671">
      <w:pPr>
        <w:suppressAutoHyphens/>
        <w:autoSpaceDN w:val="0"/>
        <w:spacing w:after="0" w:line="240" w:lineRule="auto"/>
        <w:jc w:val="both"/>
        <w:textAlignment w:val="baseline"/>
        <w:rPr>
          <w:rFonts w:eastAsia="Calibri" w:cs="Arial"/>
          <w:lang w:val="fr-FR"/>
        </w:rPr>
      </w:pPr>
      <w:r w:rsidRPr="000546A6">
        <w:rPr>
          <w:rFonts w:eastAsia="Calibri" w:cs="Arial"/>
          <w:lang w:val="fr-FR"/>
        </w:rPr>
        <w:t>La Commission de la sauvegarde des espèces (CSE) de l'UICN (Groupe d'experts des félins) et le Secrétariat de la Convention des Carpates restent fermement déterminés à obtenir les résultats initialement prévus dans le cadre des activités 1 à 5. Cependant, la mise en œuvre des activités 2 à 5 a connu certains retards, nécessitant ainsi une prolongation de l’Action concertée, avec une livraison prévue d’ici à la fin 2026.</w:t>
      </w:r>
    </w:p>
    <w:p w14:paraId="4FA6A0BE" w14:textId="77777777" w:rsidR="006300B6" w:rsidRPr="000546A6" w:rsidRDefault="006300B6">
      <w:pPr>
        <w:suppressAutoHyphens/>
        <w:autoSpaceDN w:val="0"/>
        <w:spacing w:after="0" w:line="240" w:lineRule="auto"/>
        <w:jc w:val="both"/>
        <w:textAlignment w:val="baseline"/>
        <w:rPr>
          <w:rFonts w:eastAsia="Calibri" w:cs="Arial"/>
          <w:lang w:val="fr-FR"/>
        </w:rPr>
      </w:pPr>
    </w:p>
    <w:p w14:paraId="467167D9" w14:textId="77777777" w:rsidR="006300B6" w:rsidRPr="000546A6" w:rsidRDefault="00CC7671">
      <w:pPr>
        <w:suppressAutoHyphens/>
        <w:autoSpaceDN w:val="0"/>
        <w:spacing w:after="0" w:line="240" w:lineRule="auto"/>
        <w:jc w:val="both"/>
        <w:textAlignment w:val="baseline"/>
        <w:rPr>
          <w:rFonts w:eastAsia="Calibri" w:cs="Arial"/>
          <w:lang w:val="fr-FR"/>
        </w:rPr>
      </w:pPr>
      <w:r w:rsidRPr="000546A6">
        <w:rPr>
          <w:rFonts w:eastAsia="Calibri" w:cs="Arial"/>
          <w:lang w:val="fr-FR"/>
        </w:rPr>
        <w:t>Activité 1 : terminée et soumise aux Conventions de Bonn et de Berne le 23 octobre 2025, accompagnée d’un rapport sur l’avancement de la mise en œuvre des Actions concertées.</w:t>
      </w:r>
    </w:p>
    <w:p w14:paraId="07A9CCF9" w14:textId="77777777" w:rsidR="006300B6" w:rsidRPr="000546A6" w:rsidRDefault="006300B6">
      <w:pPr>
        <w:suppressAutoHyphens/>
        <w:autoSpaceDN w:val="0"/>
        <w:spacing w:after="0" w:line="240" w:lineRule="auto"/>
        <w:jc w:val="both"/>
        <w:textAlignment w:val="baseline"/>
        <w:rPr>
          <w:rFonts w:eastAsia="Calibri" w:cs="Arial"/>
          <w:lang w:val="fr-FR"/>
        </w:rPr>
      </w:pPr>
    </w:p>
    <w:p w14:paraId="18291778" w14:textId="77777777" w:rsidR="006300B6" w:rsidRPr="000546A6" w:rsidRDefault="00CC7671">
      <w:pPr>
        <w:suppressAutoHyphens/>
        <w:autoSpaceDN w:val="0"/>
        <w:spacing w:after="0" w:line="240" w:lineRule="auto"/>
        <w:jc w:val="both"/>
        <w:textAlignment w:val="baseline"/>
        <w:rPr>
          <w:rFonts w:eastAsia="Calibri" w:cs="Arial"/>
          <w:lang w:val="fr-FR"/>
        </w:rPr>
      </w:pPr>
      <w:r w:rsidRPr="000546A6">
        <w:rPr>
          <w:rFonts w:eastAsia="Calibri" w:cs="Arial"/>
          <w:lang w:val="fr-FR"/>
        </w:rPr>
        <w:t>Activité 2 : le processus d’élaboration de la stratégie pour le lynx des Carpates a été lancé ; toutefois, sa finalisation est reportée au troisième trimestre 2026.</w:t>
      </w:r>
    </w:p>
    <w:p w14:paraId="7B76141B" w14:textId="77777777" w:rsidR="006300B6" w:rsidRPr="000546A6" w:rsidRDefault="006300B6">
      <w:pPr>
        <w:suppressAutoHyphens/>
        <w:autoSpaceDN w:val="0"/>
        <w:spacing w:after="0" w:line="240" w:lineRule="auto"/>
        <w:jc w:val="both"/>
        <w:textAlignment w:val="baseline"/>
        <w:rPr>
          <w:rFonts w:eastAsia="Calibri" w:cs="Arial"/>
          <w:lang w:val="fr-FR"/>
        </w:rPr>
      </w:pPr>
    </w:p>
    <w:p w14:paraId="7BEE54E1" w14:textId="77777777" w:rsidR="006300B6" w:rsidRPr="000546A6" w:rsidRDefault="00CC7671">
      <w:pPr>
        <w:suppressAutoHyphens/>
        <w:autoSpaceDN w:val="0"/>
        <w:spacing w:after="0" w:line="240" w:lineRule="auto"/>
        <w:jc w:val="both"/>
        <w:textAlignment w:val="baseline"/>
        <w:rPr>
          <w:rFonts w:eastAsia="Calibri" w:cs="Arial"/>
          <w:lang w:val="fr-FR"/>
        </w:rPr>
      </w:pPr>
      <w:r w:rsidRPr="000546A6">
        <w:rPr>
          <w:rFonts w:eastAsia="Calibri" w:cs="Arial"/>
          <w:lang w:val="fr-FR"/>
        </w:rPr>
        <w:t xml:space="preserve">Activité 3 : les recommandations provisoires seront disponibles à la mi-2026, et la version révisée d’ici à octobre 2026, en fonction de l’achèvement de l’activité 2 (finalisation – prévue au printemps 2027). </w:t>
      </w:r>
    </w:p>
    <w:p w14:paraId="013B2C5C" w14:textId="77777777" w:rsidR="006300B6" w:rsidRPr="000546A6" w:rsidRDefault="006300B6">
      <w:pPr>
        <w:suppressAutoHyphens/>
        <w:autoSpaceDN w:val="0"/>
        <w:spacing w:line="240" w:lineRule="auto"/>
        <w:jc w:val="both"/>
        <w:textAlignment w:val="baseline"/>
        <w:rPr>
          <w:rFonts w:eastAsia="Calibri" w:cs="Arial"/>
          <w:lang w:val="fr-FR"/>
        </w:rPr>
      </w:pPr>
    </w:p>
    <w:p w14:paraId="56217932" w14:textId="77777777" w:rsidR="006300B6" w:rsidRPr="000546A6" w:rsidRDefault="00CC7671">
      <w:pPr>
        <w:suppressAutoHyphens/>
        <w:autoSpaceDN w:val="0"/>
        <w:spacing w:after="0" w:line="240" w:lineRule="auto"/>
        <w:jc w:val="both"/>
        <w:textAlignment w:val="baseline"/>
        <w:rPr>
          <w:rFonts w:eastAsia="Calibri" w:cs="Arial"/>
          <w:lang w:val="fr-FR"/>
        </w:rPr>
      </w:pPr>
      <w:r w:rsidRPr="000546A6">
        <w:rPr>
          <w:rFonts w:eastAsia="Calibri" w:cs="Arial"/>
          <w:lang w:val="fr-FR"/>
        </w:rPr>
        <w:t xml:space="preserve">Activité 4 et 5 : chacun de ces blocs a été lancé, mais nécessite une préparation minutieuse (établissement de partenariats, renforcement des capacités/formation et collecte de fonds) ainsi qu’une année supplémentaire de mise en œuvre. Les deux activités devraient être prêtes pour soumission entre la mi et la fin 2026. </w:t>
      </w:r>
    </w:p>
    <w:p w14:paraId="5D3360B5" w14:textId="77777777" w:rsidR="006300B6" w:rsidRPr="000546A6" w:rsidRDefault="006300B6">
      <w:pPr>
        <w:suppressAutoHyphens/>
        <w:autoSpaceDN w:val="0"/>
        <w:spacing w:after="0" w:line="240" w:lineRule="auto"/>
        <w:jc w:val="both"/>
        <w:textAlignment w:val="baseline"/>
        <w:rPr>
          <w:rFonts w:eastAsia="Calibri" w:cs="Arial"/>
          <w:lang w:val="fr-FR"/>
        </w:rPr>
      </w:pPr>
    </w:p>
    <w:p w14:paraId="1711FA7D" w14:textId="77777777" w:rsidR="006300B6" w:rsidRPr="000546A6" w:rsidRDefault="00CC7671">
      <w:pPr>
        <w:suppressAutoHyphens/>
        <w:autoSpaceDN w:val="0"/>
        <w:spacing w:after="0" w:line="240" w:lineRule="auto"/>
        <w:jc w:val="both"/>
        <w:textAlignment w:val="baseline"/>
        <w:rPr>
          <w:rFonts w:eastAsia="Calibri" w:cs="Arial"/>
          <w:lang w:val="fr-FR"/>
        </w:rPr>
      </w:pPr>
      <w:r w:rsidRPr="000546A6">
        <w:rPr>
          <w:rFonts w:eastAsia="Calibri" w:cs="Arial"/>
          <w:lang w:val="fr-FR"/>
        </w:rPr>
        <w:t xml:space="preserve">Chacune des activités débouchera sur des résultats (par exemple, des Plans d'action, des Stratégies de conservation, des Évaluations de la conservation) qui serviront de base aux projets ultérieurs et aux travaux continus. Les Actions concertées continueront d’être mises </w:t>
      </w:r>
      <w:r w:rsidRPr="000546A6">
        <w:rPr>
          <w:rFonts w:eastAsia="Calibri" w:cs="Arial"/>
          <w:lang w:val="fr-FR"/>
        </w:rPr>
        <w:lastRenderedPageBreak/>
        <w:t>en œuvre et finalisées lors de la prochaine période d'intersessions. Aucune modification de l'approche ou des activités n'est nécessaire.</w:t>
      </w:r>
    </w:p>
    <w:p w14:paraId="27C3551E" w14:textId="77777777" w:rsidR="006300B6" w:rsidRPr="000546A6" w:rsidRDefault="006300B6">
      <w:pPr>
        <w:suppressAutoHyphens/>
        <w:autoSpaceDN w:val="0"/>
        <w:spacing w:after="0" w:line="240" w:lineRule="auto"/>
        <w:ind w:left="540" w:hanging="540"/>
        <w:jc w:val="both"/>
        <w:textAlignment w:val="baseline"/>
        <w:rPr>
          <w:rFonts w:eastAsia="Calibri" w:cs="Arial"/>
          <w:lang w:val="fr-FR"/>
        </w:rPr>
      </w:pPr>
    </w:p>
    <w:p w14:paraId="0BA53339" w14:textId="77777777" w:rsidR="006300B6" w:rsidRPr="000546A6" w:rsidRDefault="00CC7671">
      <w:pPr>
        <w:suppressAutoHyphens/>
        <w:autoSpaceDN w:val="0"/>
        <w:spacing w:after="0" w:line="240" w:lineRule="auto"/>
        <w:jc w:val="both"/>
        <w:textAlignment w:val="baseline"/>
        <w:rPr>
          <w:rFonts w:eastAsia="Calibri" w:cs="Arial"/>
          <w:lang w:val="fr-FR"/>
        </w:rPr>
      </w:pPr>
      <w:r w:rsidRPr="000546A6">
        <w:rPr>
          <w:rFonts w:eastAsia="Calibri" w:cs="Arial"/>
          <w:b/>
          <w:lang w:val="fr-FR"/>
        </w:rPr>
        <w:t>Relation avec d'autres actions de la Convention sur la conservation des espèces migratrices appartenant à la faune sauvage</w:t>
      </w:r>
    </w:p>
    <w:p w14:paraId="5BAAC495" w14:textId="77777777" w:rsidR="006300B6" w:rsidRPr="000546A6" w:rsidRDefault="006300B6">
      <w:pPr>
        <w:suppressAutoHyphens/>
        <w:autoSpaceDN w:val="0"/>
        <w:spacing w:after="0" w:line="240" w:lineRule="auto"/>
        <w:jc w:val="both"/>
        <w:textAlignment w:val="baseline"/>
        <w:rPr>
          <w:rFonts w:eastAsia="Calibri" w:cs="Arial"/>
          <w:lang w:val="fr-FR"/>
        </w:rPr>
      </w:pPr>
    </w:p>
    <w:p w14:paraId="41446EC8" w14:textId="77777777" w:rsidR="006300B6" w:rsidRPr="000546A6" w:rsidRDefault="00CC7671">
      <w:pPr>
        <w:suppressAutoHyphens/>
        <w:autoSpaceDN w:val="0"/>
        <w:spacing w:after="0" w:line="240" w:lineRule="auto"/>
        <w:jc w:val="both"/>
        <w:textAlignment w:val="baseline"/>
        <w:rPr>
          <w:rFonts w:eastAsia="Calibri" w:cs="Arial"/>
          <w:lang w:val="fr-FR"/>
        </w:rPr>
      </w:pPr>
      <w:r w:rsidRPr="000546A6">
        <w:rPr>
          <w:rFonts w:eastAsia="Calibri" w:cs="Arial"/>
          <w:lang w:val="fr-FR"/>
        </w:rPr>
        <w:t xml:space="preserve">L’Action concertée constitue la première initiative de conservation pour les espèces terrestres sous Convention sur la conservation des espèces migratrices appartenant à la faune sauvage en Europe, où la coopération transfrontalière est une </w:t>
      </w:r>
      <w:proofErr w:type="spellStart"/>
      <w:r w:rsidRPr="000546A6">
        <w:rPr>
          <w:rFonts w:eastAsia="Calibri" w:cs="Arial"/>
          <w:i/>
          <w:iCs/>
          <w:lang w:val="fr-FR"/>
        </w:rPr>
        <w:t>conditio</w:t>
      </w:r>
      <w:proofErr w:type="spellEnd"/>
      <w:r w:rsidRPr="000546A6">
        <w:rPr>
          <w:rFonts w:eastAsia="Calibri" w:cs="Arial"/>
          <w:i/>
          <w:iCs/>
          <w:lang w:val="fr-FR"/>
        </w:rPr>
        <w:t xml:space="preserve"> sine qua non</w:t>
      </w:r>
      <w:r w:rsidRPr="000546A6">
        <w:rPr>
          <w:rFonts w:eastAsia="Calibri" w:cs="Arial"/>
          <w:lang w:val="fr-FR"/>
        </w:rPr>
        <w:t xml:space="preserve"> pour des espèces à large répartition, telles que le lynx commun, dont les populations sont majoritairement transfrontalières. En Asie centrale, le programme d'Initiative pour les mammifères d’Asie centrale de la Convention sur la conservation des espèces migratrices appartenant à la faune sauvage facilite la conservation des espèces inscrites ainsi que la conservation transfrontalière. La sous-espèce </w:t>
      </w:r>
      <w:r w:rsidRPr="000546A6">
        <w:rPr>
          <w:rFonts w:eastAsia="Calibri" w:cs="Arial"/>
          <w:i/>
          <w:iCs/>
          <w:lang w:val="fr-FR"/>
        </w:rPr>
        <w:t xml:space="preserve">Lynx </w:t>
      </w:r>
      <w:proofErr w:type="spellStart"/>
      <w:r w:rsidRPr="000546A6">
        <w:rPr>
          <w:rFonts w:eastAsia="Calibri" w:cs="Arial"/>
          <w:i/>
          <w:iCs/>
          <w:lang w:val="fr-FR"/>
        </w:rPr>
        <w:t>lynx</w:t>
      </w:r>
      <w:proofErr w:type="spellEnd"/>
      <w:r w:rsidRPr="000546A6">
        <w:rPr>
          <w:rFonts w:eastAsia="Calibri" w:cs="Arial"/>
          <w:i/>
          <w:iCs/>
          <w:lang w:val="fr-FR"/>
        </w:rPr>
        <w:t xml:space="preserve"> </w:t>
      </w:r>
      <w:proofErr w:type="spellStart"/>
      <w:r w:rsidRPr="000546A6">
        <w:rPr>
          <w:rFonts w:eastAsia="Calibri" w:cs="Arial"/>
          <w:i/>
          <w:iCs/>
          <w:lang w:val="fr-FR"/>
        </w:rPr>
        <w:t>isabellinus</w:t>
      </w:r>
      <w:proofErr w:type="spellEnd"/>
      <w:r w:rsidRPr="000546A6">
        <w:rPr>
          <w:rFonts w:eastAsia="Calibri" w:cs="Arial"/>
          <w:lang w:val="fr-FR"/>
        </w:rPr>
        <w:t xml:space="preserve"> a été officiellement incluse dans l'Initiative pour les mammifèr</w:t>
      </w:r>
      <w:r w:rsidRPr="000546A6">
        <w:rPr>
          <w:rFonts w:eastAsia="Calibri" w:cs="Arial"/>
          <w:lang w:val="fr-FR"/>
        </w:rPr>
        <w:t xml:space="preserve">es d'Asie centrale lors de la troisième réunion des États de l'aire de répartition de l'Initiative pour les mammifères d'Asie centrale (24-26 juin 2025, </w:t>
      </w:r>
      <w:proofErr w:type="spellStart"/>
      <w:r w:rsidRPr="000546A6">
        <w:rPr>
          <w:rFonts w:eastAsia="Calibri" w:cs="Arial"/>
          <w:lang w:val="fr-FR"/>
        </w:rPr>
        <w:t>Tashkent</w:t>
      </w:r>
      <w:proofErr w:type="spellEnd"/>
      <w:r w:rsidRPr="000546A6">
        <w:rPr>
          <w:rFonts w:eastAsia="Calibri" w:cs="Arial"/>
          <w:lang w:val="fr-FR"/>
        </w:rPr>
        <w:t xml:space="preserve">, Ouzbékistan). Par conséquent, le lynx est considéré comme l’une des espèces cibles du Programme de travail 2026-2032 de l'Initiative pour les mammifères d’Asie centrale, qui englobe des activités pertinentes pour sa conservation. </w:t>
      </w:r>
    </w:p>
    <w:p w14:paraId="795AC2A6" w14:textId="77777777" w:rsidR="006300B6" w:rsidRPr="000546A6" w:rsidRDefault="006300B6">
      <w:pPr>
        <w:suppressAutoHyphens/>
        <w:autoSpaceDN w:val="0"/>
        <w:spacing w:after="0" w:line="240" w:lineRule="auto"/>
        <w:ind w:left="540" w:hanging="540"/>
        <w:jc w:val="both"/>
        <w:textAlignment w:val="baseline"/>
        <w:rPr>
          <w:rFonts w:eastAsia="Calibri" w:cs="Arial"/>
          <w:lang w:val="fr-FR"/>
        </w:rPr>
      </w:pPr>
    </w:p>
    <w:p w14:paraId="29EA4BE6" w14:textId="77777777" w:rsidR="006300B6" w:rsidRPr="000546A6" w:rsidRDefault="00CC7671">
      <w:pPr>
        <w:suppressAutoHyphens/>
        <w:autoSpaceDN w:val="0"/>
        <w:spacing w:after="0" w:line="240" w:lineRule="auto"/>
        <w:jc w:val="both"/>
        <w:textAlignment w:val="baseline"/>
        <w:rPr>
          <w:rFonts w:eastAsia="Calibri" w:cs="Arial"/>
          <w:lang w:val="fr-FR"/>
        </w:rPr>
      </w:pPr>
      <w:r w:rsidRPr="000546A6">
        <w:rPr>
          <w:rFonts w:eastAsia="Calibri" w:cs="Arial"/>
          <w:b/>
          <w:lang w:val="fr-FR"/>
        </w:rPr>
        <w:t>Priorité de conservation</w:t>
      </w:r>
    </w:p>
    <w:p w14:paraId="1C6E781F" w14:textId="77777777" w:rsidR="006300B6" w:rsidRPr="000546A6" w:rsidRDefault="006300B6">
      <w:pPr>
        <w:suppressAutoHyphens/>
        <w:autoSpaceDN w:val="0"/>
        <w:spacing w:after="0" w:line="240" w:lineRule="auto"/>
        <w:jc w:val="both"/>
        <w:textAlignment w:val="baseline"/>
        <w:rPr>
          <w:rFonts w:eastAsia="Calibri" w:cs="Arial"/>
          <w:lang w:val="fr-FR"/>
        </w:rPr>
      </w:pPr>
    </w:p>
    <w:p w14:paraId="5502EE44" w14:textId="77777777" w:rsidR="006300B6" w:rsidRPr="000546A6" w:rsidRDefault="00CC7671">
      <w:pPr>
        <w:suppressAutoHyphens/>
        <w:autoSpaceDN w:val="0"/>
        <w:spacing w:after="0" w:line="240" w:lineRule="auto"/>
        <w:jc w:val="both"/>
        <w:textAlignment w:val="baseline"/>
        <w:rPr>
          <w:rFonts w:eastAsia="Calibri" w:cs="Arial"/>
          <w:lang w:val="fr-FR"/>
        </w:rPr>
      </w:pPr>
      <w:r w:rsidRPr="000546A6">
        <w:rPr>
          <w:rFonts w:eastAsia="Calibri" w:cs="Arial"/>
          <w:lang w:val="fr-FR"/>
        </w:rPr>
        <w:t xml:space="preserve">L'urgence d'une meilleure conservation du </w:t>
      </w:r>
      <w:r w:rsidRPr="000546A6">
        <w:rPr>
          <w:rFonts w:eastAsia="Calibri" w:cs="Arial"/>
          <w:i/>
          <w:iCs/>
          <w:lang w:val="fr-FR"/>
        </w:rPr>
        <w:t xml:space="preserve">Lynx </w:t>
      </w:r>
      <w:proofErr w:type="spellStart"/>
      <w:r w:rsidRPr="000546A6">
        <w:rPr>
          <w:rFonts w:eastAsia="Calibri" w:cs="Arial"/>
          <w:i/>
          <w:iCs/>
          <w:lang w:val="fr-FR"/>
        </w:rPr>
        <w:t>lynx</w:t>
      </w:r>
      <w:proofErr w:type="spellEnd"/>
      <w:r w:rsidRPr="000546A6">
        <w:rPr>
          <w:rFonts w:eastAsia="Calibri" w:cs="Arial"/>
          <w:i/>
          <w:iCs/>
          <w:lang w:val="fr-FR"/>
        </w:rPr>
        <w:t xml:space="preserve"> </w:t>
      </w:r>
      <w:proofErr w:type="spellStart"/>
      <w:r w:rsidRPr="000546A6">
        <w:rPr>
          <w:rFonts w:eastAsia="Calibri" w:cs="Arial"/>
          <w:i/>
          <w:iCs/>
          <w:lang w:val="fr-FR"/>
        </w:rPr>
        <w:t>balcanicus</w:t>
      </w:r>
      <w:proofErr w:type="spellEnd"/>
      <w:r w:rsidRPr="000546A6">
        <w:rPr>
          <w:rFonts w:eastAsia="Calibri" w:cs="Arial"/>
          <w:lang w:val="fr-FR"/>
        </w:rPr>
        <w:t>, classé En danger critique, est incontestée ; la sous-espèce est au bord de l’extinction. Seules des actions concertées transfrontalières peuvent le sauver. Pour ces raisons, la plus haute priorité a été accordée à la mise en œuvre de l’AC/Activité 1. Les deux activités suivantes (2 et 3) pour le lynx des Carpates sont également urgentes, car plusieurs projets sont proposés mais doivent être coordonnés selon une approche commune et fondés sur des principes de conservation convenus. En c</w:t>
      </w:r>
      <w:r w:rsidRPr="000546A6">
        <w:rPr>
          <w:rFonts w:eastAsia="Calibri" w:cs="Arial"/>
          <w:lang w:val="fr-FR"/>
        </w:rPr>
        <w:t>e qui concerne les activités 4 et 5, il est difficile d’évaluer leur urgence ; il manque des informations fiables pour évaluer l'état et la tendance de ces deux sous-espèces. Mais, constatant le développement rapide et étendu dans les régions concernées, nous estimons que fournir ces informations de base pour orienter les approches de conservation ultérieures doit constituer une priorité élevée.</w:t>
      </w:r>
    </w:p>
    <w:p w14:paraId="6C7B7899" w14:textId="77777777" w:rsidR="006300B6" w:rsidRPr="000546A6" w:rsidRDefault="006300B6">
      <w:pPr>
        <w:suppressAutoHyphens/>
        <w:autoSpaceDN w:val="0"/>
        <w:spacing w:after="0" w:line="240" w:lineRule="auto"/>
        <w:ind w:left="540" w:hanging="540"/>
        <w:jc w:val="both"/>
        <w:textAlignment w:val="baseline"/>
        <w:rPr>
          <w:rFonts w:eastAsia="Calibri" w:cs="Arial"/>
          <w:lang w:val="fr-FR"/>
        </w:rPr>
      </w:pPr>
    </w:p>
    <w:p w14:paraId="57CE73E0" w14:textId="77777777" w:rsidR="006300B6" w:rsidRPr="000546A6" w:rsidRDefault="00CC7671">
      <w:pPr>
        <w:suppressAutoHyphens/>
        <w:autoSpaceDN w:val="0"/>
        <w:spacing w:after="0" w:line="240" w:lineRule="auto"/>
        <w:jc w:val="both"/>
        <w:textAlignment w:val="baseline"/>
        <w:rPr>
          <w:rFonts w:eastAsia="Calibri" w:cs="Arial"/>
          <w:lang w:val="fr-FR"/>
        </w:rPr>
      </w:pPr>
      <w:r w:rsidRPr="000546A6">
        <w:rPr>
          <w:rFonts w:eastAsia="Calibri" w:cs="Arial"/>
          <w:b/>
          <w:lang w:val="fr-FR"/>
        </w:rPr>
        <w:t>Pertinence</w:t>
      </w:r>
    </w:p>
    <w:p w14:paraId="2640409A" w14:textId="77777777" w:rsidR="006300B6" w:rsidRPr="000546A6" w:rsidRDefault="006300B6">
      <w:pPr>
        <w:suppressAutoHyphens/>
        <w:autoSpaceDN w:val="0"/>
        <w:spacing w:after="0" w:line="240" w:lineRule="auto"/>
        <w:jc w:val="both"/>
        <w:textAlignment w:val="baseline"/>
        <w:rPr>
          <w:rFonts w:eastAsia="Calibri" w:cs="Arial"/>
          <w:lang w:val="fr-FR"/>
        </w:rPr>
      </w:pPr>
    </w:p>
    <w:p w14:paraId="09FB20D3" w14:textId="77777777" w:rsidR="006300B6" w:rsidRPr="000546A6" w:rsidRDefault="00CC7671">
      <w:pPr>
        <w:suppressAutoHyphens/>
        <w:autoSpaceDN w:val="0"/>
        <w:spacing w:after="0" w:line="240" w:lineRule="auto"/>
        <w:jc w:val="both"/>
        <w:textAlignment w:val="baseline"/>
        <w:rPr>
          <w:rFonts w:eastAsia="Calibri" w:cs="Arial"/>
          <w:lang w:val="fr-FR"/>
        </w:rPr>
      </w:pPr>
      <w:r w:rsidRPr="000546A6">
        <w:rPr>
          <w:rFonts w:eastAsia="Calibri" w:cs="Arial"/>
          <w:lang w:val="fr-FR"/>
        </w:rPr>
        <w:t>Comme d'autres grands félins, le lynx d'Eurasie vit avec de faibles densités partout où des études solides ont été réalisées. Toutes les populations viables en dehors de l’immense ceinture de la forêt boréale sont transfrontalières et souffrent de plus en plus de fragmentation. Alors que, du moins en Europe, la prise de conscience nationale est généralement bien établie et que des activités de conservation sont en place, l'indispensable coopération transfrontalière reste un exception. Cette situation est pr</w:t>
      </w:r>
      <w:r w:rsidRPr="000546A6">
        <w:rPr>
          <w:rFonts w:eastAsia="Calibri" w:cs="Arial"/>
          <w:lang w:val="fr-FR"/>
        </w:rPr>
        <w:t>incipalement due à un manque de sensibilisation institutionnelle et de définition des priorités. Le soutien d'une convention internationale est donc particulièrement souhaitable.</w:t>
      </w:r>
    </w:p>
    <w:p w14:paraId="02270012" w14:textId="77777777" w:rsidR="006300B6" w:rsidRPr="000546A6" w:rsidRDefault="006300B6">
      <w:pPr>
        <w:suppressAutoHyphens/>
        <w:autoSpaceDN w:val="0"/>
        <w:spacing w:after="0" w:line="240" w:lineRule="auto"/>
        <w:ind w:left="540" w:hanging="540"/>
        <w:jc w:val="both"/>
        <w:textAlignment w:val="baseline"/>
        <w:rPr>
          <w:rFonts w:eastAsia="Calibri" w:cs="Arial"/>
          <w:lang w:val="fr-FR"/>
        </w:rPr>
      </w:pPr>
    </w:p>
    <w:p w14:paraId="2D3A559B" w14:textId="77777777" w:rsidR="006300B6" w:rsidRPr="000546A6" w:rsidRDefault="00CC7671">
      <w:pPr>
        <w:suppressAutoHyphens/>
        <w:autoSpaceDN w:val="0"/>
        <w:spacing w:after="0" w:line="240" w:lineRule="auto"/>
        <w:jc w:val="both"/>
        <w:textAlignment w:val="baseline"/>
        <w:rPr>
          <w:rFonts w:eastAsia="Calibri" w:cs="Arial"/>
          <w:lang w:val="fr-FR"/>
        </w:rPr>
      </w:pPr>
      <w:r w:rsidRPr="000546A6">
        <w:rPr>
          <w:rFonts w:eastAsia="Calibri" w:cs="Arial"/>
          <w:b/>
          <w:lang w:val="fr-FR"/>
        </w:rPr>
        <w:t>Absence de solutions plus efficaces</w:t>
      </w:r>
    </w:p>
    <w:p w14:paraId="31F2F573" w14:textId="77777777" w:rsidR="006300B6" w:rsidRPr="000546A6" w:rsidRDefault="006300B6">
      <w:pPr>
        <w:suppressAutoHyphens/>
        <w:autoSpaceDN w:val="0"/>
        <w:spacing w:after="0" w:line="240" w:lineRule="auto"/>
        <w:jc w:val="both"/>
        <w:textAlignment w:val="baseline"/>
        <w:rPr>
          <w:rFonts w:eastAsia="Calibri" w:cs="Arial"/>
          <w:i/>
          <w:iCs/>
          <w:lang w:val="fr-FR"/>
        </w:rPr>
      </w:pPr>
    </w:p>
    <w:p w14:paraId="50BF1AF6" w14:textId="77777777" w:rsidR="006300B6" w:rsidRPr="000546A6" w:rsidRDefault="00CC7671">
      <w:pPr>
        <w:suppressAutoHyphens/>
        <w:autoSpaceDN w:val="0"/>
        <w:spacing w:after="0" w:line="240" w:lineRule="auto"/>
        <w:jc w:val="both"/>
        <w:textAlignment w:val="baseline"/>
        <w:rPr>
          <w:rFonts w:eastAsia="Calibri" w:cs="Arial"/>
          <w:lang w:val="fr-FR"/>
        </w:rPr>
      </w:pPr>
      <w:r w:rsidRPr="000546A6">
        <w:rPr>
          <w:rFonts w:eastAsia="Calibri" w:cs="Arial"/>
          <w:i/>
          <w:iCs/>
          <w:lang w:val="fr-FR"/>
        </w:rPr>
        <w:t xml:space="preserve">Lynx </w:t>
      </w:r>
      <w:proofErr w:type="spellStart"/>
      <w:r w:rsidRPr="000546A6">
        <w:rPr>
          <w:rFonts w:eastAsia="Calibri" w:cs="Arial"/>
          <w:i/>
          <w:iCs/>
          <w:lang w:val="fr-FR"/>
        </w:rPr>
        <w:t>lynx</w:t>
      </w:r>
      <w:proofErr w:type="spellEnd"/>
      <w:r w:rsidRPr="000546A6">
        <w:rPr>
          <w:rFonts w:eastAsia="Calibri" w:cs="Arial"/>
          <w:i/>
          <w:iCs/>
          <w:lang w:val="fr-FR"/>
        </w:rPr>
        <w:t xml:space="preserve"> </w:t>
      </w:r>
      <w:r w:rsidRPr="000546A6">
        <w:rPr>
          <w:rFonts w:eastAsia="Calibri" w:cs="Arial"/>
          <w:lang w:val="fr-FR"/>
        </w:rPr>
        <w:t xml:space="preserve">(Appendice II) et </w:t>
      </w:r>
      <w:r w:rsidRPr="000546A6">
        <w:rPr>
          <w:rFonts w:eastAsia="Calibri" w:cs="Arial"/>
          <w:i/>
          <w:iCs/>
          <w:lang w:val="fr-FR"/>
        </w:rPr>
        <w:t xml:space="preserve">Lynx </w:t>
      </w:r>
      <w:proofErr w:type="spellStart"/>
      <w:r w:rsidRPr="000546A6">
        <w:rPr>
          <w:rFonts w:eastAsia="Calibri" w:cs="Arial"/>
          <w:i/>
          <w:iCs/>
          <w:lang w:val="fr-FR"/>
        </w:rPr>
        <w:t>lynx</w:t>
      </w:r>
      <w:proofErr w:type="spellEnd"/>
      <w:r w:rsidRPr="000546A6">
        <w:rPr>
          <w:rFonts w:eastAsia="Calibri" w:cs="Arial"/>
          <w:i/>
          <w:iCs/>
          <w:lang w:val="fr-FR"/>
        </w:rPr>
        <w:t xml:space="preserve"> </w:t>
      </w:r>
      <w:proofErr w:type="spellStart"/>
      <w:r w:rsidRPr="000546A6">
        <w:rPr>
          <w:rFonts w:eastAsia="Calibri" w:cs="Arial"/>
          <w:i/>
          <w:iCs/>
          <w:lang w:val="fr-FR"/>
        </w:rPr>
        <w:t>balcanicus</w:t>
      </w:r>
      <w:proofErr w:type="spellEnd"/>
      <w:r w:rsidRPr="000546A6">
        <w:rPr>
          <w:rFonts w:eastAsia="Calibri" w:cs="Arial"/>
          <w:i/>
          <w:iCs/>
          <w:lang w:val="fr-FR"/>
        </w:rPr>
        <w:t xml:space="preserve"> </w:t>
      </w:r>
      <w:r w:rsidRPr="000546A6">
        <w:rPr>
          <w:rFonts w:eastAsia="Calibri" w:cs="Arial"/>
          <w:lang w:val="fr-FR"/>
        </w:rPr>
        <w:t xml:space="preserve">(Appendice I) ont été inscrits par la COP14 sur les annexes de la Convention sur la conservation des espèces migratrices appartenant à la faune sauvage (Convention de Bonn). L’inscription devrait être soutenue par des activités complémentaires. Pour </w:t>
      </w:r>
      <w:r w:rsidRPr="000546A6">
        <w:rPr>
          <w:rFonts w:eastAsia="Calibri" w:cs="Arial"/>
          <w:i/>
          <w:iCs/>
          <w:lang w:val="fr-FR"/>
        </w:rPr>
        <w:t xml:space="preserve">L. l. </w:t>
      </w:r>
      <w:proofErr w:type="spellStart"/>
      <w:r w:rsidRPr="000546A6">
        <w:rPr>
          <w:rFonts w:eastAsia="Calibri" w:cs="Arial"/>
          <w:i/>
          <w:iCs/>
          <w:lang w:val="fr-FR"/>
        </w:rPr>
        <w:t>balcanicus</w:t>
      </w:r>
      <w:proofErr w:type="spellEnd"/>
      <w:r w:rsidRPr="000546A6">
        <w:rPr>
          <w:rFonts w:eastAsia="Calibri" w:cs="Arial"/>
          <w:lang w:val="fr-FR"/>
        </w:rPr>
        <w:t xml:space="preserve">, </w:t>
      </w:r>
      <w:r w:rsidRPr="000546A6">
        <w:rPr>
          <w:rFonts w:eastAsia="Calibri" w:cs="Arial"/>
          <w:i/>
          <w:iCs/>
          <w:lang w:val="fr-FR"/>
        </w:rPr>
        <w:t xml:space="preserve">L. l. </w:t>
      </w:r>
      <w:proofErr w:type="spellStart"/>
      <w:r w:rsidRPr="000546A6">
        <w:rPr>
          <w:rFonts w:eastAsia="Calibri" w:cs="Arial"/>
          <w:i/>
          <w:iCs/>
          <w:lang w:val="fr-FR"/>
        </w:rPr>
        <w:t>carpathicus</w:t>
      </w:r>
      <w:proofErr w:type="spellEnd"/>
      <w:r w:rsidRPr="000546A6">
        <w:rPr>
          <w:rFonts w:eastAsia="Calibri" w:cs="Arial"/>
          <w:lang w:val="fr-FR"/>
        </w:rPr>
        <w:t xml:space="preserve"> et </w:t>
      </w:r>
      <w:r w:rsidRPr="000546A6">
        <w:rPr>
          <w:rFonts w:eastAsia="Calibri" w:cs="Arial"/>
          <w:i/>
          <w:iCs/>
          <w:lang w:val="fr-FR"/>
        </w:rPr>
        <w:t xml:space="preserve">L. l. </w:t>
      </w:r>
      <w:proofErr w:type="spellStart"/>
      <w:r w:rsidRPr="000546A6">
        <w:rPr>
          <w:rFonts w:eastAsia="Calibri" w:cs="Arial"/>
          <w:i/>
          <w:iCs/>
          <w:lang w:val="fr-FR"/>
        </w:rPr>
        <w:t>dinniki</w:t>
      </w:r>
      <w:proofErr w:type="spellEnd"/>
      <w:r w:rsidRPr="000546A6">
        <w:rPr>
          <w:rFonts w:eastAsia="Calibri" w:cs="Arial"/>
          <w:i/>
          <w:iCs/>
          <w:lang w:val="fr-FR"/>
        </w:rPr>
        <w:t>,</w:t>
      </w:r>
      <w:r w:rsidRPr="000546A6">
        <w:rPr>
          <w:rFonts w:eastAsia="Calibri" w:cs="Arial"/>
          <w:lang w:val="fr-FR"/>
        </w:rPr>
        <w:t xml:space="preserve"> une Action concertée sous la Convention sur la conservation des espèces migratrices appartenant à la faune sauvage est en cours de mise en œuvre, en coopération ave</w:t>
      </w:r>
      <w:r w:rsidRPr="000546A6">
        <w:rPr>
          <w:rFonts w:eastAsia="Calibri" w:cs="Arial"/>
          <w:lang w:val="fr-FR"/>
        </w:rPr>
        <w:t xml:space="preserve">c d'autres conventions et initiatives lorsque cela est possible, constituant un instrument supplémentaire puissant pour la coopération entre les États de l'aire de répartition. Pour </w:t>
      </w:r>
      <w:r w:rsidRPr="000546A6">
        <w:rPr>
          <w:rFonts w:eastAsia="Calibri" w:cs="Arial"/>
          <w:i/>
          <w:iCs/>
          <w:lang w:val="fr-FR"/>
        </w:rPr>
        <w:t xml:space="preserve">L. l. </w:t>
      </w:r>
      <w:proofErr w:type="spellStart"/>
      <w:r w:rsidRPr="000546A6">
        <w:rPr>
          <w:rFonts w:eastAsia="Calibri" w:cs="Arial"/>
          <w:i/>
          <w:iCs/>
          <w:lang w:val="fr-FR"/>
        </w:rPr>
        <w:t>isabellinus</w:t>
      </w:r>
      <w:proofErr w:type="spellEnd"/>
      <w:r w:rsidRPr="000546A6">
        <w:rPr>
          <w:rFonts w:eastAsia="Calibri" w:cs="Arial"/>
          <w:lang w:val="fr-FR"/>
        </w:rPr>
        <w:t xml:space="preserve">, son inclusion dans </w:t>
      </w:r>
      <w:r w:rsidRPr="000546A6">
        <w:rPr>
          <w:rFonts w:eastAsia="Calibri" w:cs="Arial"/>
          <w:lang w:val="fr-FR"/>
        </w:rPr>
        <w:lastRenderedPageBreak/>
        <w:t>l'Initiative pour les mammifères d’Asie centrale de la Convention sur la conservation des espèces migratrices appartenant à la faune sauvage est bénéfique et considérée comme un soutien supplémentaire. Les activités proposées (compiler des informations de base permettant une évaluation solid</w:t>
      </w:r>
      <w:r w:rsidRPr="000546A6">
        <w:rPr>
          <w:rFonts w:eastAsia="Calibri" w:cs="Arial"/>
          <w:lang w:val="fr-FR"/>
        </w:rPr>
        <w:t>e) seront nécessaires pour définir des actions ciblées pertinentes également dans le cadre du programme de travail de l'Initiative pour les mammifères d'Asie centrale.</w:t>
      </w:r>
    </w:p>
    <w:p w14:paraId="4E7A3592" w14:textId="77777777" w:rsidR="006300B6" w:rsidRPr="000546A6" w:rsidRDefault="006300B6">
      <w:pPr>
        <w:suppressAutoHyphens/>
        <w:autoSpaceDN w:val="0"/>
        <w:spacing w:after="0" w:line="240" w:lineRule="auto"/>
        <w:ind w:left="540" w:hanging="540"/>
        <w:jc w:val="both"/>
        <w:textAlignment w:val="baseline"/>
        <w:rPr>
          <w:rFonts w:eastAsia="Calibri" w:cs="Arial"/>
          <w:lang w:val="fr-FR"/>
        </w:rPr>
      </w:pPr>
    </w:p>
    <w:p w14:paraId="7F184871" w14:textId="77777777" w:rsidR="006300B6" w:rsidRPr="000546A6" w:rsidRDefault="00CC7671">
      <w:pPr>
        <w:suppressAutoHyphens/>
        <w:autoSpaceDN w:val="0"/>
        <w:spacing w:after="0" w:line="240" w:lineRule="auto"/>
        <w:jc w:val="both"/>
        <w:textAlignment w:val="baseline"/>
        <w:rPr>
          <w:rFonts w:eastAsia="Calibri" w:cs="Arial"/>
          <w:lang w:val="fr-FR"/>
        </w:rPr>
      </w:pPr>
      <w:r w:rsidRPr="000546A6">
        <w:rPr>
          <w:rFonts w:eastAsia="Calibri" w:cs="Arial"/>
          <w:b/>
          <w:lang w:val="fr-FR"/>
        </w:rPr>
        <w:t>État de préparation et faisabilité</w:t>
      </w:r>
    </w:p>
    <w:p w14:paraId="61A02317" w14:textId="77777777" w:rsidR="006300B6" w:rsidRPr="000546A6" w:rsidRDefault="006300B6">
      <w:pPr>
        <w:suppressAutoHyphens/>
        <w:autoSpaceDN w:val="0"/>
        <w:spacing w:after="0" w:line="240" w:lineRule="auto"/>
        <w:jc w:val="both"/>
        <w:textAlignment w:val="baseline"/>
        <w:rPr>
          <w:rFonts w:eastAsia="Calibri" w:cs="Arial"/>
          <w:lang w:val="fr-FR"/>
        </w:rPr>
      </w:pPr>
    </w:p>
    <w:p w14:paraId="576F15ED" w14:textId="77777777" w:rsidR="006300B6" w:rsidRPr="000546A6" w:rsidRDefault="00CC7671">
      <w:pPr>
        <w:suppressAutoHyphens/>
        <w:autoSpaceDN w:val="0"/>
        <w:spacing w:after="0" w:line="240" w:lineRule="auto"/>
        <w:jc w:val="both"/>
        <w:textAlignment w:val="baseline"/>
        <w:rPr>
          <w:rFonts w:eastAsia="Calibri" w:cs="Arial"/>
          <w:lang w:val="fr-FR"/>
        </w:rPr>
      </w:pPr>
      <w:r w:rsidRPr="000546A6">
        <w:rPr>
          <w:rFonts w:eastAsia="Calibri" w:cs="Arial"/>
          <w:lang w:val="fr-FR"/>
        </w:rPr>
        <w:t>Pour les activités 2−3, le leadership est assuré par des institutions de l’UICN (par ex. plusieurs groupes d'experts), une compréhension scientifique solide est apportée par plusieurs universités et autres institutions scientifiques impliquées, et l’engagement de plusieurs grandes organisations de conservation impliquées dans les activités à différents niveaux. Une collecte de fonds sera nécessaire pour organiser les ateliers nécessaires pour les Carpates, mais la majeure partie du travail sera effectuée pa</w:t>
      </w:r>
      <w:r w:rsidRPr="000546A6">
        <w:rPr>
          <w:rFonts w:eastAsia="Calibri" w:cs="Arial"/>
          <w:lang w:val="fr-FR"/>
        </w:rPr>
        <w:t xml:space="preserve">r les experts et les conservationnistes dans le cadre de leurs emplois ou projets. </w:t>
      </w:r>
    </w:p>
    <w:p w14:paraId="5BA90681" w14:textId="77777777" w:rsidR="006300B6" w:rsidRPr="000546A6" w:rsidRDefault="006300B6">
      <w:pPr>
        <w:suppressAutoHyphens/>
        <w:autoSpaceDN w:val="0"/>
        <w:spacing w:after="0" w:line="240" w:lineRule="auto"/>
        <w:jc w:val="both"/>
        <w:textAlignment w:val="baseline"/>
        <w:rPr>
          <w:rFonts w:eastAsia="Calibri" w:cs="Arial"/>
          <w:lang w:val="fr-FR"/>
        </w:rPr>
      </w:pPr>
    </w:p>
    <w:p w14:paraId="7E6B61CB" w14:textId="77777777" w:rsidR="006300B6" w:rsidRPr="000546A6" w:rsidRDefault="00CC7671">
      <w:pPr>
        <w:suppressAutoHyphens/>
        <w:autoSpaceDN w:val="0"/>
        <w:spacing w:after="0" w:line="240" w:lineRule="auto"/>
        <w:jc w:val="both"/>
        <w:textAlignment w:val="baseline"/>
        <w:rPr>
          <w:rFonts w:eastAsia="Calibri" w:cs="Arial"/>
          <w:lang w:val="fr-FR"/>
        </w:rPr>
      </w:pPr>
      <w:r w:rsidRPr="000546A6">
        <w:rPr>
          <w:rFonts w:eastAsia="Calibri" w:cs="Arial"/>
          <w:lang w:val="fr-FR"/>
        </w:rPr>
        <w:t xml:space="preserve">Pour les deux études de base réalisées en Asie, une collecte de fonds sera nécessaire. Nous attendons des institutions (scientifiques) participantes qu’elles apportent leur soutien au projet, mais des fonds seront nécessaires pour former et soutenir les responsables du projet dans les différents États de l'aire de répartition. </w:t>
      </w:r>
    </w:p>
    <w:p w14:paraId="7893AE44" w14:textId="77777777" w:rsidR="006300B6" w:rsidRPr="000546A6" w:rsidRDefault="006300B6">
      <w:pPr>
        <w:suppressAutoHyphens/>
        <w:autoSpaceDN w:val="0"/>
        <w:spacing w:after="0" w:line="240" w:lineRule="auto"/>
        <w:ind w:left="540" w:hanging="540"/>
        <w:jc w:val="both"/>
        <w:textAlignment w:val="baseline"/>
        <w:rPr>
          <w:rFonts w:eastAsia="Calibri" w:cs="Arial"/>
          <w:lang w:val="fr-FR"/>
        </w:rPr>
      </w:pPr>
    </w:p>
    <w:p w14:paraId="54915AEA" w14:textId="77777777" w:rsidR="006300B6" w:rsidRPr="000546A6" w:rsidRDefault="00CC7671">
      <w:pPr>
        <w:suppressAutoHyphens/>
        <w:autoSpaceDN w:val="0"/>
        <w:spacing w:after="0" w:line="240" w:lineRule="auto"/>
        <w:jc w:val="both"/>
        <w:textAlignment w:val="baseline"/>
        <w:rPr>
          <w:rFonts w:eastAsia="Calibri" w:cs="Arial"/>
          <w:lang w:val="fr-FR"/>
        </w:rPr>
      </w:pPr>
      <w:r w:rsidRPr="000546A6">
        <w:rPr>
          <w:rFonts w:eastAsia="Calibri" w:cs="Arial"/>
          <w:b/>
          <w:lang w:val="fr-FR"/>
        </w:rPr>
        <w:t>Probabilité de réussite</w:t>
      </w:r>
    </w:p>
    <w:p w14:paraId="6759B8B8" w14:textId="77777777" w:rsidR="006300B6" w:rsidRPr="000546A6" w:rsidRDefault="006300B6">
      <w:pPr>
        <w:suppressAutoHyphens/>
        <w:autoSpaceDN w:val="0"/>
        <w:spacing w:after="0" w:line="240" w:lineRule="auto"/>
        <w:jc w:val="both"/>
        <w:textAlignment w:val="baseline"/>
        <w:rPr>
          <w:rFonts w:eastAsia="Calibri" w:cs="Arial"/>
          <w:lang w:val="fr-FR"/>
        </w:rPr>
      </w:pPr>
    </w:p>
    <w:p w14:paraId="78105264" w14:textId="77777777" w:rsidR="006300B6" w:rsidRPr="000546A6" w:rsidRDefault="00CC7671">
      <w:pPr>
        <w:suppressAutoHyphens/>
        <w:autoSpaceDN w:val="0"/>
        <w:spacing w:after="0" w:line="240" w:lineRule="auto"/>
        <w:jc w:val="both"/>
        <w:textAlignment w:val="baseline"/>
        <w:rPr>
          <w:rFonts w:eastAsia="Calibri" w:cs="Arial"/>
          <w:lang w:val="fr-FR"/>
        </w:rPr>
      </w:pPr>
      <w:r w:rsidRPr="000546A6">
        <w:rPr>
          <w:rFonts w:eastAsia="Calibri" w:cs="Arial"/>
          <w:lang w:val="fr-FR"/>
        </w:rPr>
        <w:t>Toutes les méthodes et tous les concepts proposés ici sont standard, établis et largement testés, et ne présentent aucun risque méthodologique. Les résultats escomptés seront atteints. En ce qui concerne la participation des États de l'aire de répartition et leur engagement ultérieur, nous supposons une coopération améliorée entre toutes les Parties à la Convention sur la conservation des espèces migratrices appartenant à la faune sauvage et les États de l'aire de répartition participant à l'Initiative pour</w:t>
      </w:r>
      <w:r w:rsidRPr="000546A6">
        <w:rPr>
          <w:rFonts w:eastAsia="Calibri" w:cs="Arial"/>
          <w:lang w:val="fr-FR"/>
        </w:rPr>
        <w:t xml:space="preserve"> les mammifères d’Asie centrale de la Convention sur la conservation des espèces migratrices appartenant à la faune sauvage.</w:t>
      </w:r>
    </w:p>
    <w:p w14:paraId="2535C795" w14:textId="77777777" w:rsidR="006300B6" w:rsidRPr="000546A6" w:rsidRDefault="006300B6">
      <w:pPr>
        <w:suppressAutoHyphens/>
        <w:autoSpaceDN w:val="0"/>
        <w:spacing w:after="0" w:line="240" w:lineRule="auto"/>
        <w:ind w:left="540" w:hanging="540"/>
        <w:jc w:val="both"/>
        <w:textAlignment w:val="baseline"/>
        <w:rPr>
          <w:rFonts w:eastAsia="Calibri" w:cs="Arial"/>
          <w:lang w:val="fr-FR"/>
        </w:rPr>
      </w:pPr>
    </w:p>
    <w:p w14:paraId="1B365F58" w14:textId="77777777" w:rsidR="006300B6" w:rsidRPr="000546A6" w:rsidRDefault="00CC7671">
      <w:pPr>
        <w:suppressAutoHyphens/>
        <w:autoSpaceDN w:val="0"/>
        <w:spacing w:after="0" w:line="240" w:lineRule="auto"/>
        <w:jc w:val="both"/>
        <w:textAlignment w:val="baseline"/>
        <w:rPr>
          <w:rFonts w:eastAsia="Calibri" w:cs="Arial"/>
          <w:lang w:val="fr-FR"/>
        </w:rPr>
      </w:pPr>
      <w:r w:rsidRPr="000546A6">
        <w:rPr>
          <w:rFonts w:eastAsia="Calibri" w:cs="Arial"/>
          <w:b/>
          <w:lang w:val="fr-FR"/>
        </w:rPr>
        <w:t>Ampleur de l'impact probable</w:t>
      </w:r>
    </w:p>
    <w:p w14:paraId="0FF48000" w14:textId="77777777" w:rsidR="006300B6" w:rsidRPr="000546A6" w:rsidRDefault="006300B6">
      <w:pPr>
        <w:suppressAutoHyphens/>
        <w:autoSpaceDN w:val="0"/>
        <w:spacing w:after="0" w:line="240" w:lineRule="auto"/>
        <w:jc w:val="both"/>
        <w:textAlignment w:val="baseline"/>
        <w:rPr>
          <w:rFonts w:eastAsia="Calibri" w:cs="Arial"/>
          <w:lang w:val="fr-FR"/>
        </w:rPr>
      </w:pPr>
    </w:p>
    <w:p w14:paraId="31DF28FD" w14:textId="77777777" w:rsidR="006300B6" w:rsidRPr="000546A6" w:rsidRDefault="00CC7671">
      <w:pPr>
        <w:suppressAutoHyphens/>
        <w:autoSpaceDN w:val="0"/>
        <w:spacing w:after="0" w:line="240" w:lineRule="auto"/>
        <w:jc w:val="both"/>
        <w:textAlignment w:val="baseline"/>
        <w:rPr>
          <w:rFonts w:eastAsia="Calibri" w:cs="Arial"/>
          <w:lang w:val="fr-FR"/>
        </w:rPr>
      </w:pPr>
      <w:r w:rsidRPr="000546A6">
        <w:rPr>
          <w:rFonts w:eastAsia="Calibri" w:cs="Arial"/>
          <w:lang w:val="fr-FR"/>
        </w:rPr>
        <w:t>Le nombre total de pays devant être impliqués ou affectés par ces activités est de 35 (A‑1, 5 ; A‑2, 5 [1 chevauchement avec A‑1] ; A‑3, 8 ; A‑4, 7 ; A‑5, 11), dont seulement 5 ne sont pas des Parties à la Convention sur la conservation des espèces migratrices appartenant à la faune sauvage En tant qu’espèce carnivore de grande taille (Europe) ou de taille moyenne (Asie), le lynx joue un rôle phare pour l'habitat et les espèces proies (Europe : petits ongulés, Asie : probablement surtout des lagomorphes). L</w:t>
      </w:r>
      <w:r w:rsidRPr="000546A6">
        <w:rPr>
          <w:rFonts w:eastAsia="Calibri" w:cs="Arial"/>
          <w:lang w:val="fr-FR"/>
        </w:rPr>
        <w:t>a sensibilisation des parties prenantes est cruciale. D’une part, les félins sont des espèces charismatiques, d’autre part, le lynx peut être considéré comme une menace pour les espèces proies (domestiques). Cependant, constatant que la mortalité d’origine anthropique constitue probablement une menace considérable sur l’ensemble de l’aire de répartition, une telle communication est importante.</w:t>
      </w:r>
    </w:p>
    <w:p w14:paraId="59343319" w14:textId="77777777" w:rsidR="006300B6" w:rsidRPr="000546A6" w:rsidRDefault="006300B6">
      <w:pPr>
        <w:suppressAutoHyphens/>
        <w:autoSpaceDN w:val="0"/>
        <w:spacing w:after="0" w:line="240" w:lineRule="auto"/>
        <w:ind w:left="540" w:hanging="540"/>
        <w:jc w:val="both"/>
        <w:textAlignment w:val="baseline"/>
        <w:rPr>
          <w:rFonts w:eastAsia="Calibri" w:cs="Arial"/>
          <w:lang w:val="fr-FR"/>
        </w:rPr>
      </w:pPr>
    </w:p>
    <w:p w14:paraId="429920F8" w14:textId="77777777" w:rsidR="006300B6" w:rsidRPr="000546A6" w:rsidRDefault="00CC7671">
      <w:pPr>
        <w:suppressAutoHyphens/>
        <w:autoSpaceDN w:val="0"/>
        <w:spacing w:after="0" w:line="240" w:lineRule="auto"/>
        <w:jc w:val="both"/>
        <w:textAlignment w:val="baseline"/>
        <w:rPr>
          <w:rFonts w:eastAsia="Calibri" w:cs="Arial"/>
          <w:lang w:val="fr-FR"/>
        </w:rPr>
      </w:pPr>
      <w:r w:rsidRPr="000546A6">
        <w:rPr>
          <w:rFonts w:eastAsia="Calibri" w:cs="Arial"/>
          <w:b/>
          <w:lang w:val="fr-FR"/>
        </w:rPr>
        <w:t>Rapport coût-efficacité</w:t>
      </w:r>
    </w:p>
    <w:p w14:paraId="0792B099" w14:textId="77777777" w:rsidR="006300B6" w:rsidRPr="000546A6" w:rsidRDefault="006300B6">
      <w:pPr>
        <w:suppressAutoHyphens/>
        <w:autoSpaceDN w:val="0"/>
        <w:spacing w:after="0" w:line="240" w:lineRule="auto"/>
        <w:jc w:val="both"/>
        <w:textAlignment w:val="baseline"/>
        <w:rPr>
          <w:rFonts w:eastAsia="Calibri" w:cs="Arial"/>
          <w:lang w:val="fr-FR"/>
        </w:rPr>
      </w:pPr>
    </w:p>
    <w:p w14:paraId="218DA3A4" w14:textId="77777777" w:rsidR="006300B6" w:rsidRPr="000546A6" w:rsidRDefault="00CC7671">
      <w:pPr>
        <w:suppressAutoHyphens/>
        <w:autoSpaceDN w:val="0"/>
        <w:spacing w:after="0" w:line="240" w:lineRule="auto"/>
        <w:jc w:val="both"/>
        <w:textAlignment w:val="baseline"/>
        <w:rPr>
          <w:rFonts w:eastAsia="Calibri" w:cs="Arial"/>
          <w:lang w:val="fr-FR"/>
        </w:rPr>
      </w:pPr>
      <w:r w:rsidRPr="000546A6">
        <w:rPr>
          <w:rFonts w:eastAsia="Calibri" w:cs="Arial"/>
          <w:lang w:val="fr-FR"/>
        </w:rPr>
        <w:t>Les coûts de l’Activité 1 ont été couverts par les projets en cours du SCC et de l'Union internationale pour la conservation de la nature (UICN)/CSG, tandis que ceux des activités 2 et 3 devraient être faibles et bien justifiés par rapport aux résultats attendus. Les coûts des activités 4 et 5 doivent être estimés après avoir établi les partenariats nécessaires. Cependant, les coûts de main-d’œuvre devraient être modérés, tandis que les effets en termes de renforcement des capacités et de sensibilisation se</w:t>
      </w:r>
      <w:r w:rsidRPr="000546A6">
        <w:rPr>
          <w:rFonts w:eastAsia="Calibri" w:cs="Arial"/>
          <w:lang w:val="fr-FR"/>
        </w:rPr>
        <w:t>ront importants.</w:t>
      </w:r>
    </w:p>
    <w:p w14:paraId="51CB9E0C" w14:textId="0C14E653" w:rsidR="005A69AC" w:rsidRDefault="005A69AC">
      <w:pPr>
        <w:suppressAutoHyphens/>
        <w:autoSpaceDN w:val="0"/>
        <w:spacing w:after="0" w:line="240" w:lineRule="auto"/>
        <w:ind w:left="720"/>
        <w:textAlignment w:val="baseline"/>
        <w:rPr>
          <w:rFonts w:eastAsia="Calibri" w:cs="Arial"/>
          <w:b/>
          <w:lang w:val="fr-FR"/>
        </w:rPr>
      </w:pPr>
      <w:r>
        <w:rPr>
          <w:rFonts w:eastAsia="Calibri" w:cs="Arial"/>
          <w:b/>
          <w:lang w:val="fr-FR"/>
        </w:rPr>
        <w:br w:type="page"/>
      </w:r>
    </w:p>
    <w:p w14:paraId="0B7B198A" w14:textId="77777777" w:rsidR="006300B6" w:rsidRPr="000546A6" w:rsidRDefault="00CC7671">
      <w:pPr>
        <w:suppressAutoHyphens/>
        <w:autoSpaceDN w:val="0"/>
        <w:spacing w:after="0" w:line="240" w:lineRule="auto"/>
        <w:jc w:val="both"/>
        <w:textAlignment w:val="baseline"/>
        <w:rPr>
          <w:rFonts w:eastAsia="Calibri" w:cs="Arial"/>
          <w:lang w:val="fr-FR"/>
        </w:rPr>
      </w:pPr>
      <w:r w:rsidRPr="000546A6">
        <w:rPr>
          <w:rFonts w:eastAsia="Calibri" w:cs="Arial"/>
          <w:b/>
          <w:lang w:val="fr-FR"/>
        </w:rPr>
        <w:lastRenderedPageBreak/>
        <w:t>Consultations planifiées/entreprises</w:t>
      </w:r>
    </w:p>
    <w:p w14:paraId="0C8F7B2F" w14:textId="77777777" w:rsidR="006300B6" w:rsidRPr="000546A6" w:rsidRDefault="006300B6">
      <w:pPr>
        <w:suppressAutoHyphens/>
        <w:autoSpaceDN w:val="0"/>
        <w:spacing w:after="0" w:line="240" w:lineRule="auto"/>
        <w:jc w:val="both"/>
        <w:textAlignment w:val="baseline"/>
        <w:rPr>
          <w:rFonts w:eastAsia="Calibri" w:cs="Arial"/>
          <w:lang w:val="fr-FR"/>
        </w:rPr>
      </w:pPr>
    </w:p>
    <w:p w14:paraId="77756874" w14:textId="77777777" w:rsidR="006300B6" w:rsidRPr="000546A6" w:rsidRDefault="00CC7671">
      <w:pPr>
        <w:suppressAutoHyphens/>
        <w:autoSpaceDN w:val="0"/>
        <w:spacing w:after="0" w:line="240" w:lineRule="auto"/>
        <w:jc w:val="both"/>
        <w:textAlignment w:val="baseline"/>
        <w:rPr>
          <w:rFonts w:eastAsia="Calibri" w:cs="Arial"/>
          <w:lang w:val="fr-FR"/>
        </w:rPr>
      </w:pPr>
      <w:r w:rsidRPr="000546A6">
        <w:rPr>
          <w:rFonts w:eastAsia="Calibri" w:cs="Arial"/>
          <w:lang w:val="fr-FR"/>
        </w:rPr>
        <w:t>Des contacts à long terme ont été établis avec des institutions scientifiques et de conservation dans tous les pays concernés par les activités 1−3, ainsi qu’avec des contacts institutionnels dans la plupart des États de l'aire répartition. En ce qui concerne les zones de projet en Asie (activités 4−5), nous avons été en contact avec les institutions des États de l'aire de répartition via diverses activités et projets dans le cadre de travaux de la commission de la sauvegarde des espèces (CSE) de l’Union in</w:t>
      </w:r>
      <w:r w:rsidRPr="000546A6">
        <w:rPr>
          <w:rFonts w:eastAsia="Calibri" w:cs="Arial"/>
          <w:lang w:val="fr-FR"/>
        </w:rPr>
        <w:t>ternationale pour la conservation de la nature (UICN), et plus spécifiquement avec les autorités liées à la Convention sur la conservation des espèces migratrices appartenant à la faune sauvage par le biais de travaux liés à l'Initiative pour les mammifères d’Asie centrale (par exemple, l’élaboration d’une stratégie de conservation pour le léopard persan comme contribution au Programme de travail de l'Initiative pour les mammifères d’Asie centrale). Le groupe d'experts des félins de la Commission de la sauv</w:t>
      </w:r>
      <w:r w:rsidRPr="000546A6">
        <w:rPr>
          <w:rFonts w:eastAsia="Calibri" w:cs="Arial"/>
          <w:lang w:val="fr-FR"/>
        </w:rPr>
        <w:t xml:space="preserve">egarde des espèces (CSE) de l'Union internationale pour la conservation de la nature (UICN) a commencé à établir des contacts avec des institutions scientifiques et des experts dans les États de l'aire de répartition des </w:t>
      </w:r>
      <w:r w:rsidRPr="000546A6">
        <w:rPr>
          <w:rFonts w:eastAsia="Calibri" w:cs="Arial"/>
          <w:i/>
          <w:iCs/>
          <w:lang w:val="fr-FR"/>
        </w:rPr>
        <w:t xml:space="preserve">L. l. </w:t>
      </w:r>
      <w:proofErr w:type="spellStart"/>
      <w:r w:rsidRPr="000546A6">
        <w:rPr>
          <w:rFonts w:eastAsia="Calibri" w:cs="Arial"/>
          <w:i/>
          <w:iCs/>
          <w:lang w:val="fr-FR"/>
        </w:rPr>
        <w:t>isabellinus</w:t>
      </w:r>
      <w:proofErr w:type="spellEnd"/>
      <w:r w:rsidRPr="000546A6">
        <w:rPr>
          <w:rFonts w:eastAsia="Calibri" w:cs="Arial"/>
          <w:i/>
          <w:iCs/>
          <w:lang w:val="fr-FR"/>
        </w:rPr>
        <w:t xml:space="preserve"> </w:t>
      </w:r>
      <w:proofErr w:type="gramStart"/>
      <w:r w:rsidRPr="000546A6">
        <w:rPr>
          <w:rFonts w:eastAsia="Calibri" w:cs="Arial"/>
          <w:lang w:val="fr-FR"/>
        </w:rPr>
        <w:t xml:space="preserve">et  </w:t>
      </w:r>
      <w:r w:rsidRPr="000546A6">
        <w:rPr>
          <w:rFonts w:eastAsia="Calibri" w:cs="Arial"/>
          <w:i/>
          <w:iCs/>
          <w:lang w:val="fr-FR"/>
        </w:rPr>
        <w:t>L.</w:t>
      </w:r>
      <w:proofErr w:type="gramEnd"/>
      <w:r w:rsidRPr="000546A6">
        <w:rPr>
          <w:rFonts w:eastAsia="Calibri" w:cs="Arial"/>
          <w:i/>
          <w:iCs/>
          <w:lang w:val="fr-FR"/>
        </w:rPr>
        <w:t xml:space="preserve"> l. </w:t>
      </w:r>
      <w:proofErr w:type="spellStart"/>
      <w:r w:rsidRPr="000546A6">
        <w:rPr>
          <w:rFonts w:eastAsia="Calibri" w:cs="Arial"/>
          <w:i/>
          <w:iCs/>
          <w:lang w:val="fr-FR"/>
        </w:rPr>
        <w:t>dinniki</w:t>
      </w:r>
      <w:proofErr w:type="spellEnd"/>
      <w:r w:rsidRPr="000546A6">
        <w:rPr>
          <w:rFonts w:eastAsia="Calibri" w:cs="Arial"/>
          <w:lang w:val="fr-FR"/>
        </w:rPr>
        <w:t>.</w:t>
      </w:r>
    </w:p>
    <w:p w14:paraId="6E3514B0" w14:textId="77777777" w:rsidR="006300B6" w:rsidRPr="000546A6" w:rsidRDefault="006300B6">
      <w:pPr>
        <w:autoSpaceDN w:val="0"/>
        <w:spacing w:line="240" w:lineRule="auto"/>
        <w:textAlignment w:val="baseline"/>
        <w:rPr>
          <w:rFonts w:eastAsia="Calibri" w:cs="Arial"/>
          <w:lang w:val="fr-FR"/>
        </w:rPr>
        <w:sectPr w:rsidR="006300B6" w:rsidRPr="000546A6">
          <w:headerReference w:type="even" r:id="rId13"/>
          <w:headerReference w:type="default" r:id="rId14"/>
          <w:footerReference w:type="even" r:id="rId15"/>
          <w:footerReference w:type="default" r:id="rId16"/>
          <w:headerReference w:type="first" r:id="rId17"/>
          <w:pgSz w:w="11906" w:h="16838" w:code="9"/>
          <w:pgMar w:top="1440" w:right="1440" w:bottom="1440" w:left="1440" w:header="720" w:footer="720" w:gutter="0"/>
          <w:cols w:space="720"/>
          <w:titlePg/>
          <w:docGrid w:linePitch="360"/>
        </w:sectPr>
      </w:pPr>
    </w:p>
    <w:p w14:paraId="0567892B" w14:textId="77777777" w:rsidR="006300B6" w:rsidRPr="000546A6" w:rsidRDefault="00CC7671" w:rsidP="006A50C7">
      <w:pPr>
        <w:autoSpaceDN w:val="0"/>
        <w:spacing w:after="0" w:line="240" w:lineRule="auto"/>
        <w:ind w:right="-755"/>
        <w:jc w:val="right"/>
        <w:textAlignment w:val="baseline"/>
        <w:rPr>
          <w:rFonts w:eastAsia="Calibri" w:cs="Arial"/>
          <w:b/>
          <w:bCs/>
          <w:lang w:val="fr-FR"/>
        </w:rPr>
      </w:pPr>
      <w:r w:rsidRPr="000546A6">
        <w:rPr>
          <w:rFonts w:eastAsia="Calibri" w:cs="Arial"/>
          <w:b/>
          <w:bCs/>
          <w:lang w:val="fr-FR"/>
        </w:rPr>
        <w:lastRenderedPageBreak/>
        <w:t>ANNEXE</w:t>
      </w:r>
    </w:p>
    <w:p w14:paraId="7005F961" w14:textId="77777777" w:rsidR="006300B6" w:rsidRPr="000546A6" w:rsidRDefault="006300B6" w:rsidP="006A50C7">
      <w:pPr>
        <w:autoSpaceDN w:val="0"/>
        <w:spacing w:after="0" w:line="240" w:lineRule="auto"/>
        <w:ind w:right="-755"/>
        <w:jc w:val="right"/>
        <w:textAlignment w:val="baseline"/>
        <w:rPr>
          <w:rFonts w:eastAsia="Calibri" w:cs="Arial"/>
          <w:b/>
          <w:bCs/>
          <w:lang w:val="fr-FR"/>
        </w:rPr>
      </w:pPr>
    </w:p>
    <w:p w14:paraId="303CF85F" w14:textId="77777777" w:rsidR="006300B6" w:rsidRPr="000546A6" w:rsidRDefault="006300B6" w:rsidP="006A50C7">
      <w:pPr>
        <w:autoSpaceDN w:val="0"/>
        <w:spacing w:after="0" w:line="240" w:lineRule="auto"/>
        <w:ind w:right="-755"/>
        <w:jc w:val="right"/>
        <w:textAlignment w:val="baseline"/>
        <w:rPr>
          <w:rFonts w:eastAsia="Calibri" w:cs="Arial"/>
          <w:b/>
          <w:bCs/>
          <w:lang w:val="fr-FR"/>
        </w:rPr>
      </w:pPr>
    </w:p>
    <w:p w14:paraId="3CF6FDD5" w14:textId="77777777" w:rsidR="006A50C7" w:rsidRDefault="00CC7671" w:rsidP="006A50C7">
      <w:pPr>
        <w:autoSpaceDN w:val="0"/>
        <w:spacing w:after="0" w:line="240" w:lineRule="auto"/>
        <w:ind w:right="-754"/>
        <w:jc w:val="center"/>
        <w:textAlignment w:val="baseline"/>
        <w:rPr>
          <w:rFonts w:eastAsia="Calibri" w:cs="Arial"/>
          <w:b/>
          <w:bCs/>
          <w:lang w:val="fr-FR"/>
        </w:rPr>
      </w:pPr>
      <w:r w:rsidRPr="000546A6">
        <w:rPr>
          <w:rFonts w:eastAsia="Calibri" w:cs="Arial"/>
          <w:b/>
          <w:bCs/>
          <w:lang w:val="fr-FR"/>
        </w:rPr>
        <w:t xml:space="preserve">CADRE LOGIQUE POUR LA PROLONGATION PROPOSÉE DES ACTIVITÉS DANS LE CADRE DE L’ACTION CONCERTÉE DE LA CONVENTION SUR LA CONSERVATION DES ESPÈCES MIGRATRICES APPARTENANT À LA FAUNE SAUVAGE POUR LE LYNX COMMUN </w:t>
      </w:r>
    </w:p>
    <w:p w14:paraId="2E113159" w14:textId="721F7C78" w:rsidR="006300B6" w:rsidRPr="000546A6" w:rsidRDefault="00CC7671" w:rsidP="006A50C7">
      <w:pPr>
        <w:autoSpaceDN w:val="0"/>
        <w:spacing w:line="240" w:lineRule="auto"/>
        <w:ind w:right="-755"/>
        <w:jc w:val="center"/>
        <w:textAlignment w:val="baseline"/>
        <w:rPr>
          <w:rFonts w:eastAsia="Calibri" w:cs="Arial"/>
          <w:b/>
          <w:bCs/>
          <w:i/>
          <w:iCs/>
          <w:lang w:val="fr-FR"/>
        </w:rPr>
      </w:pPr>
      <w:r w:rsidRPr="000546A6">
        <w:rPr>
          <w:rFonts w:eastAsia="Calibri" w:cs="Arial"/>
          <w:b/>
          <w:bCs/>
          <w:lang w:val="fr-FR"/>
        </w:rPr>
        <w:t>(</w:t>
      </w:r>
      <w:r w:rsidRPr="000546A6">
        <w:rPr>
          <w:rFonts w:eastAsia="Calibri" w:cs="Arial"/>
          <w:b/>
          <w:bCs/>
          <w:i/>
          <w:iCs/>
          <w:lang w:val="fr-FR"/>
        </w:rPr>
        <w:t xml:space="preserve">Lynx </w:t>
      </w:r>
      <w:proofErr w:type="spellStart"/>
      <w:r w:rsidRPr="000546A6">
        <w:rPr>
          <w:rFonts w:eastAsia="Calibri" w:cs="Arial"/>
          <w:b/>
          <w:bCs/>
          <w:i/>
          <w:iCs/>
          <w:lang w:val="fr-FR"/>
        </w:rPr>
        <w:t>lynx</w:t>
      </w:r>
      <w:proofErr w:type="spellEnd"/>
      <w:r w:rsidRPr="000546A6">
        <w:rPr>
          <w:rFonts w:eastAsia="Calibri" w:cs="Arial"/>
          <w:b/>
          <w:bCs/>
          <w:i/>
          <w:iCs/>
          <w:lang w:val="fr-FR"/>
        </w:rPr>
        <w:t>)</w:t>
      </w:r>
    </w:p>
    <w:tbl>
      <w:tblPr>
        <w:tblStyle w:val="TableGrid1"/>
        <w:tblW w:w="5593" w:type="pct"/>
        <w:tblInd w:w="-284" w:type="dxa"/>
        <w:tblLook w:val="04A0" w:firstRow="1" w:lastRow="0" w:firstColumn="1" w:lastColumn="0" w:noHBand="0" w:noVBand="1"/>
      </w:tblPr>
      <w:tblGrid>
        <w:gridCol w:w="4158"/>
        <w:gridCol w:w="1512"/>
        <w:gridCol w:w="1030"/>
        <w:gridCol w:w="1621"/>
        <w:gridCol w:w="1775"/>
      </w:tblGrid>
      <w:tr w:rsidR="006300B6" w:rsidRPr="000546A6" w14:paraId="2929B537" w14:textId="77777777" w:rsidTr="004713A6">
        <w:tc>
          <w:tcPr>
            <w:tcW w:w="2059" w:type="pct"/>
            <w:shd w:val="clear" w:color="auto" w:fill="BFBFBF"/>
          </w:tcPr>
          <w:p w14:paraId="649EFF31" w14:textId="77777777" w:rsidR="006300B6" w:rsidRPr="000546A6" w:rsidRDefault="00CC7671">
            <w:pPr>
              <w:rPr>
                <w:rFonts w:ascii="Arial" w:hAnsi="Arial" w:cs="Arial"/>
                <w:b/>
                <w:bCs/>
                <w:sz w:val="20"/>
                <w:szCs w:val="20"/>
                <w:lang w:val="fr-FR"/>
              </w:rPr>
            </w:pPr>
            <w:bookmarkStart w:id="4" w:name="_Hlk212625266"/>
            <w:r w:rsidRPr="000546A6">
              <w:rPr>
                <w:rFonts w:ascii="Arial" w:hAnsi="Arial" w:cs="Arial"/>
                <w:b/>
                <w:bCs/>
                <w:sz w:val="20"/>
                <w:szCs w:val="20"/>
                <w:lang w:val="fr-FR"/>
              </w:rPr>
              <w:t>Objectif/Résultat/Activité (A)</w:t>
            </w:r>
          </w:p>
        </w:tc>
        <w:tc>
          <w:tcPr>
            <w:tcW w:w="749" w:type="pct"/>
            <w:shd w:val="clear" w:color="auto" w:fill="BFBFBF"/>
          </w:tcPr>
          <w:p w14:paraId="42B0EF2A" w14:textId="77777777" w:rsidR="006300B6" w:rsidRPr="000546A6" w:rsidRDefault="00CC7671">
            <w:pPr>
              <w:rPr>
                <w:rFonts w:ascii="Arial" w:hAnsi="Arial" w:cs="Arial"/>
                <w:b/>
                <w:bCs/>
                <w:sz w:val="20"/>
                <w:szCs w:val="20"/>
                <w:lang w:val="fr-FR"/>
              </w:rPr>
            </w:pPr>
            <w:r w:rsidRPr="000546A6">
              <w:rPr>
                <w:rFonts w:ascii="Arial" w:hAnsi="Arial" w:cs="Arial"/>
                <w:b/>
                <w:bCs/>
                <w:sz w:val="20"/>
                <w:szCs w:val="20"/>
                <w:lang w:val="fr-FR"/>
              </w:rPr>
              <w:t>Indicateur</w:t>
            </w:r>
          </w:p>
        </w:tc>
        <w:tc>
          <w:tcPr>
            <w:tcW w:w="510" w:type="pct"/>
            <w:shd w:val="clear" w:color="auto" w:fill="BFBFBF"/>
          </w:tcPr>
          <w:p w14:paraId="18D3FB79" w14:textId="77777777" w:rsidR="006300B6" w:rsidRPr="000546A6" w:rsidRDefault="00CC7671">
            <w:pPr>
              <w:rPr>
                <w:rFonts w:ascii="Arial" w:hAnsi="Arial" w:cs="Arial"/>
                <w:b/>
                <w:bCs/>
                <w:sz w:val="20"/>
                <w:szCs w:val="20"/>
                <w:lang w:val="fr-FR"/>
              </w:rPr>
            </w:pPr>
            <w:r w:rsidRPr="000546A6">
              <w:rPr>
                <w:rFonts w:ascii="Arial" w:hAnsi="Arial" w:cs="Arial"/>
                <w:b/>
                <w:bCs/>
                <w:sz w:val="20"/>
                <w:szCs w:val="20"/>
                <w:lang w:val="fr-FR"/>
              </w:rPr>
              <w:t>Délai</w:t>
            </w:r>
          </w:p>
        </w:tc>
        <w:tc>
          <w:tcPr>
            <w:tcW w:w="803" w:type="pct"/>
            <w:shd w:val="clear" w:color="auto" w:fill="BFBFBF"/>
          </w:tcPr>
          <w:p w14:paraId="176302F0" w14:textId="77777777" w:rsidR="006300B6" w:rsidRPr="000546A6" w:rsidRDefault="00CC7671">
            <w:pPr>
              <w:rPr>
                <w:rFonts w:ascii="Arial" w:hAnsi="Arial" w:cs="Arial"/>
                <w:b/>
                <w:bCs/>
                <w:sz w:val="20"/>
                <w:szCs w:val="20"/>
                <w:lang w:val="fr-FR"/>
              </w:rPr>
            </w:pPr>
            <w:r w:rsidRPr="000546A6">
              <w:rPr>
                <w:rFonts w:ascii="Arial" w:hAnsi="Arial" w:cs="Arial"/>
                <w:b/>
                <w:bCs/>
                <w:sz w:val="20"/>
                <w:szCs w:val="20"/>
                <w:lang w:val="fr-FR"/>
              </w:rPr>
              <w:t>Acteur</w:t>
            </w:r>
          </w:p>
        </w:tc>
        <w:tc>
          <w:tcPr>
            <w:tcW w:w="879" w:type="pct"/>
            <w:shd w:val="clear" w:color="auto" w:fill="BFBFBF"/>
          </w:tcPr>
          <w:p w14:paraId="4C746A95" w14:textId="77777777" w:rsidR="006300B6" w:rsidRPr="000546A6" w:rsidRDefault="00CC7671">
            <w:pPr>
              <w:rPr>
                <w:rFonts w:ascii="Arial" w:hAnsi="Arial" w:cs="Arial"/>
                <w:b/>
                <w:bCs/>
                <w:sz w:val="20"/>
                <w:szCs w:val="20"/>
                <w:lang w:val="fr-FR"/>
              </w:rPr>
            </w:pPr>
            <w:r w:rsidRPr="000546A6">
              <w:rPr>
                <w:rFonts w:ascii="Arial" w:hAnsi="Arial" w:cs="Arial"/>
                <w:b/>
                <w:bCs/>
                <w:sz w:val="20"/>
                <w:szCs w:val="20"/>
                <w:lang w:val="fr-FR"/>
              </w:rPr>
              <w:t>Financement</w:t>
            </w:r>
          </w:p>
        </w:tc>
      </w:tr>
      <w:tr w:rsidR="006300B6" w:rsidRPr="006906AC" w14:paraId="37C2C2F1" w14:textId="77777777" w:rsidTr="004713A6">
        <w:tc>
          <w:tcPr>
            <w:tcW w:w="5000" w:type="pct"/>
            <w:gridSpan w:val="5"/>
            <w:shd w:val="clear" w:color="auto" w:fill="BDD6EE"/>
          </w:tcPr>
          <w:p w14:paraId="4019C5B7" w14:textId="77777777" w:rsidR="006300B6" w:rsidRPr="000546A6" w:rsidRDefault="00CC7671">
            <w:pPr>
              <w:rPr>
                <w:rFonts w:ascii="Arial" w:hAnsi="Arial" w:cs="Arial"/>
                <w:b/>
                <w:bCs/>
                <w:sz w:val="20"/>
                <w:szCs w:val="20"/>
                <w:lang w:val="fr-FR"/>
              </w:rPr>
            </w:pPr>
            <w:r w:rsidRPr="000546A6">
              <w:rPr>
                <w:rFonts w:ascii="Arial" w:hAnsi="Arial" w:cs="Arial"/>
                <w:b/>
                <w:bCs/>
                <w:sz w:val="20"/>
                <w:szCs w:val="20"/>
                <w:lang w:val="fr-FR"/>
              </w:rPr>
              <w:t>Objectif 1 : Élaborer des concepts et recommandations guidant la coopération transfrontalière pour la conservation et le rétablissement du lynx des Balkans (</w:t>
            </w:r>
            <w:r w:rsidRPr="000546A6">
              <w:rPr>
                <w:rFonts w:ascii="Arial" w:hAnsi="Arial" w:cs="Arial"/>
                <w:b/>
                <w:bCs/>
                <w:i/>
                <w:iCs/>
                <w:sz w:val="20"/>
                <w:szCs w:val="20"/>
                <w:lang w:val="fr-FR"/>
              </w:rPr>
              <w:t xml:space="preserve">Lynx </w:t>
            </w:r>
            <w:proofErr w:type="spellStart"/>
            <w:r w:rsidRPr="000546A6">
              <w:rPr>
                <w:rFonts w:ascii="Arial" w:hAnsi="Arial" w:cs="Arial"/>
                <w:b/>
                <w:bCs/>
                <w:i/>
                <w:iCs/>
                <w:sz w:val="20"/>
                <w:szCs w:val="20"/>
                <w:lang w:val="fr-FR"/>
              </w:rPr>
              <w:t>lynx</w:t>
            </w:r>
            <w:proofErr w:type="spellEnd"/>
            <w:r w:rsidRPr="000546A6">
              <w:rPr>
                <w:rFonts w:ascii="Arial" w:hAnsi="Arial" w:cs="Arial"/>
                <w:b/>
                <w:bCs/>
                <w:i/>
                <w:iCs/>
                <w:sz w:val="20"/>
                <w:szCs w:val="20"/>
                <w:lang w:val="fr-FR"/>
              </w:rPr>
              <w:t xml:space="preserve"> </w:t>
            </w:r>
            <w:proofErr w:type="spellStart"/>
            <w:r w:rsidRPr="000546A6">
              <w:rPr>
                <w:rFonts w:ascii="Arial" w:hAnsi="Arial" w:cs="Arial"/>
                <w:b/>
                <w:bCs/>
                <w:i/>
                <w:iCs/>
                <w:sz w:val="20"/>
                <w:szCs w:val="20"/>
                <w:lang w:val="fr-FR"/>
              </w:rPr>
              <w:t>balcanicus</w:t>
            </w:r>
            <w:proofErr w:type="spellEnd"/>
            <w:r w:rsidRPr="000546A6">
              <w:rPr>
                <w:rFonts w:ascii="Arial" w:hAnsi="Arial" w:cs="Arial"/>
                <w:b/>
                <w:bCs/>
                <w:sz w:val="20"/>
                <w:szCs w:val="20"/>
                <w:lang w:val="fr-FR"/>
              </w:rPr>
              <w:t>) et du lynx des Carpates (L</w:t>
            </w:r>
            <w:r w:rsidRPr="000546A6">
              <w:rPr>
                <w:rFonts w:ascii="Arial" w:hAnsi="Arial" w:cs="Arial"/>
                <w:b/>
                <w:bCs/>
                <w:i/>
                <w:iCs/>
                <w:sz w:val="20"/>
                <w:szCs w:val="20"/>
                <w:lang w:val="fr-FR"/>
              </w:rPr>
              <w:t xml:space="preserve">ynx </w:t>
            </w:r>
            <w:proofErr w:type="spellStart"/>
            <w:r w:rsidRPr="000546A6">
              <w:rPr>
                <w:rFonts w:ascii="Arial" w:hAnsi="Arial" w:cs="Arial"/>
                <w:b/>
                <w:bCs/>
                <w:i/>
                <w:iCs/>
                <w:sz w:val="20"/>
                <w:szCs w:val="20"/>
                <w:lang w:val="fr-FR"/>
              </w:rPr>
              <w:t>lynx</w:t>
            </w:r>
            <w:proofErr w:type="spellEnd"/>
            <w:r w:rsidRPr="000546A6">
              <w:rPr>
                <w:rFonts w:ascii="Arial" w:hAnsi="Arial" w:cs="Arial"/>
                <w:b/>
                <w:bCs/>
                <w:i/>
                <w:iCs/>
                <w:sz w:val="20"/>
                <w:szCs w:val="20"/>
                <w:lang w:val="fr-FR"/>
              </w:rPr>
              <w:t xml:space="preserve"> </w:t>
            </w:r>
            <w:proofErr w:type="spellStart"/>
            <w:r w:rsidRPr="000546A6">
              <w:rPr>
                <w:rFonts w:ascii="Arial" w:hAnsi="Arial" w:cs="Arial"/>
                <w:b/>
                <w:bCs/>
                <w:i/>
                <w:iCs/>
                <w:sz w:val="20"/>
                <w:szCs w:val="20"/>
                <w:lang w:val="fr-FR"/>
              </w:rPr>
              <w:t>carpathicus</w:t>
            </w:r>
            <w:proofErr w:type="spellEnd"/>
            <w:r w:rsidRPr="000546A6">
              <w:rPr>
                <w:rFonts w:ascii="Arial" w:hAnsi="Arial" w:cs="Arial"/>
                <w:b/>
                <w:bCs/>
                <w:sz w:val="20"/>
                <w:szCs w:val="20"/>
                <w:lang w:val="fr-FR"/>
              </w:rPr>
              <w:t>) en Europe</w:t>
            </w:r>
          </w:p>
        </w:tc>
      </w:tr>
      <w:tr w:rsidR="006300B6" w:rsidRPr="006906AC" w14:paraId="0C24A400" w14:textId="77777777" w:rsidTr="004713A6">
        <w:tc>
          <w:tcPr>
            <w:tcW w:w="5000" w:type="pct"/>
            <w:gridSpan w:val="5"/>
            <w:shd w:val="clear" w:color="auto" w:fill="C5E0B3"/>
          </w:tcPr>
          <w:p w14:paraId="45BD59A3" w14:textId="77777777" w:rsidR="006300B6" w:rsidRPr="000546A6" w:rsidRDefault="00CC7671">
            <w:pPr>
              <w:rPr>
                <w:rFonts w:ascii="Arial" w:hAnsi="Arial" w:cs="Arial"/>
                <w:sz w:val="20"/>
                <w:szCs w:val="20"/>
                <w:lang w:val="fr-FR"/>
              </w:rPr>
            </w:pPr>
            <w:r w:rsidRPr="000546A6">
              <w:rPr>
                <w:rFonts w:ascii="Arial" w:hAnsi="Arial" w:cs="Arial"/>
                <w:sz w:val="20"/>
                <w:szCs w:val="20"/>
                <w:lang w:val="fr-FR"/>
              </w:rPr>
              <w:t>Résultat 1.1 : Élaborer, approuver et mettre en œuvre un plan d'action de conservation géographiquement explicite (une stratégie) pour la conservation et le rétablissement du lynx des Balkans dans l'ensemble de son aire de répartition, en coopération avec les États de l'aire de répartition actuels et historiques, dans le cadre des conventions internationales</w:t>
            </w:r>
          </w:p>
        </w:tc>
      </w:tr>
      <w:tr w:rsidR="006300B6" w:rsidRPr="006906AC" w14:paraId="4F5B8630" w14:textId="77777777" w:rsidTr="004713A6">
        <w:tc>
          <w:tcPr>
            <w:tcW w:w="2059" w:type="pct"/>
          </w:tcPr>
          <w:p w14:paraId="74B4490C" w14:textId="77777777" w:rsidR="006300B6" w:rsidRPr="000546A6" w:rsidRDefault="00CC7671">
            <w:pPr>
              <w:rPr>
                <w:rFonts w:ascii="Arial" w:hAnsi="Arial" w:cs="Arial"/>
                <w:sz w:val="20"/>
                <w:szCs w:val="20"/>
                <w:lang w:val="fr-FR"/>
              </w:rPr>
            </w:pPr>
            <w:r w:rsidRPr="000546A6">
              <w:rPr>
                <w:rFonts w:ascii="Arial" w:hAnsi="Arial" w:cs="Arial"/>
                <w:sz w:val="20"/>
                <w:szCs w:val="20"/>
                <w:lang w:val="fr-FR"/>
              </w:rPr>
              <w:t>A.1.1.1 : Produire un rapport sur l'état de conservation du lynx des Balkans</w:t>
            </w:r>
          </w:p>
        </w:tc>
        <w:tc>
          <w:tcPr>
            <w:tcW w:w="749" w:type="pct"/>
          </w:tcPr>
          <w:p w14:paraId="43634247" w14:textId="77777777" w:rsidR="006300B6" w:rsidRPr="000546A6" w:rsidRDefault="00CC7671">
            <w:pPr>
              <w:rPr>
                <w:rFonts w:ascii="Arial" w:hAnsi="Arial" w:cs="Arial"/>
                <w:sz w:val="20"/>
                <w:szCs w:val="20"/>
                <w:lang w:val="fr-FR"/>
              </w:rPr>
            </w:pPr>
            <w:r w:rsidRPr="000546A6">
              <w:rPr>
                <w:rFonts w:ascii="Arial" w:hAnsi="Arial" w:cs="Arial"/>
                <w:sz w:val="20"/>
                <w:szCs w:val="20"/>
                <w:lang w:val="fr-FR"/>
              </w:rPr>
              <w:t>Rapport produit et distribué</w:t>
            </w:r>
          </w:p>
        </w:tc>
        <w:tc>
          <w:tcPr>
            <w:tcW w:w="510" w:type="pct"/>
          </w:tcPr>
          <w:p w14:paraId="51F26D71" w14:textId="77777777" w:rsidR="006300B6" w:rsidRPr="000546A6" w:rsidRDefault="00CC7671">
            <w:pPr>
              <w:rPr>
                <w:rFonts w:ascii="Arial" w:hAnsi="Arial" w:cs="Arial"/>
                <w:sz w:val="20"/>
                <w:szCs w:val="20"/>
                <w:lang w:val="fr-FR"/>
              </w:rPr>
            </w:pPr>
            <w:r w:rsidRPr="000546A6">
              <w:rPr>
                <w:rFonts w:ascii="Arial" w:hAnsi="Arial" w:cs="Arial"/>
                <w:sz w:val="20"/>
                <w:szCs w:val="20"/>
                <w:lang w:val="fr-FR"/>
              </w:rPr>
              <w:t>Fin mars 2024</w:t>
            </w:r>
          </w:p>
        </w:tc>
        <w:tc>
          <w:tcPr>
            <w:tcW w:w="803" w:type="pct"/>
          </w:tcPr>
          <w:p w14:paraId="5C5D651C" w14:textId="77777777" w:rsidR="006300B6" w:rsidRPr="000546A6" w:rsidRDefault="00CC7671">
            <w:pPr>
              <w:rPr>
                <w:rFonts w:ascii="Arial" w:hAnsi="Arial" w:cs="Arial"/>
                <w:sz w:val="20"/>
                <w:szCs w:val="20"/>
              </w:rPr>
            </w:pPr>
            <w:r w:rsidRPr="000546A6">
              <w:rPr>
                <w:rFonts w:ascii="Arial" w:hAnsi="Arial" w:cs="Arial"/>
                <w:sz w:val="20"/>
                <w:szCs w:val="20"/>
              </w:rPr>
              <w:t>BLRP6</w:t>
            </w:r>
          </w:p>
        </w:tc>
        <w:tc>
          <w:tcPr>
            <w:tcW w:w="879" w:type="pct"/>
          </w:tcPr>
          <w:p w14:paraId="05FCD3F1" w14:textId="77777777" w:rsidR="006300B6" w:rsidRPr="000546A6" w:rsidRDefault="00CC7671">
            <w:pPr>
              <w:rPr>
                <w:rFonts w:ascii="Arial" w:hAnsi="Arial" w:cs="Arial"/>
                <w:sz w:val="20"/>
                <w:szCs w:val="20"/>
                <w:lang w:val="fr-FR"/>
              </w:rPr>
            </w:pPr>
            <w:r w:rsidRPr="000546A6">
              <w:rPr>
                <w:rFonts w:ascii="Arial" w:hAnsi="Arial" w:cs="Arial"/>
                <w:sz w:val="20"/>
                <w:szCs w:val="20"/>
                <w:lang w:val="fr-FR"/>
              </w:rPr>
              <w:t>Programme BLRP de rétablissement du lynx des Balkans</w:t>
            </w:r>
          </w:p>
        </w:tc>
      </w:tr>
      <w:tr w:rsidR="006300B6" w:rsidRPr="000546A6" w14:paraId="0B3C4E20" w14:textId="77777777" w:rsidTr="004713A6">
        <w:tc>
          <w:tcPr>
            <w:tcW w:w="2059" w:type="pct"/>
          </w:tcPr>
          <w:p w14:paraId="0537BDC7" w14:textId="77777777" w:rsidR="006300B6" w:rsidRPr="000546A6" w:rsidRDefault="00CC7671">
            <w:pPr>
              <w:rPr>
                <w:rFonts w:ascii="Arial" w:hAnsi="Arial" w:cs="Arial"/>
                <w:sz w:val="20"/>
                <w:szCs w:val="20"/>
                <w:lang w:val="fr-FR"/>
              </w:rPr>
            </w:pPr>
            <w:r w:rsidRPr="000546A6">
              <w:rPr>
                <w:rFonts w:ascii="Arial" w:hAnsi="Arial" w:cs="Arial"/>
                <w:sz w:val="20"/>
                <w:szCs w:val="20"/>
                <w:lang w:val="fr-FR"/>
              </w:rPr>
              <w:t>1.1.2 : Convenir avec les États de l'aire de répartition de l'élaboration d'une stratégie de conservation dans le cadre de conventions internationales telles que la Convention des Carpates, la Convention de Berne et la Convention sur la conservation des espèces migratrices appartenant à la faune sauvage (Convention de Bonn), avec le soutien de l'Union internationale pour la conservation de la nature (UICN) et du Secrétariat de la Convention des Carpates.</w:t>
            </w:r>
          </w:p>
        </w:tc>
        <w:tc>
          <w:tcPr>
            <w:tcW w:w="749" w:type="pct"/>
          </w:tcPr>
          <w:p w14:paraId="467822B5" w14:textId="77777777" w:rsidR="006300B6" w:rsidRPr="000546A6" w:rsidRDefault="00CC7671">
            <w:pPr>
              <w:rPr>
                <w:rFonts w:ascii="Arial" w:hAnsi="Arial" w:cs="Arial"/>
                <w:sz w:val="20"/>
                <w:szCs w:val="20"/>
                <w:lang w:val="fr-FR"/>
              </w:rPr>
            </w:pPr>
            <w:r w:rsidRPr="000546A6">
              <w:rPr>
                <w:rFonts w:ascii="Arial" w:hAnsi="Arial" w:cs="Arial"/>
                <w:sz w:val="20"/>
                <w:szCs w:val="20"/>
                <w:lang w:val="fr-FR"/>
              </w:rPr>
              <w:t>Consensus sur l'approche à adopter avec les États de l'aire de répartition</w:t>
            </w:r>
          </w:p>
        </w:tc>
        <w:tc>
          <w:tcPr>
            <w:tcW w:w="510" w:type="pct"/>
          </w:tcPr>
          <w:p w14:paraId="09D84210" w14:textId="77777777" w:rsidR="006300B6" w:rsidRPr="000546A6" w:rsidRDefault="00CC7671">
            <w:pPr>
              <w:rPr>
                <w:rFonts w:ascii="Arial" w:hAnsi="Arial" w:cs="Arial"/>
                <w:sz w:val="20"/>
                <w:szCs w:val="20"/>
                <w:lang w:val="fr-FR"/>
              </w:rPr>
            </w:pPr>
            <w:r w:rsidRPr="000546A6">
              <w:rPr>
                <w:rFonts w:ascii="Arial" w:hAnsi="Arial" w:cs="Arial"/>
                <w:sz w:val="20"/>
                <w:szCs w:val="20"/>
                <w:lang w:val="fr-FR"/>
              </w:rPr>
              <w:t>Printemps 2025</w:t>
            </w:r>
          </w:p>
        </w:tc>
        <w:tc>
          <w:tcPr>
            <w:tcW w:w="803" w:type="pct"/>
          </w:tcPr>
          <w:p w14:paraId="486B1E27" w14:textId="77777777" w:rsidR="006300B6" w:rsidRPr="000546A6" w:rsidRDefault="00CC7671">
            <w:pPr>
              <w:rPr>
                <w:rFonts w:ascii="Arial" w:hAnsi="Arial" w:cs="Arial"/>
                <w:sz w:val="20"/>
                <w:szCs w:val="20"/>
                <w:lang w:val="fr-FR"/>
              </w:rPr>
            </w:pPr>
            <w:r w:rsidRPr="000546A6">
              <w:rPr>
                <w:rFonts w:ascii="Arial" w:hAnsi="Arial" w:cs="Arial"/>
                <w:sz w:val="20"/>
                <w:szCs w:val="20"/>
                <w:lang w:val="fr-FR"/>
              </w:rPr>
              <w:t>États de l'aire de répartition, Conventions, Programme BLRP de rétablissement du lynx des Balkans, Union internationale pour la conservation de la nature (UICN), Programme des Nations Unies pour l'environnement (PNUE)/SCC</w:t>
            </w:r>
          </w:p>
        </w:tc>
        <w:tc>
          <w:tcPr>
            <w:tcW w:w="879" w:type="pct"/>
          </w:tcPr>
          <w:p w14:paraId="50709CCD" w14:textId="77777777" w:rsidR="006300B6" w:rsidRPr="000546A6" w:rsidRDefault="00CC7671">
            <w:pPr>
              <w:rPr>
                <w:rFonts w:ascii="Arial" w:hAnsi="Arial" w:cs="Arial"/>
                <w:sz w:val="20"/>
                <w:szCs w:val="20"/>
                <w:lang w:val="fr-FR"/>
              </w:rPr>
            </w:pPr>
            <w:r w:rsidRPr="000546A6">
              <w:rPr>
                <w:rFonts w:ascii="Arial" w:hAnsi="Arial" w:cs="Arial"/>
                <w:sz w:val="20"/>
                <w:szCs w:val="20"/>
                <w:lang w:val="fr-FR"/>
              </w:rPr>
              <w:t>s. o.</w:t>
            </w:r>
          </w:p>
        </w:tc>
      </w:tr>
      <w:tr w:rsidR="006300B6" w:rsidRPr="000546A6" w14:paraId="0F973466" w14:textId="77777777" w:rsidTr="004713A6">
        <w:tc>
          <w:tcPr>
            <w:tcW w:w="2059" w:type="pct"/>
          </w:tcPr>
          <w:p w14:paraId="238DD973" w14:textId="77777777" w:rsidR="006300B6" w:rsidRPr="000546A6" w:rsidRDefault="00CC7671">
            <w:pPr>
              <w:rPr>
                <w:rFonts w:ascii="Arial" w:hAnsi="Arial" w:cs="Arial"/>
                <w:sz w:val="20"/>
                <w:szCs w:val="20"/>
                <w:lang w:val="fr-FR"/>
              </w:rPr>
            </w:pPr>
            <w:r w:rsidRPr="000546A6">
              <w:rPr>
                <w:rFonts w:ascii="Arial" w:hAnsi="Arial" w:cs="Arial"/>
                <w:sz w:val="20"/>
                <w:szCs w:val="20"/>
                <w:lang w:val="fr-FR"/>
              </w:rPr>
              <w:t>A 1.1.3 : Organiser et réaliser des ateliers participatifs pour l'élaboration de la stratégie de conservation</w:t>
            </w:r>
          </w:p>
        </w:tc>
        <w:tc>
          <w:tcPr>
            <w:tcW w:w="749" w:type="pct"/>
          </w:tcPr>
          <w:p w14:paraId="13DBD09F" w14:textId="77777777" w:rsidR="006300B6" w:rsidRPr="000546A6" w:rsidRDefault="00CC7671">
            <w:pPr>
              <w:rPr>
                <w:rFonts w:ascii="Arial" w:hAnsi="Arial" w:cs="Arial"/>
                <w:sz w:val="20"/>
                <w:szCs w:val="20"/>
                <w:lang w:val="fr-FR"/>
              </w:rPr>
            </w:pPr>
            <w:r w:rsidRPr="000546A6">
              <w:rPr>
                <w:rFonts w:ascii="Arial" w:hAnsi="Arial" w:cs="Arial"/>
                <w:sz w:val="20"/>
                <w:szCs w:val="20"/>
                <w:lang w:val="fr-FR"/>
              </w:rPr>
              <w:t>Lieu, participants et approche approuvés</w:t>
            </w:r>
          </w:p>
        </w:tc>
        <w:tc>
          <w:tcPr>
            <w:tcW w:w="510" w:type="pct"/>
          </w:tcPr>
          <w:p w14:paraId="72DF0DF2" w14:textId="77777777" w:rsidR="006300B6" w:rsidRPr="000546A6" w:rsidRDefault="00CC7671">
            <w:pPr>
              <w:rPr>
                <w:rFonts w:ascii="Arial" w:hAnsi="Arial" w:cs="Arial"/>
                <w:sz w:val="20"/>
                <w:szCs w:val="20"/>
                <w:lang w:val="fr-FR"/>
              </w:rPr>
            </w:pPr>
            <w:r w:rsidRPr="000546A6">
              <w:rPr>
                <w:rFonts w:ascii="Arial" w:hAnsi="Arial" w:cs="Arial"/>
                <w:sz w:val="20"/>
                <w:szCs w:val="20"/>
                <w:lang w:val="fr-FR"/>
              </w:rPr>
              <w:t>Printemps-été 2025</w:t>
            </w:r>
          </w:p>
        </w:tc>
        <w:tc>
          <w:tcPr>
            <w:tcW w:w="803" w:type="pct"/>
          </w:tcPr>
          <w:p w14:paraId="7226E0DE" w14:textId="77777777" w:rsidR="006300B6" w:rsidRPr="000546A6" w:rsidRDefault="00CC7671">
            <w:pPr>
              <w:rPr>
                <w:rFonts w:ascii="Arial" w:hAnsi="Arial" w:cs="Arial"/>
                <w:sz w:val="20"/>
                <w:szCs w:val="20"/>
                <w:lang w:val="fr-FR"/>
              </w:rPr>
            </w:pPr>
            <w:r w:rsidRPr="000546A6">
              <w:rPr>
                <w:rFonts w:ascii="Arial" w:hAnsi="Arial" w:cs="Arial"/>
                <w:sz w:val="20"/>
                <w:szCs w:val="20"/>
                <w:lang w:val="fr-FR"/>
              </w:rPr>
              <w:t>Programme BLRP de rétablissement du lynx des Balkans, Groupe d'experts des félins, États de l'aire de répartition, Programme des Nations Unies pour l'environnement (PNUE)-SCC</w:t>
            </w:r>
          </w:p>
        </w:tc>
        <w:tc>
          <w:tcPr>
            <w:tcW w:w="879" w:type="pct"/>
          </w:tcPr>
          <w:p w14:paraId="588D8A7A" w14:textId="77777777" w:rsidR="006300B6" w:rsidRPr="000546A6" w:rsidRDefault="00CC7671">
            <w:pPr>
              <w:autoSpaceDE w:val="0"/>
              <w:adjustRightInd w:val="0"/>
              <w:rPr>
                <w:rFonts w:ascii="Arial" w:hAnsi="Arial" w:cs="Arial"/>
                <w:color w:val="000000"/>
                <w:sz w:val="20"/>
                <w:szCs w:val="20"/>
                <w:lang w:val="fr-FR"/>
              </w:rPr>
            </w:pPr>
            <w:r w:rsidRPr="000546A6">
              <w:rPr>
                <w:rFonts w:ascii="Arial" w:hAnsi="Arial" w:cs="Arial"/>
                <w:color w:val="000000"/>
                <w:sz w:val="20"/>
                <w:szCs w:val="20"/>
                <w:lang w:val="fr-FR"/>
              </w:rPr>
              <w:t xml:space="preserve">10-20 000 $ </w:t>
            </w:r>
          </w:p>
          <w:p w14:paraId="49063E77" w14:textId="77777777" w:rsidR="006300B6" w:rsidRPr="000546A6" w:rsidRDefault="006300B6">
            <w:pPr>
              <w:rPr>
                <w:rFonts w:ascii="Arial" w:hAnsi="Arial" w:cs="Arial"/>
                <w:sz w:val="20"/>
                <w:szCs w:val="20"/>
                <w:lang w:val="fr-FR"/>
              </w:rPr>
            </w:pPr>
          </w:p>
        </w:tc>
      </w:tr>
      <w:tr w:rsidR="006300B6" w:rsidRPr="000546A6" w14:paraId="122B0194" w14:textId="77777777" w:rsidTr="004713A6">
        <w:tc>
          <w:tcPr>
            <w:tcW w:w="2059" w:type="pct"/>
          </w:tcPr>
          <w:p w14:paraId="36C1E660" w14:textId="77777777" w:rsidR="006300B6" w:rsidRPr="000546A6" w:rsidRDefault="00CC7671">
            <w:pPr>
              <w:rPr>
                <w:rFonts w:ascii="Arial" w:hAnsi="Arial" w:cs="Arial"/>
                <w:sz w:val="20"/>
                <w:szCs w:val="20"/>
                <w:lang w:val="fr-FR"/>
              </w:rPr>
            </w:pPr>
            <w:r w:rsidRPr="000546A6">
              <w:rPr>
                <w:rFonts w:ascii="Arial" w:hAnsi="Arial" w:cs="Arial"/>
                <w:sz w:val="20"/>
                <w:szCs w:val="20"/>
                <w:lang w:val="fr-FR"/>
              </w:rPr>
              <w:t>A 1.1.4 : Rédiger, examiner, réviser et soumettre la stratégie de conservation.</w:t>
            </w:r>
          </w:p>
        </w:tc>
        <w:tc>
          <w:tcPr>
            <w:tcW w:w="749" w:type="pct"/>
          </w:tcPr>
          <w:p w14:paraId="47AFC8FE" w14:textId="77777777" w:rsidR="006300B6" w:rsidRPr="000546A6" w:rsidRDefault="00CC7671">
            <w:pPr>
              <w:rPr>
                <w:rFonts w:ascii="Arial" w:hAnsi="Arial" w:cs="Arial"/>
                <w:sz w:val="20"/>
                <w:szCs w:val="20"/>
                <w:lang w:val="fr-FR"/>
              </w:rPr>
            </w:pPr>
            <w:r w:rsidRPr="000546A6">
              <w:rPr>
                <w:rFonts w:ascii="Arial" w:hAnsi="Arial" w:cs="Arial"/>
                <w:sz w:val="20"/>
                <w:szCs w:val="20"/>
                <w:lang w:val="fr-FR"/>
              </w:rPr>
              <w:t>Stratégie approuvée par les États de l'aire de répartition et conventions</w:t>
            </w:r>
          </w:p>
        </w:tc>
        <w:tc>
          <w:tcPr>
            <w:tcW w:w="510" w:type="pct"/>
          </w:tcPr>
          <w:p w14:paraId="3DBE8321" w14:textId="77777777" w:rsidR="006300B6" w:rsidRPr="000546A6" w:rsidRDefault="00CC7671">
            <w:pPr>
              <w:rPr>
                <w:rFonts w:ascii="Arial" w:hAnsi="Arial" w:cs="Arial"/>
                <w:sz w:val="20"/>
                <w:szCs w:val="20"/>
                <w:lang w:val="fr-FR"/>
              </w:rPr>
            </w:pPr>
            <w:r w:rsidRPr="000546A6">
              <w:rPr>
                <w:rFonts w:ascii="Arial" w:hAnsi="Arial" w:cs="Arial"/>
                <w:sz w:val="20"/>
                <w:szCs w:val="20"/>
                <w:lang w:val="fr-FR"/>
              </w:rPr>
              <w:t>Automne 2025</w:t>
            </w:r>
          </w:p>
        </w:tc>
        <w:tc>
          <w:tcPr>
            <w:tcW w:w="803" w:type="pct"/>
          </w:tcPr>
          <w:p w14:paraId="50B94E12" w14:textId="77777777" w:rsidR="006300B6" w:rsidRPr="000546A6" w:rsidRDefault="00CC7671">
            <w:pPr>
              <w:rPr>
                <w:rFonts w:ascii="Arial" w:hAnsi="Arial" w:cs="Arial"/>
                <w:sz w:val="20"/>
                <w:szCs w:val="20"/>
                <w:lang w:val="fr-FR"/>
              </w:rPr>
            </w:pPr>
            <w:r w:rsidRPr="000546A6">
              <w:rPr>
                <w:rFonts w:ascii="Arial" w:hAnsi="Arial" w:cs="Arial"/>
                <w:sz w:val="20"/>
                <w:szCs w:val="20"/>
                <w:lang w:val="fr-FR"/>
              </w:rPr>
              <w:t>Programme BLRP de rétablissement du lynx des Balkans, Groupe d'experts des félins, États de l'aire de répartition, Conventions</w:t>
            </w:r>
          </w:p>
        </w:tc>
        <w:tc>
          <w:tcPr>
            <w:tcW w:w="879" w:type="pct"/>
          </w:tcPr>
          <w:p w14:paraId="6FF4F482" w14:textId="77777777" w:rsidR="006300B6" w:rsidRPr="000546A6" w:rsidRDefault="00CC7671">
            <w:pPr>
              <w:autoSpaceDE w:val="0"/>
              <w:adjustRightInd w:val="0"/>
              <w:rPr>
                <w:rFonts w:ascii="Arial" w:hAnsi="Arial" w:cs="Arial"/>
                <w:color w:val="000000"/>
                <w:sz w:val="20"/>
                <w:szCs w:val="20"/>
                <w:lang w:val="fr-FR"/>
              </w:rPr>
            </w:pPr>
            <w:r w:rsidRPr="000546A6">
              <w:rPr>
                <w:rFonts w:ascii="Arial" w:hAnsi="Arial" w:cs="Arial"/>
                <w:color w:val="000000"/>
                <w:sz w:val="20"/>
                <w:szCs w:val="20"/>
                <w:lang w:val="fr-FR"/>
              </w:rPr>
              <w:t xml:space="preserve">5 000 $ </w:t>
            </w:r>
          </w:p>
          <w:p w14:paraId="2355159E" w14:textId="77777777" w:rsidR="006300B6" w:rsidRPr="000546A6" w:rsidRDefault="006300B6">
            <w:pPr>
              <w:rPr>
                <w:rFonts w:ascii="Arial" w:hAnsi="Arial" w:cs="Arial"/>
                <w:sz w:val="20"/>
                <w:szCs w:val="20"/>
                <w:lang w:val="fr-FR"/>
              </w:rPr>
            </w:pPr>
          </w:p>
        </w:tc>
      </w:tr>
      <w:tr w:rsidR="006300B6" w:rsidRPr="006906AC" w14:paraId="6701BE2F" w14:textId="77777777" w:rsidTr="004713A6">
        <w:tc>
          <w:tcPr>
            <w:tcW w:w="5000" w:type="pct"/>
            <w:gridSpan w:val="5"/>
            <w:shd w:val="clear" w:color="auto" w:fill="C5E0B3"/>
          </w:tcPr>
          <w:p w14:paraId="16E84091" w14:textId="77777777" w:rsidR="006300B6" w:rsidRPr="000546A6" w:rsidRDefault="00CC7671">
            <w:pPr>
              <w:rPr>
                <w:rFonts w:ascii="Arial" w:hAnsi="Arial" w:cs="Arial"/>
                <w:sz w:val="20"/>
                <w:szCs w:val="20"/>
                <w:lang w:val="fr-FR"/>
              </w:rPr>
            </w:pPr>
            <w:r w:rsidRPr="000546A6">
              <w:rPr>
                <w:rFonts w:ascii="Arial" w:hAnsi="Arial" w:cs="Arial"/>
                <w:sz w:val="20"/>
                <w:szCs w:val="20"/>
                <w:lang w:val="fr-FR"/>
              </w:rPr>
              <w:lastRenderedPageBreak/>
              <w:t>Résultat 1.2 : Élaborer, approuver et mettre en œuvre une stratégie pour la conservation de la population autochtone de lynx des Carpates en Europe, en étroite collaboration avec les États de l'aire de répartition, afin de contribuer à l'élaboration et à la mise en œuvre des plans d'action nationaux correspondants</w:t>
            </w:r>
          </w:p>
        </w:tc>
      </w:tr>
      <w:tr w:rsidR="006300B6" w:rsidRPr="000546A6" w14:paraId="0A185B1D" w14:textId="77777777" w:rsidTr="004713A6">
        <w:tc>
          <w:tcPr>
            <w:tcW w:w="2059" w:type="pct"/>
          </w:tcPr>
          <w:p w14:paraId="48EA042A" w14:textId="77777777" w:rsidR="006300B6" w:rsidRPr="000546A6" w:rsidRDefault="00CC7671">
            <w:pPr>
              <w:rPr>
                <w:rFonts w:ascii="Arial" w:hAnsi="Arial" w:cs="Arial"/>
                <w:sz w:val="20"/>
                <w:szCs w:val="20"/>
                <w:lang w:val="fr-FR"/>
              </w:rPr>
            </w:pPr>
            <w:r w:rsidRPr="000546A6">
              <w:rPr>
                <w:rFonts w:ascii="Arial" w:hAnsi="Arial" w:cs="Arial"/>
                <w:sz w:val="20"/>
                <w:szCs w:val="20"/>
                <w:lang w:val="fr-FR"/>
              </w:rPr>
              <w:t>A.1.2.1 : Produire un rapport de synthèse sur l'état de conservation du lynx des Carpates comme document de travail pour l'atelier stratégique.</w:t>
            </w:r>
          </w:p>
        </w:tc>
        <w:tc>
          <w:tcPr>
            <w:tcW w:w="749" w:type="pct"/>
          </w:tcPr>
          <w:p w14:paraId="54AE9919" w14:textId="77777777" w:rsidR="006300B6" w:rsidRPr="000546A6" w:rsidRDefault="00CC7671">
            <w:pPr>
              <w:rPr>
                <w:rFonts w:ascii="Arial" w:hAnsi="Arial" w:cs="Arial"/>
                <w:sz w:val="20"/>
                <w:szCs w:val="20"/>
                <w:lang w:val="fr-FR"/>
              </w:rPr>
            </w:pPr>
            <w:r w:rsidRPr="000546A6">
              <w:rPr>
                <w:rFonts w:ascii="Arial" w:hAnsi="Arial" w:cs="Arial"/>
                <w:sz w:val="20"/>
                <w:szCs w:val="20"/>
                <w:lang w:val="fr-FR"/>
              </w:rPr>
              <w:t>Rapport produit et distribué</w:t>
            </w:r>
          </w:p>
        </w:tc>
        <w:tc>
          <w:tcPr>
            <w:tcW w:w="510" w:type="pct"/>
          </w:tcPr>
          <w:p w14:paraId="493425C1" w14:textId="77777777" w:rsidR="006300B6" w:rsidRPr="000546A6" w:rsidRDefault="00CC7671">
            <w:pPr>
              <w:rPr>
                <w:rFonts w:ascii="Arial" w:hAnsi="Arial" w:cs="Arial"/>
                <w:sz w:val="20"/>
                <w:szCs w:val="20"/>
                <w:lang w:val="fr-FR"/>
              </w:rPr>
            </w:pPr>
            <w:r w:rsidRPr="000546A6">
              <w:rPr>
                <w:rFonts w:ascii="Arial" w:hAnsi="Arial" w:cs="Arial"/>
                <w:sz w:val="20"/>
                <w:szCs w:val="20"/>
                <w:lang w:val="fr-FR"/>
              </w:rPr>
              <w:t>Fin de l'année 2024</w:t>
            </w:r>
          </w:p>
        </w:tc>
        <w:tc>
          <w:tcPr>
            <w:tcW w:w="803" w:type="pct"/>
          </w:tcPr>
          <w:p w14:paraId="70993680" w14:textId="77777777" w:rsidR="006300B6" w:rsidRPr="000546A6" w:rsidRDefault="00CC7671">
            <w:pPr>
              <w:rPr>
                <w:rFonts w:ascii="Arial" w:hAnsi="Arial" w:cs="Arial"/>
                <w:sz w:val="20"/>
                <w:szCs w:val="20"/>
                <w:lang w:val="fr-FR"/>
              </w:rPr>
            </w:pPr>
            <w:r w:rsidRPr="000546A6">
              <w:rPr>
                <w:rFonts w:ascii="Arial" w:hAnsi="Arial" w:cs="Arial"/>
                <w:sz w:val="20"/>
                <w:szCs w:val="20"/>
                <w:lang w:val="fr-FR"/>
              </w:rPr>
              <w:t>Groupe de travail sur le lynx des Carpates 7, Groupe de spécialistes des félins</w:t>
            </w:r>
          </w:p>
        </w:tc>
        <w:tc>
          <w:tcPr>
            <w:tcW w:w="879" w:type="pct"/>
          </w:tcPr>
          <w:p w14:paraId="40CCC117" w14:textId="77777777" w:rsidR="006300B6" w:rsidRPr="000546A6" w:rsidRDefault="00CC7671">
            <w:pPr>
              <w:rPr>
                <w:rFonts w:ascii="Arial" w:hAnsi="Arial" w:cs="Arial"/>
                <w:sz w:val="20"/>
                <w:szCs w:val="20"/>
                <w:lang w:val="fr-FR"/>
              </w:rPr>
            </w:pPr>
            <w:r w:rsidRPr="000546A6">
              <w:rPr>
                <w:rFonts w:ascii="Arial" w:hAnsi="Arial" w:cs="Arial"/>
                <w:sz w:val="20"/>
                <w:szCs w:val="20"/>
                <w:lang w:val="fr-FR"/>
              </w:rPr>
              <w:t>s. o.</w:t>
            </w:r>
          </w:p>
        </w:tc>
      </w:tr>
      <w:tr w:rsidR="006300B6" w:rsidRPr="000546A6" w14:paraId="196AD118" w14:textId="77777777" w:rsidTr="004713A6">
        <w:tc>
          <w:tcPr>
            <w:tcW w:w="2059" w:type="pct"/>
          </w:tcPr>
          <w:p w14:paraId="636C0D26" w14:textId="77777777" w:rsidR="006300B6" w:rsidRPr="000546A6" w:rsidRDefault="00CC7671">
            <w:pPr>
              <w:rPr>
                <w:rFonts w:ascii="Arial" w:hAnsi="Arial" w:cs="Arial"/>
                <w:sz w:val="20"/>
                <w:szCs w:val="20"/>
                <w:lang w:val="fr-FR"/>
              </w:rPr>
            </w:pPr>
            <w:r w:rsidRPr="000546A6">
              <w:rPr>
                <w:rFonts w:ascii="Arial" w:hAnsi="Arial" w:cs="Arial"/>
                <w:sz w:val="20"/>
                <w:szCs w:val="20"/>
                <w:lang w:val="fr-FR"/>
              </w:rPr>
              <w:t>A 1.2.2 : Convenir avec les États de l'aire de répartition de l'élaboration d'une stratégie de conservation dans le cadre de la Convention des Carpates, de la Convention de Berne et de la Convention de Bonn.</w:t>
            </w:r>
          </w:p>
        </w:tc>
        <w:tc>
          <w:tcPr>
            <w:tcW w:w="749" w:type="pct"/>
          </w:tcPr>
          <w:p w14:paraId="43414BB0" w14:textId="77777777" w:rsidR="006300B6" w:rsidRPr="000546A6" w:rsidRDefault="00CC7671">
            <w:pPr>
              <w:rPr>
                <w:rFonts w:ascii="Arial" w:hAnsi="Arial" w:cs="Arial"/>
                <w:sz w:val="20"/>
                <w:szCs w:val="20"/>
                <w:lang w:val="fr-FR"/>
              </w:rPr>
            </w:pPr>
            <w:r w:rsidRPr="000546A6">
              <w:rPr>
                <w:rFonts w:ascii="Arial" w:hAnsi="Arial" w:cs="Arial"/>
                <w:sz w:val="20"/>
                <w:szCs w:val="20"/>
                <w:lang w:val="fr-FR"/>
              </w:rPr>
              <w:t>Projet de stratégie élaboré et distribué</w:t>
            </w:r>
          </w:p>
        </w:tc>
        <w:tc>
          <w:tcPr>
            <w:tcW w:w="510" w:type="pct"/>
          </w:tcPr>
          <w:p w14:paraId="3B017375" w14:textId="77777777" w:rsidR="006300B6" w:rsidRPr="000546A6" w:rsidRDefault="00CC7671">
            <w:pPr>
              <w:rPr>
                <w:rFonts w:ascii="Arial" w:hAnsi="Arial" w:cs="Arial"/>
                <w:sz w:val="20"/>
                <w:szCs w:val="20"/>
                <w:lang w:val="fr-FR"/>
              </w:rPr>
            </w:pPr>
            <w:r w:rsidRPr="000546A6">
              <w:rPr>
                <w:rFonts w:ascii="Arial" w:hAnsi="Arial" w:cs="Arial"/>
                <w:sz w:val="20"/>
                <w:szCs w:val="20"/>
                <w:lang w:val="fr-FR"/>
              </w:rPr>
              <w:t>Fin de l'année 2025</w:t>
            </w:r>
          </w:p>
        </w:tc>
        <w:tc>
          <w:tcPr>
            <w:tcW w:w="803" w:type="pct"/>
          </w:tcPr>
          <w:p w14:paraId="41B72526" w14:textId="77777777" w:rsidR="006300B6" w:rsidRPr="000546A6" w:rsidRDefault="00CC7671">
            <w:pPr>
              <w:rPr>
                <w:rFonts w:ascii="Arial" w:hAnsi="Arial" w:cs="Arial"/>
                <w:sz w:val="20"/>
                <w:szCs w:val="20"/>
                <w:lang w:val="fr-FR"/>
              </w:rPr>
            </w:pPr>
            <w:r w:rsidRPr="000546A6">
              <w:rPr>
                <w:rFonts w:ascii="Arial" w:hAnsi="Arial" w:cs="Arial"/>
                <w:sz w:val="20"/>
                <w:szCs w:val="20"/>
                <w:lang w:val="fr-FR"/>
              </w:rPr>
              <w:t>États de l'aire de répartition, Conventions, Groupe de travail sur le lynx des Carpates, Groupe d'experts des félins</w:t>
            </w:r>
          </w:p>
        </w:tc>
        <w:tc>
          <w:tcPr>
            <w:tcW w:w="879" w:type="pct"/>
          </w:tcPr>
          <w:p w14:paraId="2A18EDE2" w14:textId="77777777" w:rsidR="006300B6" w:rsidRPr="000546A6" w:rsidRDefault="00CC7671">
            <w:pPr>
              <w:rPr>
                <w:rFonts w:ascii="Arial" w:hAnsi="Arial" w:cs="Arial"/>
                <w:sz w:val="20"/>
                <w:szCs w:val="20"/>
                <w:lang w:val="fr-FR"/>
              </w:rPr>
            </w:pPr>
            <w:r w:rsidRPr="000546A6">
              <w:rPr>
                <w:rFonts w:ascii="Arial" w:hAnsi="Arial" w:cs="Arial"/>
                <w:sz w:val="20"/>
                <w:szCs w:val="20"/>
                <w:lang w:val="fr-FR"/>
              </w:rPr>
              <w:t>s. o.</w:t>
            </w:r>
          </w:p>
        </w:tc>
      </w:tr>
      <w:tr w:rsidR="006300B6" w:rsidRPr="000546A6" w14:paraId="0063C018" w14:textId="77777777" w:rsidTr="004713A6">
        <w:tc>
          <w:tcPr>
            <w:tcW w:w="2059" w:type="pct"/>
          </w:tcPr>
          <w:p w14:paraId="31E43EF7" w14:textId="77777777" w:rsidR="006300B6" w:rsidRPr="000546A6" w:rsidRDefault="00CC7671">
            <w:pPr>
              <w:rPr>
                <w:rFonts w:ascii="Arial" w:hAnsi="Arial" w:cs="Arial"/>
                <w:sz w:val="20"/>
                <w:szCs w:val="20"/>
                <w:lang w:val="fr-FR"/>
              </w:rPr>
            </w:pPr>
            <w:r w:rsidRPr="000546A6">
              <w:rPr>
                <w:rFonts w:ascii="Arial" w:hAnsi="Arial" w:cs="Arial"/>
                <w:sz w:val="20"/>
                <w:szCs w:val="20"/>
                <w:lang w:val="fr-FR"/>
              </w:rPr>
              <w:t>A 1.2.3 : Organiser et réaliser des ateliers participatifs pour l'élaboration de la stratégie de conservation, avec l'aide de l'Union internationale pour la conservation de la nature (UICN)</w:t>
            </w:r>
          </w:p>
        </w:tc>
        <w:tc>
          <w:tcPr>
            <w:tcW w:w="749" w:type="pct"/>
          </w:tcPr>
          <w:p w14:paraId="1C505AE1" w14:textId="77777777" w:rsidR="006300B6" w:rsidRPr="000546A6" w:rsidRDefault="00CC7671">
            <w:pPr>
              <w:rPr>
                <w:rFonts w:ascii="Arial" w:hAnsi="Arial" w:cs="Arial"/>
                <w:sz w:val="20"/>
                <w:szCs w:val="20"/>
                <w:lang w:val="fr-FR"/>
              </w:rPr>
            </w:pPr>
            <w:r w:rsidRPr="000546A6">
              <w:rPr>
                <w:rFonts w:ascii="Arial" w:hAnsi="Arial" w:cs="Arial"/>
                <w:sz w:val="20"/>
                <w:szCs w:val="20"/>
                <w:lang w:val="fr-FR"/>
              </w:rPr>
              <w:t>Stratégie approuvée par les États de l'aire de répartition et conventions</w:t>
            </w:r>
          </w:p>
        </w:tc>
        <w:tc>
          <w:tcPr>
            <w:tcW w:w="510" w:type="pct"/>
          </w:tcPr>
          <w:p w14:paraId="51BB38B6" w14:textId="77777777" w:rsidR="006300B6" w:rsidRPr="000546A6" w:rsidRDefault="00CC7671">
            <w:pPr>
              <w:rPr>
                <w:rFonts w:ascii="Arial" w:hAnsi="Arial" w:cs="Arial"/>
                <w:sz w:val="20"/>
                <w:szCs w:val="20"/>
                <w:lang w:val="fr-FR"/>
              </w:rPr>
            </w:pPr>
            <w:r w:rsidRPr="000546A6">
              <w:rPr>
                <w:rFonts w:ascii="Arial" w:hAnsi="Arial" w:cs="Arial"/>
                <w:sz w:val="20"/>
                <w:szCs w:val="20"/>
                <w:lang w:val="fr-FR"/>
              </w:rPr>
              <w:t>Premier semestre 2026</w:t>
            </w:r>
          </w:p>
        </w:tc>
        <w:tc>
          <w:tcPr>
            <w:tcW w:w="803" w:type="pct"/>
          </w:tcPr>
          <w:p w14:paraId="167B8931" w14:textId="77777777" w:rsidR="006300B6" w:rsidRPr="000546A6" w:rsidRDefault="00CC7671">
            <w:pPr>
              <w:rPr>
                <w:rFonts w:ascii="Arial" w:hAnsi="Arial" w:cs="Arial"/>
                <w:sz w:val="20"/>
                <w:szCs w:val="20"/>
                <w:lang w:val="fr-FR"/>
              </w:rPr>
            </w:pPr>
            <w:proofErr w:type="spellStart"/>
            <w:r w:rsidRPr="000546A6">
              <w:rPr>
                <w:rFonts w:ascii="Arial" w:hAnsi="Arial" w:cs="Arial"/>
                <w:sz w:val="20"/>
                <w:szCs w:val="20"/>
                <w:lang w:val="fr-FR"/>
              </w:rPr>
              <w:t>Conv</w:t>
            </w:r>
            <w:proofErr w:type="spellEnd"/>
            <w:r w:rsidRPr="000546A6">
              <w:rPr>
                <w:rFonts w:ascii="Arial" w:hAnsi="Arial" w:cs="Arial"/>
                <w:sz w:val="20"/>
                <w:szCs w:val="20"/>
                <w:lang w:val="fr-FR"/>
              </w:rPr>
              <w:t>. Cap., Union internationale pour la conservation de la nature (UICN), organisateurs locaux</w:t>
            </w:r>
          </w:p>
        </w:tc>
        <w:tc>
          <w:tcPr>
            <w:tcW w:w="879" w:type="pct"/>
          </w:tcPr>
          <w:p w14:paraId="1C4AE5EF" w14:textId="77777777" w:rsidR="006300B6" w:rsidRPr="000546A6" w:rsidRDefault="00CC7671">
            <w:pPr>
              <w:rPr>
                <w:rFonts w:ascii="Arial" w:hAnsi="Arial" w:cs="Arial"/>
                <w:sz w:val="20"/>
                <w:szCs w:val="20"/>
                <w:lang w:val="fr-FR"/>
              </w:rPr>
            </w:pPr>
            <w:r w:rsidRPr="000546A6">
              <w:rPr>
                <w:rFonts w:ascii="Arial" w:hAnsi="Arial" w:cs="Arial"/>
                <w:sz w:val="20"/>
                <w:szCs w:val="20"/>
                <w:lang w:val="fr-FR"/>
              </w:rPr>
              <w:t>10-20 000 $</w:t>
            </w:r>
          </w:p>
        </w:tc>
      </w:tr>
      <w:tr w:rsidR="006300B6" w:rsidRPr="000546A6" w14:paraId="59F52DDB" w14:textId="77777777" w:rsidTr="004713A6">
        <w:tc>
          <w:tcPr>
            <w:tcW w:w="2059" w:type="pct"/>
          </w:tcPr>
          <w:p w14:paraId="0DCD0A06" w14:textId="77777777" w:rsidR="006300B6" w:rsidRPr="000546A6" w:rsidRDefault="00CC7671">
            <w:pPr>
              <w:rPr>
                <w:rFonts w:ascii="Arial" w:hAnsi="Arial" w:cs="Arial"/>
                <w:sz w:val="20"/>
                <w:szCs w:val="20"/>
                <w:lang w:val="fr-FR"/>
              </w:rPr>
            </w:pPr>
            <w:r w:rsidRPr="000546A6">
              <w:rPr>
                <w:rFonts w:ascii="Arial" w:hAnsi="Arial" w:cs="Arial"/>
                <w:sz w:val="20"/>
                <w:szCs w:val="20"/>
                <w:lang w:val="fr-FR"/>
              </w:rPr>
              <w:t>A 1.2.4 : Rédiger, examiner, réviser et soumettre la stratégie de conservation.</w:t>
            </w:r>
          </w:p>
        </w:tc>
        <w:tc>
          <w:tcPr>
            <w:tcW w:w="749" w:type="pct"/>
          </w:tcPr>
          <w:p w14:paraId="0E064F97" w14:textId="77777777" w:rsidR="006300B6" w:rsidRPr="000546A6" w:rsidRDefault="00CC7671">
            <w:pPr>
              <w:rPr>
                <w:rFonts w:ascii="Arial" w:hAnsi="Arial" w:cs="Arial"/>
                <w:sz w:val="20"/>
                <w:szCs w:val="20"/>
                <w:lang w:val="fr-FR"/>
              </w:rPr>
            </w:pPr>
            <w:r w:rsidRPr="000546A6">
              <w:rPr>
                <w:rFonts w:ascii="Arial" w:hAnsi="Arial" w:cs="Arial"/>
                <w:sz w:val="20"/>
                <w:szCs w:val="20"/>
                <w:lang w:val="fr-FR"/>
              </w:rPr>
              <w:t>Stratégie approuvée par les États de l'aire de répartition et conventions</w:t>
            </w:r>
          </w:p>
        </w:tc>
        <w:tc>
          <w:tcPr>
            <w:tcW w:w="510" w:type="pct"/>
          </w:tcPr>
          <w:p w14:paraId="232819AC" w14:textId="77777777" w:rsidR="006300B6" w:rsidRPr="000546A6" w:rsidRDefault="00CC7671">
            <w:pPr>
              <w:rPr>
                <w:rFonts w:ascii="Arial" w:hAnsi="Arial" w:cs="Arial"/>
                <w:sz w:val="20"/>
                <w:szCs w:val="20"/>
                <w:lang w:val="fr-FR"/>
              </w:rPr>
            </w:pPr>
            <w:r w:rsidRPr="000546A6">
              <w:rPr>
                <w:rFonts w:ascii="Arial" w:hAnsi="Arial" w:cs="Arial"/>
                <w:sz w:val="20"/>
                <w:szCs w:val="20"/>
                <w:lang w:val="fr-FR"/>
              </w:rPr>
              <w:t>Fin de l'année 2026</w:t>
            </w:r>
          </w:p>
        </w:tc>
        <w:tc>
          <w:tcPr>
            <w:tcW w:w="803" w:type="pct"/>
          </w:tcPr>
          <w:p w14:paraId="546DA1E6" w14:textId="77777777" w:rsidR="006300B6" w:rsidRPr="000546A6" w:rsidRDefault="00CC7671">
            <w:pPr>
              <w:rPr>
                <w:rFonts w:ascii="Arial" w:hAnsi="Arial" w:cs="Arial"/>
                <w:sz w:val="20"/>
                <w:szCs w:val="20"/>
                <w:lang w:val="fr-FR"/>
              </w:rPr>
            </w:pPr>
            <w:r w:rsidRPr="000546A6">
              <w:rPr>
                <w:rFonts w:ascii="Arial" w:hAnsi="Arial" w:cs="Arial"/>
                <w:sz w:val="20"/>
                <w:szCs w:val="20"/>
                <w:lang w:val="fr-FR"/>
              </w:rPr>
              <w:t>Programme BLRP de rétablissement du lynx des Balkans, Groupe d'experts des félins, États de l'aire de répartition, Conventions</w:t>
            </w:r>
          </w:p>
        </w:tc>
        <w:tc>
          <w:tcPr>
            <w:tcW w:w="879" w:type="pct"/>
          </w:tcPr>
          <w:p w14:paraId="0CE8CC60" w14:textId="77777777" w:rsidR="006300B6" w:rsidRPr="000546A6" w:rsidRDefault="00CC7671">
            <w:pPr>
              <w:rPr>
                <w:rFonts w:ascii="Arial" w:hAnsi="Arial" w:cs="Arial"/>
                <w:sz w:val="20"/>
                <w:szCs w:val="20"/>
                <w:lang w:val="fr-FR"/>
              </w:rPr>
            </w:pPr>
            <w:r w:rsidRPr="000546A6">
              <w:rPr>
                <w:rFonts w:ascii="Arial" w:hAnsi="Arial" w:cs="Arial"/>
                <w:sz w:val="20"/>
                <w:szCs w:val="20"/>
                <w:lang w:val="fr-FR"/>
              </w:rPr>
              <w:t>5 000 $</w:t>
            </w:r>
          </w:p>
        </w:tc>
      </w:tr>
      <w:tr w:rsidR="006300B6" w:rsidRPr="006906AC" w14:paraId="782AB618" w14:textId="77777777" w:rsidTr="004713A6">
        <w:tc>
          <w:tcPr>
            <w:tcW w:w="5000" w:type="pct"/>
            <w:gridSpan w:val="5"/>
            <w:shd w:val="clear" w:color="auto" w:fill="C5E0B3"/>
          </w:tcPr>
          <w:p w14:paraId="2DED0021" w14:textId="77777777" w:rsidR="006300B6" w:rsidRPr="000546A6" w:rsidRDefault="00CC7671">
            <w:pPr>
              <w:rPr>
                <w:rFonts w:ascii="Arial" w:hAnsi="Arial" w:cs="Arial"/>
                <w:sz w:val="20"/>
                <w:szCs w:val="20"/>
                <w:lang w:val="fr-FR"/>
              </w:rPr>
            </w:pPr>
            <w:r w:rsidRPr="000546A6">
              <w:rPr>
                <w:rFonts w:ascii="Arial" w:hAnsi="Arial" w:cs="Arial"/>
                <w:sz w:val="20"/>
                <w:szCs w:val="20"/>
                <w:lang w:val="fr-FR"/>
              </w:rPr>
              <w:t>Résultat 1.3 : Élaborer des lignes directrices pour le rétablissement du lynx des Carpates dans les régions montagneuses de l'Europe occidentale et centrale afin de coordonner les réintroductions, les renforcements et la connectivité, d'organiser l'approvisionnement en individus tout en convenant de principes et protocoles communs</w:t>
            </w:r>
          </w:p>
        </w:tc>
      </w:tr>
      <w:tr w:rsidR="006300B6" w:rsidRPr="000546A6" w14:paraId="153F8329" w14:textId="77777777" w:rsidTr="004713A6">
        <w:tc>
          <w:tcPr>
            <w:tcW w:w="2059" w:type="pct"/>
          </w:tcPr>
          <w:p w14:paraId="1998BB32" w14:textId="77777777" w:rsidR="006300B6" w:rsidRPr="000546A6" w:rsidRDefault="00CC7671">
            <w:pPr>
              <w:rPr>
                <w:rFonts w:ascii="Arial" w:hAnsi="Arial" w:cs="Arial"/>
                <w:sz w:val="20"/>
                <w:szCs w:val="20"/>
                <w:lang w:val="fr-FR"/>
              </w:rPr>
            </w:pPr>
            <w:r w:rsidRPr="000546A6">
              <w:rPr>
                <w:rFonts w:ascii="Arial" w:hAnsi="Arial" w:cs="Arial"/>
                <w:sz w:val="20"/>
                <w:szCs w:val="20"/>
                <w:lang w:val="fr-FR"/>
              </w:rPr>
              <w:t>A 1.3.1 : Élaborer des lignes directrices basées sur les Recommandations de Bonn et les protocoles en cours d'élaboration par le Groupe de travail sur le lynx des Carpates.</w:t>
            </w:r>
          </w:p>
        </w:tc>
        <w:tc>
          <w:tcPr>
            <w:tcW w:w="749" w:type="pct"/>
          </w:tcPr>
          <w:p w14:paraId="1352260A" w14:textId="77777777" w:rsidR="006300B6" w:rsidRPr="000546A6" w:rsidRDefault="00CC7671">
            <w:pPr>
              <w:rPr>
                <w:rFonts w:ascii="Arial" w:hAnsi="Arial" w:cs="Arial"/>
                <w:sz w:val="20"/>
                <w:szCs w:val="20"/>
                <w:lang w:val="fr-FR"/>
              </w:rPr>
            </w:pPr>
            <w:r w:rsidRPr="000546A6">
              <w:rPr>
                <w:rFonts w:ascii="Arial" w:hAnsi="Arial" w:cs="Arial"/>
                <w:sz w:val="20"/>
                <w:szCs w:val="20"/>
                <w:lang w:val="fr-FR"/>
              </w:rPr>
              <w:t>Lignes directrices rédigées</w:t>
            </w:r>
          </w:p>
        </w:tc>
        <w:tc>
          <w:tcPr>
            <w:tcW w:w="510" w:type="pct"/>
          </w:tcPr>
          <w:p w14:paraId="5189FBF0" w14:textId="77777777" w:rsidR="006300B6" w:rsidRPr="000546A6" w:rsidRDefault="00CC7671">
            <w:pPr>
              <w:rPr>
                <w:rFonts w:ascii="Arial" w:hAnsi="Arial" w:cs="Arial"/>
                <w:sz w:val="20"/>
                <w:szCs w:val="20"/>
              </w:rPr>
            </w:pPr>
            <w:r w:rsidRPr="000546A6">
              <w:rPr>
                <w:rFonts w:ascii="Arial" w:hAnsi="Arial" w:cs="Arial"/>
                <w:sz w:val="20"/>
                <w:szCs w:val="20"/>
              </w:rPr>
              <w:t>2026</w:t>
            </w:r>
          </w:p>
        </w:tc>
        <w:tc>
          <w:tcPr>
            <w:tcW w:w="803" w:type="pct"/>
          </w:tcPr>
          <w:p w14:paraId="359309C5" w14:textId="77777777" w:rsidR="006300B6" w:rsidRPr="000546A6" w:rsidRDefault="00CC7671">
            <w:pPr>
              <w:rPr>
                <w:rFonts w:ascii="Arial" w:hAnsi="Arial" w:cs="Arial"/>
                <w:sz w:val="20"/>
                <w:szCs w:val="20"/>
                <w:lang w:val="fr-FR"/>
              </w:rPr>
            </w:pPr>
            <w:r w:rsidRPr="000546A6">
              <w:rPr>
                <w:rFonts w:ascii="Arial" w:hAnsi="Arial" w:cs="Arial"/>
                <w:sz w:val="20"/>
                <w:szCs w:val="20"/>
                <w:lang w:val="fr-FR"/>
              </w:rPr>
              <w:t>UICN et Groupe de travail sur le lynx des Carpates</w:t>
            </w:r>
          </w:p>
        </w:tc>
        <w:tc>
          <w:tcPr>
            <w:tcW w:w="879" w:type="pct"/>
          </w:tcPr>
          <w:p w14:paraId="64EA8D67" w14:textId="77777777" w:rsidR="006300B6" w:rsidRPr="000546A6" w:rsidRDefault="00CC7671">
            <w:pPr>
              <w:rPr>
                <w:rFonts w:ascii="Arial" w:hAnsi="Arial" w:cs="Arial"/>
                <w:sz w:val="20"/>
                <w:szCs w:val="20"/>
                <w:lang w:val="fr-FR"/>
              </w:rPr>
            </w:pPr>
            <w:r w:rsidRPr="000546A6">
              <w:rPr>
                <w:rFonts w:ascii="Arial" w:hAnsi="Arial" w:cs="Arial"/>
                <w:sz w:val="20"/>
                <w:szCs w:val="20"/>
                <w:lang w:val="fr-FR"/>
              </w:rPr>
              <w:t>10 000 $</w:t>
            </w:r>
          </w:p>
        </w:tc>
      </w:tr>
      <w:tr w:rsidR="006300B6" w:rsidRPr="000546A6" w14:paraId="6222427D" w14:textId="77777777" w:rsidTr="004713A6">
        <w:trPr>
          <w:trHeight w:val="920"/>
        </w:trPr>
        <w:tc>
          <w:tcPr>
            <w:tcW w:w="2059" w:type="pct"/>
          </w:tcPr>
          <w:p w14:paraId="40976E19" w14:textId="77777777" w:rsidR="006300B6" w:rsidRPr="000546A6" w:rsidRDefault="00CC7671">
            <w:pPr>
              <w:rPr>
                <w:rFonts w:ascii="Arial" w:hAnsi="Arial" w:cs="Arial"/>
                <w:sz w:val="20"/>
                <w:szCs w:val="20"/>
                <w:lang w:val="fr-FR"/>
              </w:rPr>
            </w:pPr>
            <w:r w:rsidRPr="000546A6">
              <w:rPr>
                <w:rFonts w:ascii="Arial" w:hAnsi="Arial" w:cs="Arial"/>
                <w:sz w:val="20"/>
                <w:szCs w:val="20"/>
                <w:lang w:val="fr-FR"/>
              </w:rPr>
              <w:t>A 1.3.2 : Soumettre le projet de lignes directrices au Comité permanent de la Convention de Berne et au Conseil scientifique de la CMS pour examen.</w:t>
            </w:r>
          </w:p>
        </w:tc>
        <w:tc>
          <w:tcPr>
            <w:tcW w:w="749" w:type="pct"/>
          </w:tcPr>
          <w:p w14:paraId="0C678363" w14:textId="77777777" w:rsidR="006300B6" w:rsidRPr="000546A6" w:rsidRDefault="00CC7671">
            <w:pPr>
              <w:rPr>
                <w:rFonts w:ascii="Arial" w:hAnsi="Arial" w:cs="Arial"/>
                <w:sz w:val="20"/>
                <w:szCs w:val="20"/>
                <w:lang w:val="fr-FR"/>
              </w:rPr>
            </w:pPr>
            <w:r w:rsidRPr="000546A6">
              <w:rPr>
                <w:rFonts w:ascii="Arial" w:hAnsi="Arial" w:cs="Arial"/>
                <w:sz w:val="20"/>
                <w:szCs w:val="20"/>
                <w:lang w:val="fr-FR"/>
              </w:rPr>
              <w:t>Lignes directrices soumises</w:t>
            </w:r>
          </w:p>
        </w:tc>
        <w:tc>
          <w:tcPr>
            <w:tcW w:w="510" w:type="pct"/>
          </w:tcPr>
          <w:p w14:paraId="7A281952" w14:textId="77777777" w:rsidR="006300B6" w:rsidRPr="000546A6" w:rsidRDefault="00CC7671">
            <w:pPr>
              <w:rPr>
                <w:rFonts w:ascii="Arial" w:hAnsi="Arial" w:cs="Arial"/>
                <w:sz w:val="20"/>
                <w:szCs w:val="20"/>
                <w:lang w:val="fr-FR"/>
              </w:rPr>
            </w:pPr>
            <w:r w:rsidRPr="000546A6">
              <w:rPr>
                <w:rFonts w:ascii="Arial" w:hAnsi="Arial" w:cs="Arial"/>
                <w:sz w:val="20"/>
                <w:szCs w:val="20"/>
                <w:lang w:val="fr-FR"/>
              </w:rPr>
              <w:t>Fin de l'année 2026</w:t>
            </w:r>
          </w:p>
        </w:tc>
        <w:tc>
          <w:tcPr>
            <w:tcW w:w="803" w:type="pct"/>
          </w:tcPr>
          <w:p w14:paraId="6F604D02" w14:textId="77777777" w:rsidR="006300B6" w:rsidRPr="000546A6" w:rsidRDefault="00CC7671">
            <w:pPr>
              <w:rPr>
                <w:rFonts w:ascii="Arial" w:hAnsi="Arial" w:cs="Arial"/>
                <w:sz w:val="20"/>
                <w:szCs w:val="20"/>
                <w:lang w:val="fr-FR"/>
              </w:rPr>
            </w:pPr>
            <w:r w:rsidRPr="000546A6">
              <w:rPr>
                <w:rFonts w:ascii="Arial" w:hAnsi="Arial" w:cs="Arial"/>
                <w:sz w:val="20"/>
                <w:szCs w:val="20"/>
                <w:lang w:val="fr-FR"/>
              </w:rPr>
              <w:t>UICN et Groupe de travail sur le lynx des Carpates</w:t>
            </w:r>
          </w:p>
        </w:tc>
        <w:tc>
          <w:tcPr>
            <w:tcW w:w="879" w:type="pct"/>
          </w:tcPr>
          <w:p w14:paraId="5C77270F" w14:textId="77777777" w:rsidR="006300B6" w:rsidRPr="000546A6" w:rsidRDefault="00CC7671">
            <w:pPr>
              <w:rPr>
                <w:rFonts w:ascii="Arial" w:hAnsi="Arial" w:cs="Arial"/>
                <w:sz w:val="20"/>
                <w:szCs w:val="20"/>
                <w:lang w:val="fr-FR"/>
              </w:rPr>
            </w:pPr>
            <w:r w:rsidRPr="000546A6">
              <w:rPr>
                <w:rFonts w:ascii="Arial" w:hAnsi="Arial" w:cs="Arial"/>
                <w:sz w:val="20"/>
                <w:szCs w:val="20"/>
                <w:lang w:val="fr-FR"/>
              </w:rPr>
              <w:t>s. o.</w:t>
            </w:r>
          </w:p>
        </w:tc>
      </w:tr>
      <w:tr w:rsidR="006300B6" w:rsidRPr="000546A6" w14:paraId="012AAFA4" w14:textId="77777777" w:rsidTr="004713A6">
        <w:tc>
          <w:tcPr>
            <w:tcW w:w="2059" w:type="pct"/>
          </w:tcPr>
          <w:p w14:paraId="575D9FA8" w14:textId="77777777" w:rsidR="006300B6" w:rsidRPr="000546A6" w:rsidRDefault="00CC7671">
            <w:pPr>
              <w:rPr>
                <w:rFonts w:ascii="Arial" w:hAnsi="Arial" w:cs="Arial"/>
                <w:sz w:val="20"/>
                <w:szCs w:val="20"/>
                <w:lang w:val="fr-FR"/>
              </w:rPr>
            </w:pPr>
            <w:r w:rsidRPr="000546A6">
              <w:rPr>
                <w:rFonts w:ascii="Arial" w:hAnsi="Arial" w:cs="Arial"/>
                <w:sz w:val="20"/>
                <w:szCs w:val="20"/>
                <w:lang w:val="fr-FR"/>
              </w:rPr>
              <w:t>A 1.3.3 : Réviser la version provisoire et soumettre la version finale aux Conventions ainsi qu’à tous les États de l'aire de répartition concernés.</w:t>
            </w:r>
          </w:p>
        </w:tc>
        <w:tc>
          <w:tcPr>
            <w:tcW w:w="749" w:type="pct"/>
          </w:tcPr>
          <w:p w14:paraId="3DC2DF9A" w14:textId="77777777" w:rsidR="006300B6" w:rsidRPr="000546A6" w:rsidRDefault="00CC7671">
            <w:pPr>
              <w:rPr>
                <w:rFonts w:ascii="Arial" w:hAnsi="Arial" w:cs="Arial"/>
                <w:sz w:val="20"/>
                <w:szCs w:val="20"/>
                <w:lang w:val="fr-FR"/>
              </w:rPr>
            </w:pPr>
            <w:r w:rsidRPr="000546A6">
              <w:rPr>
                <w:rFonts w:ascii="Arial" w:hAnsi="Arial" w:cs="Arial"/>
                <w:sz w:val="20"/>
                <w:szCs w:val="20"/>
                <w:lang w:val="fr-FR"/>
              </w:rPr>
              <w:t>Lignes directrices finalisées</w:t>
            </w:r>
          </w:p>
        </w:tc>
        <w:tc>
          <w:tcPr>
            <w:tcW w:w="510" w:type="pct"/>
          </w:tcPr>
          <w:p w14:paraId="7808DC2D" w14:textId="77777777" w:rsidR="006300B6" w:rsidRPr="000546A6" w:rsidRDefault="00CC7671">
            <w:pPr>
              <w:rPr>
                <w:rFonts w:ascii="Arial" w:hAnsi="Arial" w:cs="Arial"/>
                <w:sz w:val="20"/>
                <w:szCs w:val="20"/>
                <w:lang w:val="fr-FR"/>
              </w:rPr>
            </w:pPr>
            <w:r w:rsidRPr="000546A6">
              <w:rPr>
                <w:rFonts w:ascii="Arial" w:hAnsi="Arial" w:cs="Arial"/>
                <w:sz w:val="20"/>
                <w:szCs w:val="20"/>
                <w:lang w:val="fr-FR"/>
              </w:rPr>
              <w:t>Printemps 2027</w:t>
            </w:r>
          </w:p>
        </w:tc>
        <w:tc>
          <w:tcPr>
            <w:tcW w:w="803" w:type="pct"/>
          </w:tcPr>
          <w:p w14:paraId="06F3A443" w14:textId="77777777" w:rsidR="006300B6" w:rsidRPr="000546A6" w:rsidRDefault="00CC7671">
            <w:pPr>
              <w:rPr>
                <w:rFonts w:ascii="Arial" w:hAnsi="Arial" w:cs="Arial"/>
                <w:sz w:val="20"/>
                <w:szCs w:val="20"/>
                <w:lang w:val="fr-FR"/>
              </w:rPr>
            </w:pPr>
            <w:r w:rsidRPr="000546A6">
              <w:rPr>
                <w:rFonts w:ascii="Arial" w:hAnsi="Arial" w:cs="Arial"/>
                <w:sz w:val="20"/>
                <w:szCs w:val="20"/>
                <w:lang w:val="fr-FR"/>
              </w:rPr>
              <w:t>UICN et Groupe de travail sur le lynx des Carpates</w:t>
            </w:r>
          </w:p>
        </w:tc>
        <w:tc>
          <w:tcPr>
            <w:tcW w:w="879" w:type="pct"/>
          </w:tcPr>
          <w:p w14:paraId="4BF13FD5" w14:textId="77777777" w:rsidR="006300B6" w:rsidRPr="000546A6" w:rsidRDefault="00CC7671">
            <w:pPr>
              <w:rPr>
                <w:rFonts w:ascii="Arial" w:hAnsi="Arial" w:cs="Arial"/>
                <w:sz w:val="20"/>
                <w:szCs w:val="20"/>
                <w:lang w:val="fr-FR"/>
              </w:rPr>
            </w:pPr>
            <w:r w:rsidRPr="000546A6">
              <w:rPr>
                <w:rFonts w:ascii="Arial" w:hAnsi="Arial" w:cs="Arial"/>
                <w:sz w:val="20"/>
                <w:szCs w:val="20"/>
                <w:lang w:val="fr-FR"/>
              </w:rPr>
              <w:t>À définir</w:t>
            </w:r>
          </w:p>
        </w:tc>
      </w:tr>
    </w:tbl>
    <w:p w14:paraId="374362B0" w14:textId="77777777" w:rsidR="006A50C7" w:rsidRDefault="006A50C7">
      <w:r>
        <w:br w:type="page"/>
      </w:r>
    </w:p>
    <w:tbl>
      <w:tblPr>
        <w:tblStyle w:val="TableGrid1"/>
        <w:tblW w:w="5593" w:type="pct"/>
        <w:tblInd w:w="-284" w:type="dxa"/>
        <w:tblLook w:val="04A0" w:firstRow="1" w:lastRow="0" w:firstColumn="1" w:lastColumn="0" w:noHBand="0" w:noVBand="1"/>
      </w:tblPr>
      <w:tblGrid>
        <w:gridCol w:w="4158"/>
        <w:gridCol w:w="1512"/>
        <w:gridCol w:w="1030"/>
        <w:gridCol w:w="1621"/>
        <w:gridCol w:w="1775"/>
      </w:tblGrid>
      <w:tr w:rsidR="006300B6" w:rsidRPr="006906AC" w14:paraId="7D86EC04" w14:textId="77777777" w:rsidTr="004713A6">
        <w:tc>
          <w:tcPr>
            <w:tcW w:w="5000" w:type="pct"/>
            <w:gridSpan w:val="5"/>
            <w:shd w:val="clear" w:color="auto" w:fill="B4C6E7"/>
          </w:tcPr>
          <w:p w14:paraId="5DA0D136" w14:textId="1751C6C6" w:rsidR="006300B6" w:rsidRPr="000546A6" w:rsidRDefault="00CC7671">
            <w:pPr>
              <w:rPr>
                <w:rFonts w:ascii="Arial" w:hAnsi="Arial" w:cs="Arial"/>
                <w:b/>
                <w:bCs/>
                <w:sz w:val="20"/>
                <w:szCs w:val="20"/>
                <w:lang w:val="fr-FR"/>
              </w:rPr>
            </w:pPr>
            <w:r w:rsidRPr="000546A6">
              <w:rPr>
                <w:rFonts w:ascii="Arial" w:hAnsi="Arial" w:cs="Arial"/>
                <w:b/>
                <w:bCs/>
                <w:sz w:val="20"/>
                <w:szCs w:val="20"/>
                <w:lang w:val="fr-FR"/>
              </w:rPr>
              <w:lastRenderedPageBreak/>
              <w:t xml:space="preserve">Objectif 2 : Réaliser des études de base et une évaluation solide de l'état de conservation des deux sous-espèces asiatiques du lynx commun, le </w:t>
            </w:r>
            <w:r w:rsidRPr="000546A6">
              <w:rPr>
                <w:rFonts w:ascii="Arial" w:hAnsi="Arial" w:cs="Arial"/>
                <w:b/>
                <w:bCs/>
                <w:i/>
                <w:iCs/>
                <w:sz w:val="20"/>
                <w:szCs w:val="20"/>
                <w:lang w:val="fr-FR"/>
              </w:rPr>
              <w:t xml:space="preserve">L. l. </w:t>
            </w:r>
            <w:proofErr w:type="spellStart"/>
            <w:r w:rsidRPr="000546A6">
              <w:rPr>
                <w:rFonts w:ascii="Arial" w:hAnsi="Arial" w:cs="Arial"/>
                <w:b/>
                <w:bCs/>
                <w:i/>
                <w:iCs/>
                <w:sz w:val="20"/>
                <w:szCs w:val="20"/>
                <w:lang w:val="fr-FR"/>
              </w:rPr>
              <w:t>isabellinus</w:t>
            </w:r>
            <w:proofErr w:type="spellEnd"/>
            <w:r w:rsidRPr="000546A6">
              <w:rPr>
                <w:rFonts w:ascii="Arial" w:hAnsi="Arial" w:cs="Arial"/>
                <w:b/>
                <w:bCs/>
                <w:sz w:val="20"/>
                <w:szCs w:val="20"/>
                <w:lang w:val="fr-FR"/>
              </w:rPr>
              <w:t xml:space="preserve"> (Asie centrale) et le </w:t>
            </w:r>
            <w:r w:rsidRPr="000546A6">
              <w:rPr>
                <w:rFonts w:ascii="Arial" w:hAnsi="Arial" w:cs="Arial"/>
                <w:b/>
                <w:bCs/>
                <w:i/>
                <w:iCs/>
                <w:sz w:val="20"/>
                <w:szCs w:val="20"/>
                <w:lang w:val="fr-FR"/>
              </w:rPr>
              <w:t xml:space="preserve">L. l. </w:t>
            </w:r>
            <w:proofErr w:type="spellStart"/>
            <w:r w:rsidRPr="000546A6">
              <w:rPr>
                <w:rFonts w:ascii="Arial" w:hAnsi="Arial" w:cs="Arial"/>
                <w:b/>
                <w:bCs/>
                <w:i/>
                <w:iCs/>
                <w:sz w:val="20"/>
                <w:szCs w:val="20"/>
                <w:lang w:val="fr-FR"/>
              </w:rPr>
              <w:t>dinniki</w:t>
            </w:r>
            <w:proofErr w:type="spellEnd"/>
            <w:r w:rsidRPr="000546A6">
              <w:rPr>
                <w:rFonts w:ascii="Arial" w:hAnsi="Arial" w:cs="Arial"/>
                <w:b/>
                <w:bCs/>
                <w:sz w:val="20"/>
                <w:szCs w:val="20"/>
                <w:lang w:val="fr-FR"/>
              </w:rPr>
              <w:t xml:space="preserve"> (Caucase et Asie du Sud-Ouest) et préparer le terrain pour la conservation de ces sous-espèces à l'échelle de l'aire de répartition en créant des réseaux et en développant les moyens locaux nécessaires</w:t>
            </w:r>
          </w:p>
        </w:tc>
      </w:tr>
      <w:tr w:rsidR="006300B6" w:rsidRPr="006906AC" w14:paraId="32C14229" w14:textId="77777777" w:rsidTr="004713A6">
        <w:tc>
          <w:tcPr>
            <w:tcW w:w="5000" w:type="pct"/>
            <w:gridSpan w:val="5"/>
            <w:shd w:val="clear" w:color="auto" w:fill="C5E0B3"/>
          </w:tcPr>
          <w:p w14:paraId="3C19543B" w14:textId="77777777" w:rsidR="006300B6" w:rsidRPr="000546A6" w:rsidRDefault="00CC7671">
            <w:pPr>
              <w:rPr>
                <w:rFonts w:ascii="Arial" w:hAnsi="Arial" w:cs="Arial"/>
                <w:sz w:val="20"/>
                <w:szCs w:val="20"/>
                <w:lang w:val="fr-FR"/>
              </w:rPr>
            </w:pPr>
            <w:r w:rsidRPr="000546A6">
              <w:rPr>
                <w:rFonts w:ascii="Arial" w:hAnsi="Arial" w:cs="Arial"/>
                <w:sz w:val="20"/>
                <w:szCs w:val="20"/>
                <w:lang w:val="fr-FR"/>
              </w:rPr>
              <w:t xml:space="preserve">Résultat 2.1 : Compiler les informations de base nécessaires à la conservation du lynx d'Asie centrale </w:t>
            </w:r>
            <w:r w:rsidRPr="000546A6">
              <w:rPr>
                <w:rFonts w:ascii="Arial" w:hAnsi="Arial" w:cs="Arial"/>
                <w:i/>
                <w:iCs/>
                <w:sz w:val="20"/>
                <w:szCs w:val="20"/>
                <w:lang w:val="fr-FR"/>
              </w:rPr>
              <w:t xml:space="preserve">L. l. </w:t>
            </w:r>
            <w:proofErr w:type="spellStart"/>
            <w:r w:rsidRPr="000546A6">
              <w:rPr>
                <w:rFonts w:ascii="Arial" w:hAnsi="Arial" w:cs="Arial"/>
                <w:i/>
                <w:iCs/>
                <w:sz w:val="20"/>
                <w:szCs w:val="20"/>
                <w:lang w:val="fr-FR"/>
              </w:rPr>
              <w:t>isabellinus</w:t>
            </w:r>
            <w:proofErr w:type="spellEnd"/>
            <w:r w:rsidRPr="000546A6">
              <w:rPr>
                <w:rFonts w:ascii="Arial" w:hAnsi="Arial" w:cs="Arial"/>
                <w:sz w:val="20"/>
                <w:szCs w:val="20"/>
                <w:lang w:val="fr-FR"/>
              </w:rPr>
              <w:t xml:space="preserve"> et utiliser ces activités pour établir des réseaux et renforcer les moyens locaux</w:t>
            </w:r>
          </w:p>
        </w:tc>
      </w:tr>
      <w:tr w:rsidR="006300B6" w:rsidRPr="000546A6" w14:paraId="434936A6" w14:textId="77777777" w:rsidTr="004713A6">
        <w:tc>
          <w:tcPr>
            <w:tcW w:w="2059" w:type="pct"/>
          </w:tcPr>
          <w:p w14:paraId="3B13F9DC" w14:textId="77777777" w:rsidR="006300B6" w:rsidRPr="000546A6" w:rsidRDefault="00CC7671">
            <w:pPr>
              <w:rPr>
                <w:rFonts w:ascii="Arial" w:hAnsi="Arial" w:cs="Arial"/>
                <w:sz w:val="20"/>
                <w:szCs w:val="20"/>
                <w:lang w:val="fr-FR"/>
              </w:rPr>
            </w:pPr>
            <w:r w:rsidRPr="000546A6">
              <w:rPr>
                <w:rFonts w:ascii="Arial" w:hAnsi="Arial" w:cs="Arial"/>
                <w:sz w:val="20"/>
                <w:szCs w:val="20"/>
                <w:lang w:val="fr-FR"/>
              </w:rPr>
              <w:t xml:space="preserve">A 2.1.1. Contacter les États de l'aire de répartition au sujet de la soumission d'une proposition pour inclure le </w:t>
            </w:r>
            <w:r w:rsidRPr="000546A6">
              <w:rPr>
                <w:rFonts w:ascii="Arial" w:hAnsi="Arial" w:cs="Arial"/>
                <w:i/>
                <w:iCs/>
                <w:sz w:val="20"/>
                <w:szCs w:val="20"/>
                <w:lang w:val="fr-FR"/>
              </w:rPr>
              <w:t xml:space="preserve">L. l. </w:t>
            </w:r>
            <w:proofErr w:type="spellStart"/>
            <w:r w:rsidRPr="000546A6">
              <w:rPr>
                <w:rFonts w:ascii="Arial" w:hAnsi="Arial" w:cs="Arial"/>
                <w:i/>
                <w:iCs/>
                <w:sz w:val="20"/>
                <w:szCs w:val="20"/>
                <w:lang w:val="fr-FR"/>
              </w:rPr>
              <w:t>isabellinus</w:t>
            </w:r>
            <w:proofErr w:type="spellEnd"/>
            <w:r w:rsidRPr="000546A6">
              <w:rPr>
                <w:rFonts w:ascii="Arial" w:hAnsi="Arial" w:cs="Arial"/>
                <w:sz w:val="20"/>
                <w:szCs w:val="20"/>
                <w:lang w:val="fr-FR"/>
              </w:rPr>
              <w:t xml:space="preserve"> dans l'Initiative pour les mammifères d'Asie centrale de la Convention sur la conservation des espèces migratrices appartenant à la faune sauvage.</w:t>
            </w:r>
          </w:p>
        </w:tc>
        <w:tc>
          <w:tcPr>
            <w:tcW w:w="749" w:type="pct"/>
          </w:tcPr>
          <w:p w14:paraId="08653408" w14:textId="77777777" w:rsidR="006300B6" w:rsidRPr="000546A6" w:rsidRDefault="00CC7671">
            <w:pPr>
              <w:rPr>
                <w:rFonts w:ascii="Arial" w:hAnsi="Arial" w:cs="Arial"/>
                <w:sz w:val="20"/>
                <w:szCs w:val="20"/>
                <w:lang w:val="fr-FR"/>
              </w:rPr>
            </w:pPr>
            <w:r w:rsidRPr="000546A6">
              <w:rPr>
                <w:rFonts w:ascii="Arial" w:hAnsi="Arial" w:cs="Arial"/>
                <w:i/>
                <w:iCs/>
                <w:sz w:val="20"/>
                <w:szCs w:val="20"/>
                <w:lang w:val="fr-FR"/>
              </w:rPr>
              <w:t xml:space="preserve">Le L. l. </w:t>
            </w:r>
            <w:proofErr w:type="spellStart"/>
            <w:r w:rsidRPr="000546A6">
              <w:rPr>
                <w:rFonts w:ascii="Arial" w:hAnsi="Arial" w:cs="Arial"/>
                <w:i/>
                <w:iCs/>
                <w:sz w:val="20"/>
                <w:szCs w:val="20"/>
                <w:lang w:val="fr-FR"/>
              </w:rPr>
              <w:t>isabellinus</w:t>
            </w:r>
            <w:proofErr w:type="spellEnd"/>
            <w:r w:rsidRPr="000546A6">
              <w:rPr>
                <w:rFonts w:ascii="Arial" w:hAnsi="Arial" w:cs="Arial"/>
                <w:sz w:val="20"/>
                <w:szCs w:val="20"/>
                <w:lang w:val="fr-FR"/>
              </w:rPr>
              <w:t xml:space="preserve"> inscrit sous l'Initiative pour les mammifères d'Asie centrale de la Convention sur la conservation des espèces migratrices appartenant à la faune sauvage</w:t>
            </w:r>
          </w:p>
        </w:tc>
        <w:tc>
          <w:tcPr>
            <w:tcW w:w="510" w:type="pct"/>
          </w:tcPr>
          <w:p w14:paraId="2D89D8D8" w14:textId="77777777" w:rsidR="006300B6" w:rsidRPr="000546A6" w:rsidRDefault="00CC7671">
            <w:pPr>
              <w:rPr>
                <w:rFonts w:ascii="Arial" w:hAnsi="Arial" w:cs="Arial"/>
                <w:sz w:val="20"/>
                <w:szCs w:val="20"/>
                <w:lang w:val="fr-FR"/>
              </w:rPr>
            </w:pPr>
            <w:r w:rsidRPr="000546A6">
              <w:rPr>
                <w:rFonts w:ascii="Arial" w:hAnsi="Arial" w:cs="Arial"/>
                <w:sz w:val="20"/>
                <w:szCs w:val="20"/>
                <w:lang w:val="fr-FR"/>
              </w:rPr>
              <w:t>Mars 2024</w:t>
            </w:r>
          </w:p>
        </w:tc>
        <w:tc>
          <w:tcPr>
            <w:tcW w:w="803" w:type="pct"/>
          </w:tcPr>
          <w:p w14:paraId="1C50AA51" w14:textId="77777777" w:rsidR="006300B6" w:rsidRPr="000546A6" w:rsidRDefault="00CC7671">
            <w:pPr>
              <w:rPr>
                <w:rFonts w:ascii="Arial" w:hAnsi="Arial" w:cs="Arial"/>
                <w:sz w:val="20"/>
                <w:szCs w:val="20"/>
                <w:lang w:val="fr-FR"/>
              </w:rPr>
            </w:pPr>
            <w:r w:rsidRPr="000546A6">
              <w:rPr>
                <w:rFonts w:ascii="Arial" w:hAnsi="Arial" w:cs="Arial"/>
                <w:sz w:val="20"/>
                <w:szCs w:val="20"/>
                <w:lang w:val="fr-FR"/>
              </w:rPr>
              <w:t>UICN</w:t>
            </w:r>
          </w:p>
        </w:tc>
        <w:tc>
          <w:tcPr>
            <w:tcW w:w="879" w:type="pct"/>
          </w:tcPr>
          <w:p w14:paraId="5DA2A2B7" w14:textId="77777777" w:rsidR="006300B6" w:rsidRPr="000546A6" w:rsidRDefault="00CC7671">
            <w:pPr>
              <w:rPr>
                <w:rFonts w:ascii="Arial" w:hAnsi="Arial" w:cs="Arial"/>
                <w:sz w:val="20"/>
                <w:szCs w:val="20"/>
                <w:lang w:val="fr-FR"/>
              </w:rPr>
            </w:pPr>
            <w:r w:rsidRPr="000546A6">
              <w:rPr>
                <w:rFonts w:ascii="Arial" w:hAnsi="Arial" w:cs="Arial"/>
                <w:sz w:val="20"/>
                <w:szCs w:val="20"/>
                <w:lang w:val="fr-FR"/>
              </w:rPr>
              <w:t>s. o.</w:t>
            </w:r>
          </w:p>
        </w:tc>
      </w:tr>
      <w:tr w:rsidR="006300B6" w:rsidRPr="000546A6" w14:paraId="10FB7E49" w14:textId="77777777" w:rsidTr="004713A6">
        <w:tc>
          <w:tcPr>
            <w:tcW w:w="2059" w:type="pct"/>
          </w:tcPr>
          <w:p w14:paraId="6AC254EB" w14:textId="77777777" w:rsidR="006300B6" w:rsidRPr="000546A6" w:rsidRDefault="00CC7671">
            <w:pPr>
              <w:rPr>
                <w:rFonts w:ascii="Arial" w:hAnsi="Arial" w:cs="Arial"/>
                <w:sz w:val="20"/>
                <w:szCs w:val="20"/>
                <w:lang w:val="fr-FR"/>
              </w:rPr>
            </w:pPr>
            <w:r w:rsidRPr="000546A6">
              <w:rPr>
                <w:rFonts w:ascii="Arial" w:hAnsi="Arial" w:cs="Arial"/>
                <w:sz w:val="20"/>
                <w:szCs w:val="20"/>
                <w:lang w:val="fr-FR"/>
              </w:rPr>
              <w:t>A 2.1.2. Créer un réseau d’institutions scientifiques et d’autres organisations à travers l’aire de répartition et former les membres du réseau aux techniques d’étude et à l’évaluation de la Liste rouge</w:t>
            </w:r>
          </w:p>
        </w:tc>
        <w:tc>
          <w:tcPr>
            <w:tcW w:w="749" w:type="pct"/>
          </w:tcPr>
          <w:p w14:paraId="3C40BAAD" w14:textId="77777777" w:rsidR="006300B6" w:rsidRPr="000546A6" w:rsidRDefault="00CC7671">
            <w:pPr>
              <w:rPr>
                <w:rFonts w:ascii="Arial" w:hAnsi="Arial" w:cs="Arial"/>
                <w:sz w:val="20"/>
                <w:szCs w:val="20"/>
                <w:lang w:val="fr-FR"/>
              </w:rPr>
            </w:pPr>
            <w:r w:rsidRPr="000546A6">
              <w:rPr>
                <w:rFonts w:ascii="Arial" w:hAnsi="Arial" w:cs="Arial"/>
                <w:sz w:val="20"/>
                <w:szCs w:val="20"/>
                <w:lang w:val="fr-FR"/>
              </w:rPr>
              <w:t>Réseau fonctionnel</w:t>
            </w:r>
          </w:p>
        </w:tc>
        <w:tc>
          <w:tcPr>
            <w:tcW w:w="510" w:type="pct"/>
          </w:tcPr>
          <w:p w14:paraId="1A4649A1" w14:textId="77777777" w:rsidR="006300B6" w:rsidRPr="000546A6" w:rsidRDefault="00CC7671">
            <w:pPr>
              <w:rPr>
                <w:rFonts w:ascii="Arial" w:hAnsi="Arial" w:cs="Arial"/>
                <w:sz w:val="20"/>
                <w:szCs w:val="20"/>
                <w:lang w:val="fr-FR"/>
              </w:rPr>
            </w:pPr>
            <w:r w:rsidRPr="000546A6">
              <w:rPr>
                <w:rFonts w:ascii="Arial" w:hAnsi="Arial" w:cs="Arial"/>
                <w:sz w:val="20"/>
                <w:szCs w:val="20"/>
                <w:lang w:val="fr-FR"/>
              </w:rPr>
              <w:t>Fin de l'année 2024</w:t>
            </w:r>
          </w:p>
        </w:tc>
        <w:tc>
          <w:tcPr>
            <w:tcW w:w="803" w:type="pct"/>
          </w:tcPr>
          <w:p w14:paraId="1583639B" w14:textId="77777777" w:rsidR="006300B6" w:rsidRPr="000546A6" w:rsidRDefault="00CC7671">
            <w:pPr>
              <w:rPr>
                <w:rFonts w:ascii="Arial" w:hAnsi="Arial" w:cs="Arial"/>
                <w:sz w:val="20"/>
                <w:szCs w:val="20"/>
                <w:lang w:val="fr-FR"/>
              </w:rPr>
            </w:pPr>
            <w:r w:rsidRPr="000546A6">
              <w:rPr>
                <w:rFonts w:ascii="Arial" w:hAnsi="Arial" w:cs="Arial"/>
                <w:sz w:val="20"/>
                <w:szCs w:val="20"/>
                <w:lang w:val="fr-FR"/>
              </w:rPr>
              <w:t>Groupe d'experts des félins de l'UICN et ONG</w:t>
            </w:r>
          </w:p>
        </w:tc>
        <w:tc>
          <w:tcPr>
            <w:tcW w:w="879" w:type="pct"/>
          </w:tcPr>
          <w:p w14:paraId="6C90FB09" w14:textId="77777777" w:rsidR="006300B6" w:rsidRPr="000546A6" w:rsidRDefault="00CC7671">
            <w:pPr>
              <w:rPr>
                <w:rFonts w:ascii="Arial" w:hAnsi="Arial" w:cs="Arial"/>
                <w:sz w:val="20"/>
                <w:szCs w:val="20"/>
                <w:lang w:val="fr-FR"/>
              </w:rPr>
            </w:pPr>
            <w:r w:rsidRPr="000546A6">
              <w:rPr>
                <w:rFonts w:ascii="Arial" w:hAnsi="Arial" w:cs="Arial"/>
                <w:sz w:val="20"/>
                <w:szCs w:val="20"/>
                <w:lang w:val="fr-FR"/>
              </w:rPr>
              <w:t>5 000 $</w:t>
            </w:r>
          </w:p>
        </w:tc>
      </w:tr>
      <w:tr w:rsidR="006300B6" w:rsidRPr="000546A6" w14:paraId="59C95ADB" w14:textId="77777777" w:rsidTr="004713A6">
        <w:tc>
          <w:tcPr>
            <w:tcW w:w="2059" w:type="pct"/>
          </w:tcPr>
          <w:p w14:paraId="1B286D4B" w14:textId="77777777" w:rsidR="006300B6" w:rsidRPr="000546A6" w:rsidRDefault="00CC7671">
            <w:pPr>
              <w:rPr>
                <w:rFonts w:ascii="Arial" w:hAnsi="Arial" w:cs="Arial"/>
                <w:sz w:val="20"/>
                <w:szCs w:val="20"/>
                <w:lang w:val="fr-FR"/>
              </w:rPr>
            </w:pPr>
            <w:r w:rsidRPr="000546A6">
              <w:rPr>
                <w:rFonts w:ascii="Arial" w:hAnsi="Arial" w:cs="Arial"/>
                <w:sz w:val="20"/>
                <w:szCs w:val="20"/>
                <w:lang w:val="fr-FR"/>
              </w:rPr>
              <w:t>A 2.1.3. Examiner la littérature scientifique, les rapports non publiés, les articles de presse et les contributions des médias sociaux au sujet de la présence et de la perception de l'espèce.</w:t>
            </w:r>
          </w:p>
        </w:tc>
        <w:tc>
          <w:tcPr>
            <w:tcW w:w="749" w:type="pct"/>
          </w:tcPr>
          <w:p w14:paraId="78F5A79D" w14:textId="77777777" w:rsidR="006300B6" w:rsidRPr="000546A6" w:rsidRDefault="00CC7671">
            <w:pPr>
              <w:rPr>
                <w:rFonts w:ascii="Arial" w:hAnsi="Arial" w:cs="Arial"/>
                <w:sz w:val="20"/>
                <w:szCs w:val="20"/>
                <w:lang w:val="fr-FR"/>
              </w:rPr>
            </w:pPr>
            <w:r w:rsidRPr="000546A6">
              <w:rPr>
                <w:rFonts w:ascii="Arial" w:hAnsi="Arial" w:cs="Arial"/>
                <w:sz w:val="20"/>
                <w:szCs w:val="20"/>
                <w:lang w:val="fr-FR"/>
              </w:rPr>
              <w:t>Rapport d'examen disponible</w:t>
            </w:r>
          </w:p>
        </w:tc>
        <w:tc>
          <w:tcPr>
            <w:tcW w:w="510" w:type="pct"/>
          </w:tcPr>
          <w:p w14:paraId="032C3C48" w14:textId="77777777" w:rsidR="006300B6" w:rsidRPr="000546A6" w:rsidRDefault="00CC7671">
            <w:pPr>
              <w:rPr>
                <w:rFonts w:ascii="Arial" w:hAnsi="Arial" w:cs="Arial"/>
                <w:sz w:val="20"/>
                <w:szCs w:val="20"/>
                <w:lang w:val="fr-FR"/>
              </w:rPr>
            </w:pPr>
            <w:r w:rsidRPr="000546A6">
              <w:rPr>
                <w:rFonts w:ascii="Arial" w:hAnsi="Arial" w:cs="Arial"/>
                <w:sz w:val="20"/>
                <w:szCs w:val="20"/>
                <w:lang w:val="fr-FR"/>
              </w:rPr>
              <w:t>Fin de l'année 2024</w:t>
            </w:r>
          </w:p>
        </w:tc>
        <w:tc>
          <w:tcPr>
            <w:tcW w:w="803" w:type="pct"/>
          </w:tcPr>
          <w:p w14:paraId="53114E94" w14:textId="77777777" w:rsidR="006300B6" w:rsidRPr="000546A6" w:rsidRDefault="00CC7671">
            <w:pPr>
              <w:rPr>
                <w:rFonts w:ascii="Arial" w:hAnsi="Arial" w:cs="Arial"/>
                <w:sz w:val="20"/>
                <w:szCs w:val="20"/>
                <w:lang w:val="fr-FR"/>
              </w:rPr>
            </w:pPr>
            <w:r w:rsidRPr="000546A6">
              <w:rPr>
                <w:rFonts w:ascii="Arial" w:hAnsi="Arial" w:cs="Arial"/>
                <w:sz w:val="20"/>
                <w:szCs w:val="20"/>
                <w:lang w:val="fr-FR"/>
              </w:rPr>
              <w:t>Experts du réseau, UICN, ONG</w:t>
            </w:r>
          </w:p>
        </w:tc>
        <w:tc>
          <w:tcPr>
            <w:tcW w:w="879" w:type="pct"/>
          </w:tcPr>
          <w:p w14:paraId="5A0054FD" w14:textId="77777777" w:rsidR="006300B6" w:rsidRPr="000546A6" w:rsidRDefault="00CC7671">
            <w:pPr>
              <w:rPr>
                <w:rFonts w:ascii="Arial" w:hAnsi="Arial" w:cs="Arial"/>
                <w:sz w:val="20"/>
                <w:szCs w:val="20"/>
                <w:lang w:val="fr-FR"/>
              </w:rPr>
            </w:pPr>
            <w:r w:rsidRPr="000546A6">
              <w:rPr>
                <w:rFonts w:ascii="Arial" w:hAnsi="Arial" w:cs="Arial"/>
                <w:sz w:val="20"/>
                <w:szCs w:val="20"/>
                <w:lang w:val="fr-FR"/>
              </w:rPr>
              <w:t>À définir</w:t>
            </w:r>
          </w:p>
        </w:tc>
      </w:tr>
      <w:tr w:rsidR="006300B6" w:rsidRPr="000546A6" w14:paraId="5B327161" w14:textId="77777777" w:rsidTr="004713A6">
        <w:tc>
          <w:tcPr>
            <w:tcW w:w="2059" w:type="pct"/>
          </w:tcPr>
          <w:p w14:paraId="1CAF6172" w14:textId="77777777" w:rsidR="006300B6" w:rsidRPr="000546A6" w:rsidRDefault="00CC7671">
            <w:pPr>
              <w:rPr>
                <w:rFonts w:ascii="Arial" w:hAnsi="Arial" w:cs="Arial"/>
                <w:sz w:val="20"/>
                <w:szCs w:val="20"/>
                <w:lang w:val="fr-FR"/>
              </w:rPr>
            </w:pPr>
            <w:r w:rsidRPr="000546A6">
              <w:rPr>
                <w:rFonts w:ascii="Arial" w:hAnsi="Arial" w:cs="Arial"/>
                <w:sz w:val="20"/>
                <w:szCs w:val="20"/>
                <w:lang w:val="fr-FR"/>
              </w:rPr>
              <w:t xml:space="preserve">A 2.1.4. Examiner toutes les sources disponibles pour trouver des photos du </w:t>
            </w:r>
            <w:r w:rsidRPr="000546A6">
              <w:rPr>
                <w:rFonts w:ascii="Arial" w:hAnsi="Arial" w:cs="Arial"/>
                <w:i/>
                <w:iCs/>
                <w:sz w:val="20"/>
                <w:szCs w:val="20"/>
                <w:lang w:val="fr-FR"/>
              </w:rPr>
              <w:t xml:space="preserve">L. l. </w:t>
            </w:r>
            <w:proofErr w:type="spellStart"/>
            <w:r w:rsidRPr="000546A6">
              <w:rPr>
                <w:rFonts w:ascii="Arial" w:hAnsi="Arial" w:cs="Arial"/>
                <w:i/>
                <w:iCs/>
                <w:sz w:val="20"/>
                <w:szCs w:val="20"/>
                <w:lang w:val="fr-FR"/>
              </w:rPr>
              <w:t>isabellinus</w:t>
            </w:r>
            <w:proofErr w:type="spellEnd"/>
            <w:r w:rsidRPr="000546A6">
              <w:rPr>
                <w:rFonts w:ascii="Arial" w:hAnsi="Arial" w:cs="Arial"/>
                <w:sz w:val="20"/>
                <w:szCs w:val="20"/>
                <w:lang w:val="fr-FR"/>
              </w:rPr>
              <w:t xml:space="preserve"> (par ex. projets de piégeage photographique, plateformes de photographie de la vie sauvage, réseaux sociaux).</w:t>
            </w:r>
          </w:p>
        </w:tc>
        <w:tc>
          <w:tcPr>
            <w:tcW w:w="749" w:type="pct"/>
          </w:tcPr>
          <w:p w14:paraId="0F3A1CBF" w14:textId="77777777" w:rsidR="006300B6" w:rsidRPr="000546A6" w:rsidRDefault="00CC7671">
            <w:pPr>
              <w:rPr>
                <w:rFonts w:ascii="Arial" w:hAnsi="Arial" w:cs="Arial"/>
                <w:sz w:val="20"/>
                <w:szCs w:val="20"/>
                <w:lang w:val="fr-FR"/>
              </w:rPr>
            </w:pPr>
            <w:r w:rsidRPr="000546A6">
              <w:rPr>
                <w:rFonts w:ascii="Arial" w:hAnsi="Arial" w:cs="Arial"/>
                <w:sz w:val="20"/>
                <w:szCs w:val="20"/>
                <w:lang w:val="fr-FR"/>
              </w:rPr>
              <w:t>Base de données d'images compilée, lacunes identifiées</w:t>
            </w:r>
          </w:p>
        </w:tc>
        <w:tc>
          <w:tcPr>
            <w:tcW w:w="510" w:type="pct"/>
          </w:tcPr>
          <w:p w14:paraId="436D860E" w14:textId="77777777" w:rsidR="006300B6" w:rsidRPr="000546A6" w:rsidRDefault="00CC7671">
            <w:pPr>
              <w:rPr>
                <w:rFonts w:ascii="Arial" w:hAnsi="Arial" w:cs="Arial"/>
                <w:sz w:val="20"/>
                <w:szCs w:val="20"/>
                <w:lang w:val="fr-FR"/>
              </w:rPr>
            </w:pPr>
            <w:r w:rsidRPr="000546A6">
              <w:rPr>
                <w:rFonts w:ascii="Arial" w:hAnsi="Arial" w:cs="Arial"/>
                <w:sz w:val="20"/>
                <w:szCs w:val="20"/>
                <w:lang w:val="fr-FR"/>
              </w:rPr>
              <w:t>Fin de l'année 2024</w:t>
            </w:r>
          </w:p>
        </w:tc>
        <w:tc>
          <w:tcPr>
            <w:tcW w:w="803" w:type="pct"/>
          </w:tcPr>
          <w:p w14:paraId="5BBCA98A" w14:textId="77777777" w:rsidR="006300B6" w:rsidRPr="000546A6" w:rsidRDefault="00CC7671">
            <w:pPr>
              <w:rPr>
                <w:rFonts w:ascii="Arial" w:hAnsi="Arial" w:cs="Arial"/>
                <w:sz w:val="20"/>
                <w:szCs w:val="20"/>
                <w:lang w:val="fr-FR"/>
              </w:rPr>
            </w:pPr>
            <w:r w:rsidRPr="000546A6">
              <w:rPr>
                <w:rFonts w:ascii="Arial" w:hAnsi="Arial" w:cs="Arial"/>
                <w:sz w:val="20"/>
                <w:szCs w:val="20"/>
                <w:lang w:val="fr-FR"/>
              </w:rPr>
              <w:t>Experts du réseau, UICN, ONG</w:t>
            </w:r>
          </w:p>
        </w:tc>
        <w:tc>
          <w:tcPr>
            <w:tcW w:w="879" w:type="pct"/>
          </w:tcPr>
          <w:p w14:paraId="6FC106E5" w14:textId="77777777" w:rsidR="006300B6" w:rsidRPr="000546A6" w:rsidRDefault="00CC7671">
            <w:pPr>
              <w:rPr>
                <w:rFonts w:ascii="Arial" w:hAnsi="Arial" w:cs="Arial"/>
                <w:sz w:val="20"/>
                <w:szCs w:val="20"/>
                <w:lang w:val="fr-FR"/>
              </w:rPr>
            </w:pPr>
            <w:r w:rsidRPr="000546A6">
              <w:rPr>
                <w:rFonts w:ascii="Arial" w:hAnsi="Arial" w:cs="Arial"/>
                <w:sz w:val="20"/>
                <w:szCs w:val="20"/>
                <w:lang w:val="fr-FR"/>
              </w:rPr>
              <w:t>À définir</w:t>
            </w:r>
          </w:p>
        </w:tc>
      </w:tr>
      <w:tr w:rsidR="006300B6" w:rsidRPr="000546A6" w14:paraId="5E942C39" w14:textId="77777777" w:rsidTr="004713A6">
        <w:tc>
          <w:tcPr>
            <w:tcW w:w="2059" w:type="pct"/>
          </w:tcPr>
          <w:p w14:paraId="39348F8C" w14:textId="77777777" w:rsidR="006300B6" w:rsidRPr="000546A6" w:rsidRDefault="00CC7671">
            <w:pPr>
              <w:rPr>
                <w:rFonts w:ascii="Arial" w:hAnsi="Arial" w:cs="Arial"/>
                <w:sz w:val="20"/>
                <w:szCs w:val="20"/>
                <w:lang w:val="fr-FR"/>
              </w:rPr>
            </w:pPr>
            <w:r w:rsidRPr="000546A6">
              <w:rPr>
                <w:rFonts w:ascii="Arial" w:hAnsi="Arial" w:cs="Arial"/>
                <w:sz w:val="20"/>
                <w:szCs w:val="20"/>
                <w:lang w:val="fr-FR"/>
              </w:rPr>
              <w:t>A 2.1.5. Réaliser une étude au moyen de questionnaires basés sur une grille standard ou sur des unités de gestion adéquates dans tous les États de l'aire de répartition.</w:t>
            </w:r>
          </w:p>
        </w:tc>
        <w:tc>
          <w:tcPr>
            <w:tcW w:w="749" w:type="pct"/>
          </w:tcPr>
          <w:p w14:paraId="3073CA9F" w14:textId="77777777" w:rsidR="006300B6" w:rsidRPr="000546A6" w:rsidRDefault="00CC7671">
            <w:pPr>
              <w:rPr>
                <w:rFonts w:ascii="Arial" w:hAnsi="Arial" w:cs="Arial"/>
                <w:sz w:val="20"/>
                <w:szCs w:val="20"/>
                <w:lang w:val="fr-FR"/>
              </w:rPr>
            </w:pPr>
            <w:r w:rsidRPr="000546A6">
              <w:rPr>
                <w:rFonts w:ascii="Arial" w:hAnsi="Arial" w:cs="Arial"/>
                <w:sz w:val="20"/>
                <w:szCs w:val="20"/>
                <w:lang w:val="fr-FR"/>
              </w:rPr>
              <w:t>Étude réalisée, lacunes identifiées</w:t>
            </w:r>
          </w:p>
        </w:tc>
        <w:tc>
          <w:tcPr>
            <w:tcW w:w="510" w:type="pct"/>
          </w:tcPr>
          <w:p w14:paraId="65310AA7" w14:textId="77777777" w:rsidR="006300B6" w:rsidRPr="000546A6" w:rsidRDefault="00CC7671">
            <w:pPr>
              <w:rPr>
                <w:rFonts w:ascii="Arial" w:hAnsi="Arial" w:cs="Arial"/>
                <w:sz w:val="20"/>
                <w:szCs w:val="20"/>
                <w:lang w:val="fr-FR"/>
              </w:rPr>
            </w:pPr>
            <w:r w:rsidRPr="000546A6">
              <w:rPr>
                <w:rFonts w:ascii="Arial" w:hAnsi="Arial" w:cs="Arial"/>
                <w:sz w:val="20"/>
                <w:szCs w:val="20"/>
                <w:lang w:val="fr-FR"/>
              </w:rPr>
              <w:t>Mi-2026</w:t>
            </w:r>
          </w:p>
        </w:tc>
        <w:tc>
          <w:tcPr>
            <w:tcW w:w="803" w:type="pct"/>
          </w:tcPr>
          <w:p w14:paraId="2572A128" w14:textId="77777777" w:rsidR="006300B6" w:rsidRPr="000546A6" w:rsidRDefault="00CC7671">
            <w:pPr>
              <w:rPr>
                <w:rFonts w:ascii="Arial" w:hAnsi="Arial" w:cs="Arial"/>
                <w:sz w:val="20"/>
                <w:szCs w:val="20"/>
                <w:lang w:val="fr-FR"/>
              </w:rPr>
            </w:pPr>
            <w:r w:rsidRPr="000546A6">
              <w:rPr>
                <w:rFonts w:ascii="Arial" w:hAnsi="Arial" w:cs="Arial"/>
                <w:sz w:val="20"/>
                <w:szCs w:val="20"/>
                <w:lang w:val="fr-FR"/>
              </w:rPr>
              <w:t>Experts du réseau, ONG</w:t>
            </w:r>
          </w:p>
        </w:tc>
        <w:tc>
          <w:tcPr>
            <w:tcW w:w="879" w:type="pct"/>
          </w:tcPr>
          <w:p w14:paraId="399D3201" w14:textId="77777777" w:rsidR="006300B6" w:rsidRPr="000546A6" w:rsidRDefault="00CC7671">
            <w:pPr>
              <w:rPr>
                <w:rFonts w:ascii="Arial" w:hAnsi="Arial" w:cs="Arial"/>
                <w:sz w:val="20"/>
                <w:szCs w:val="20"/>
                <w:lang w:val="fr-FR"/>
              </w:rPr>
            </w:pPr>
            <w:r w:rsidRPr="000546A6">
              <w:rPr>
                <w:rFonts w:ascii="Arial" w:hAnsi="Arial" w:cs="Arial"/>
                <w:sz w:val="20"/>
                <w:szCs w:val="20"/>
                <w:lang w:val="fr-FR"/>
              </w:rPr>
              <w:t>À définir</w:t>
            </w:r>
          </w:p>
        </w:tc>
      </w:tr>
      <w:tr w:rsidR="006300B6" w:rsidRPr="000546A6" w14:paraId="22C9C280" w14:textId="77777777" w:rsidTr="004713A6">
        <w:tc>
          <w:tcPr>
            <w:tcW w:w="2059" w:type="pct"/>
          </w:tcPr>
          <w:p w14:paraId="75717B11" w14:textId="77777777" w:rsidR="006300B6" w:rsidRPr="000546A6" w:rsidRDefault="00CC7671">
            <w:pPr>
              <w:rPr>
                <w:rFonts w:ascii="Arial" w:hAnsi="Arial" w:cs="Arial"/>
                <w:sz w:val="20"/>
                <w:szCs w:val="20"/>
                <w:lang w:val="fr-FR"/>
              </w:rPr>
            </w:pPr>
            <w:r w:rsidRPr="000546A6">
              <w:rPr>
                <w:rFonts w:ascii="Arial" w:hAnsi="Arial" w:cs="Arial"/>
                <w:sz w:val="20"/>
                <w:szCs w:val="20"/>
                <w:lang w:val="fr-FR"/>
              </w:rPr>
              <w:t xml:space="preserve">A 2.2.6. Compiler les informations de A 2.1.2−4 dans un rapport d'étude sur le </w:t>
            </w:r>
            <w:r w:rsidRPr="000546A6">
              <w:rPr>
                <w:rFonts w:ascii="Arial" w:hAnsi="Arial" w:cs="Arial"/>
                <w:i/>
                <w:iCs/>
                <w:sz w:val="20"/>
                <w:szCs w:val="20"/>
                <w:lang w:val="fr-FR"/>
              </w:rPr>
              <w:t xml:space="preserve">L. l. </w:t>
            </w:r>
            <w:proofErr w:type="spellStart"/>
            <w:r w:rsidRPr="000546A6">
              <w:rPr>
                <w:rFonts w:ascii="Arial" w:hAnsi="Arial" w:cs="Arial"/>
                <w:i/>
                <w:iCs/>
                <w:sz w:val="20"/>
                <w:szCs w:val="20"/>
                <w:lang w:val="fr-FR"/>
              </w:rPr>
              <w:t>isabellinus</w:t>
            </w:r>
            <w:proofErr w:type="spellEnd"/>
            <w:r w:rsidRPr="000546A6">
              <w:rPr>
                <w:rFonts w:ascii="Arial" w:hAnsi="Arial" w:cs="Arial"/>
                <w:sz w:val="20"/>
                <w:szCs w:val="20"/>
                <w:lang w:val="fr-FR"/>
              </w:rPr>
              <w:t xml:space="preserve"> et réaliser une évaluation de la Liste rouge et, si possible, une évaluation du statut Vert selon les protocoles de l'Union internationale pour la conservation de la nature (UICN) en coopération avec les experts des pays de l'aire de répartition.</w:t>
            </w:r>
          </w:p>
        </w:tc>
        <w:tc>
          <w:tcPr>
            <w:tcW w:w="749" w:type="pct"/>
          </w:tcPr>
          <w:p w14:paraId="1D8B3EC1" w14:textId="77777777" w:rsidR="006300B6" w:rsidRPr="000546A6" w:rsidRDefault="00CC7671">
            <w:pPr>
              <w:rPr>
                <w:rFonts w:ascii="Arial" w:hAnsi="Arial" w:cs="Arial"/>
                <w:sz w:val="20"/>
                <w:szCs w:val="20"/>
                <w:lang w:val="fr-FR"/>
              </w:rPr>
            </w:pPr>
            <w:r w:rsidRPr="000546A6">
              <w:rPr>
                <w:rFonts w:ascii="Arial" w:hAnsi="Arial" w:cs="Arial"/>
                <w:sz w:val="20"/>
                <w:szCs w:val="20"/>
                <w:lang w:val="fr-FR"/>
              </w:rPr>
              <w:t>Rapport disponible, évaluation de la Liste rouge et de l'état écologique réalisés et soumis</w:t>
            </w:r>
          </w:p>
        </w:tc>
        <w:tc>
          <w:tcPr>
            <w:tcW w:w="510" w:type="pct"/>
          </w:tcPr>
          <w:p w14:paraId="01F32418" w14:textId="77777777" w:rsidR="006300B6" w:rsidRPr="000546A6" w:rsidRDefault="00CC7671">
            <w:pPr>
              <w:rPr>
                <w:rFonts w:ascii="Arial" w:hAnsi="Arial" w:cs="Arial"/>
                <w:sz w:val="20"/>
                <w:szCs w:val="20"/>
                <w:lang w:val="fr-FR"/>
              </w:rPr>
            </w:pPr>
            <w:r w:rsidRPr="000546A6">
              <w:rPr>
                <w:rFonts w:ascii="Arial" w:hAnsi="Arial" w:cs="Arial"/>
                <w:sz w:val="20"/>
                <w:szCs w:val="20"/>
                <w:lang w:val="fr-FR"/>
              </w:rPr>
              <w:t>Automne 2026</w:t>
            </w:r>
          </w:p>
        </w:tc>
        <w:tc>
          <w:tcPr>
            <w:tcW w:w="803" w:type="pct"/>
          </w:tcPr>
          <w:p w14:paraId="67BC661D" w14:textId="77777777" w:rsidR="006300B6" w:rsidRPr="000546A6" w:rsidRDefault="00CC7671">
            <w:pPr>
              <w:rPr>
                <w:rFonts w:ascii="Arial" w:hAnsi="Arial" w:cs="Arial"/>
                <w:sz w:val="20"/>
                <w:szCs w:val="20"/>
                <w:lang w:val="fr-FR"/>
              </w:rPr>
            </w:pPr>
            <w:r w:rsidRPr="000546A6">
              <w:rPr>
                <w:rFonts w:ascii="Arial" w:hAnsi="Arial" w:cs="Arial"/>
                <w:sz w:val="20"/>
                <w:szCs w:val="20"/>
                <w:lang w:val="fr-FR"/>
              </w:rPr>
              <w:t>Experts du réseau, UICN, ONG</w:t>
            </w:r>
          </w:p>
        </w:tc>
        <w:tc>
          <w:tcPr>
            <w:tcW w:w="879" w:type="pct"/>
          </w:tcPr>
          <w:p w14:paraId="41A6459F" w14:textId="77777777" w:rsidR="006300B6" w:rsidRPr="000546A6" w:rsidRDefault="00CC7671">
            <w:pPr>
              <w:rPr>
                <w:rFonts w:ascii="Arial" w:hAnsi="Arial" w:cs="Arial"/>
                <w:sz w:val="20"/>
                <w:szCs w:val="20"/>
                <w:lang w:val="fr-FR"/>
              </w:rPr>
            </w:pPr>
            <w:r w:rsidRPr="000546A6">
              <w:rPr>
                <w:rFonts w:ascii="Arial" w:hAnsi="Arial" w:cs="Arial"/>
                <w:sz w:val="20"/>
                <w:szCs w:val="20"/>
                <w:lang w:val="fr-FR"/>
              </w:rPr>
              <w:t>À définir</w:t>
            </w:r>
          </w:p>
        </w:tc>
      </w:tr>
    </w:tbl>
    <w:p w14:paraId="11642E42" w14:textId="77777777" w:rsidR="0010549E" w:rsidRDefault="0010549E">
      <w:r>
        <w:br w:type="page"/>
      </w:r>
    </w:p>
    <w:tbl>
      <w:tblPr>
        <w:tblStyle w:val="TableGrid1"/>
        <w:tblW w:w="5593" w:type="pct"/>
        <w:tblInd w:w="-284" w:type="dxa"/>
        <w:tblLook w:val="04A0" w:firstRow="1" w:lastRow="0" w:firstColumn="1" w:lastColumn="0" w:noHBand="0" w:noVBand="1"/>
      </w:tblPr>
      <w:tblGrid>
        <w:gridCol w:w="4158"/>
        <w:gridCol w:w="1512"/>
        <w:gridCol w:w="1030"/>
        <w:gridCol w:w="1621"/>
        <w:gridCol w:w="1775"/>
      </w:tblGrid>
      <w:tr w:rsidR="006300B6" w:rsidRPr="006906AC" w14:paraId="3526681A" w14:textId="77777777" w:rsidTr="004713A6">
        <w:tc>
          <w:tcPr>
            <w:tcW w:w="5000" w:type="pct"/>
            <w:gridSpan w:val="5"/>
            <w:shd w:val="clear" w:color="auto" w:fill="C5E0B3"/>
          </w:tcPr>
          <w:p w14:paraId="313764E5" w14:textId="755678C6" w:rsidR="006300B6" w:rsidRPr="000546A6" w:rsidRDefault="00CC7671">
            <w:pPr>
              <w:rPr>
                <w:rFonts w:ascii="Arial" w:hAnsi="Arial" w:cs="Arial"/>
                <w:sz w:val="20"/>
                <w:szCs w:val="20"/>
                <w:lang w:val="fr-FR"/>
              </w:rPr>
            </w:pPr>
            <w:r w:rsidRPr="000546A6">
              <w:rPr>
                <w:rFonts w:ascii="Arial" w:hAnsi="Arial" w:cs="Arial"/>
                <w:sz w:val="20"/>
                <w:szCs w:val="20"/>
                <w:lang w:val="fr-FR"/>
              </w:rPr>
              <w:lastRenderedPageBreak/>
              <w:t xml:space="preserve">Résultat 2.2 : Compiler les informations de base nécessaires à la conservation du lynx d'Asie du Sud-Ouest </w:t>
            </w:r>
            <w:r w:rsidRPr="000546A6">
              <w:rPr>
                <w:rFonts w:ascii="Arial" w:hAnsi="Arial" w:cs="Arial"/>
                <w:i/>
                <w:iCs/>
                <w:sz w:val="20"/>
                <w:szCs w:val="20"/>
                <w:lang w:val="fr-FR"/>
              </w:rPr>
              <w:t xml:space="preserve">L. l. </w:t>
            </w:r>
            <w:proofErr w:type="spellStart"/>
            <w:r w:rsidRPr="000546A6">
              <w:rPr>
                <w:rFonts w:ascii="Arial" w:hAnsi="Arial" w:cs="Arial"/>
                <w:i/>
                <w:iCs/>
                <w:sz w:val="20"/>
                <w:szCs w:val="20"/>
                <w:lang w:val="fr-FR"/>
              </w:rPr>
              <w:t>dinniki</w:t>
            </w:r>
            <w:proofErr w:type="spellEnd"/>
            <w:r w:rsidRPr="000546A6">
              <w:rPr>
                <w:rFonts w:ascii="Arial" w:hAnsi="Arial" w:cs="Arial"/>
                <w:sz w:val="20"/>
                <w:szCs w:val="20"/>
                <w:lang w:val="fr-FR"/>
              </w:rPr>
              <w:t xml:space="preserve"> et utiliser ces activités pour établir des réseaux et renforcer les moyens locaux</w:t>
            </w:r>
          </w:p>
        </w:tc>
      </w:tr>
      <w:tr w:rsidR="006300B6" w:rsidRPr="000546A6" w14:paraId="642640C3" w14:textId="77777777" w:rsidTr="004713A6">
        <w:tc>
          <w:tcPr>
            <w:tcW w:w="2059" w:type="pct"/>
          </w:tcPr>
          <w:p w14:paraId="1D748F27" w14:textId="77777777" w:rsidR="006300B6" w:rsidRPr="000546A6" w:rsidRDefault="00CC7671">
            <w:pPr>
              <w:rPr>
                <w:rFonts w:ascii="Arial" w:hAnsi="Arial" w:cs="Arial"/>
                <w:sz w:val="20"/>
                <w:szCs w:val="20"/>
                <w:lang w:val="fr-FR"/>
              </w:rPr>
            </w:pPr>
            <w:r w:rsidRPr="000546A6">
              <w:rPr>
                <w:rFonts w:ascii="Arial" w:hAnsi="Arial" w:cs="Arial"/>
                <w:sz w:val="20"/>
                <w:szCs w:val="20"/>
                <w:lang w:val="fr-FR"/>
              </w:rPr>
              <w:t>A 2.2.1. Créer un réseau d'institutions scientifiques et d'autres organisations à travers l'aire de répartition et former les membres du réseau aux techniques d'étude et à l'évaluation de la Liste rouge</w:t>
            </w:r>
          </w:p>
        </w:tc>
        <w:tc>
          <w:tcPr>
            <w:tcW w:w="749" w:type="pct"/>
          </w:tcPr>
          <w:p w14:paraId="1BA49F9D" w14:textId="77777777" w:rsidR="006300B6" w:rsidRPr="000546A6" w:rsidRDefault="00CC7671">
            <w:pPr>
              <w:rPr>
                <w:rFonts w:ascii="Arial" w:hAnsi="Arial" w:cs="Arial"/>
                <w:sz w:val="20"/>
                <w:szCs w:val="20"/>
                <w:lang w:val="fr-FR"/>
              </w:rPr>
            </w:pPr>
            <w:r w:rsidRPr="000546A6">
              <w:rPr>
                <w:rFonts w:ascii="Arial" w:hAnsi="Arial" w:cs="Arial"/>
                <w:sz w:val="20"/>
                <w:szCs w:val="20"/>
                <w:lang w:val="fr-FR"/>
              </w:rPr>
              <w:t>Réseau fonctionnel</w:t>
            </w:r>
          </w:p>
        </w:tc>
        <w:tc>
          <w:tcPr>
            <w:tcW w:w="510" w:type="pct"/>
          </w:tcPr>
          <w:p w14:paraId="158C18B6" w14:textId="77777777" w:rsidR="006300B6" w:rsidRPr="000546A6" w:rsidRDefault="00CC7671">
            <w:pPr>
              <w:rPr>
                <w:rFonts w:ascii="Arial" w:hAnsi="Arial" w:cs="Arial"/>
                <w:sz w:val="20"/>
                <w:szCs w:val="20"/>
                <w:lang w:val="fr-FR"/>
              </w:rPr>
            </w:pPr>
            <w:r w:rsidRPr="000546A6">
              <w:rPr>
                <w:rFonts w:ascii="Arial" w:hAnsi="Arial" w:cs="Arial"/>
                <w:sz w:val="20"/>
                <w:szCs w:val="20"/>
                <w:lang w:val="fr-FR"/>
              </w:rPr>
              <w:t>À partir de 2025 et au-delà</w:t>
            </w:r>
          </w:p>
        </w:tc>
        <w:tc>
          <w:tcPr>
            <w:tcW w:w="803" w:type="pct"/>
          </w:tcPr>
          <w:p w14:paraId="3A9CCD51" w14:textId="77777777" w:rsidR="006300B6" w:rsidRPr="000546A6" w:rsidRDefault="00CC7671">
            <w:pPr>
              <w:rPr>
                <w:rFonts w:ascii="Arial" w:hAnsi="Arial" w:cs="Arial"/>
                <w:sz w:val="20"/>
                <w:szCs w:val="20"/>
                <w:lang w:val="fr-FR"/>
              </w:rPr>
            </w:pPr>
            <w:r w:rsidRPr="000546A6">
              <w:rPr>
                <w:rFonts w:ascii="Arial" w:hAnsi="Arial" w:cs="Arial"/>
                <w:sz w:val="20"/>
                <w:szCs w:val="20"/>
                <w:lang w:val="fr-FR"/>
              </w:rPr>
              <w:t>Groupe d'experts des félins de l'UICN et ONG</w:t>
            </w:r>
          </w:p>
        </w:tc>
        <w:tc>
          <w:tcPr>
            <w:tcW w:w="879" w:type="pct"/>
          </w:tcPr>
          <w:p w14:paraId="2C7D760B" w14:textId="77777777" w:rsidR="006300B6" w:rsidRPr="000546A6" w:rsidRDefault="00CC7671">
            <w:pPr>
              <w:rPr>
                <w:rFonts w:ascii="Arial" w:hAnsi="Arial" w:cs="Arial"/>
                <w:sz w:val="20"/>
                <w:szCs w:val="20"/>
                <w:lang w:val="fr-FR"/>
              </w:rPr>
            </w:pPr>
            <w:r w:rsidRPr="000546A6">
              <w:rPr>
                <w:rFonts w:ascii="Arial" w:hAnsi="Arial" w:cs="Arial"/>
                <w:sz w:val="20"/>
                <w:szCs w:val="20"/>
                <w:lang w:val="fr-FR"/>
              </w:rPr>
              <w:t>5 000 $</w:t>
            </w:r>
          </w:p>
        </w:tc>
      </w:tr>
      <w:tr w:rsidR="006300B6" w:rsidRPr="000546A6" w14:paraId="5C8AD65D" w14:textId="77777777" w:rsidTr="004713A6">
        <w:tc>
          <w:tcPr>
            <w:tcW w:w="2059" w:type="pct"/>
          </w:tcPr>
          <w:p w14:paraId="2A8F5E98" w14:textId="77777777" w:rsidR="006300B6" w:rsidRPr="000546A6" w:rsidRDefault="00CC7671">
            <w:pPr>
              <w:rPr>
                <w:rFonts w:ascii="Arial" w:hAnsi="Arial" w:cs="Arial"/>
                <w:sz w:val="20"/>
                <w:szCs w:val="20"/>
                <w:lang w:val="fr-FR"/>
              </w:rPr>
            </w:pPr>
            <w:r w:rsidRPr="000546A6">
              <w:rPr>
                <w:rFonts w:ascii="Arial" w:hAnsi="Arial" w:cs="Arial"/>
                <w:sz w:val="20"/>
                <w:szCs w:val="20"/>
                <w:lang w:val="fr-FR"/>
              </w:rPr>
              <w:t>A 2.2.2. Examiner la littérature scientifique, les rapports non publiés, les articles de presse et les contributions des médias sociaux au sujet de la présence et de la perception de l'espèce.</w:t>
            </w:r>
          </w:p>
        </w:tc>
        <w:tc>
          <w:tcPr>
            <w:tcW w:w="749" w:type="pct"/>
          </w:tcPr>
          <w:p w14:paraId="592CBA52" w14:textId="77777777" w:rsidR="006300B6" w:rsidRPr="000546A6" w:rsidRDefault="00CC7671">
            <w:pPr>
              <w:rPr>
                <w:rFonts w:ascii="Arial" w:hAnsi="Arial" w:cs="Arial"/>
                <w:sz w:val="20"/>
                <w:szCs w:val="20"/>
                <w:lang w:val="fr-FR"/>
              </w:rPr>
            </w:pPr>
            <w:r w:rsidRPr="000546A6">
              <w:rPr>
                <w:rFonts w:ascii="Arial" w:hAnsi="Arial" w:cs="Arial"/>
                <w:sz w:val="20"/>
                <w:szCs w:val="20"/>
                <w:lang w:val="fr-FR"/>
              </w:rPr>
              <w:t>Rapport d'examen disponible</w:t>
            </w:r>
          </w:p>
        </w:tc>
        <w:tc>
          <w:tcPr>
            <w:tcW w:w="510" w:type="pct"/>
          </w:tcPr>
          <w:p w14:paraId="23F4B21C" w14:textId="77777777" w:rsidR="006300B6" w:rsidRPr="000546A6" w:rsidRDefault="00CC7671">
            <w:pPr>
              <w:rPr>
                <w:rFonts w:ascii="Arial" w:hAnsi="Arial" w:cs="Arial"/>
                <w:sz w:val="20"/>
                <w:szCs w:val="20"/>
                <w:lang w:val="fr-FR"/>
              </w:rPr>
            </w:pPr>
            <w:r w:rsidRPr="000546A6">
              <w:rPr>
                <w:rFonts w:ascii="Arial" w:hAnsi="Arial" w:cs="Arial"/>
                <w:sz w:val="20"/>
                <w:szCs w:val="20"/>
                <w:lang w:val="fr-FR"/>
              </w:rPr>
              <w:t>Fin de l'année 2025</w:t>
            </w:r>
          </w:p>
        </w:tc>
        <w:tc>
          <w:tcPr>
            <w:tcW w:w="803" w:type="pct"/>
          </w:tcPr>
          <w:p w14:paraId="7D61993C" w14:textId="77777777" w:rsidR="006300B6" w:rsidRPr="000546A6" w:rsidRDefault="00CC7671">
            <w:pPr>
              <w:rPr>
                <w:rFonts w:ascii="Arial" w:hAnsi="Arial" w:cs="Arial"/>
                <w:sz w:val="20"/>
                <w:szCs w:val="20"/>
                <w:lang w:val="fr-FR"/>
              </w:rPr>
            </w:pPr>
            <w:r w:rsidRPr="000546A6">
              <w:rPr>
                <w:rFonts w:ascii="Arial" w:hAnsi="Arial" w:cs="Arial"/>
                <w:sz w:val="20"/>
                <w:szCs w:val="20"/>
                <w:lang w:val="fr-FR"/>
              </w:rPr>
              <w:t>Experts du réseau, UICN, ONG</w:t>
            </w:r>
          </w:p>
        </w:tc>
        <w:tc>
          <w:tcPr>
            <w:tcW w:w="879" w:type="pct"/>
          </w:tcPr>
          <w:p w14:paraId="2440946D" w14:textId="77777777" w:rsidR="006300B6" w:rsidRPr="000546A6" w:rsidRDefault="00CC7671">
            <w:pPr>
              <w:rPr>
                <w:rFonts w:ascii="Arial" w:hAnsi="Arial" w:cs="Arial"/>
                <w:sz w:val="20"/>
                <w:szCs w:val="20"/>
                <w:lang w:val="fr-FR"/>
              </w:rPr>
            </w:pPr>
            <w:r w:rsidRPr="000546A6">
              <w:rPr>
                <w:rFonts w:ascii="Arial" w:hAnsi="Arial" w:cs="Arial"/>
                <w:sz w:val="20"/>
                <w:szCs w:val="20"/>
                <w:lang w:val="fr-FR"/>
              </w:rPr>
              <w:t>À définir</w:t>
            </w:r>
          </w:p>
        </w:tc>
      </w:tr>
      <w:tr w:rsidR="006300B6" w:rsidRPr="000546A6" w14:paraId="48EC9241" w14:textId="77777777" w:rsidTr="004713A6">
        <w:tc>
          <w:tcPr>
            <w:tcW w:w="2059" w:type="pct"/>
          </w:tcPr>
          <w:p w14:paraId="554E9389" w14:textId="77777777" w:rsidR="006300B6" w:rsidRPr="000546A6" w:rsidRDefault="00CC7671">
            <w:pPr>
              <w:rPr>
                <w:rFonts w:ascii="Arial" w:hAnsi="Arial" w:cs="Arial"/>
                <w:sz w:val="20"/>
                <w:szCs w:val="20"/>
                <w:lang w:val="fr-FR"/>
              </w:rPr>
            </w:pPr>
            <w:r w:rsidRPr="000546A6">
              <w:rPr>
                <w:rFonts w:ascii="Arial" w:hAnsi="Arial" w:cs="Arial"/>
                <w:sz w:val="20"/>
                <w:szCs w:val="20"/>
                <w:lang w:val="fr-FR"/>
              </w:rPr>
              <w:t xml:space="preserve">A 2.2.3. Examiner toutes les sources disponibles pour trouver des photos du </w:t>
            </w:r>
            <w:r w:rsidRPr="000546A6">
              <w:rPr>
                <w:rFonts w:ascii="Arial" w:hAnsi="Arial" w:cs="Arial"/>
                <w:i/>
                <w:iCs/>
                <w:sz w:val="20"/>
                <w:szCs w:val="20"/>
                <w:lang w:val="fr-FR"/>
              </w:rPr>
              <w:t xml:space="preserve">L. l. </w:t>
            </w:r>
            <w:proofErr w:type="spellStart"/>
            <w:r w:rsidRPr="000546A6">
              <w:rPr>
                <w:rFonts w:ascii="Arial" w:hAnsi="Arial" w:cs="Arial"/>
                <w:i/>
                <w:iCs/>
                <w:sz w:val="20"/>
                <w:szCs w:val="20"/>
                <w:lang w:val="fr-FR"/>
              </w:rPr>
              <w:t>dinniki</w:t>
            </w:r>
            <w:proofErr w:type="spellEnd"/>
            <w:r w:rsidRPr="000546A6">
              <w:rPr>
                <w:rFonts w:ascii="Arial" w:hAnsi="Arial" w:cs="Arial"/>
                <w:sz w:val="20"/>
                <w:szCs w:val="20"/>
                <w:lang w:val="fr-FR"/>
              </w:rPr>
              <w:t xml:space="preserve"> (par ex. projets de piégeage photographique, plateformes de photographie de la vie sauvage, réseaux sociaux).</w:t>
            </w:r>
          </w:p>
        </w:tc>
        <w:tc>
          <w:tcPr>
            <w:tcW w:w="749" w:type="pct"/>
          </w:tcPr>
          <w:p w14:paraId="427EE23C" w14:textId="77777777" w:rsidR="006300B6" w:rsidRPr="000546A6" w:rsidRDefault="00CC7671">
            <w:pPr>
              <w:rPr>
                <w:rFonts w:ascii="Arial" w:hAnsi="Arial" w:cs="Arial"/>
                <w:sz w:val="20"/>
                <w:szCs w:val="20"/>
                <w:lang w:val="fr-FR"/>
              </w:rPr>
            </w:pPr>
            <w:r w:rsidRPr="000546A6">
              <w:rPr>
                <w:rFonts w:ascii="Arial" w:hAnsi="Arial" w:cs="Arial"/>
                <w:sz w:val="20"/>
                <w:szCs w:val="20"/>
                <w:lang w:val="fr-FR"/>
              </w:rPr>
              <w:t>Base de données d'images compilée, lacunes identifiées</w:t>
            </w:r>
          </w:p>
        </w:tc>
        <w:tc>
          <w:tcPr>
            <w:tcW w:w="510" w:type="pct"/>
          </w:tcPr>
          <w:p w14:paraId="18B9EE1E" w14:textId="77777777" w:rsidR="006300B6" w:rsidRPr="000546A6" w:rsidRDefault="00CC7671">
            <w:pPr>
              <w:rPr>
                <w:rFonts w:ascii="Arial" w:hAnsi="Arial" w:cs="Arial"/>
                <w:sz w:val="20"/>
                <w:szCs w:val="20"/>
                <w:lang w:val="fr-FR"/>
              </w:rPr>
            </w:pPr>
            <w:r w:rsidRPr="000546A6">
              <w:rPr>
                <w:rFonts w:ascii="Arial" w:hAnsi="Arial" w:cs="Arial"/>
                <w:sz w:val="20"/>
                <w:szCs w:val="20"/>
                <w:lang w:val="fr-FR"/>
              </w:rPr>
              <w:t>Fin de l'année 2025</w:t>
            </w:r>
          </w:p>
        </w:tc>
        <w:tc>
          <w:tcPr>
            <w:tcW w:w="803" w:type="pct"/>
          </w:tcPr>
          <w:p w14:paraId="2FF0B1F7" w14:textId="77777777" w:rsidR="006300B6" w:rsidRPr="000546A6" w:rsidRDefault="00CC7671">
            <w:pPr>
              <w:rPr>
                <w:rFonts w:ascii="Arial" w:hAnsi="Arial" w:cs="Arial"/>
                <w:sz w:val="20"/>
                <w:szCs w:val="20"/>
                <w:lang w:val="fr-FR"/>
              </w:rPr>
            </w:pPr>
            <w:r w:rsidRPr="000546A6">
              <w:rPr>
                <w:rFonts w:ascii="Arial" w:hAnsi="Arial" w:cs="Arial"/>
                <w:sz w:val="20"/>
                <w:szCs w:val="20"/>
                <w:lang w:val="fr-FR"/>
              </w:rPr>
              <w:t>Experts du réseau, UICN, ONG</w:t>
            </w:r>
          </w:p>
        </w:tc>
        <w:tc>
          <w:tcPr>
            <w:tcW w:w="879" w:type="pct"/>
          </w:tcPr>
          <w:p w14:paraId="3FE82BFE" w14:textId="77777777" w:rsidR="006300B6" w:rsidRPr="000546A6" w:rsidRDefault="00CC7671">
            <w:pPr>
              <w:rPr>
                <w:rFonts w:ascii="Arial" w:hAnsi="Arial" w:cs="Arial"/>
                <w:sz w:val="20"/>
                <w:szCs w:val="20"/>
                <w:lang w:val="fr-FR"/>
              </w:rPr>
            </w:pPr>
            <w:r w:rsidRPr="000546A6">
              <w:rPr>
                <w:rFonts w:ascii="Arial" w:hAnsi="Arial" w:cs="Arial"/>
                <w:sz w:val="20"/>
                <w:szCs w:val="20"/>
                <w:lang w:val="fr-FR"/>
              </w:rPr>
              <w:t>À définir</w:t>
            </w:r>
          </w:p>
        </w:tc>
      </w:tr>
      <w:tr w:rsidR="006300B6" w:rsidRPr="000546A6" w14:paraId="7A4B6ECA" w14:textId="77777777" w:rsidTr="004713A6">
        <w:tc>
          <w:tcPr>
            <w:tcW w:w="2059" w:type="pct"/>
          </w:tcPr>
          <w:p w14:paraId="36B39F6E" w14:textId="77777777" w:rsidR="006300B6" w:rsidRPr="000546A6" w:rsidRDefault="00CC7671">
            <w:pPr>
              <w:rPr>
                <w:rFonts w:ascii="Arial" w:hAnsi="Arial" w:cs="Arial"/>
                <w:sz w:val="20"/>
                <w:szCs w:val="20"/>
                <w:lang w:val="fr-FR"/>
              </w:rPr>
            </w:pPr>
            <w:r w:rsidRPr="000546A6">
              <w:rPr>
                <w:rFonts w:ascii="Arial" w:hAnsi="Arial" w:cs="Arial"/>
                <w:sz w:val="20"/>
                <w:szCs w:val="20"/>
                <w:lang w:val="fr-FR"/>
              </w:rPr>
              <w:t>A 2.2.4. Réaliser une étude au moyen de questionnaires basés sur une grille standard ou sur des unités de gestion adéquates dans tous les États de l'aire de répartition.</w:t>
            </w:r>
          </w:p>
        </w:tc>
        <w:tc>
          <w:tcPr>
            <w:tcW w:w="749" w:type="pct"/>
          </w:tcPr>
          <w:p w14:paraId="23F8144E" w14:textId="77777777" w:rsidR="006300B6" w:rsidRPr="000546A6" w:rsidRDefault="00CC7671">
            <w:pPr>
              <w:rPr>
                <w:rFonts w:ascii="Arial" w:hAnsi="Arial" w:cs="Arial"/>
                <w:sz w:val="20"/>
                <w:szCs w:val="20"/>
                <w:lang w:val="fr-FR"/>
              </w:rPr>
            </w:pPr>
            <w:r w:rsidRPr="000546A6">
              <w:rPr>
                <w:rFonts w:ascii="Arial" w:hAnsi="Arial" w:cs="Arial"/>
                <w:sz w:val="20"/>
                <w:szCs w:val="20"/>
                <w:lang w:val="fr-FR"/>
              </w:rPr>
              <w:t>Étude réalisée, lacunes identifiées</w:t>
            </w:r>
          </w:p>
        </w:tc>
        <w:tc>
          <w:tcPr>
            <w:tcW w:w="510" w:type="pct"/>
          </w:tcPr>
          <w:p w14:paraId="7F2FC9E7" w14:textId="77777777" w:rsidR="006300B6" w:rsidRPr="000546A6" w:rsidRDefault="00CC7671">
            <w:pPr>
              <w:rPr>
                <w:rFonts w:ascii="Arial" w:hAnsi="Arial" w:cs="Arial"/>
                <w:sz w:val="20"/>
                <w:szCs w:val="20"/>
                <w:lang w:val="fr-FR"/>
              </w:rPr>
            </w:pPr>
            <w:r w:rsidRPr="000546A6">
              <w:rPr>
                <w:rFonts w:ascii="Arial" w:hAnsi="Arial" w:cs="Arial"/>
                <w:sz w:val="20"/>
                <w:szCs w:val="20"/>
                <w:lang w:val="fr-FR"/>
              </w:rPr>
              <w:t>Mi-2026</w:t>
            </w:r>
          </w:p>
        </w:tc>
        <w:tc>
          <w:tcPr>
            <w:tcW w:w="803" w:type="pct"/>
          </w:tcPr>
          <w:p w14:paraId="67618D64" w14:textId="77777777" w:rsidR="006300B6" w:rsidRPr="000546A6" w:rsidRDefault="00CC7671">
            <w:pPr>
              <w:rPr>
                <w:rFonts w:ascii="Arial" w:hAnsi="Arial" w:cs="Arial"/>
                <w:sz w:val="20"/>
                <w:szCs w:val="20"/>
                <w:lang w:val="fr-FR"/>
              </w:rPr>
            </w:pPr>
            <w:r w:rsidRPr="000546A6">
              <w:rPr>
                <w:rFonts w:ascii="Arial" w:hAnsi="Arial" w:cs="Arial"/>
                <w:sz w:val="20"/>
                <w:szCs w:val="20"/>
                <w:lang w:val="fr-FR"/>
              </w:rPr>
              <w:t>Experts du réseau, ONG</w:t>
            </w:r>
          </w:p>
        </w:tc>
        <w:tc>
          <w:tcPr>
            <w:tcW w:w="879" w:type="pct"/>
          </w:tcPr>
          <w:p w14:paraId="247A1384" w14:textId="77777777" w:rsidR="006300B6" w:rsidRPr="000546A6" w:rsidRDefault="00CC7671">
            <w:pPr>
              <w:rPr>
                <w:rFonts w:ascii="Arial" w:hAnsi="Arial" w:cs="Arial"/>
                <w:sz w:val="20"/>
                <w:szCs w:val="20"/>
                <w:lang w:val="fr-FR"/>
              </w:rPr>
            </w:pPr>
            <w:r w:rsidRPr="000546A6">
              <w:rPr>
                <w:rFonts w:ascii="Arial" w:hAnsi="Arial" w:cs="Arial"/>
                <w:sz w:val="20"/>
                <w:szCs w:val="20"/>
                <w:lang w:val="fr-FR"/>
              </w:rPr>
              <w:t>À définir</w:t>
            </w:r>
          </w:p>
        </w:tc>
      </w:tr>
      <w:tr w:rsidR="006300B6" w:rsidRPr="000546A6" w14:paraId="034FB5D9" w14:textId="77777777" w:rsidTr="004713A6">
        <w:tc>
          <w:tcPr>
            <w:tcW w:w="2059" w:type="pct"/>
          </w:tcPr>
          <w:p w14:paraId="3AE6324B" w14:textId="77777777" w:rsidR="006300B6" w:rsidRPr="000546A6" w:rsidRDefault="00CC7671">
            <w:pPr>
              <w:rPr>
                <w:rFonts w:ascii="Arial" w:hAnsi="Arial" w:cs="Arial"/>
                <w:sz w:val="20"/>
                <w:szCs w:val="20"/>
                <w:lang w:val="fr-FR"/>
              </w:rPr>
            </w:pPr>
            <w:r w:rsidRPr="000546A6">
              <w:rPr>
                <w:rFonts w:ascii="Arial" w:hAnsi="Arial" w:cs="Arial"/>
                <w:sz w:val="20"/>
                <w:szCs w:val="20"/>
                <w:lang w:val="fr-FR"/>
              </w:rPr>
              <w:t xml:space="preserve">A 2.2.5. Compiler les informations de A 2.1.2−4 dans un rapport d'étude sur le L. l. </w:t>
            </w:r>
            <w:proofErr w:type="spellStart"/>
            <w:r w:rsidRPr="000546A6">
              <w:rPr>
                <w:rFonts w:ascii="Arial" w:hAnsi="Arial" w:cs="Arial"/>
                <w:sz w:val="20"/>
                <w:szCs w:val="20"/>
                <w:lang w:val="fr-FR"/>
              </w:rPr>
              <w:t>dinniki</w:t>
            </w:r>
            <w:proofErr w:type="spellEnd"/>
            <w:r w:rsidRPr="000546A6">
              <w:rPr>
                <w:rFonts w:ascii="Arial" w:hAnsi="Arial" w:cs="Arial"/>
                <w:sz w:val="20"/>
                <w:szCs w:val="20"/>
                <w:lang w:val="fr-FR"/>
              </w:rPr>
              <w:t xml:space="preserve"> et réaliser une évaluation de la Liste rouge et, si possible, une évaluation du statut Vert selon les protocoles de l'Union internationale pour la conservation de la nature (UICN) en coopération avec les experts des pays de l'aire de répartition.</w:t>
            </w:r>
          </w:p>
        </w:tc>
        <w:tc>
          <w:tcPr>
            <w:tcW w:w="749" w:type="pct"/>
          </w:tcPr>
          <w:p w14:paraId="2C244B47" w14:textId="77777777" w:rsidR="006300B6" w:rsidRPr="000546A6" w:rsidRDefault="00CC7671">
            <w:pPr>
              <w:rPr>
                <w:rFonts w:ascii="Arial" w:hAnsi="Arial" w:cs="Arial"/>
                <w:sz w:val="20"/>
                <w:szCs w:val="20"/>
                <w:lang w:val="fr-FR"/>
              </w:rPr>
            </w:pPr>
            <w:r w:rsidRPr="000546A6">
              <w:rPr>
                <w:rFonts w:ascii="Arial" w:hAnsi="Arial" w:cs="Arial"/>
                <w:sz w:val="20"/>
                <w:szCs w:val="20"/>
                <w:lang w:val="fr-FR"/>
              </w:rPr>
              <w:t>Rapport disponible, évaluation de la Liste rouge et de l'état écologique réalisés et soumis</w:t>
            </w:r>
          </w:p>
        </w:tc>
        <w:tc>
          <w:tcPr>
            <w:tcW w:w="510" w:type="pct"/>
          </w:tcPr>
          <w:p w14:paraId="0768A914" w14:textId="77777777" w:rsidR="006300B6" w:rsidRPr="000546A6" w:rsidRDefault="00CC7671">
            <w:pPr>
              <w:rPr>
                <w:rFonts w:ascii="Arial" w:hAnsi="Arial" w:cs="Arial"/>
                <w:sz w:val="20"/>
                <w:szCs w:val="20"/>
                <w:lang w:val="fr-FR"/>
              </w:rPr>
            </w:pPr>
            <w:r w:rsidRPr="000546A6">
              <w:rPr>
                <w:rFonts w:ascii="Arial" w:hAnsi="Arial" w:cs="Arial"/>
                <w:sz w:val="20"/>
                <w:szCs w:val="20"/>
                <w:lang w:val="fr-FR"/>
              </w:rPr>
              <w:t>Fin de l'année 2026</w:t>
            </w:r>
          </w:p>
        </w:tc>
        <w:tc>
          <w:tcPr>
            <w:tcW w:w="803" w:type="pct"/>
          </w:tcPr>
          <w:p w14:paraId="552B2647" w14:textId="77777777" w:rsidR="006300B6" w:rsidRPr="000546A6" w:rsidRDefault="00CC7671">
            <w:pPr>
              <w:rPr>
                <w:rFonts w:ascii="Arial" w:hAnsi="Arial" w:cs="Arial"/>
                <w:sz w:val="20"/>
                <w:szCs w:val="20"/>
                <w:lang w:val="fr-FR"/>
              </w:rPr>
            </w:pPr>
            <w:r w:rsidRPr="000546A6">
              <w:rPr>
                <w:rFonts w:ascii="Arial" w:hAnsi="Arial" w:cs="Arial"/>
                <w:sz w:val="20"/>
                <w:szCs w:val="20"/>
                <w:lang w:val="fr-FR"/>
              </w:rPr>
              <w:t>Experts du réseau, UICN, ONG</w:t>
            </w:r>
          </w:p>
        </w:tc>
        <w:tc>
          <w:tcPr>
            <w:tcW w:w="879" w:type="pct"/>
          </w:tcPr>
          <w:p w14:paraId="73684C9A" w14:textId="77777777" w:rsidR="006300B6" w:rsidRPr="000546A6" w:rsidRDefault="00CC7671">
            <w:pPr>
              <w:rPr>
                <w:rFonts w:ascii="Arial" w:hAnsi="Arial" w:cs="Arial"/>
                <w:sz w:val="20"/>
                <w:szCs w:val="20"/>
                <w:lang w:val="fr-FR"/>
              </w:rPr>
            </w:pPr>
            <w:r w:rsidRPr="000546A6">
              <w:rPr>
                <w:rFonts w:ascii="Arial" w:hAnsi="Arial" w:cs="Arial"/>
                <w:sz w:val="20"/>
                <w:szCs w:val="20"/>
                <w:lang w:val="fr-FR"/>
              </w:rPr>
              <w:t>À définir</w:t>
            </w:r>
          </w:p>
        </w:tc>
      </w:tr>
      <w:bookmarkEnd w:id="4"/>
    </w:tbl>
    <w:p w14:paraId="23FFE9BA" w14:textId="77777777" w:rsidR="006300B6" w:rsidRPr="000546A6" w:rsidRDefault="006300B6">
      <w:pPr>
        <w:autoSpaceDN w:val="0"/>
        <w:spacing w:line="240" w:lineRule="auto"/>
        <w:textAlignment w:val="baseline"/>
        <w:rPr>
          <w:rFonts w:eastAsia="Calibri" w:cs="Arial"/>
          <w:lang w:val="fr-FR"/>
        </w:rPr>
      </w:pPr>
    </w:p>
    <w:sectPr w:rsidR="006300B6" w:rsidRPr="000546A6">
      <w:headerReference w:type="even" r:id="rId18"/>
      <w:headerReference w:type="default" r:id="rId19"/>
      <w:headerReference w:type="first" r:id="rId20"/>
      <w:footerReference w:type="first" r:id="rId21"/>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DF9FE" w14:textId="77777777" w:rsidR="00DF5556" w:rsidRDefault="00DF5556">
      <w:pPr>
        <w:spacing w:after="0" w:line="240" w:lineRule="auto"/>
        <w:rPr>
          <w:lang w:val="fr-FR"/>
        </w:rPr>
      </w:pPr>
      <w:r>
        <w:rPr>
          <w:lang w:val="fr-FR"/>
        </w:rPr>
        <w:separator/>
      </w:r>
    </w:p>
  </w:endnote>
  <w:endnote w:type="continuationSeparator" w:id="0">
    <w:p w14:paraId="6C81901F" w14:textId="77777777" w:rsidR="00DF5556" w:rsidRDefault="00DF5556">
      <w:pPr>
        <w:spacing w:after="0" w:line="240" w:lineRule="auto"/>
        <w:rPr>
          <w:lang w:val="fr-FR"/>
        </w:rPr>
      </w:pPr>
      <w:r>
        <w:rPr>
          <w:lang w:val="fr-FR"/>
        </w:rPr>
        <w:continuationSeparator/>
      </w:r>
    </w:p>
  </w:endnote>
  <w:endnote w:type="continuationNotice" w:id="1">
    <w:p w14:paraId="5804287E" w14:textId="77777777" w:rsidR="00DF5556" w:rsidRDefault="00DF5556">
      <w:pPr>
        <w:spacing w:after="0" w:line="240" w:lineRule="auto"/>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461583"/>
      <w:docPartObj>
        <w:docPartGallery w:val="Page Numbers (Bottom of Page)"/>
        <w:docPartUnique/>
      </w:docPartObj>
    </w:sdtPr>
    <w:sdtEndPr>
      <w:rPr>
        <w:noProof/>
        <w:sz w:val="18"/>
        <w:szCs w:val="18"/>
      </w:rPr>
    </w:sdtEndPr>
    <w:sdtContent>
      <w:p w14:paraId="2839D1BD" w14:textId="77777777" w:rsidR="002E0DE9" w:rsidRPr="00D24DAB" w:rsidRDefault="002E0DE9">
        <w:pPr>
          <w:pStyle w:val="Footer"/>
          <w:jc w:val="center"/>
          <w:rPr>
            <w:sz w:val="18"/>
            <w:szCs w:val="18"/>
          </w:rPr>
        </w:pPr>
        <w:r w:rsidRPr="00D24DAB">
          <w:rPr>
            <w:sz w:val="18"/>
            <w:szCs w:val="18"/>
          </w:rPr>
          <w:fldChar w:fldCharType="begin"/>
        </w:r>
        <w:r w:rsidRPr="00D24DAB">
          <w:rPr>
            <w:sz w:val="18"/>
            <w:szCs w:val="18"/>
          </w:rPr>
          <w:instrText xml:space="preserve"> PAGE   \* MERGEFORMAT </w:instrText>
        </w:r>
        <w:r w:rsidRPr="00D24DAB">
          <w:rPr>
            <w:sz w:val="18"/>
            <w:szCs w:val="18"/>
          </w:rPr>
          <w:fldChar w:fldCharType="separate"/>
        </w:r>
        <w:r w:rsidRPr="00D24DAB">
          <w:rPr>
            <w:noProof/>
            <w:sz w:val="18"/>
            <w:szCs w:val="18"/>
          </w:rPr>
          <w:t>2</w:t>
        </w:r>
        <w:r w:rsidRPr="00D24DAB">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004047876"/>
      <w:docPartObj>
        <w:docPartGallery w:val="Page Numbers (Bottom of Page)"/>
        <w:docPartUnique/>
      </w:docPartObj>
    </w:sdtPr>
    <w:sdtEndPr>
      <w:rPr>
        <w:noProof/>
      </w:rPr>
    </w:sdtEndPr>
    <w:sdtContent>
      <w:p w14:paraId="44868C44" w14:textId="77777777" w:rsidR="0035024E" w:rsidRPr="00D24DAB" w:rsidRDefault="0035024E" w:rsidP="0035024E">
        <w:pPr>
          <w:pStyle w:val="Footer"/>
          <w:jc w:val="center"/>
          <w:rPr>
            <w:sz w:val="18"/>
            <w:szCs w:val="18"/>
          </w:rPr>
        </w:pPr>
        <w:r w:rsidRPr="00D24DAB">
          <w:rPr>
            <w:sz w:val="18"/>
            <w:szCs w:val="18"/>
          </w:rPr>
          <w:fldChar w:fldCharType="begin"/>
        </w:r>
        <w:r w:rsidRPr="00D24DAB">
          <w:rPr>
            <w:sz w:val="18"/>
            <w:szCs w:val="18"/>
          </w:rPr>
          <w:instrText xml:space="preserve"> PAGE   \* MERGEFORMAT </w:instrText>
        </w:r>
        <w:r w:rsidRPr="00D24DAB">
          <w:rPr>
            <w:sz w:val="18"/>
            <w:szCs w:val="18"/>
          </w:rPr>
          <w:fldChar w:fldCharType="separate"/>
        </w:r>
        <w:r w:rsidRPr="00D24DAB">
          <w:rPr>
            <w:noProof/>
            <w:sz w:val="18"/>
            <w:szCs w:val="18"/>
          </w:rPr>
          <w:t>2</w:t>
        </w:r>
        <w:r w:rsidRPr="00D24DAB">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3161673"/>
      <w:docPartObj>
        <w:docPartGallery w:val="Page Numbers (Bottom of Page)"/>
        <w:docPartUnique/>
      </w:docPartObj>
    </w:sdtPr>
    <w:sdtEndPr>
      <w:rPr>
        <w:noProof/>
        <w:sz w:val="18"/>
        <w:szCs w:val="18"/>
      </w:rPr>
    </w:sdtEndPr>
    <w:sdtContent>
      <w:p w14:paraId="7E5FED9D" w14:textId="77777777" w:rsidR="000F1AEF" w:rsidRPr="00D24DAB" w:rsidRDefault="000F1AEF">
        <w:pPr>
          <w:pStyle w:val="Footer"/>
          <w:jc w:val="center"/>
          <w:rPr>
            <w:sz w:val="18"/>
            <w:szCs w:val="18"/>
          </w:rPr>
        </w:pPr>
        <w:r w:rsidRPr="00D24DAB">
          <w:rPr>
            <w:sz w:val="18"/>
            <w:szCs w:val="18"/>
          </w:rPr>
          <w:fldChar w:fldCharType="begin"/>
        </w:r>
        <w:r w:rsidRPr="00D24DAB">
          <w:rPr>
            <w:sz w:val="18"/>
            <w:szCs w:val="18"/>
          </w:rPr>
          <w:instrText xml:space="preserve"> PAGE   \* MERGEFORMAT </w:instrText>
        </w:r>
        <w:r w:rsidRPr="00D24DAB">
          <w:rPr>
            <w:sz w:val="18"/>
            <w:szCs w:val="18"/>
          </w:rPr>
          <w:fldChar w:fldCharType="separate"/>
        </w:r>
        <w:r w:rsidRPr="00D24DAB">
          <w:rPr>
            <w:noProof/>
            <w:sz w:val="18"/>
            <w:szCs w:val="18"/>
          </w:rPr>
          <w:t>2</w:t>
        </w:r>
        <w:r w:rsidRPr="00D24DAB">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A3059" w14:textId="77777777" w:rsidR="00DF5556" w:rsidRDefault="00DF5556">
      <w:pPr>
        <w:spacing w:after="0" w:line="240" w:lineRule="auto"/>
        <w:rPr>
          <w:lang w:val="fr-FR"/>
        </w:rPr>
      </w:pPr>
      <w:r>
        <w:rPr>
          <w:lang w:val="fr-FR"/>
        </w:rPr>
        <w:separator/>
      </w:r>
    </w:p>
  </w:footnote>
  <w:footnote w:type="continuationSeparator" w:id="0">
    <w:p w14:paraId="4F90D011" w14:textId="77777777" w:rsidR="00DF5556" w:rsidRDefault="00DF5556">
      <w:pPr>
        <w:spacing w:after="0" w:line="240" w:lineRule="auto"/>
        <w:rPr>
          <w:lang w:val="fr-FR"/>
        </w:rPr>
      </w:pPr>
      <w:r>
        <w:rPr>
          <w:lang w:val="fr-FR"/>
        </w:rPr>
        <w:continuationSeparator/>
      </w:r>
    </w:p>
  </w:footnote>
  <w:footnote w:type="continuationNotice" w:id="1">
    <w:p w14:paraId="4A6EB03D" w14:textId="77777777" w:rsidR="00DF5556" w:rsidRDefault="00DF5556">
      <w:pPr>
        <w:spacing w:after="0" w:line="240" w:lineRule="auto"/>
        <w:rPr>
          <w:lang w:val="fr-F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82F33" w14:textId="77777777" w:rsidR="002E0DE9" w:rsidRPr="00D24DAB" w:rsidRDefault="002E0DE9" w:rsidP="002E0DE9">
    <w:pPr>
      <w:pStyle w:val="Header"/>
      <w:pBdr>
        <w:bottom w:val="single" w:sz="4" w:space="1" w:color="auto"/>
      </w:pBdr>
      <w:rPr>
        <w:i/>
        <w:sz w:val="18"/>
        <w:szCs w:val="18"/>
      </w:rPr>
    </w:pPr>
    <w:r w:rsidRPr="00D24DAB">
      <w:rPr>
        <w:rFonts w:eastAsia="Times New Roman" w:cs="Arial"/>
        <w:i/>
        <w:sz w:val="18"/>
        <w:szCs w:val="18"/>
        <w:lang w:val="en-GB"/>
      </w:rPr>
      <w:t>UNEP/CMS/COP1</w:t>
    </w:r>
    <w:r w:rsidR="006A689A" w:rsidRPr="00D24DAB">
      <w:rPr>
        <w:rFonts w:eastAsia="Times New Roman" w:cs="Arial"/>
        <w:i/>
        <w:sz w:val="18"/>
        <w:szCs w:val="18"/>
        <w:lang w:val="en-GB"/>
      </w:rPr>
      <w:t>5</w:t>
    </w:r>
    <w:r w:rsidRPr="00D24DAB">
      <w:rPr>
        <w:rFonts w:eastAsia="Times New Roman" w:cs="Arial"/>
        <w:i/>
        <w:sz w:val="18"/>
        <w:szCs w:val="18"/>
        <w:lang w:val="en-GB"/>
      </w:rPr>
      <w:t>/</w:t>
    </w:r>
    <w:r w:rsidR="006A7DC4" w:rsidRPr="00D24DAB">
      <w:rPr>
        <w:rFonts w:eastAsia="Times New Roman" w:cs="Arial"/>
        <w:i/>
        <w:sz w:val="18"/>
        <w:szCs w:val="18"/>
        <w:lang w:val="en-GB"/>
      </w:rPr>
      <w:t>Doc</w:t>
    </w:r>
    <w:r w:rsidR="0035024E" w:rsidRPr="00D24DAB">
      <w:rPr>
        <w:rFonts w:eastAsia="Times New Roman" w:cs="Arial"/>
        <w:i/>
        <w:sz w:val="18"/>
        <w:szCs w:val="18"/>
        <w:lang w:val="en-GB"/>
      </w:rPr>
      <w:t>.</w:t>
    </w:r>
    <w:r w:rsidR="00F31C5C" w:rsidRPr="00D24DAB">
      <w:rPr>
        <w:rFonts w:eastAsia="Times New Roman" w:cs="Arial"/>
        <w:i/>
        <w:sz w:val="18"/>
        <w:szCs w:val="18"/>
        <w:lang w:val="en-GB"/>
      </w:rPr>
      <w:t>31.3.3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8884B" w14:textId="77777777" w:rsidR="002E0DE9" w:rsidRPr="00D24DAB" w:rsidRDefault="002E0DE9" w:rsidP="00842B75">
    <w:pPr>
      <w:pStyle w:val="Header"/>
      <w:pBdr>
        <w:bottom w:val="single" w:sz="4" w:space="1" w:color="auto"/>
      </w:pBdr>
      <w:jc w:val="right"/>
      <w:rPr>
        <w:i/>
        <w:sz w:val="18"/>
        <w:szCs w:val="18"/>
      </w:rPr>
    </w:pPr>
    <w:r w:rsidRPr="00D24DAB">
      <w:rPr>
        <w:rFonts w:eastAsia="Times New Roman" w:cs="Arial"/>
        <w:i/>
        <w:sz w:val="18"/>
        <w:szCs w:val="18"/>
        <w:lang w:val="en-GB"/>
      </w:rPr>
      <w:t>UNEP/CMS/COP1</w:t>
    </w:r>
    <w:r w:rsidR="006A689A" w:rsidRPr="00D24DAB">
      <w:rPr>
        <w:rFonts w:eastAsia="Times New Roman" w:cs="Arial"/>
        <w:i/>
        <w:sz w:val="18"/>
        <w:szCs w:val="18"/>
        <w:lang w:val="en-GB"/>
      </w:rPr>
      <w:t>5</w:t>
    </w:r>
    <w:r w:rsidRPr="00D24DAB">
      <w:rPr>
        <w:rFonts w:eastAsia="Times New Roman" w:cs="Arial"/>
        <w:i/>
        <w:sz w:val="18"/>
        <w:szCs w:val="18"/>
        <w:lang w:val="en-GB"/>
      </w:rPr>
      <w:t>/</w:t>
    </w:r>
    <w:r w:rsidR="006A7DC4" w:rsidRPr="00D24DAB">
      <w:rPr>
        <w:rFonts w:eastAsia="Times New Roman" w:cs="Arial"/>
        <w:i/>
        <w:sz w:val="18"/>
        <w:szCs w:val="18"/>
        <w:lang w:val="en-GB"/>
      </w:rPr>
      <w:t>Doc.</w:t>
    </w:r>
    <w:r w:rsidR="00F31C5C" w:rsidRPr="00D24DAB">
      <w:rPr>
        <w:rFonts w:eastAsia="Times New Roman" w:cs="Arial"/>
        <w:i/>
        <w:sz w:val="18"/>
        <w:szCs w:val="18"/>
        <w:lang w:val="en-GB"/>
      </w:rPr>
      <w:t>31.3.3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58345" w14:textId="77777777" w:rsidR="006906AC" w:rsidRPr="00FF59D5" w:rsidRDefault="006906AC" w:rsidP="006906AC">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lang w:val="en-GB"/>
      </w:rPr>
    </w:pPr>
    <w:bookmarkStart w:id="2" w:name="_Hlk208560916"/>
    <w:bookmarkStart w:id="3" w:name="_Hlk208560917"/>
    <w:r>
      <w:rPr>
        <w:noProof/>
      </w:rPr>
      <w:drawing>
        <wp:anchor distT="0" distB="0" distL="114300" distR="114300" simplePos="0" relativeHeight="251661312" behindDoc="0" locked="0" layoutInCell="1" allowOverlap="1" wp14:anchorId="11C9D792" wp14:editId="075FA5EE">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Pr="00EC2A58">
      <w:rPr>
        <w:rFonts w:eastAsia="Times New Roman" w:cs="Times New Roman"/>
        <w:noProof/>
        <w:sz w:val="18"/>
        <w:szCs w:val="20"/>
      </w:rPr>
      <w:drawing>
        <wp:anchor distT="0" distB="0" distL="114300" distR="114300" simplePos="0" relativeHeight="251659264" behindDoc="0" locked="0" layoutInCell="1" allowOverlap="1" wp14:anchorId="7B6D3D2D" wp14:editId="28D0DD83">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rFonts w:eastAsia="Times New Roman" w:cs="Times New Roman"/>
        <w:noProof/>
        <w:sz w:val="4"/>
        <w:szCs w:val="4"/>
        <w:lang w:val="en-GB"/>
      </w:rPr>
      <w:drawing>
        <wp:anchor distT="0" distB="0" distL="114300" distR="114300" simplePos="0" relativeHeight="251660288" behindDoc="0" locked="0" layoutInCell="1" allowOverlap="1" wp14:anchorId="6FCEAF4C" wp14:editId="6727E61A">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bookmarkEnd w:id="2"/>
    <w:bookmarkEnd w:id="3"/>
  </w:p>
  <w:p w14:paraId="738C44B8" w14:textId="77777777" w:rsidR="006300B6" w:rsidRDefault="006300B6">
    <w:pPr>
      <w:pStyle w:val="Header"/>
      <w:rPr>
        <w:lang w:val="fr-F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23DAD" w14:textId="5020A151" w:rsidR="00CC7671" w:rsidRPr="00D24DAB" w:rsidRDefault="00CC7671" w:rsidP="00CC7671">
    <w:pPr>
      <w:pStyle w:val="Header"/>
      <w:pBdr>
        <w:bottom w:val="single" w:sz="4" w:space="1" w:color="auto"/>
      </w:pBdr>
      <w:ind w:left="-284" w:right="-755"/>
      <w:rPr>
        <w:i/>
        <w:sz w:val="18"/>
        <w:szCs w:val="18"/>
      </w:rPr>
    </w:pPr>
    <w:r w:rsidRPr="00D24DAB">
      <w:rPr>
        <w:rFonts w:eastAsia="Times New Roman" w:cs="Arial"/>
        <w:i/>
        <w:sz w:val="18"/>
        <w:szCs w:val="18"/>
        <w:lang w:val="en-GB"/>
      </w:rPr>
      <w:t>UNEP/CMS/COP15/Doc.31.3.3</w:t>
    </w:r>
    <w:r>
      <w:rPr>
        <w:rFonts w:eastAsia="Times New Roman" w:cs="Arial"/>
        <w:i/>
        <w:sz w:val="18"/>
        <w:szCs w:val="18"/>
        <w:lang w:val="en-GB"/>
      </w:rPr>
      <w:t>/Annexe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A0DF6" w14:textId="77777777" w:rsidR="006300B6" w:rsidRDefault="00CC7671" w:rsidP="00CC7671">
    <w:pPr>
      <w:pStyle w:val="Header"/>
      <w:pBdr>
        <w:bottom w:val="single" w:sz="4" w:space="1" w:color="auto"/>
      </w:pBdr>
      <w:ind w:left="-284" w:right="-613"/>
      <w:jc w:val="right"/>
      <w:rPr>
        <w:i/>
        <w:sz w:val="18"/>
        <w:szCs w:val="18"/>
        <w:lang w:val="fr-FR"/>
      </w:rPr>
    </w:pPr>
    <w:r>
      <w:rPr>
        <w:rFonts w:eastAsia="Times New Roman" w:cs="Arial"/>
        <w:i/>
        <w:sz w:val="18"/>
        <w:szCs w:val="18"/>
        <w:lang w:val="fr-FR"/>
      </w:rPr>
      <w:t>UNEP/CMS/COP15/Doc.31.3.3/Annexe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31EF2" w14:textId="77777777" w:rsidR="006300B6" w:rsidRDefault="00CC7671" w:rsidP="006A50C7">
    <w:pPr>
      <w:pStyle w:val="Header"/>
      <w:pBdr>
        <w:bottom w:val="single" w:sz="4" w:space="1" w:color="auto"/>
      </w:pBdr>
      <w:ind w:right="-755"/>
      <w:rPr>
        <w:i/>
        <w:sz w:val="18"/>
        <w:szCs w:val="18"/>
        <w:lang w:val="fr-FR"/>
      </w:rPr>
    </w:pPr>
    <w:r>
      <w:rPr>
        <w:rFonts w:eastAsia="Times New Roman" w:cs="Arial"/>
        <w:i/>
        <w:sz w:val="18"/>
        <w:szCs w:val="18"/>
        <w:lang w:val="fr-FR"/>
      </w:rPr>
      <w:t>UNEP/CMS/COP15/Doc.31.3.3/Annexe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702E01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033D72B4"/>
    <w:multiLevelType w:val="hybridMultilevel"/>
    <w:tmpl w:val="49B87CA6"/>
    <w:lvl w:ilvl="0" w:tplc="4B34588C">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573D39"/>
    <w:multiLevelType w:val="hybridMultilevel"/>
    <w:tmpl w:val="F2040B42"/>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247626D"/>
    <w:multiLevelType w:val="hybridMultilevel"/>
    <w:tmpl w:val="292839D6"/>
    <w:lvl w:ilvl="0" w:tplc="C13CCE8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58E782C"/>
    <w:multiLevelType w:val="multilevel"/>
    <w:tmpl w:val="AFDAE410"/>
    <w:lvl w:ilvl="0">
      <w:start w:val="1"/>
      <w:numFmt w:val="lowerRoman"/>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0F20254"/>
    <w:multiLevelType w:val="hybridMultilevel"/>
    <w:tmpl w:val="F146D33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43652F"/>
    <w:multiLevelType w:val="hybridMultilevel"/>
    <w:tmpl w:val="F3FE06C2"/>
    <w:lvl w:ilvl="0" w:tplc="4C88504A">
      <w:start w:val="1"/>
      <w:numFmt w:val="lowerRoman"/>
      <w:lvlText w:val="(%1)"/>
      <w:lvlJc w:val="left"/>
      <w:pPr>
        <w:ind w:left="1080" w:hanging="720"/>
      </w:pPr>
    </w:lvl>
    <w:lvl w:ilvl="1" w:tplc="4F106F44">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8"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F14F97"/>
    <w:multiLevelType w:val="hybridMultilevel"/>
    <w:tmpl w:val="59B625C2"/>
    <w:lvl w:ilvl="0" w:tplc="0EA8961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2" w15:restartNumberingAfterBreak="0">
    <w:nsid w:val="7B36076D"/>
    <w:multiLevelType w:val="hybridMultilevel"/>
    <w:tmpl w:val="3AA2A316"/>
    <w:lvl w:ilvl="0" w:tplc="7C3A19F6">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3" w15:restartNumberingAfterBreak="0">
    <w:nsid w:val="7C464D04"/>
    <w:multiLevelType w:val="hybridMultilevel"/>
    <w:tmpl w:val="C7B6150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028725">
    <w:abstractNumId w:val="8"/>
  </w:num>
  <w:num w:numId="2" w16cid:durableId="1342467551">
    <w:abstractNumId w:val="11"/>
  </w:num>
  <w:num w:numId="3" w16cid:durableId="1569996155">
    <w:abstractNumId w:val="1"/>
  </w:num>
  <w:num w:numId="4" w16cid:durableId="5037120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75684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5983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2059935">
    <w:abstractNumId w:val="6"/>
  </w:num>
  <w:num w:numId="8" w16cid:durableId="657730385">
    <w:abstractNumId w:val="13"/>
  </w:num>
  <w:num w:numId="9" w16cid:durableId="1150515762">
    <w:abstractNumId w:val="9"/>
  </w:num>
  <w:num w:numId="10" w16cid:durableId="627323914">
    <w:abstractNumId w:val="2"/>
  </w:num>
  <w:num w:numId="11" w16cid:durableId="832376140">
    <w:abstractNumId w:val="5"/>
  </w:num>
  <w:num w:numId="12" w16cid:durableId="227766351">
    <w:abstractNumId w:val="4"/>
  </w:num>
  <w:num w:numId="13" w16cid:durableId="1443037520">
    <w:abstractNumId w:val="0"/>
  </w:num>
  <w:num w:numId="14" w16cid:durableId="12579806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AwNzU1NzMzNjI0sbBU0lEKTi0uzszPAykwqgUAwrpv6CwAAAA="/>
  </w:docVars>
  <w:rsids>
    <w:rsidRoot w:val="002E0DE9"/>
    <w:rsid w:val="00041B56"/>
    <w:rsid w:val="000539AB"/>
    <w:rsid w:val="000546A6"/>
    <w:rsid w:val="0006101D"/>
    <w:rsid w:val="00063C40"/>
    <w:rsid w:val="000661B2"/>
    <w:rsid w:val="00081045"/>
    <w:rsid w:val="0009245E"/>
    <w:rsid w:val="000F13BB"/>
    <w:rsid w:val="000F1AEF"/>
    <w:rsid w:val="00103C7C"/>
    <w:rsid w:val="0010549E"/>
    <w:rsid w:val="00137609"/>
    <w:rsid w:val="00177179"/>
    <w:rsid w:val="00184004"/>
    <w:rsid w:val="00184287"/>
    <w:rsid w:val="00190ADA"/>
    <w:rsid w:val="001A0EE3"/>
    <w:rsid w:val="001C6C56"/>
    <w:rsid w:val="00216AA9"/>
    <w:rsid w:val="002326AB"/>
    <w:rsid w:val="00235010"/>
    <w:rsid w:val="00237692"/>
    <w:rsid w:val="00284272"/>
    <w:rsid w:val="00284880"/>
    <w:rsid w:val="002B2806"/>
    <w:rsid w:val="002E0DE9"/>
    <w:rsid w:val="002E6A7D"/>
    <w:rsid w:val="00327666"/>
    <w:rsid w:val="00331D38"/>
    <w:rsid w:val="0035024E"/>
    <w:rsid w:val="003669FF"/>
    <w:rsid w:val="00371432"/>
    <w:rsid w:val="003C454F"/>
    <w:rsid w:val="003C569E"/>
    <w:rsid w:val="003C7C2C"/>
    <w:rsid w:val="003E78F2"/>
    <w:rsid w:val="0040663F"/>
    <w:rsid w:val="00406F6D"/>
    <w:rsid w:val="00431FE3"/>
    <w:rsid w:val="00434BDA"/>
    <w:rsid w:val="00443325"/>
    <w:rsid w:val="004531F1"/>
    <w:rsid w:val="00457A20"/>
    <w:rsid w:val="004608C4"/>
    <w:rsid w:val="004639CE"/>
    <w:rsid w:val="004713A6"/>
    <w:rsid w:val="004714F5"/>
    <w:rsid w:val="00472BCE"/>
    <w:rsid w:val="00487FF3"/>
    <w:rsid w:val="00495B71"/>
    <w:rsid w:val="004C015B"/>
    <w:rsid w:val="004C1FDD"/>
    <w:rsid w:val="004F386F"/>
    <w:rsid w:val="00500665"/>
    <w:rsid w:val="00516A25"/>
    <w:rsid w:val="00531BD1"/>
    <w:rsid w:val="005330F7"/>
    <w:rsid w:val="00547CE4"/>
    <w:rsid w:val="0055344C"/>
    <w:rsid w:val="00563598"/>
    <w:rsid w:val="0059075E"/>
    <w:rsid w:val="00592938"/>
    <w:rsid w:val="00594151"/>
    <w:rsid w:val="00597EB1"/>
    <w:rsid w:val="005A2A3E"/>
    <w:rsid w:val="005A69AC"/>
    <w:rsid w:val="005B23A6"/>
    <w:rsid w:val="005C28E8"/>
    <w:rsid w:val="005C5625"/>
    <w:rsid w:val="005C5C48"/>
    <w:rsid w:val="005C75A7"/>
    <w:rsid w:val="005D3D4E"/>
    <w:rsid w:val="005E031D"/>
    <w:rsid w:val="005E6D3C"/>
    <w:rsid w:val="005F738C"/>
    <w:rsid w:val="00610891"/>
    <w:rsid w:val="006300B6"/>
    <w:rsid w:val="006704FB"/>
    <w:rsid w:val="00682891"/>
    <w:rsid w:val="006867A3"/>
    <w:rsid w:val="006906AC"/>
    <w:rsid w:val="006A50C7"/>
    <w:rsid w:val="006A689A"/>
    <w:rsid w:val="006A7DC4"/>
    <w:rsid w:val="006C0316"/>
    <w:rsid w:val="006D2054"/>
    <w:rsid w:val="00704E4A"/>
    <w:rsid w:val="0071181A"/>
    <w:rsid w:val="007259EC"/>
    <w:rsid w:val="0073233F"/>
    <w:rsid w:val="00786961"/>
    <w:rsid w:val="00816618"/>
    <w:rsid w:val="00820572"/>
    <w:rsid w:val="00837BC1"/>
    <w:rsid w:val="00842B75"/>
    <w:rsid w:val="008619CA"/>
    <w:rsid w:val="008664D5"/>
    <w:rsid w:val="00871567"/>
    <w:rsid w:val="00871E2C"/>
    <w:rsid w:val="00872FF8"/>
    <w:rsid w:val="008852CE"/>
    <w:rsid w:val="008940E0"/>
    <w:rsid w:val="008B0AC3"/>
    <w:rsid w:val="008C3A4A"/>
    <w:rsid w:val="008D7F9C"/>
    <w:rsid w:val="008E399F"/>
    <w:rsid w:val="008E6292"/>
    <w:rsid w:val="008E7441"/>
    <w:rsid w:val="0092141A"/>
    <w:rsid w:val="00933B90"/>
    <w:rsid w:val="0093713A"/>
    <w:rsid w:val="00956266"/>
    <w:rsid w:val="00967747"/>
    <w:rsid w:val="009A08AE"/>
    <w:rsid w:val="009A2337"/>
    <w:rsid w:val="009A3973"/>
    <w:rsid w:val="009A4FCA"/>
    <w:rsid w:val="009B28A1"/>
    <w:rsid w:val="009B3CF3"/>
    <w:rsid w:val="009F6C60"/>
    <w:rsid w:val="00A11107"/>
    <w:rsid w:val="00A350E8"/>
    <w:rsid w:val="00A44ED2"/>
    <w:rsid w:val="00A45996"/>
    <w:rsid w:val="00A5442D"/>
    <w:rsid w:val="00A56F6E"/>
    <w:rsid w:val="00A713D2"/>
    <w:rsid w:val="00A93363"/>
    <w:rsid w:val="00AD4F4C"/>
    <w:rsid w:val="00AF63ED"/>
    <w:rsid w:val="00B00537"/>
    <w:rsid w:val="00B07460"/>
    <w:rsid w:val="00B2055E"/>
    <w:rsid w:val="00B33183"/>
    <w:rsid w:val="00B4546D"/>
    <w:rsid w:val="00B51A11"/>
    <w:rsid w:val="00B609A5"/>
    <w:rsid w:val="00B665AB"/>
    <w:rsid w:val="00B716CD"/>
    <w:rsid w:val="00B81CB2"/>
    <w:rsid w:val="00B86FD6"/>
    <w:rsid w:val="00B93B28"/>
    <w:rsid w:val="00BB7FAE"/>
    <w:rsid w:val="00BC60DB"/>
    <w:rsid w:val="00BE54DD"/>
    <w:rsid w:val="00C01ED7"/>
    <w:rsid w:val="00C108C1"/>
    <w:rsid w:val="00C22028"/>
    <w:rsid w:val="00C235F9"/>
    <w:rsid w:val="00C32E9F"/>
    <w:rsid w:val="00C34F42"/>
    <w:rsid w:val="00C7409D"/>
    <w:rsid w:val="00C974A1"/>
    <w:rsid w:val="00CC20D1"/>
    <w:rsid w:val="00CC7671"/>
    <w:rsid w:val="00CD27A9"/>
    <w:rsid w:val="00CF5D3B"/>
    <w:rsid w:val="00D1567A"/>
    <w:rsid w:val="00D24DAB"/>
    <w:rsid w:val="00D40160"/>
    <w:rsid w:val="00D418E6"/>
    <w:rsid w:val="00D4691A"/>
    <w:rsid w:val="00D61BE5"/>
    <w:rsid w:val="00D62FDB"/>
    <w:rsid w:val="00D66DB0"/>
    <w:rsid w:val="00D8210B"/>
    <w:rsid w:val="00D85C6F"/>
    <w:rsid w:val="00D93628"/>
    <w:rsid w:val="00DD4314"/>
    <w:rsid w:val="00DD57DD"/>
    <w:rsid w:val="00DE481B"/>
    <w:rsid w:val="00DF5556"/>
    <w:rsid w:val="00E077C0"/>
    <w:rsid w:val="00E4182C"/>
    <w:rsid w:val="00E56C45"/>
    <w:rsid w:val="00E77D51"/>
    <w:rsid w:val="00EB3205"/>
    <w:rsid w:val="00EB5FA1"/>
    <w:rsid w:val="00F071CF"/>
    <w:rsid w:val="00F166B9"/>
    <w:rsid w:val="00F231E8"/>
    <w:rsid w:val="00F26BA0"/>
    <w:rsid w:val="00F31C5C"/>
    <w:rsid w:val="00F53636"/>
    <w:rsid w:val="00F67E81"/>
    <w:rsid w:val="00F7155B"/>
    <w:rsid w:val="00F74F81"/>
    <w:rsid w:val="00F75474"/>
    <w:rsid w:val="00F92F84"/>
    <w:rsid w:val="00FA29AC"/>
    <w:rsid w:val="00FA5582"/>
    <w:rsid w:val="00FE321E"/>
    <w:rsid w:val="00FF6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32314"/>
  <w15:chartTrackingRefBased/>
  <w15:docId w15:val="{066C0BE0-2655-4AF2-B971-7635A84B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semiHidden/>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semiHidden/>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semiHidden/>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styleId="Hyperlink">
    <w:name w:val="Hyperlink"/>
    <w:basedOn w:val="DefaultParagraphFont"/>
    <w:uiPriority w:val="99"/>
    <w:unhideWhenUsed/>
    <w:rsid w:val="0073233F"/>
    <w:rPr>
      <w:color w:val="0563C1"/>
      <w:u w:val="single"/>
    </w:rPr>
  </w:style>
  <w:style w:type="paragraph" w:customStyle="1" w:styleId="Default">
    <w:name w:val="Default"/>
    <w:rsid w:val="0073233F"/>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TableNormal"/>
    <w:next w:val="TableGrid"/>
    <w:uiPriority w:val="59"/>
    <w:rsid w:val="00F31C5C"/>
    <w:pPr>
      <w:spacing w:after="0" w:line="240" w:lineRule="auto"/>
    </w:pPr>
    <w:rPr>
      <w:rFonts w:ascii="Times New Roman" w:eastAsia="DengXian" w:hAnsi="Times New Roman"/>
      <w:sz w:val="24"/>
      <w:szCs w:val="24"/>
    </w:rPr>
    <w:tblPr>
      <w:tblInd w:w="0" w:type="nil"/>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14377699-8480-4F7E-8A04-0CC7337FFCB4}"/>
</file>

<file path=customXml/itemProps2.xml><?xml version="1.0" encoding="utf-8"?>
<ds:datastoreItem xmlns:ds="http://schemas.openxmlformats.org/officeDocument/2006/customXml" ds:itemID="{2EEC0B7C-9A9C-46EE-8DD3-D80F5D5D164A}">
  <ds:schemaRefs>
    <ds:schemaRef ds:uri="http://schemas.openxmlformats.org/officeDocument/2006/bibliography"/>
  </ds:schemaRefs>
</ds:datastoreItem>
</file>

<file path=customXml/itemProps3.xml><?xml version="1.0" encoding="utf-8"?>
<ds:datastoreItem xmlns:ds="http://schemas.openxmlformats.org/officeDocument/2006/customXml" ds:itemID="{19DDF315-5974-484C-A3DB-7718D6991891}">
  <ds:schemaRefs>
    <ds:schemaRef ds:uri="http://schemas.microsoft.com/sharepoint/v3/contenttype/forms"/>
  </ds:schemaRefs>
</ds:datastoreItem>
</file>

<file path=customXml/itemProps4.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7</TotalTime>
  <Pages>13</Pages>
  <Words>5474</Words>
  <Characters>31207</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13</cp:revision>
  <dcterms:created xsi:type="dcterms:W3CDTF">2025-11-10T11:02:00Z</dcterms:created>
  <dcterms:modified xsi:type="dcterms:W3CDTF">2025-11-12T13:03:00Z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