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55422A" w:rsidRPr="00BE6C85" w14:paraId="3BE2D179"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16D0BBD" w14:textId="77777777" w:rsidR="0055422A" w:rsidRPr="00002A97" w:rsidRDefault="0055422A"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78AD625" wp14:editId="7445EBFB">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F681CE4" w14:textId="77777777" w:rsidR="0055422A" w:rsidRPr="00002A97" w:rsidRDefault="0055422A" w:rsidP="00B25E23">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28291864" w14:textId="77777777" w:rsidR="0055422A" w:rsidRPr="00002A97" w:rsidRDefault="0055422A"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4B998BB2" w14:textId="77777777" w:rsidR="0055422A" w:rsidRPr="00002A97" w:rsidRDefault="0055422A"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5C90FD8F" w14:textId="77777777" w:rsidR="0055422A" w:rsidRPr="00002A97" w:rsidRDefault="0055422A"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415C453E" w14:textId="24498F84" w:rsidR="0055422A" w:rsidRPr="00457C8A" w:rsidRDefault="0055422A"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1F46A4">
              <w:rPr>
                <w:rFonts w:eastAsia="Times New Roman" w:cs="Arial"/>
                <w:szCs w:val="24"/>
                <w:lang w:val="fr-FR" w:eastAsia="es-ES"/>
              </w:rPr>
              <w:t>31</w:t>
            </w:r>
            <w:r w:rsidR="00C20403">
              <w:rPr>
                <w:rFonts w:eastAsia="Times New Roman" w:cs="Arial"/>
                <w:szCs w:val="24"/>
                <w:lang w:val="fr-FR" w:eastAsia="es-ES"/>
              </w:rPr>
              <w:t>.3.2</w:t>
            </w:r>
          </w:p>
          <w:p w14:paraId="0BD943C1" w14:textId="6D738236" w:rsidR="0055422A" w:rsidRPr="002C395A" w:rsidRDefault="00C20403"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23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55422A" w:rsidRPr="002C395A">
              <w:rPr>
                <w:rFonts w:eastAsia="Times New Roman" w:cs="Arial"/>
                <w:szCs w:val="24"/>
                <w:lang w:val="fr-FR" w:eastAsia="es-ES"/>
              </w:rPr>
              <w:t>2025</w:t>
            </w:r>
          </w:p>
          <w:p w14:paraId="2908E9A1" w14:textId="77777777" w:rsidR="0055422A" w:rsidRPr="00002A97" w:rsidRDefault="0055422A" w:rsidP="00B25E2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55F786E6" w14:textId="77777777" w:rsidR="0055422A" w:rsidRPr="000F4BDA" w:rsidRDefault="0055422A" w:rsidP="00B25E2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13FF155A" w14:textId="77777777" w:rsidR="0055422A" w:rsidRPr="00002A97" w:rsidRDefault="0055422A" w:rsidP="00B25E23">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7C70DAB1" w14:textId="77777777" w:rsidR="00882426" w:rsidRPr="00002A97" w:rsidRDefault="00882426" w:rsidP="00882426">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1082A3AD" w14:textId="77777777" w:rsidR="00882426" w:rsidRPr="00002A97" w:rsidRDefault="00882426" w:rsidP="00882426">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7ECDE28F" w14:textId="77777777" w:rsidR="00882426" w:rsidRPr="00002A97" w:rsidRDefault="00882426" w:rsidP="0088242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2F3A2253" w14:textId="45CD2C74" w:rsidR="008A454C" w:rsidRPr="00660F6A" w:rsidRDefault="00882426" w:rsidP="00882426">
      <w:pPr>
        <w:widowControl w:val="0"/>
        <w:suppressAutoHyphens/>
        <w:autoSpaceDE w:val="0"/>
        <w:autoSpaceDN w:val="0"/>
        <w:spacing w:after="0" w:line="240" w:lineRule="auto"/>
        <w:jc w:val="both"/>
        <w:textAlignment w:val="baseline"/>
        <w:rPr>
          <w:rFonts w:eastAsia="Times New Roman" w:cs="Arial"/>
          <w:lang w:val="es-ES"/>
        </w:rPr>
      </w:pPr>
      <w:r w:rsidRPr="00002A97">
        <w:rPr>
          <w:rFonts w:eastAsia="Times New Roman" w:cs="Arial"/>
          <w:szCs w:val="24"/>
          <w:lang w:val="es-ES" w:eastAsia="es-ES"/>
        </w:rPr>
        <w:t xml:space="preserve">Punto </w:t>
      </w:r>
      <w:r w:rsidR="00C20403">
        <w:rPr>
          <w:rFonts w:eastAsia="Times New Roman" w:cs="Arial"/>
          <w:szCs w:val="24"/>
          <w:lang w:val="es-ES" w:eastAsia="es-ES"/>
        </w:rPr>
        <w:t>31.3.2</w:t>
      </w:r>
      <w:r w:rsidRPr="00002A97">
        <w:rPr>
          <w:rFonts w:eastAsia="Times New Roman" w:cs="Arial"/>
          <w:szCs w:val="24"/>
          <w:lang w:val="es-ES" w:eastAsia="es-ES"/>
        </w:rPr>
        <w:t xml:space="preserve"> del orden del día</w:t>
      </w:r>
    </w:p>
    <w:p w14:paraId="6AE0B701" w14:textId="77777777" w:rsidR="002E0DE9"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5D6EF09" w14:textId="77777777" w:rsidR="00C20403" w:rsidRPr="00660F6A" w:rsidRDefault="00C20403" w:rsidP="009A2337">
      <w:pPr>
        <w:widowControl w:val="0"/>
        <w:suppressAutoHyphens/>
        <w:autoSpaceDE w:val="0"/>
        <w:autoSpaceDN w:val="0"/>
        <w:spacing w:after="0" w:line="240" w:lineRule="auto"/>
        <w:jc w:val="both"/>
        <w:textAlignment w:val="baseline"/>
        <w:rPr>
          <w:rFonts w:eastAsia="Times New Roman" w:cs="Arial"/>
          <w:lang w:val="es-ES"/>
        </w:rPr>
      </w:pPr>
    </w:p>
    <w:p w14:paraId="1B894C49" w14:textId="77777777" w:rsidR="008A454C" w:rsidRPr="00660F6A" w:rsidRDefault="00BE3C12" w:rsidP="008A454C">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eastAsia="Times New Roman" w:cs="Arial"/>
          <w:b/>
          <w:bCs/>
          <w:sz w:val="24"/>
          <w:szCs w:val="24"/>
          <w:lang w:val="es-ES"/>
        </w:rPr>
      </w:pPr>
      <w:r w:rsidRPr="00660F6A">
        <w:rPr>
          <w:rFonts w:eastAsia="Times New Roman" w:cs="Arial"/>
          <w:b/>
          <w:bCs/>
          <w:sz w:val="24"/>
          <w:szCs w:val="24"/>
          <w:lang w:val="es-ES"/>
        </w:rPr>
        <w:t>PROPUESTA DE ACCIÓN CONCERTADA PARA</w:t>
      </w:r>
    </w:p>
    <w:p w14:paraId="26A73702" w14:textId="66D4CB91" w:rsidR="008A454C" w:rsidRPr="00660F6A" w:rsidRDefault="00BE3C12" w:rsidP="00E07651">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cs="Arial"/>
          <w:b/>
          <w:sz w:val="24"/>
          <w:szCs w:val="24"/>
          <w:lang w:val="es-ES"/>
        </w:rPr>
      </w:pPr>
      <w:r w:rsidRPr="00660F6A">
        <w:rPr>
          <w:rFonts w:eastAsia="Times New Roman" w:cs="Arial"/>
          <w:b/>
          <w:bCs/>
          <w:sz w:val="24"/>
          <w:szCs w:val="24"/>
          <w:lang w:val="es-ES"/>
        </w:rPr>
        <w:t>EL MURCIÉLAGO DE LA FRUTA</w:t>
      </w:r>
      <w:r w:rsidRPr="00660F6A">
        <w:rPr>
          <w:rFonts w:eastAsia="Times New Roman" w:cs="Arial"/>
          <w:b/>
          <w:color w:val="000000"/>
          <w:sz w:val="24"/>
          <w:szCs w:val="24"/>
          <w:lang w:val="es-ES"/>
        </w:rPr>
        <w:t xml:space="preserve"> PAJIZO (</w:t>
      </w:r>
      <w:proofErr w:type="spellStart"/>
      <w:r w:rsidRPr="00660F6A">
        <w:rPr>
          <w:rFonts w:eastAsia="Times New Roman" w:cs="Arial"/>
          <w:b/>
          <w:i/>
          <w:iCs/>
          <w:color w:val="000000"/>
          <w:sz w:val="24"/>
          <w:szCs w:val="24"/>
          <w:lang w:val="es-ES"/>
        </w:rPr>
        <w:t>Eidolon</w:t>
      </w:r>
      <w:proofErr w:type="spellEnd"/>
      <w:r w:rsidRPr="00660F6A">
        <w:rPr>
          <w:rFonts w:eastAsia="Times New Roman" w:cs="Arial"/>
          <w:b/>
          <w:i/>
          <w:iCs/>
          <w:color w:val="000000"/>
          <w:sz w:val="24"/>
          <w:szCs w:val="24"/>
          <w:lang w:val="es-ES"/>
        </w:rPr>
        <w:t xml:space="preserve"> </w:t>
      </w:r>
      <w:proofErr w:type="spellStart"/>
      <w:proofErr w:type="gramStart"/>
      <w:r w:rsidRPr="00660F6A">
        <w:rPr>
          <w:rFonts w:eastAsia="Times New Roman" w:cs="Arial"/>
          <w:b/>
          <w:i/>
          <w:iCs/>
          <w:color w:val="000000"/>
          <w:sz w:val="24"/>
          <w:szCs w:val="24"/>
          <w:lang w:val="es-ES"/>
        </w:rPr>
        <w:t>helvum</w:t>
      </w:r>
      <w:proofErr w:type="spellEnd"/>
      <w:r w:rsidRPr="00660F6A">
        <w:rPr>
          <w:rFonts w:eastAsia="Times New Roman" w:cs="Arial"/>
          <w:b/>
          <w:color w:val="000000"/>
          <w:sz w:val="24"/>
          <w:szCs w:val="24"/>
          <w:lang w:val="es-ES"/>
        </w:rPr>
        <w:t>)</w:t>
      </w:r>
      <w:r w:rsidRPr="00660F6A">
        <w:rPr>
          <w:rFonts w:eastAsia="Times New Roman" w:cs="Arial"/>
          <w:b/>
          <w:sz w:val="24"/>
          <w:szCs w:val="24"/>
          <w:lang w:val="es-ES"/>
        </w:rPr>
        <w:t>*</w:t>
      </w:r>
      <w:proofErr w:type="gramEnd"/>
    </w:p>
    <w:p w14:paraId="68C72D82" w14:textId="465FB84E" w:rsidR="00AE555A" w:rsidRPr="00660F6A" w:rsidRDefault="00AE555A" w:rsidP="00C20403">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90" w:right="-367"/>
        <w:jc w:val="center"/>
        <w:outlineLvl w:val="1"/>
        <w:rPr>
          <w:lang w:val="es-ES"/>
        </w:rPr>
      </w:pPr>
    </w:p>
    <w:p w14:paraId="22A41750" w14:textId="4C447520" w:rsidR="00AD4F4C" w:rsidRPr="00660F6A" w:rsidRDefault="00AD4F4C" w:rsidP="00C20403">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2843937F" w14:textId="09ADF2D9" w:rsidR="002E0DE9" w:rsidRPr="00660F6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7EA2D823"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275F38B1"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32BF6813"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574E4080"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490C276"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14A138B" w:rsidR="002E0DE9" w:rsidRPr="00660F6A" w:rsidRDefault="00AF6B99"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660F6A">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1A774B46" wp14:editId="1C27E62F">
                <wp:simplePos x="0" y="0"/>
                <wp:positionH relativeFrom="margin">
                  <wp:posOffset>822960</wp:posOffset>
                </wp:positionH>
                <wp:positionV relativeFrom="margin">
                  <wp:posOffset>2674620</wp:posOffset>
                </wp:positionV>
                <wp:extent cx="4304665" cy="1691640"/>
                <wp:effectExtent l="0" t="0" r="19685" b="2286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691640"/>
                        </a:xfrm>
                        <a:prstGeom prst="rect">
                          <a:avLst/>
                        </a:prstGeom>
                        <a:solidFill>
                          <a:srgbClr val="FFFFFF"/>
                        </a:solidFill>
                        <a:ln w="3172">
                          <a:solidFill>
                            <a:srgbClr val="000000"/>
                          </a:solidFill>
                          <a:prstDash val="solid"/>
                        </a:ln>
                      </wps:spPr>
                      <wps:txbx>
                        <w:txbxContent>
                          <w:p w14:paraId="674E6642" w14:textId="77777777" w:rsidR="002E0DE9" w:rsidRPr="00222940" w:rsidRDefault="00BE3C12" w:rsidP="00F75474">
                            <w:pPr>
                              <w:spacing w:after="0"/>
                              <w:jc w:val="both"/>
                              <w:rPr>
                                <w:rFonts w:cs="Arial"/>
                                <w:lang w:val="es-ES"/>
                              </w:rPr>
                            </w:pPr>
                            <w:r w:rsidRPr="00222940">
                              <w:rPr>
                                <w:rFonts w:cs="Arial"/>
                                <w:lang w:val="es-ES"/>
                              </w:rPr>
                              <w:t>Resumen:</w:t>
                            </w:r>
                          </w:p>
                          <w:p w14:paraId="45B5D6FB" w14:textId="77777777" w:rsidR="00B76E16" w:rsidRPr="00222940" w:rsidRDefault="00B76E16" w:rsidP="005E1301">
                            <w:pPr>
                              <w:spacing w:after="0" w:line="240" w:lineRule="auto"/>
                              <w:jc w:val="both"/>
                              <w:rPr>
                                <w:rFonts w:cs="Arial"/>
                                <w:lang w:val="es-ES"/>
                              </w:rPr>
                            </w:pPr>
                          </w:p>
                          <w:p w14:paraId="6C052F53" w14:textId="3AF65B86" w:rsidR="000B4F43" w:rsidRPr="00222940" w:rsidRDefault="00BE3C12" w:rsidP="005E1301">
                            <w:pPr>
                              <w:suppressAutoHyphens/>
                              <w:autoSpaceDN w:val="0"/>
                              <w:spacing w:after="0" w:line="240" w:lineRule="auto"/>
                              <w:jc w:val="both"/>
                              <w:textAlignment w:val="baseline"/>
                              <w:rPr>
                                <w:rFonts w:eastAsia="Calibri" w:cs="Arial"/>
                                <w:lang w:val="es-ES"/>
                              </w:rPr>
                            </w:pPr>
                            <w:r w:rsidRPr="00222940">
                              <w:rPr>
                                <w:rFonts w:eastAsia="Times New Roman" w:cs="Arial"/>
                                <w:color w:val="000000"/>
                                <w:lang w:val="es-ES"/>
                              </w:rPr>
                              <w:t xml:space="preserve">El </w:t>
                            </w:r>
                            <w:r w:rsidRPr="00401AA3">
                              <w:rPr>
                                <w:rFonts w:eastAsia="Calibri" w:cs="Arial"/>
                                <w:lang w:val="es-ES"/>
                              </w:rPr>
                              <w:t xml:space="preserve">Instituto Max Planck de Comportamiento Animal (MPI-AB), Alemania, y Bat Conservation International, EE. UU., han presentado la propuesta adjunta* para la continuación de la </w:t>
                            </w:r>
                            <w:r w:rsidRPr="00401AA3">
                              <w:rPr>
                                <w:rFonts w:eastAsia="Calibri" w:cs="Arial"/>
                                <w:b/>
                                <w:iCs/>
                                <w:lang w:val="es-ES"/>
                              </w:rPr>
                              <w:t>Acción Concertada para el</w:t>
                            </w:r>
                            <w:r w:rsidRPr="00222940">
                              <w:rPr>
                                <w:rFonts w:eastAsia="Times New Roman" w:cs="Arial"/>
                                <w:b/>
                                <w:iCs/>
                                <w:color w:val="000000"/>
                                <w:lang w:val="es-ES"/>
                              </w:rPr>
                              <w:t xml:space="preserve"> murciélago de la fruta</w:t>
                            </w:r>
                            <w:r w:rsidRPr="00222940">
                              <w:rPr>
                                <w:rFonts w:eastAsia="Times New Roman" w:cs="Arial"/>
                                <w:b/>
                                <w:i/>
                                <w:color w:val="000000"/>
                                <w:lang w:val="es-ES"/>
                              </w:rPr>
                              <w:t xml:space="preserve"> </w:t>
                            </w:r>
                            <w:r w:rsidRPr="00222940">
                              <w:rPr>
                                <w:rFonts w:eastAsia="Times New Roman" w:cs="Arial"/>
                                <w:b/>
                                <w:iCs/>
                                <w:color w:val="000000"/>
                                <w:lang w:val="es-ES"/>
                              </w:rPr>
                              <w:t>pajizo</w:t>
                            </w:r>
                            <w:r w:rsidRPr="00222940">
                              <w:rPr>
                                <w:rFonts w:eastAsia="Times New Roman" w:cs="Arial"/>
                                <w:b/>
                                <w:i/>
                                <w:color w:val="000000"/>
                                <w:lang w:val="es-ES"/>
                              </w:rPr>
                              <w:t xml:space="preserve"> (</w:t>
                            </w:r>
                            <w:r w:rsidRPr="00222940">
                              <w:rPr>
                                <w:rFonts w:eastAsia="Times New Roman" w:cs="Arial"/>
                                <w:b/>
                                <w:i/>
                                <w:iCs/>
                                <w:color w:val="000000"/>
                                <w:lang w:val="es-ES"/>
                              </w:rPr>
                              <w:t>Eidolon helvum</w:t>
                            </w:r>
                            <w:r w:rsidRPr="00222940">
                              <w:rPr>
                                <w:rFonts w:eastAsia="Times New Roman" w:cs="Arial"/>
                                <w:color w:val="000000"/>
                                <w:lang w:val="es-ES"/>
                              </w:rPr>
                              <w:t>)</w:t>
                            </w:r>
                            <w:r w:rsidRPr="00401AA3">
                              <w:rPr>
                                <w:rFonts w:eastAsia="Calibri" w:cs="Arial"/>
                                <w:lang w:val="es-ES"/>
                              </w:rPr>
                              <w:t>, de conformidad con el proceso elaborado en la Resolución 12.28 (Rev. COP13).</w:t>
                            </w:r>
                          </w:p>
                          <w:p w14:paraId="1DF582AF" w14:textId="77777777" w:rsidR="00B76E16" w:rsidRPr="00222940" w:rsidRDefault="00B76E16" w:rsidP="005E1301">
                            <w:pPr>
                              <w:spacing w:after="0" w:line="240" w:lineRule="auto"/>
                              <w:jc w:val="both"/>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A774B46" id="_x0000_t202" coordsize="21600,21600" o:spt="202" path="m,l,21600r21600,l21600,xe">
                <v:stroke joinstyle="miter"/>
                <v:path gradientshapeok="t" o:connecttype="rect"/>
              </v:shapetype>
              <v:shape id="Text Box 5" o:spid="_x0000_s1026" type="#_x0000_t202" style="position:absolute;left:0;text-align:left;margin-left:64.8pt;margin-top:210.6pt;width:338.95pt;height:133.2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" strokeweight=".08811mm">
                <v:textbox>
                  <w:txbxContent>
                    <w:p w14:paraId="674E6642" w14:textId="77777777" w:rsidR="002E0DE9" w:rsidRPr="00222940" w:rsidRDefault="00BE3C12" w:rsidP="00F75474">
                      <w:pPr>
                        <w:spacing w:after="0"/>
                        <w:jc w:val="both"/>
                        <w:rPr>
                          <w:rFonts w:cs="Arial"/>
                          <w:lang w:val="es-ES"/>
                        </w:rPr>
                      </w:pPr>
                      <w:r w:rsidRPr="00222940">
                        <w:rPr>
                          <w:rFonts w:cs="Arial"/>
                          <w:lang w:val="es-ES"/>
                        </w:rPr>
                        <w:t>Resumen:</w:t>
                      </w:r>
                    </w:p>
                    <w:p w14:paraId="45B5D6FB" w14:textId="77777777" w:rsidR="00B76E16" w:rsidRPr="00222940" w:rsidRDefault="00B76E16" w:rsidP="005E1301">
                      <w:pPr>
                        <w:spacing w:after="0" w:line="240" w:lineRule="auto"/>
                        <w:jc w:val="both"/>
                        <w:rPr>
                          <w:rFonts w:cs="Arial"/>
                          <w:lang w:val="es-ES"/>
                        </w:rPr>
                      </w:pPr>
                    </w:p>
                    <w:p w14:paraId="6C052F53" w14:textId="3AF65B86" w:rsidR="000B4F43" w:rsidRPr="00222940" w:rsidRDefault="00BE3C12" w:rsidP="005E1301">
                      <w:pPr>
                        <w:suppressAutoHyphens/>
                        <w:autoSpaceDN w:val="0"/>
                        <w:spacing w:after="0" w:line="240" w:lineRule="auto"/>
                        <w:jc w:val="both"/>
                        <w:textAlignment w:val="baseline"/>
                        <w:rPr>
                          <w:rFonts w:eastAsia="Calibri" w:cs="Arial"/>
                          <w:lang w:val="es-ES"/>
                        </w:rPr>
                      </w:pPr>
                      <w:r w:rsidRPr="00222940">
                        <w:rPr>
                          <w:rFonts w:eastAsia="Times New Roman" w:cs="Arial"/>
                          <w:color w:val="000000"/>
                          <w:lang w:val="es-ES"/>
                        </w:rPr>
                        <w:t xml:space="preserve">El </w:t>
                      </w:r>
                      <w:r w:rsidRPr="00401AA3">
                        <w:rPr>
                          <w:rFonts w:eastAsia="Calibri" w:cs="Arial"/>
                          <w:lang w:val="es-ES"/>
                        </w:rPr>
                        <w:t xml:space="preserve">Instituto Max Planck de Comportamiento Animal (MPI-AB), Alemania, y Bat Conservation International, EE. UU., han presentado la propuesta adjunta* para la continuación de la </w:t>
                      </w:r>
                      <w:r w:rsidRPr="00401AA3">
                        <w:rPr>
                          <w:rFonts w:eastAsia="Calibri" w:cs="Arial"/>
                          <w:b/>
                          <w:iCs/>
                          <w:lang w:val="es-ES"/>
                        </w:rPr>
                        <w:t>Acción Concertada para el</w:t>
                      </w:r>
                      <w:r w:rsidRPr="00222940">
                        <w:rPr>
                          <w:rFonts w:eastAsia="Times New Roman" w:cs="Arial"/>
                          <w:b/>
                          <w:iCs/>
                          <w:color w:val="000000"/>
                          <w:lang w:val="es-ES"/>
                        </w:rPr>
                        <w:t xml:space="preserve"> murciélago de la fruta</w:t>
                      </w:r>
                      <w:r w:rsidRPr="00222940">
                        <w:rPr>
                          <w:rFonts w:eastAsia="Times New Roman" w:cs="Arial"/>
                          <w:b/>
                          <w:i/>
                          <w:color w:val="000000"/>
                          <w:lang w:val="es-ES"/>
                        </w:rPr>
                        <w:t xml:space="preserve"> </w:t>
                      </w:r>
                      <w:r w:rsidRPr="00222940">
                        <w:rPr>
                          <w:rFonts w:eastAsia="Times New Roman" w:cs="Arial"/>
                          <w:b/>
                          <w:iCs/>
                          <w:color w:val="000000"/>
                          <w:lang w:val="es-ES"/>
                        </w:rPr>
                        <w:t>pajizo</w:t>
                      </w:r>
                      <w:r w:rsidRPr="00222940">
                        <w:rPr>
                          <w:rFonts w:eastAsia="Times New Roman" w:cs="Arial"/>
                          <w:b/>
                          <w:i/>
                          <w:color w:val="000000"/>
                          <w:lang w:val="es-ES"/>
                        </w:rPr>
                        <w:t xml:space="preserve"> (</w:t>
                      </w:r>
                      <w:r w:rsidRPr="00222940">
                        <w:rPr>
                          <w:rFonts w:eastAsia="Times New Roman" w:cs="Arial"/>
                          <w:b/>
                          <w:i/>
                          <w:iCs/>
                          <w:color w:val="000000"/>
                          <w:lang w:val="es-ES"/>
                        </w:rPr>
                        <w:t>Eidolon helvum</w:t>
                      </w:r>
                      <w:r w:rsidRPr="00222940">
                        <w:rPr>
                          <w:rFonts w:eastAsia="Times New Roman" w:cs="Arial"/>
                          <w:color w:val="000000"/>
                          <w:lang w:val="es-ES"/>
                        </w:rPr>
                        <w:t>)</w:t>
                      </w:r>
                      <w:r w:rsidRPr="00401AA3">
                        <w:rPr>
                          <w:rFonts w:eastAsia="Calibri" w:cs="Arial"/>
                          <w:lang w:val="es-ES"/>
                        </w:rPr>
                        <w:t>, de conformidad con el proceso elaborado en la Resolución 12.28 (Rev. COP13).</w:t>
                      </w:r>
                    </w:p>
                    <w:p w14:paraId="1DF582AF" w14:textId="77777777" w:rsidR="00B76E16" w:rsidRPr="00222940" w:rsidRDefault="00B76E16" w:rsidP="005E1301">
                      <w:pPr>
                        <w:spacing w:after="0" w:line="240" w:lineRule="auto"/>
                        <w:jc w:val="both"/>
                        <w:rPr>
                          <w:rFonts w:cs="Arial"/>
                          <w:lang w:val="es-ES"/>
                        </w:rPr>
                      </w:pPr>
                    </w:p>
                  </w:txbxContent>
                </v:textbox>
                <w10:wrap type="square" anchorx="margin" anchory="margin"/>
              </v:shape>
            </w:pict>
          </mc:Fallback>
        </mc:AlternateContent>
      </w:r>
    </w:p>
    <w:p w14:paraId="5B4DC013"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0810E18" w:rsidR="002E0DE9" w:rsidRPr="00660F6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660F6A" w:rsidRDefault="005330F7" w:rsidP="009A2337">
      <w:pPr>
        <w:spacing w:after="0" w:line="240" w:lineRule="auto"/>
        <w:jc w:val="both"/>
        <w:rPr>
          <w:lang w:val="es-ES"/>
        </w:rPr>
      </w:pPr>
    </w:p>
    <w:p w14:paraId="490DC140" w14:textId="77777777" w:rsidR="002E0DE9" w:rsidRPr="00660F6A" w:rsidRDefault="002E0DE9" w:rsidP="009A2337">
      <w:pPr>
        <w:spacing w:after="0" w:line="240" w:lineRule="auto"/>
        <w:jc w:val="both"/>
        <w:rPr>
          <w:lang w:val="es-ES"/>
        </w:rPr>
      </w:pPr>
    </w:p>
    <w:p w14:paraId="2FBBA2D8" w14:textId="77777777" w:rsidR="002E0DE9" w:rsidRPr="00660F6A" w:rsidRDefault="002E0DE9" w:rsidP="009A2337">
      <w:pPr>
        <w:spacing w:after="0" w:line="240" w:lineRule="auto"/>
        <w:jc w:val="both"/>
        <w:rPr>
          <w:lang w:val="es-ES"/>
        </w:rPr>
      </w:pPr>
    </w:p>
    <w:p w14:paraId="4C631634" w14:textId="77777777" w:rsidR="002E0DE9" w:rsidRPr="00660F6A" w:rsidRDefault="002E0DE9" w:rsidP="009A2337">
      <w:pPr>
        <w:spacing w:after="0" w:line="240" w:lineRule="auto"/>
        <w:jc w:val="both"/>
        <w:rPr>
          <w:lang w:val="es-ES"/>
        </w:rPr>
      </w:pPr>
    </w:p>
    <w:p w14:paraId="1057ABA6" w14:textId="77777777" w:rsidR="002E0DE9" w:rsidRPr="00660F6A" w:rsidRDefault="002E0DE9" w:rsidP="009A2337">
      <w:pPr>
        <w:spacing w:after="0" w:line="240" w:lineRule="auto"/>
        <w:jc w:val="both"/>
        <w:rPr>
          <w:lang w:val="es-ES"/>
        </w:rPr>
      </w:pPr>
    </w:p>
    <w:p w14:paraId="0E60C238" w14:textId="77777777" w:rsidR="002E0DE9" w:rsidRPr="00660F6A" w:rsidRDefault="002E0DE9" w:rsidP="009A2337">
      <w:pPr>
        <w:spacing w:after="0" w:line="240" w:lineRule="auto"/>
        <w:jc w:val="both"/>
        <w:rPr>
          <w:lang w:val="es-ES"/>
        </w:rPr>
      </w:pPr>
    </w:p>
    <w:p w14:paraId="310799B0" w14:textId="77777777" w:rsidR="002E0DE9" w:rsidRPr="00660F6A" w:rsidRDefault="002E0DE9" w:rsidP="009A2337">
      <w:pPr>
        <w:spacing w:after="0" w:line="240" w:lineRule="auto"/>
        <w:jc w:val="both"/>
        <w:rPr>
          <w:lang w:val="es-ES"/>
        </w:rPr>
      </w:pPr>
    </w:p>
    <w:p w14:paraId="0B9FC963" w14:textId="77777777" w:rsidR="002E0DE9" w:rsidRPr="00660F6A" w:rsidRDefault="002E0DE9" w:rsidP="009A2337">
      <w:pPr>
        <w:spacing w:after="0" w:line="240" w:lineRule="auto"/>
        <w:jc w:val="both"/>
        <w:rPr>
          <w:lang w:val="es-ES"/>
        </w:rPr>
      </w:pPr>
    </w:p>
    <w:p w14:paraId="0BFD8348" w14:textId="77777777" w:rsidR="002E0DE9" w:rsidRPr="00660F6A" w:rsidRDefault="002E0DE9" w:rsidP="009A2337">
      <w:pPr>
        <w:spacing w:after="0" w:line="240" w:lineRule="auto"/>
        <w:jc w:val="both"/>
        <w:rPr>
          <w:lang w:val="es-ES"/>
        </w:rPr>
      </w:pPr>
    </w:p>
    <w:p w14:paraId="5A4B3EF1"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532E3391"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12B4B02F"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49411B80"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729AC386"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3509EDC4"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5635F9C8" w14:textId="77777777" w:rsidR="005E1301" w:rsidRPr="00660F6A" w:rsidRDefault="005E1301" w:rsidP="003A1362">
      <w:pPr>
        <w:widowControl w:val="0"/>
        <w:suppressAutoHyphens/>
        <w:autoSpaceDE w:val="0"/>
        <w:autoSpaceDN w:val="0"/>
        <w:spacing w:after="0" w:line="240" w:lineRule="auto"/>
        <w:textAlignment w:val="baseline"/>
        <w:rPr>
          <w:rFonts w:eastAsia="Times New Roman" w:cs="Arial"/>
          <w:lang w:val="es-ES"/>
        </w:rPr>
      </w:pPr>
    </w:p>
    <w:p w14:paraId="23DEF285" w14:textId="77777777" w:rsidR="005E1301" w:rsidRPr="00660F6A" w:rsidRDefault="005E1301" w:rsidP="003A1362">
      <w:pPr>
        <w:widowControl w:val="0"/>
        <w:suppressAutoHyphens/>
        <w:autoSpaceDE w:val="0"/>
        <w:autoSpaceDN w:val="0"/>
        <w:spacing w:after="0" w:line="240" w:lineRule="auto"/>
        <w:textAlignment w:val="baseline"/>
        <w:rPr>
          <w:rFonts w:eastAsia="Times New Roman" w:cs="Arial"/>
          <w:lang w:val="es-ES"/>
        </w:rPr>
      </w:pPr>
    </w:p>
    <w:p w14:paraId="20C9A397" w14:textId="77777777" w:rsidR="005E1301" w:rsidRPr="00660F6A" w:rsidRDefault="005E1301" w:rsidP="003A1362">
      <w:pPr>
        <w:widowControl w:val="0"/>
        <w:suppressAutoHyphens/>
        <w:autoSpaceDE w:val="0"/>
        <w:autoSpaceDN w:val="0"/>
        <w:spacing w:after="0" w:line="240" w:lineRule="auto"/>
        <w:textAlignment w:val="baseline"/>
        <w:rPr>
          <w:rFonts w:eastAsia="Times New Roman" w:cs="Arial"/>
          <w:lang w:val="es-ES"/>
        </w:rPr>
      </w:pPr>
    </w:p>
    <w:p w14:paraId="7025B57E" w14:textId="77777777" w:rsidR="005E1301" w:rsidRPr="00660F6A" w:rsidRDefault="005E1301" w:rsidP="003A1362">
      <w:pPr>
        <w:widowControl w:val="0"/>
        <w:suppressAutoHyphens/>
        <w:autoSpaceDE w:val="0"/>
        <w:autoSpaceDN w:val="0"/>
        <w:spacing w:after="0" w:line="240" w:lineRule="auto"/>
        <w:textAlignment w:val="baseline"/>
        <w:rPr>
          <w:rFonts w:eastAsia="Times New Roman" w:cs="Arial"/>
          <w:lang w:val="es-ES"/>
        </w:rPr>
      </w:pPr>
    </w:p>
    <w:p w14:paraId="5E72600F" w14:textId="77777777" w:rsidR="00BD0AED" w:rsidRDefault="00BD0AED" w:rsidP="00BD0AED">
      <w:pPr>
        <w:widowControl w:val="0"/>
        <w:suppressAutoHyphens/>
        <w:autoSpaceDE w:val="0"/>
        <w:autoSpaceDN w:val="0"/>
        <w:spacing w:after="0" w:line="240" w:lineRule="auto"/>
        <w:jc w:val="both"/>
        <w:textAlignment w:val="baseline"/>
        <w:rPr>
          <w:rFonts w:eastAsia="Times New Roman" w:cs="Arial"/>
          <w:lang w:val="es-ES" w:eastAsia="es-ES"/>
        </w:rPr>
      </w:pPr>
      <w:r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13BA9C7D" w14:textId="560D7C9C" w:rsidR="003A1362" w:rsidRPr="00BD0AED" w:rsidRDefault="003A1362" w:rsidP="003A1362">
      <w:pPr>
        <w:widowControl w:val="0"/>
        <w:suppressAutoHyphens/>
        <w:autoSpaceDE w:val="0"/>
        <w:autoSpaceDN w:val="0"/>
        <w:spacing w:after="0" w:line="240" w:lineRule="auto"/>
        <w:jc w:val="both"/>
        <w:textAlignment w:val="baseline"/>
        <w:rPr>
          <w:rFonts w:eastAsia="Calibri" w:cs="Times New Roman"/>
          <w:lang w:val="es-ES"/>
        </w:rPr>
        <w:sectPr w:rsidR="003A1362" w:rsidRPr="00BD0AED" w:rsidSect="002430C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1440" w:right="1440" w:bottom="1440" w:left="1440" w:header="432" w:footer="432" w:gutter="0"/>
          <w:cols w:space="720"/>
          <w:titlePg/>
          <w:docGrid w:linePitch="299"/>
        </w:sectPr>
      </w:pPr>
    </w:p>
    <w:p w14:paraId="0174A81D" w14:textId="1DF53CBE" w:rsidR="005E1301" w:rsidRPr="00660F6A" w:rsidRDefault="00BE3C12" w:rsidP="005C4FB6">
      <w:pPr>
        <w:suppressAutoHyphens/>
        <w:spacing w:after="0" w:line="240" w:lineRule="auto"/>
        <w:ind w:left="720"/>
        <w:contextualSpacing/>
        <w:jc w:val="center"/>
        <w:rPr>
          <w:rFonts w:eastAsia="Times New Roman" w:cs="Arial"/>
          <w:b/>
          <w:bCs/>
          <w:color w:val="000000"/>
          <w:lang w:val="es-ES"/>
        </w:rPr>
      </w:pPr>
      <w:r w:rsidRPr="00660F6A">
        <w:rPr>
          <w:rFonts w:eastAsia="Times New Roman" w:cs="Arial"/>
          <w:b/>
          <w:bCs/>
          <w:color w:val="000000"/>
          <w:lang w:val="es-ES"/>
        </w:rPr>
        <w:lastRenderedPageBreak/>
        <w:t xml:space="preserve">ACCIÓN CONCERTADA PARA </w:t>
      </w:r>
    </w:p>
    <w:p w14:paraId="2D4191B6" w14:textId="0B7E2596" w:rsidR="00843436" w:rsidRPr="00660F6A" w:rsidRDefault="00BE3C12" w:rsidP="005C4FB6">
      <w:pPr>
        <w:suppressAutoHyphens/>
        <w:spacing w:after="0" w:line="240" w:lineRule="auto"/>
        <w:ind w:left="720"/>
        <w:contextualSpacing/>
        <w:jc w:val="center"/>
        <w:rPr>
          <w:rFonts w:eastAsia="MS Mincho" w:cs="Arial"/>
          <w:b/>
          <w:color w:val="000000"/>
          <w:lang w:val="es-ES" w:eastAsia="ja-JP"/>
        </w:rPr>
      </w:pPr>
      <w:r w:rsidRPr="00660F6A">
        <w:rPr>
          <w:rFonts w:eastAsia="Times New Roman" w:cs="Arial"/>
          <w:b/>
          <w:bCs/>
          <w:color w:val="000000"/>
          <w:lang w:val="es-ES"/>
        </w:rPr>
        <w:t>EL MURCIÉLAGO DE LA FRUTA PAJIZO (</w:t>
      </w:r>
      <w:proofErr w:type="spellStart"/>
      <w:r w:rsidRPr="00660F6A">
        <w:rPr>
          <w:rFonts w:eastAsia="Times New Roman" w:cs="Arial"/>
          <w:b/>
          <w:bCs/>
          <w:i/>
          <w:iCs/>
          <w:color w:val="000000"/>
          <w:lang w:val="es-ES"/>
        </w:rPr>
        <w:t>Eidolon</w:t>
      </w:r>
      <w:proofErr w:type="spellEnd"/>
      <w:r w:rsidRPr="00660F6A">
        <w:rPr>
          <w:rFonts w:eastAsia="Times New Roman" w:cs="Arial"/>
          <w:b/>
          <w:bCs/>
          <w:i/>
          <w:iCs/>
          <w:color w:val="000000"/>
          <w:lang w:val="es-ES"/>
        </w:rPr>
        <w:t xml:space="preserve"> </w:t>
      </w:r>
      <w:proofErr w:type="spellStart"/>
      <w:r w:rsidRPr="00660F6A">
        <w:rPr>
          <w:rFonts w:eastAsia="Times New Roman" w:cs="Arial"/>
          <w:b/>
          <w:bCs/>
          <w:i/>
          <w:iCs/>
          <w:color w:val="000000"/>
          <w:lang w:val="es-ES"/>
        </w:rPr>
        <w:t>helvum</w:t>
      </w:r>
      <w:proofErr w:type="spellEnd"/>
      <w:r w:rsidRPr="00660F6A">
        <w:rPr>
          <w:rFonts w:eastAsia="Times New Roman" w:cs="Arial"/>
          <w:b/>
          <w:bCs/>
          <w:color w:val="000000"/>
          <w:lang w:val="es-ES"/>
        </w:rPr>
        <w:t>)</w:t>
      </w:r>
    </w:p>
    <w:p w14:paraId="7BAF97E9" w14:textId="77777777" w:rsidR="00843436" w:rsidRPr="00660F6A" w:rsidRDefault="00843436" w:rsidP="005E1301">
      <w:pPr>
        <w:suppressAutoHyphens/>
        <w:spacing w:after="0" w:line="240" w:lineRule="auto"/>
        <w:contextualSpacing/>
        <w:jc w:val="both"/>
        <w:rPr>
          <w:rFonts w:eastAsia="MS Mincho" w:cs="Arial"/>
          <w:lang w:val="es-ES" w:eastAsia="en-GB"/>
        </w:rPr>
      </w:pPr>
    </w:p>
    <w:p w14:paraId="75A17B74" w14:textId="77777777" w:rsidR="005E1301" w:rsidRPr="00660F6A" w:rsidRDefault="005E1301" w:rsidP="005E1301">
      <w:pPr>
        <w:suppressAutoHyphens/>
        <w:spacing w:after="0" w:line="240" w:lineRule="auto"/>
        <w:contextualSpacing/>
        <w:jc w:val="both"/>
        <w:rPr>
          <w:rFonts w:eastAsia="MS Mincho" w:cs="Arial"/>
          <w:lang w:val="es-ES" w:eastAsia="en-GB"/>
        </w:rPr>
      </w:pPr>
    </w:p>
    <w:p w14:paraId="1A63CF24" w14:textId="716AF03D"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Proponentes</w:t>
      </w:r>
    </w:p>
    <w:p w14:paraId="2E2365D0" w14:textId="77777777" w:rsidR="005E1301" w:rsidRPr="00660F6A" w:rsidRDefault="005E1301" w:rsidP="005E1301">
      <w:pPr>
        <w:suppressAutoHyphens/>
        <w:autoSpaceDN w:val="0"/>
        <w:spacing w:after="0" w:line="240" w:lineRule="auto"/>
        <w:jc w:val="both"/>
        <w:textAlignment w:val="baseline"/>
        <w:rPr>
          <w:rFonts w:eastAsia="Times New Roman" w:cs="Arial"/>
          <w:color w:val="000000"/>
          <w:lang w:val="es-ES"/>
        </w:rPr>
      </w:pPr>
    </w:p>
    <w:p w14:paraId="0F69B232" w14:textId="31C6AE8F" w:rsidR="00BE3C12" w:rsidRPr="00660F6A" w:rsidRDefault="00A21AF7" w:rsidP="005E1301">
      <w:pPr>
        <w:suppressAutoHyphens/>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 xml:space="preserve">El Instituto Max Planck de Comportamiento Animal (MPI-AB), Alemania, y Bat </w:t>
      </w:r>
      <w:proofErr w:type="spellStart"/>
      <w:r w:rsidRPr="00660F6A">
        <w:rPr>
          <w:rFonts w:eastAsia="Times New Roman" w:cs="Arial"/>
          <w:color w:val="000000"/>
          <w:lang w:val="es-ES"/>
        </w:rPr>
        <w:t>Conservation</w:t>
      </w:r>
      <w:proofErr w:type="spellEnd"/>
      <w:r w:rsidRPr="00660F6A">
        <w:rPr>
          <w:rFonts w:eastAsia="Times New Roman" w:cs="Arial"/>
          <w:color w:val="000000"/>
          <w:lang w:val="es-ES"/>
        </w:rPr>
        <w:t xml:space="preserve"> International, EE. UU.</w:t>
      </w:r>
    </w:p>
    <w:p w14:paraId="475A07A8" w14:textId="77777777" w:rsidR="00BE3C12" w:rsidRPr="00660F6A" w:rsidRDefault="00BE3C12" w:rsidP="005E1301">
      <w:pPr>
        <w:suppressAutoHyphens/>
        <w:autoSpaceDN w:val="0"/>
        <w:spacing w:after="0" w:line="240" w:lineRule="auto"/>
        <w:jc w:val="both"/>
        <w:textAlignment w:val="baseline"/>
        <w:rPr>
          <w:rFonts w:eastAsia="Times New Roman" w:cs="Arial"/>
          <w:color w:val="000000"/>
          <w:lang w:val="es-ES"/>
        </w:rPr>
      </w:pPr>
    </w:p>
    <w:p w14:paraId="5B7CF69F" w14:textId="618FDE17" w:rsidR="00BE3C12" w:rsidRPr="00660F6A" w:rsidRDefault="00BE3C12" w:rsidP="005E1301">
      <w:pPr>
        <w:suppressAutoHyphens/>
        <w:autoSpaceDN w:val="0"/>
        <w:spacing w:after="0" w:line="240" w:lineRule="auto"/>
        <w:jc w:val="both"/>
        <w:textAlignment w:val="baseline"/>
        <w:rPr>
          <w:rFonts w:eastAsia="Times New Roman" w:cs="Arial"/>
          <w:i/>
          <w:iCs/>
          <w:color w:val="000000"/>
          <w:lang w:val="es-ES"/>
        </w:rPr>
      </w:pPr>
      <w:r w:rsidRPr="00660F6A">
        <w:rPr>
          <w:rFonts w:eastAsia="Times New Roman" w:cs="Arial"/>
          <w:i/>
          <w:iCs/>
          <w:color w:val="000000"/>
          <w:lang w:val="es-ES"/>
        </w:rPr>
        <w:t>Proponentes de la Acción Concertada original:</w:t>
      </w:r>
    </w:p>
    <w:p w14:paraId="37421577" w14:textId="77777777" w:rsidR="005E1301" w:rsidRPr="00660F6A" w:rsidRDefault="005E1301" w:rsidP="005E1301">
      <w:pPr>
        <w:suppressAutoHyphens/>
        <w:autoSpaceDN w:val="0"/>
        <w:spacing w:after="0" w:line="240" w:lineRule="auto"/>
        <w:jc w:val="both"/>
        <w:textAlignment w:val="baseline"/>
        <w:rPr>
          <w:rFonts w:eastAsia="Times New Roman" w:cs="Arial"/>
          <w:color w:val="000000"/>
          <w:lang w:val="es-ES"/>
        </w:rPr>
      </w:pPr>
    </w:p>
    <w:p w14:paraId="5666B765" w14:textId="3DB03B1A" w:rsidR="000F0FE3" w:rsidRPr="00660F6A" w:rsidRDefault="00BE3C12" w:rsidP="005E1301">
      <w:pPr>
        <w:suppressAutoHyphens/>
        <w:autoSpaceDN w:val="0"/>
        <w:spacing w:after="80" w:line="240" w:lineRule="auto"/>
        <w:jc w:val="both"/>
        <w:textAlignment w:val="baseline"/>
        <w:rPr>
          <w:rFonts w:eastAsia="Times New Roman" w:cs="Arial"/>
          <w:color w:val="000000"/>
          <w:lang w:val="es-ES"/>
        </w:rPr>
      </w:pPr>
      <w:r w:rsidRPr="00660F6A">
        <w:rPr>
          <w:rFonts w:eastAsia="Times New Roman" w:cs="Arial"/>
          <w:color w:val="000000"/>
          <w:lang w:val="es-ES"/>
        </w:rPr>
        <w:t>Los Gobiernos de Camerún, Ghana, Kenia, Ruanda y Uganda</w:t>
      </w:r>
      <w:r w:rsidR="008B08D6" w:rsidRPr="00660F6A">
        <w:rPr>
          <w:rFonts w:eastAsia="Times New Roman" w:cs="Arial"/>
          <w:color w:val="000000"/>
          <w:lang w:val="es-ES"/>
        </w:rPr>
        <w:t>.</w:t>
      </w:r>
      <w:r w:rsidRPr="00660F6A">
        <w:rPr>
          <w:rFonts w:eastAsia="Times New Roman" w:cs="Arial"/>
          <w:color w:val="000000"/>
          <w:lang w:val="es-ES"/>
        </w:rPr>
        <w:t xml:space="preserve"> </w:t>
      </w:r>
    </w:p>
    <w:p w14:paraId="6603BFA3" w14:textId="2DCFC40A" w:rsidR="00CD1485" w:rsidRPr="00660F6A" w:rsidRDefault="00CD1485" w:rsidP="005E1301">
      <w:pPr>
        <w:suppressAutoHyphens/>
        <w:autoSpaceDN w:val="0"/>
        <w:spacing w:after="80" w:line="240" w:lineRule="auto"/>
        <w:jc w:val="both"/>
        <w:textAlignment w:val="baseline"/>
        <w:rPr>
          <w:rFonts w:eastAsia="Times New Roman" w:cs="Arial"/>
          <w:lang w:val="es-ES"/>
        </w:rPr>
      </w:pPr>
      <w:r w:rsidRPr="00660F6A">
        <w:rPr>
          <w:rFonts w:eastAsia="Times New Roman" w:cs="Arial"/>
          <w:color w:val="000000"/>
          <w:lang w:val="es-ES"/>
        </w:rPr>
        <w:t>Natalie Weber, Instituto Max Planck de Comportamiento Animal (MPI-AB), Alemania.</w:t>
      </w:r>
    </w:p>
    <w:p w14:paraId="3D96755C" w14:textId="77777777" w:rsidR="000F0FE3" w:rsidRPr="00660F6A" w:rsidRDefault="00BE3C12" w:rsidP="005E1301">
      <w:pPr>
        <w:suppressAutoHyphens/>
        <w:autoSpaceDN w:val="0"/>
        <w:spacing w:after="80" w:line="240" w:lineRule="auto"/>
        <w:jc w:val="both"/>
        <w:textAlignment w:val="baseline"/>
        <w:rPr>
          <w:rFonts w:eastAsia="Times New Roman" w:cs="Arial"/>
          <w:lang w:val="es-ES"/>
        </w:rPr>
      </w:pPr>
      <w:r w:rsidRPr="00660F6A">
        <w:rPr>
          <w:rFonts w:eastAsia="Times New Roman" w:cs="Arial"/>
          <w:color w:val="000000"/>
          <w:lang w:val="es-ES"/>
        </w:rPr>
        <w:t xml:space="preserve">Dra. Dina </w:t>
      </w:r>
      <w:proofErr w:type="spellStart"/>
      <w:r w:rsidRPr="00660F6A">
        <w:rPr>
          <w:rFonts w:eastAsia="Times New Roman" w:cs="Arial"/>
          <w:color w:val="000000"/>
          <w:lang w:val="es-ES"/>
        </w:rPr>
        <w:t>Dechmann</w:t>
      </w:r>
      <w:proofErr w:type="spellEnd"/>
      <w:r w:rsidRPr="00660F6A">
        <w:rPr>
          <w:rFonts w:eastAsia="Times New Roman" w:cs="Arial"/>
          <w:color w:val="000000"/>
          <w:lang w:val="es-ES"/>
        </w:rPr>
        <w:t>, Instituto Max Planck de Comportamiento Animal (MPI-AB), Alemania.</w:t>
      </w:r>
    </w:p>
    <w:p w14:paraId="502111D4" w14:textId="63098F9E" w:rsidR="000F0FE3" w:rsidRPr="00660F6A" w:rsidRDefault="00BE3C12" w:rsidP="005E1301">
      <w:pPr>
        <w:suppressAutoHyphens/>
        <w:autoSpaceDN w:val="0"/>
        <w:spacing w:after="80" w:line="240" w:lineRule="auto"/>
        <w:jc w:val="both"/>
        <w:textAlignment w:val="baseline"/>
        <w:rPr>
          <w:rFonts w:eastAsia="Times New Roman" w:cs="Arial"/>
          <w:lang w:val="es-ES"/>
        </w:rPr>
      </w:pPr>
      <w:r w:rsidRPr="00660F6A">
        <w:rPr>
          <w:rFonts w:eastAsia="Times New Roman" w:cs="Arial"/>
          <w:color w:val="000000"/>
          <w:lang w:val="es-ES"/>
        </w:rPr>
        <w:t xml:space="preserve">Dr. Olivier </w:t>
      </w:r>
      <w:proofErr w:type="spellStart"/>
      <w:r w:rsidRPr="00660F6A">
        <w:rPr>
          <w:rFonts w:eastAsia="Times New Roman" w:cs="Arial"/>
          <w:color w:val="000000"/>
          <w:lang w:val="es-ES"/>
        </w:rPr>
        <w:t>Nsengimana</w:t>
      </w:r>
      <w:proofErr w:type="spellEnd"/>
      <w:r w:rsidRPr="00660F6A">
        <w:rPr>
          <w:rFonts w:eastAsia="Times New Roman" w:cs="Arial"/>
          <w:color w:val="000000"/>
          <w:lang w:val="es-ES"/>
        </w:rPr>
        <w:t>, Asociación para la Conservación de la Vida Silvestre de Ruanda (RWCA), Ruanda.</w:t>
      </w:r>
    </w:p>
    <w:p w14:paraId="1FB5CFD4" w14:textId="220697D8" w:rsidR="000F0FE3"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color w:val="000000"/>
          <w:lang w:val="es-ES"/>
        </w:rPr>
        <w:t xml:space="preserve">Dr. Patrick Jules </w:t>
      </w:r>
      <w:proofErr w:type="spellStart"/>
      <w:r w:rsidRPr="00660F6A">
        <w:rPr>
          <w:rFonts w:eastAsia="Times New Roman" w:cs="Arial"/>
          <w:color w:val="000000"/>
          <w:lang w:val="es-ES"/>
        </w:rPr>
        <w:t>Atagana</w:t>
      </w:r>
      <w:proofErr w:type="spellEnd"/>
      <w:r w:rsidRPr="00660F6A">
        <w:rPr>
          <w:rFonts w:eastAsia="Times New Roman" w:cs="Arial"/>
          <w:color w:val="000000"/>
          <w:lang w:val="es-ES"/>
        </w:rPr>
        <w:t xml:space="preserve">, Universidad de </w:t>
      </w:r>
      <w:proofErr w:type="spellStart"/>
      <w:r w:rsidRPr="00660F6A">
        <w:rPr>
          <w:rFonts w:eastAsia="Times New Roman" w:cs="Arial"/>
          <w:color w:val="000000"/>
          <w:lang w:val="es-ES"/>
        </w:rPr>
        <w:t>Ngaoundere</w:t>
      </w:r>
      <w:proofErr w:type="spellEnd"/>
      <w:r w:rsidRPr="00660F6A">
        <w:rPr>
          <w:rFonts w:eastAsia="Times New Roman" w:cs="Arial"/>
          <w:color w:val="000000"/>
          <w:lang w:val="es-ES"/>
        </w:rPr>
        <w:t>, Camerún.</w:t>
      </w:r>
    </w:p>
    <w:p w14:paraId="7B414390"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b/>
          <w:color w:val="000000"/>
          <w:lang w:val="es-ES" w:eastAsia="ja-JP"/>
        </w:rPr>
      </w:pPr>
    </w:p>
    <w:p w14:paraId="11C9E3E1" w14:textId="2E8F3FAF"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Especies objetivo, taxón inferior o población, o grupo de taxones con necesidades en común</w:t>
      </w:r>
    </w:p>
    <w:p w14:paraId="5577858C" w14:textId="77777777" w:rsidR="005E1301" w:rsidRPr="00660F6A" w:rsidRDefault="005E1301" w:rsidP="005E1301">
      <w:pPr>
        <w:suppressAutoHyphens/>
        <w:autoSpaceDN w:val="0"/>
        <w:spacing w:after="0" w:line="240" w:lineRule="auto"/>
        <w:textAlignment w:val="baseline"/>
        <w:rPr>
          <w:rFonts w:eastAsia="Times New Roman" w:cs="Arial"/>
          <w:color w:val="000000"/>
          <w:lang w:val="es-ES"/>
        </w:rPr>
      </w:pPr>
    </w:p>
    <w:p w14:paraId="0B42DA28" w14:textId="674ECF67" w:rsidR="00C70CEB" w:rsidRPr="00660F6A" w:rsidRDefault="00030746" w:rsidP="005E1301">
      <w:pPr>
        <w:suppressAutoHyphens/>
        <w:autoSpaceDN w:val="0"/>
        <w:spacing w:after="0" w:line="240" w:lineRule="auto"/>
        <w:textAlignment w:val="baseline"/>
        <w:rPr>
          <w:rFonts w:eastAsia="Times New Roman" w:cs="Arial"/>
          <w:color w:val="000000"/>
          <w:lang w:val="es-ES"/>
        </w:rPr>
      </w:pPr>
      <w:r w:rsidRPr="00660F6A">
        <w:rPr>
          <w:rFonts w:eastAsia="Times New Roman" w:cs="Arial"/>
          <w:color w:val="000000"/>
          <w:lang w:val="es-ES"/>
        </w:rPr>
        <w:t>El murciélago de la fruta pajizo</w:t>
      </w:r>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Eidolon</w:t>
      </w:r>
      <w:proofErr w:type="spellEnd"/>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i/>
          <w:iCs/>
          <w:color w:val="000000"/>
          <w:lang w:val="es-ES"/>
        </w:rPr>
        <w:t xml:space="preserve">) </w:t>
      </w:r>
    </w:p>
    <w:p w14:paraId="06C6D15E" w14:textId="77777777" w:rsidR="005E1301" w:rsidRPr="00660F6A" w:rsidRDefault="005E1301" w:rsidP="005E1301">
      <w:pPr>
        <w:widowControl w:val="0"/>
        <w:suppressAutoHyphens/>
        <w:autoSpaceDE w:val="0"/>
        <w:autoSpaceDN w:val="0"/>
        <w:spacing w:after="0" w:line="240" w:lineRule="auto"/>
        <w:jc w:val="both"/>
        <w:textAlignment w:val="baseline"/>
        <w:rPr>
          <w:rFonts w:eastAsia="Calibri" w:cs="Arial"/>
          <w:i/>
          <w:iCs/>
          <w:lang w:val="es-ES"/>
        </w:rPr>
      </w:pPr>
    </w:p>
    <w:p w14:paraId="46DE1013" w14:textId="2DBB555E"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Ámbito geográfico</w:t>
      </w:r>
    </w:p>
    <w:p w14:paraId="10BB2124" w14:textId="77777777" w:rsidR="005E1301" w:rsidRPr="00660F6A" w:rsidRDefault="005E1301" w:rsidP="005E1301">
      <w:pPr>
        <w:suppressAutoHyphens/>
        <w:autoSpaceDN w:val="0"/>
        <w:spacing w:after="0" w:line="240" w:lineRule="auto"/>
        <w:jc w:val="both"/>
        <w:textAlignment w:val="baseline"/>
        <w:rPr>
          <w:rFonts w:eastAsia="Times New Roman" w:cs="Arial"/>
          <w:color w:val="000000"/>
          <w:lang w:val="es-ES"/>
        </w:rPr>
      </w:pPr>
    </w:p>
    <w:p w14:paraId="103D58CE" w14:textId="2CD82B70" w:rsidR="009920F8"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color w:val="000000"/>
          <w:lang w:val="es-ES"/>
        </w:rPr>
        <w:t>La especie se distribuye en las zonas de bosques y sabanas del África</w:t>
      </w:r>
      <w:r w:rsidR="008B08D6" w:rsidRPr="00660F6A">
        <w:rPr>
          <w:rFonts w:eastAsia="Times New Roman" w:cs="Arial"/>
          <w:color w:val="000000"/>
          <w:lang w:val="es-ES"/>
        </w:rPr>
        <w:t xml:space="preserve"> </w:t>
      </w:r>
      <w:r w:rsidRPr="00660F6A">
        <w:rPr>
          <w:rFonts w:eastAsia="Times New Roman" w:cs="Arial"/>
          <w:color w:val="000000"/>
          <w:lang w:val="es-ES"/>
        </w:rPr>
        <w:t xml:space="preserve">subsahariana y hay registros de ella en los siguientes países: Angola, Benín, Botsuana, Burkina Faso, Burundi, Camerún, República Centroafricana, Chad, Congo, República Democrática del Congo, Costa de Marfil, Guinea Ecuatorial, </w:t>
      </w:r>
      <w:proofErr w:type="spellStart"/>
      <w:r w:rsidRPr="00660F6A">
        <w:rPr>
          <w:rFonts w:eastAsia="Times New Roman" w:cs="Arial"/>
          <w:color w:val="000000"/>
          <w:lang w:val="es-ES"/>
        </w:rPr>
        <w:t>Esuatini</w:t>
      </w:r>
      <w:proofErr w:type="spellEnd"/>
      <w:r w:rsidRPr="00660F6A">
        <w:rPr>
          <w:rFonts w:eastAsia="Times New Roman" w:cs="Arial"/>
          <w:color w:val="000000"/>
          <w:lang w:val="es-ES"/>
        </w:rPr>
        <w:t>, Etiopía, Gabón, Gambia, Ghana, Guinea, Guinea-Bisáu, Kenia, Lesoto, Liberia, Malawi, Malí, Mauritania, Mozambique, Namibia, Níger, Nigeria, Ruanda, Santo Tomé y Príncipe, Senegal, Sierra Leona, Sudáfrica, Sudán, Tanzania, Togo, Uganda, Zambia y Zimbabue.</w:t>
      </w:r>
    </w:p>
    <w:p w14:paraId="1C848C1D" w14:textId="77777777" w:rsidR="009920F8" w:rsidRPr="00660F6A" w:rsidRDefault="009920F8" w:rsidP="005E1301">
      <w:pPr>
        <w:suppressAutoHyphens/>
        <w:autoSpaceDN w:val="0"/>
        <w:spacing w:after="0" w:line="240" w:lineRule="auto"/>
        <w:jc w:val="both"/>
        <w:textAlignment w:val="baseline"/>
        <w:rPr>
          <w:rFonts w:eastAsia="Times New Roman" w:cs="Arial"/>
          <w:lang w:val="es-ES"/>
        </w:rPr>
      </w:pPr>
    </w:p>
    <w:p w14:paraId="23FFEDA2" w14:textId="77777777" w:rsidR="009920F8" w:rsidRPr="00660F6A" w:rsidRDefault="00BE3C12" w:rsidP="005E1301">
      <w:pPr>
        <w:suppressAutoHyphens/>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Además, hay registros en Arabia Saudí y Yemen, y podría haberlos en Yibuti y Eritrea.</w:t>
      </w:r>
    </w:p>
    <w:p w14:paraId="4BD7F4A9"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36D1C47F" w14:textId="62973FAC"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bCs/>
          <w:lang w:val="es-ES" w:eastAsia="en-GB"/>
        </w:rPr>
      </w:pPr>
      <w:r w:rsidRPr="00660F6A">
        <w:rPr>
          <w:rFonts w:eastAsia="MS Mincho" w:cs="Arial"/>
          <w:b/>
          <w:bCs/>
          <w:lang w:val="es-ES" w:eastAsia="es-ES"/>
        </w:rPr>
        <w:t>Resumen de actividades</w:t>
      </w:r>
    </w:p>
    <w:p w14:paraId="318A842F" w14:textId="5F729275" w:rsidR="00BE1A4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La Acción Concertada propuesta para el murciélago de la fruta pajizo (</w:t>
      </w:r>
      <w:proofErr w:type="spellStart"/>
      <w:r w:rsidRPr="00660F6A">
        <w:rPr>
          <w:rFonts w:eastAsia="Times New Roman" w:cs="Arial"/>
          <w:i/>
          <w:lang w:val="es-ES"/>
        </w:rPr>
        <w:t>Eidolon</w:t>
      </w:r>
      <w:proofErr w:type="spellEnd"/>
      <w:r w:rsidRPr="00660F6A">
        <w:rPr>
          <w:rFonts w:eastAsia="Times New Roman" w:cs="Arial"/>
          <w:i/>
          <w:lang w:val="es-ES"/>
        </w:rPr>
        <w:t xml:space="preserve"> </w:t>
      </w:r>
      <w:proofErr w:type="spellStart"/>
      <w:r w:rsidRPr="00660F6A">
        <w:rPr>
          <w:rFonts w:eastAsia="Times New Roman" w:cs="Arial"/>
          <w:i/>
          <w:lang w:val="es-ES"/>
        </w:rPr>
        <w:t>helvum</w:t>
      </w:r>
      <w:proofErr w:type="spellEnd"/>
      <w:r w:rsidRPr="00660F6A">
        <w:rPr>
          <w:rFonts w:eastAsia="Times New Roman" w:cs="Arial"/>
          <w:lang w:val="es-ES"/>
        </w:rPr>
        <w:t>) pondrá en marcha las actividades propuestas para alcanzar los objetivos 1, 2 y 3 y la visión general del Plan Estratégico para las Especies Migratorias (SPMS) de la Convención. Además, la Acción Concertada contribuirá a implementar las metas 7, 8 y 15 del SPMS.  </w:t>
      </w:r>
    </w:p>
    <w:p w14:paraId="550CCF92" w14:textId="77777777" w:rsidR="00843436" w:rsidRPr="00660F6A" w:rsidRDefault="00843436" w:rsidP="005E1301">
      <w:pPr>
        <w:widowControl w:val="0"/>
        <w:suppressAutoHyphens/>
        <w:autoSpaceDE w:val="0"/>
        <w:autoSpaceDN w:val="0"/>
        <w:spacing w:after="0" w:line="240" w:lineRule="auto"/>
        <w:jc w:val="both"/>
        <w:textAlignment w:val="baseline"/>
        <w:rPr>
          <w:rFonts w:cs="Arial"/>
          <w:lang w:val="es-ES"/>
        </w:rPr>
      </w:pPr>
    </w:p>
    <w:p w14:paraId="233C885D" w14:textId="44A962BD" w:rsidR="00B16A2E" w:rsidRPr="00660F6A" w:rsidRDefault="00B16A2E" w:rsidP="005E1301">
      <w:pPr>
        <w:widowControl w:val="0"/>
        <w:suppressAutoHyphens/>
        <w:autoSpaceDE w:val="0"/>
        <w:autoSpaceDN w:val="0"/>
        <w:spacing w:after="0" w:line="240" w:lineRule="auto"/>
        <w:jc w:val="both"/>
        <w:textAlignment w:val="baseline"/>
        <w:rPr>
          <w:rFonts w:eastAsia="Times New Roman" w:cs="Arial"/>
          <w:b/>
          <w:bCs/>
          <w:u w:val="single"/>
          <w:lang w:val="es-ES"/>
        </w:rPr>
      </w:pPr>
      <w:r w:rsidRPr="00660F6A">
        <w:rPr>
          <w:rFonts w:eastAsia="Times New Roman" w:cs="Arial"/>
          <w:b/>
          <w:bCs/>
          <w:u w:val="single"/>
          <w:lang w:val="es-ES"/>
        </w:rPr>
        <w:t>Actividades y resultados esperados</w:t>
      </w:r>
    </w:p>
    <w:p w14:paraId="64481D2B" w14:textId="77777777" w:rsidR="00B16A2E" w:rsidRPr="00660F6A" w:rsidRDefault="00B16A2E" w:rsidP="005E1301">
      <w:pPr>
        <w:suppressAutoHyphens/>
        <w:autoSpaceDN w:val="0"/>
        <w:spacing w:after="0" w:line="240" w:lineRule="auto"/>
        <w:jc w:val="both"/>
        <w:textAlignment w:val="baseline"/>
        <w:rPr>
          <w:rFonts w:eastAsia="Times New Roman" w:cs="Arial"/>
          <w:b/>
          <w:lang w:val="es-ES"/>
        </w:rPr>
      </w:pPr>
      <w:r w:rsidRPr="00660F6A">
        <w:rPr>
          <w:rFonts w:eastAsia="Times New Roman" w:cs="Arial"/>
          <w:b/>
          <w:color w:val="000000"/>
          <w:lang w:val="es-ES"/>
        </w:rPr>
        <w:t> </w:t>
      </w:r>
    </w:p>
    <w:p w14:paraId="3D93DC1A" w14:textId="77777777" w:rsidR="00B16A2E" w:rsidRPr="00660F6A" w:rsidRDefault="00B16A2E" w:rsidP="005E1301">
      <w:pPr>
        <w:suppressAutoHyphens/>
        <w:autoSpaceDN w:val="0"/>
        <w:spacing w:after="80" w:line="240" w:lineRule="auto"/>
        <w:jc w:val="both"/>
        <w:textAlignment w:val="baseline"/>
        <w:rPr>
          <w:rFonts w:eastAsia="Times New Roman" w:cs="Arial"/>
          <w:lang w:val="es-ES"/>
        </w:rPr>
      </w:pPr>
      <w:r w:rsidRPr="00660F6A">
        <w:rPr>
          <w:rFonts w:eastAsia="Times New Roman" w:cs="Arial"/>
          <w:color w:val="000000"/>
          <w:lang w:val="es-ES"/>
        </w:rPr>
        <w:t>Actividades:</w:t>
      </w:r>
    </w:p>
    <w:p w14:paraId="6C6FB758" w14:textId="7E46561A" w:rsidR="00B16A2E" w:rsidRPr="00660F6A" w:rsidRDefault="00B16A2E" w:rsidP="005E1301">
      <w:pPr>
        <w:numPr>
          <w:ilvl w:val="0"/>
          <w:numId w:val="12"/>
        </w:numPr>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 xml:space="preserve">Informar a las diferentes partes interesadas de tantos estados del área de distribución como sea posible acerca de la importancia del </w:t>
      </w:r>
      <w:proofErr w:type="spellStart"/>
      <w:r w:rsidRPr="00660F6A">
        <w:rPr>
          <w:rFonts w:eastAsia="Times New Roman" w:cs="Arial"/>
          <w:i/>
          <w:iCs/>
          <w:color w:val="000000"/>
          <w:lang w:val="es-ES"/>
        </w:rPr>
        <w:t>Eidolon</w:t>
      </w:r>
      <w:proofErr w:type="spellEnd"/>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como especie ecológica esencial y sobre los antecedentes de su estado en la CMS (por ejemplo, autoridades, comunidades, proyectos de desarrollo, ONG). Con este fin, organizar una «Reunión sobre la conservación del </w:t>
      </w:r>
      <w:proofErr w:type="spellStart"/>
      <w:r w:rsidRPr="00660F6A">
        <w:rPr>
          <w:rFonts w:eastAsia="Times New Roman" w:cs="Arial"/>
          <w:color w:val="000000"/>
          <w:lang w:val="es-ES"/>
        </w:rPr>
        <w:t>Eidolon</w:t>
      </w:r>
      <w:proofErr w:type="spellEnd"/>
      <w:r w:rsidRPr="00660F6A">
        <w:rPr>
          <w:rFonts w:eastAsia="Times New Roman" w:cs="Arial"/>
          <w:color w:val="000000"/>
          <w:lang w:val="es-ES"/>
        </w:rPr>
        <w:t>» con tantos estados del área de distribución y países socios como sea posible y abordar los aspectos nacionales y transfronterizos;</w:t>
      </w:r>
    </w:p>
    <w:p w14:paraId="14D9AC5F" w14:textId="77777777" w:rsidR="00B16A2E" w:rsidRPr="00660F6A" w:rsidRDefault="00B16A2E" w:rsidP="005E1301">
      <w:pPr>
        <w:numPr>
          <w:ilvl w:val="0"/>
          <w:numId w:val="12"/>
        </w:numPr>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lastRenderedPageBreak/>
        <w:t>Desarrollar un Plan de Acción de Conservación de 3 años con tantos estados como sea posible, en función del estado actual de la especie en cada uno de los países, que, entre otros aspectos, incluya:</w:t>
      </w:r>
    </w:p>
    <w:p w14:paraId="7DB686A9" w14:textId="77777777" w:rsidR="00B16A2E" w:rsidRPr="00660F6A" w:rsidRDefault="00B16A2E" w:rsidP="005E1301">
      <w:pPr>
        <w:numPr>
          <w:ilvl w:val="1"/>
          <w:numId w:val="13"/>
        </w:numPr>
        <w:spacing w:after="80" w:line="240" w:lineRule="auto"/>
        <w:jc w:val="both"/>
        <w:textAlignment w:val="baseline"/>
        <w:rPr>
          <w:rFonts w:eastAsia="Times New Roman" w:cs="Arial"/>
          <w:color w:val="000000"/>
          <w:lang w:val="es-ES"/>
        </w:rPr>
      </w:pPr>
      <w:r w:rsidRPr="00660F6A">
        <w:rPr>
          <w:rFonts w:eastAsia="Times New Roman" w:cs="Arial"/>
          <w:color w:val="000000"/>
          <w:lang w:val="es-ES"/>
        </w:rPr>
        <w:t>La divulgación y la sensibilización entre las poblaciones locales sobre la importancia y los riesgos (gobiernos/puntos focales; socios nacionales, MPI-AB);</w:t>
      </w:r>
    </w:p>
    <w:p w14:paraId="5E58EC8A" w14:textId="77777777" w:rsidR="00B16A2E" w:rsidRPr="00660F6A" w:rsidRDefault="00B16A2E" w:rsidP="005E1301">
      <w:pPr>
        <w:numPr>
          <w:ilvl w:val="1"/>
          <w:numId w:val="13"/>
        </w:numPr>
        <w:spacing w:after="80" w:line="240" w:lineRule="auto"/>
        <w:jc w:val="both"/>
        <w:textAlignment w:val="baseline"/>
        <w:rPr>
          <w:rFonts w:eastAsia="Times New Roman" w:cs="Arial"/>
          <w:color w:val="000000"/>
          <w:lang w:val="es-ES"/>
        </w:rPr>
      </w:pPr>
      <w:r w:rsidRPr="00660F6A">
        <w:rPr>
          <w:rFonts w:eastAsia="Times New Roman" w:cs="Arial"/>
          <w:color w:val="000000"/>
          <w:lang w:val="es-ES"/>
        </w:rPr>
        <w:t xml:space="preserve">Trabajar para proteger los dormideros situados en </w:t>
      </w:r>
      <w:proofErr w:type="gramStart"/>
      <w:r w:rsidRPr="00660F6A">
        <w:rPr>
          <w:rFonts w:eastAsia="Times New Roman" w:cs="Arial"/>
          <w:color w:val="000000"/>
          <w:lang w:val="es-ES"/>
        </w:rPr>
        <w:t>todo el área</w:t>
      </w:r>
      <w:proofErr w:type="gramEnd"/>
      <w:r w:rsidRPr="00660F6A">
        <w:rPr>
          <w:rFonts w:eastAsia="Times New Roman" w:cs="Arial"/>
          <w:color w:val="000000"/>
          <w:lang w:val="es-ES"/>
        </w:rPr>
        <w:t xml:space="preserve"> de distribución migratoria y recuperar los dormideros (tradicionales) que han sido destruidos;</w:t>
      </w:r>
    </w:p>
    <w:p w14:paraId="147760BF" w14:textId="2F664366" w:rsidR="00B16A2E" w:rsidRPr="00660F6A" w:rsidRDefault="00B16A2E" w:rsidP="005E1301">
      <w:pPr>
        <w:numPr>
          <w:ilvl w:val="1"/>
          <w:numId w:val="13"/>
        </w:numPr>
        <w:spacing w:after="0" w:line="240" w:lineRule="auto"/>
        <w:jc w:val="both"/>
        <w:textAlignment w:val="baseline"/>
        <w:rPr>
          <w:rFonts w:eastAsia="Times New Roman" w:cs="Arial"/>
          <w:color w:val="000000"/>
          <w:lang w:val="es-ES"/>
        </w:rPr>
      </w:pPr>
      <w:r w:rsidRPr="00660F6A">
        <w:rPr>
          <w:rFonts w:eastAsia="Times New Roman" w:cs="Arial"/>
          <w:color w:val="000000"/>
          <w:lang w:val="es-ES"/>
        </w:rPr>
        <w:t>Trabajar para prohibir la caza de carne de animales silvestres (a nivel administrativo/legal)</w:t>
      </w:r>
      <w:r w:rsidR="008B08D6" w:rsidRPr="00660F6A">
        <w:rPr>
          <w:rFonts w:eastAsia="Times New Roman" w:cs="Arial"/>
          <w:color w:val="000000"/>
          <w:lang w:val="es-ES"/>
        </w:rPr>
        <w:t>.</w:t>
      </w:r>
    </w:p>
    <w:p w14:paraId="42C74778" w14:textId="77777777" w:rsidR="00B16A2E" w:rsidRPr="00660F6A" w:rsidRDefault="00B16A2E" w:rsidP="005E1301">
      <w:pPr>
        <w:suppressAutoHyphens/>
        <w:autoSpaceDN w:val="0"/>
        <w:spacing w:after="0" w:line="240" w:lineRule="auto"/>
        <w:jc w:val="both"/>
        <w:textAlignment w:val="baseline"/>
        <w:rPr>
          <w:rFonts w:eastAsia="Times New Roman" w:cs="Arial"/>
          <w:lang w:val="es-ES"/>
        </w:rPr>
      </w:pPr>
    </w:p>
    <w:p w14:paraId="720D9664" w14:textId="77777777" w:rsidR="00B16A2E" w:rsidRPr="00660F6A" w:rsidRDefault="00B16A2E" w:rsidP="005E1301">
      <w:pPr>
        <w:suppressAutoHyphens/>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Al margen de lo mencionado anteriormente:</w:t>
      </w:r>
    </w:p>
    <w:p w14:paraId="5D31A60C" w14:textId="77777777" w:rsidR="005E1301" w:rsidRPr="00660F6A" w:rsidRDefault="005E1301" w:rsidP="005E1301">
      <w:pPr>
        <w:suppressAutoHyphens/>
        <w:autoSpaceDN w:val="0"/>
        <w:spacing w:after="0" w:line="240" w:lineRule="auto"/>
        <w:jc w:val="both"/>
        <w:textAlignment w:val="baseline"/>
        <w:rPr>
          <w:rFonts w:eastAsia="Times New Roman" w:cs="Arial"/>
          <w:color w:val="000000"/>
          <w:lang w:val="es-ES"/>
        </w:rPr>
      </w:pPr>
    </w:p>
    <w:p w14:paraId="0E4F6554" w14:textId="77777777" w:rsidR="00B16A2E" w:rsidRPr="00660F6A" w:rsidRDefault="00B16A2E" w:rsidP="005E1301">
      <w:pPr>
        <w:numPr>
          <w:ilvl w:val="0"/>
          <w:numId w:val="12"/>
        </w:numPr>
        <w:spacing w:after="80" w:line="240" w:lineRule="auto"/>
        <w:ind w:left="907"/>
        <w:jc w:val="both"/>
        <w:textAlignment w:val="baseline"/>
        <w:rPr>
          <w:rFonts w:eastAsia="Times New Roman" w:cs="Arial"/>
          <w:color w:val="000000"/>
          <w:lang w:val="es-ES"/>
        </w:rPr>
      </w:pPr>
      <w:r w:rsidRPr="00660F6A">
        <w:rPr>
          <w:rFonts w:eastAsia="Times New Roman" w:cs="Arial"/>
          <w:color w:val="000000"/>
          <w:lang w:val="es-ES"/>
        </w:rPr>
        <w:t>Estudiar la migración en toda el área de distribución (realizado por el MPI-AB, los gobiernos, los socios nacionales);</w:t>
      </w:r>
    </w:p>
    <w:p w14:paraId="16EF09AE" w14:textId="01345F26" w:rsidR="00B16A2E" w:rsidRPr="00660F6A" w:rsidRDefault="00B16A2E" w:rsidP="005E1301">
      <w:pPr>
        <w:numPr>
          <w:ilvl w:val="0"/>
          <w:numId w:val="12"/>
        </w:numPr>
        <w:spacing w:after="0" w:line="240" w:lineRule="auto"/>
        <w:ind w:left="900"/>
        <w:jc w:val="both"/>
        <w:textAlignment w:val="baseline"/>
        <w:rPr>
          <w:rFonts w:eastAsia="Times New Roman" w:cs="Arial"/>
          <w:color w:val="000000"/>
          <w:lang w:val="es-ES"/>
        </w:rPr>
      </w:pPr>
      <w:r w:rsidRPr="00660F6A">
        <w:rPr>
          <w:rFonts w:eastAsia="Times New Roman" w:cs="Arial"/>
          <w:color w:val="000000"/>
          <w:lang w:val="es-ES"/>
        </w:rPr>
        <w:t>Expandir la red de seguimiento en toda el área de distribución (https://www.eidolonmonitoring.com/)</w:t>
      </w:r>
      <w:r w:rsidR="008B08D6" w:rsidRPr="00660F6A">
        <w:rPr>
          <w:rFonts w:eastAsia="Times New Roman" w:cs="Arial"/>
          <w:color w:val="000000"/>
          <w:lang w:val="es-ES"/>
        </w:rPr>
        <w:t>.</w:t>
      </w:r>
    </w:p>
    <w:p w14:paraId="6B531A98" w14:textId="77777777" w:rsidR="00B16A2E" w:rsidRPr="00660F6A" w:rsidRDefault="00B16A2E" w:rsidP="005E1301">
      <w:pPr>
        <w:suppressAutoHyphens/>
        <w:autoSpaceDN w:val="0"/>
        <w:spacing w:after="0" w:line="240" w:lineRule="auto"/>
        <w:ind w:left="900" w:hanging="360"/>
        <w:jc w:val="both"/>
        <w:textAlignment w:val="baseline"/>
        <w:rPr>
          <w:rFonts w:eastAsia="Times New Roman" w:cs="Arial"/>
          <w:lang w:val="es-ES"/>
        </w:rPr>
      </w:pPr>
    </w:p>
    <w:p w14:paraId="6E3036DF" w14:textId="77777777" w:rsidR="00B16A2E" w:rsidRPr="00660F6A" w:rsidRDefault="00B16A2E" w:rsidP="005E1301">
      <w:pPr>
        <w:suppressAutoHyphens/>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Otros objetivos a medio plazo son:</w:t>
      </w:r>
    </w:p>
    <w:p w14:paraId="7BC30DB3" w14:textId="77777777" w:rsidR="005E1301" w:rsidRPr="00660F6A" w:rsidRDefault="005E1301" w:rsidP="005E1301">
      <w:pPr>
        <w:suppressAutoHyphens/>
        <w:autoSpaceDN w:val="0"/>
        <w:spacing w:after="0" w:line="240" w:lineRule="auto"/>
        <w:jc w:val="both"/>
        <w:textAlignment w:val="baseline"/>
        <w:rPr>
          <w:rFonts w:eastAsia="Times New Roman" w:cs="Arial"/>
          <w:color w:val="000000"/>
          <w:lang w:val="es-ES"/>
        </w:rPr>
      </w:pPr>
    </w:p>
    <w:p w14:paraId="4AB5FA61" w14:textId="77777777" w:rsidR="00B16A2E" w:rsidRPr="00660F6A" w:rsidRDefault="00B16A2E" w:rsidP="005E1301">
      <w:pPr>
        <w:numPr>
          <w:ilvl w:val="0"/>
          <w:numId w:val="12"/>
        </w:numPr>
        <w:spacing w:after="80" w:line="240" w:lineRule="auto"/>
        <w:ind w:left="907"/>
        <w:jc w:val="both"/>
        <w:textAlignment w:val="baseline"/>
        <w:rPr>
          <w:rFonts w:eastAsia="Times New Roman" w:cs="Arial"/>
          <w:color w:val="000000"/>
          <w:lang w:val="es-ES"/>
        </w:rPr>
      </w:pPr>
      <w:r w:rsidRPr="00660F6A">
        <w:rPr>
          <w:rFonts w:eastAsia="Times New Roman" w:cs="Arial"/>
          <w:color w:val="000000"/>
          <w:lang w:val="es-ES"/>
        </w:rPr>
        <w:t>Organizar un taller con los gobiernos de los estados del área de distribución; proporcionar a los estados del área de distribución un informe sobre la actividad de seguimiento y el papel del ecosistema;</w:t>
      </w:r>
    </w:p>
    <w:p w14:paraId="42532E55" w14:textId="77777777" w:rsidR="00B16A2E" w:rsidRPr="00660F6A" w:rsidRDefault="00B16A2E" w:rsidP="005E1301">
      <w:pPr>
        <w:numPr>
          <w:ilvl w:val="0"/>
          <w:numId w:val="12"/>
        </w:numPr>
        <w:spacing w:after="0" w:line="240" w:lineRule="auto"/>
        <w:ind w:left="900"/>
        <w:jc w:val="both"/>
        <w:textAlignment w:val="baseline"/>
        <w:rPr>
          <w:rFonts w:eastAsia="Times New Roman" w:cs="Arial"/>
          <w:color w:val="000000"/>
          <w:lang w:val="es-ES"/>
        </w:rPr>
      </w:pPr>
      <w:r w:rsidRPr="00660F6A">
        <w:rPr>
          <w:rFonts w:eastAsia="Times New Roman" w:cs="Arial"/>
          <w:color w:val="000000"/>
          <w:lang w:val="es-ES"/>
        </w:rPr>
        <w:t xml:space="preserve">Iniciar y promover el ecoturismo, con el </w:t>
      </w:r>
      <w:r w:rsidRPr="00660F6A">
        <w:rPr>
          <w:rFonts w:eastAsia="Times New Roman" w:cs="Arial"/>
          <w:i/>
          <w:iCs/>
          <w:color w:val="000000"/>
          <w:lang w:val="es-ES"/>
        </w:rPr>
        <w:t>E</w:t>
      </w:r>
      <w:r w:rsidRPr="00660F6A">
        <w:rPr>
          <w:rFonts w:eastAsia="Times New Roman" w:cs="Arial"/>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como especie emblemática, en los lugares adecuados.</w:t>
      </w:r>
    </w:p>
    <w:p w14:paraId="0C255D95" w14:textId="77777777" w:rsidR="00B16A2E" w:rsidRPr="00660F6A" w:rsidRDefault="00B16A2E"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color w:val="000000"/>
          <w:lang w:val="es-ES"/>
        </w:rPr>
        <w:t> </w:t>
      </w:r>
    </w:p>
    <w:p w14:paraId="1083C36C" w14:textId="77777777" w:rsidR="00B16A2E" w:rsidRPr="00660F6A" w:rsidRDefault="00B16A2E" w:rsidP="005E1301">
      <w:pPr>
        <w:suppressAutoHyphens/>
        <w:autoSpaceDN w:val="0"/>
        <w:spacing w:after="80" w:line="240" w:lineRule="auto"/>
        <w:jc w:val="both"/>
        <w:textAlignment w:val="baseline"/>
        <w:rPr>
          <w:rFonts w:eastAsia="Times New Roman" w:cs="Arial"/>
          <w:color w:val="000000"/>
          <w:lang w:val="es-ES"/>
        </w:rPr>
      </w:pPr>
      <w:r w:rsidRPr="00660F6A">
        <w:rPr>
          <w:rFonts w:eastAsia="Times New Roman" w:cs="Arial"/>
          <w:color w:val="000000"/>
          <w:lang w:val="es-ES"/>
        </w:rPr>
        <w:t>Resultados:</w:t>
      </w:r>
    </w:p>
    <w:p w14:paraId="29ECB2BE" w14:textId="77777777" w:rsidR="00B16A2E" w:rsidRPr="00660F6A"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 xml:space="preserve">Ha mejorado el reconocimiento del estado de la CMS del </w:t>
      </w:r>
      <w:r w:rsidRPr="00660F6A">
        <w:rPr>
          <w:rFonts w:eastAsia="Times New Roman" w:cs="Arial"/>
          <w:i/>
          <w:iCs/>
          <w:color w:val="000000"/>
          <w:lang w:val="es-ES"/>
        </w:rPr>
        <w:t>E</w:t>
      </w:r>
      <w:r w:rsidRPr="00660F6A">
        <w:rPr>
          <w:rFonts w:eastAsia="Times New Roman" w:cs="Arial"/>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en todos los países donde habita la especie;</w:t>
      </w:r>
    </w:p>
    <w:p w14:paraId="7891F8D0" w14:textId="77777777" w:rsidR="00B16A2E" w:rsidRPr="00660F6A"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Hay más sensibilización sobre las necesidades de conservación de la especie y ha cambiado la percepción de los humanos respecto de los murciélagos a diferentes escalas (local a nacional);</w:t>
      </w:r>
    </w:p>
    <w:p w14:paraId="130342F2" w14:textId="77777777" w:rsidR="00B16A2E" w:rsidRPr="00660F6A"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 xml:space="preserve">Ha mejorado el estado de conservación del </w:t>
      </w:r>
      <w:r w:rsidRPr="00660F6A">
        <w:rPr>
          <w:rFonts w:eastAsia="Times New Roman" w:cs="Arial"/>
          <w:i/>
          <w:iCs/>
          <w:color w:val="000000"/>
          <w:lang w:val="es-ES"/>
        </w:rPr>
        <w:t>E</w:t>
      </w:r>
      <w:r w:rsidRPr="00660F6A">
        <w:rPr>
          <w:rFonts w:eastAsia="Times New Roman" w:cs="Arial"/>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(dormideros diurnos más seguros, menor presión cinegética);</w:t>
      </w:r>
    </w:p>
    <w:p w14:paraId="7F2BE94B" w14:textId="77777777" w:rsidR="00B16A2E" w:rsidRPr="00660F6A"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 xml:space="preserve">Se han construido los cimientos para la estabilización de las poblaciones en </w:t>
      </w:r>
      <w:proofErr w:type="gramStart"/>
      <w:r w:rsidRPr="00660F6A">
        <w:rPr>
          <w:rFonts w:eastAsia="Times New Roman" w:cs="Arial"/>
          <w:color w:val="000000"/>
          <w:lang w:val="es-ES"/>
        </w:rPr>
        <w:t>todo el área</w:t>
      </w:r>
      <w:proofErr w:type="gramEnd"/>
      <w:r w:rsidRPr="00660F6A">
        <w:rPr>
          <w:rFonts w:eastAsia="Times New Roman" w:cs="Arial"/>
          <w:color w:val="000000"/>
          <w:lang w:val="es-ES"/>
        </w:rPr>
        <w:t xml:space="preserve"> de distribución de la especie para contrarrestar las disminuciones de la población observadas actualmente;</w:t>
      </w:r>
    </w:p>
    <w:p w14:paraId="52A1E8F7" w14:textId="77777777" w:rsidR="00B16A2E" w:rsidRPr="00660F6A"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Se ha incrementado la información científica para comprender mejor la ecología de la especie y el desarrollo de la población;</w:t>
      </w:r>
    </w:p>
    <w:p w14:paraId="28733C59" w14:textId="77777777" w:rsidR="00B16A2E" w:rsidRPr="00660F6A" w:rsidRDefault="00B16A2E" w:rsidP="005E1301">
      <w:pPr>
        <w:numPr>
          <w:ilvl w:val="0"/>
          <w:numId w:val="14"/>
        </w:numPr>
        <w:tabs>
          <w:tab w:val="clear" w:pos="720"/>
          <w:tab w:val="num" w:pos="900"/>
        </w:tabs>
        <w:spacing w:after="0" w:line="240" w:lineRule="auto"/>
        <w:ind w:left="900"/>
        <w:jc w:val="both"/>
        <w:textAlignment w:val="baseline"/>
        <w:rPr>
          <w:rFonts w:eastAsia="Times New Roman" w:cs="Arial"/>
          <w:color w:val="000000"/>
          <w:lang w:val="es-ES"/>
        </w:rPr>
      </w:pPr>
      <w:r w:rsidRPr="00660F6A">
        <w:rPr>
          <w:rFonts w:eastAsia="Times New Roman" w:cs="Arial"/>
          <w:color w:val="000000"/>
          <w:lang w:val="es-ES"/>
        </w:rPr>
        <w:t>Se ha incrementado la capacidad de seguimiento y conservación en los estados del área de distribución y ha crecido la colaboración entre los Estados del área de distribución.</w:t>
      </w:r>
    </w:p>
    <w:p w14:paraId="75F1BAE9" w14:textId="77777777" w:rsidR="00B16A2E" w:rsidRPr="00660F6A" w:rsidRDefault="00B16A2E" w:rsidP="005E1301">
      <w:pPr>
        <w:widowControl w:val="0"/>
        <w:suppressAutoHyphens/>
        <w:autoSpaceDE w:val="0"/>
        <w:autoSpaceDN w:val="0"/>
        <w:spacing w:after="0" w:line="240" w:lineRule="auto"/>
        <w:jc w:val="both"/>
        <w:textAlignment w:val="baseline"/>
        <w:rPr>
          <w:rFonts w:eastAsia="MS Mincho" w:cs="Arial"/>
          <w:b/>
          <w:lang w:val="es-ES" w:eastAsia="en-GB"/>
        </w:rPr>
      </w:pPr>
    </w:p>
    <w:p w14:paraId="6783EF4D" w14:textId="1D5DC38E"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Ventajas asociadas</w:t>
      </w:r>
    </w:p>
    <w:p w14:paraId="6C67AC67" w14:textId="77777777" w:rsidR="005E1301" w:rsidRPr="00660F6A" w:rsidRDefault="005E1301" w:rsidP="005E1301">
      <w:pPr>
        <w:widowControl w:val="0"/>
        <w:suppressAutoHyphens/>
        <w:autoSpaceDE w:val="0"/>
        <w:autoSpaceDN w:val="0"/>
        <w:spacing w:after="0" w:line="240" w:lineRule="auto"/>
        <w:jc w:val="both"/>
        <w:textAlignment w:val="baseline"/>
        <w:rPr>
          <w:rFonts w:eastAsia="MS Mincho" w:cs="Arial"/>
          <w:b/>
          <w:lang w:val="es-ES" w:eastAsia="en-GB"/>
        </w:rPr>
      </w:pPr>
    </w:p>
    <w:p w14:paraId="734C7CC5" w14:textId="77777777" w:rsidR="00CA5FE2" w:rsidRPr="00660F6A"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lang w:val="es-ES"/>
        </w:rPr>
      </w:pPr>
      <w:r w:rsidRPr="00660F6A">
        <w:rPr>
          <w:rFonts w:eastAsia="Times New Roman" w:cs="Arial"/>
          <w:color w:val="000000"/>
          <w:lang w:val="es-ES"/>
        </w:rPr>
        <w:t xml:space="preserve">Se protege a otras especies que comparten el hábitat con el </w:t>
      </w:r>
      <w:r w:rsidRPr="00660F6A">
        <w:rPr>
          <w:rFonts w:eastAsia="Times New Roman" w:cs="Arial"/>
          <w:i/>
          <w:iCs/>
          <w:color w:val="000000"/>
          <w:lang w:val="es-ES"/>
        </w:rPr>
        <w:t>E</w:t>
      </w:r>
      <w:r w:rsidRPr="00660F6A">
        <w:rPr>
          <w:rFonts w:eastAsia="Times New Roman" w:cs="Arial"/>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i/>
          <w:iCs/>
          <w:color w:val="000000"/>
          <w:lang w:val="es-ES"/>
        </w:rPr>
        <w:t xml:space="preserve"> </w:t>
      </w:r>
      <w:r w:rsidRPr="00660F6A">
        <w:rPr>
          <w:rFonts w:eastAsia="Times New Roman" w:cs="Arial"/>
          <w:color w:val="000000"/>
          <w:lang w:val="es-ES"/>
        </w:rPr>
        <w:t>(principio de especie paraguas) y mejora el reconocimiento en general de que los murciélagos son partes integrales de nuestros ecosistemas;</w:t>
      </w:r>
    </w:p>
    <w:p w14:paraId="585B8A93" w14:textId="77777777" w:rsidR="00CA5FE2" w:rsidRPr="00660F6A"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lang w:val="es-ES"/>
        </w:rPr>
      </w:pPr>
      <w:r w:rsidRPr="00660F6A">
        <w:rPr>
          <w:rFonts w:eastAsia="Times New Roman" w:cs="Arial"/>
          <w:color w:val="000000"/>
          <w:lang w:val="es-ES"/>
        </w:rPr>
        <w:t xml:space="preserve">Se conservan los servicios ecosistémicos esenciales de larga distancia y las ventajas medioambientales (reforestación y regeneración de la vegetación mediante </w:t>
      </w:r>
      <w:r w:rsidRPr="00660F6A">
        <w:rPr>
          <w:rFonts w:eastAsia="Times New Roman" w:cs="Arial"/>
          <w:color w:val="000000"/>
          <w:lang w:val="es-ES"/>
        </w:rPr>
        <w:lastRenderedPageBreak/>
        <w:t xml:space="preserve">la dispersión de semillas y la polinización, la compensación de carbono por los dormideros del </w:t>
      </w:r>
      <w:r w:rsidRPr="00660F6A">
        <w:rPr>
          <w:rFonts w:eastAsia="Times New Roman" w:cs="Arial"/>
          <w:i/>
          <w:iCs/>
          <w:color w:val="000000"/>
          <w:lang w:val="es-ES"/>
        </w:rPr>
        <w:t xml:space="preserve">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w:t>
      </w:r>
    </w:p>
    <w:p w14:paraId="4AE010BA" w14:textId="77777777" w:rsidR="00CA5FE2" w:rsidRPr="00660F6A"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lang w:val="es-ES"/>
        </w:rPr>
      </w:pPr>
      <w:r w:rsidRPr="00660F6A">
        <w:rPr>
          <w:rFonts w:eastAsia="Times New Roman" w:cs="Arial"/>
          <w:color w:val="000000"/>
          <w:lang w:val="es-ES"/>
        </w:rPr>
        <w:t>Se conservan los comportamientos colectivos en función de las grandes poblaciones;</w:t>
      </w:r>
    </w:p>
    <w:p w14:paraId="10EE9BEB" w14:textId="77777777" w:rsidR="00CA5FE2" w:rsidRPr="00660F6A" w:rsidRDefault="00BE3C12" w:rsidP="005E1301">
      <w:pPr>
        <w:numPr>
          <w:ilvl w:val="0"/>
          <w:numId w:val="11"/>
        </w:numPr>
        <w:tabs>
          <w:tab w:val="clear" w:pos="720"/>
        </w:tabs>
        <w:spacing w:after="0" w:line="240" w:lineRule="auto"/>
        <w:ind w:left="900"/>
        <w:jc w:val="both"/>
        <w:textAlignment w:val="baseline"/>
        <w:rPr>
          <w:rFonts w:eastAsia="Times New Roman" w:cs="Arial"/>
          <w:color w:val="000000"/>
          <w:lang w:val="es-ES"/>
        </w:rPr>
      </w:pPr>
      <w:r w:rsidRPr="00660F6A">
        <w:rPr>
          <w:rFonts w:eastAsia="Times New Roman" w:cs="Arial"/>
          <w:color w:val="000000"/>
          <w:lang w:val="es-ES"/>
        </w:rPr>
        <w:t>Se promueve el mantenimiento de ambientes saludables.</w:t>
      </w:r>
    </w:p>
    <w:p w14:paraId="12224B76"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48B59CD9" w14:textId="44FCF2BD"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Calendario</w:t>
      </w:r>
    </w:p>
    <w:p w14:paraId="2C492D99" w14:textId="77777777" w:rsidR="004579C8" w:rsidRPr="00660F6A" w:rsidRDefault="004579C8" w:rsidP="005E1301">
      <w:pPr>
        <w:suppressAutoHyphens/>
        <w:autoSpaceDN w:val="0"/>
        <w:spacing w:after="0" w:line="240" w:lineRule="auto"/>
        <w:jc w:val="both"/>
        <w:textAlignment w:val="baseline"/>
        <w:rPr>
          <w:rFonts w:eastAsia="Times New Roman" w:cs="Arial"/>
          <w:lang w:val="es-ES"/>
        </w:rPr>
      </w:pPr>
    </w:p>
    <w:p w14:paraId="6B7FFDA7" w14:textId="4D9A1CA1" w:rsidR="00CB6B96"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El calendario de las acciones mencionadas es el Trienio 2026-2029 de la CMS.</w:t>
      </w:r>
    </w:p>
    <w:p w14:paraId="44B56187"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7D6B5639" w14:textId="79A68E1E"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Relación con otras acciones de la CMS</w:t>
      </w:r>
    </w:p>
    <w:p w14:paraId="0FDC696B" w14:textId="77777777" w:rsidR="004579C8" w:rsidRPr="00660F6A" w:rsidRDefault="004579C8" w:rsidP="005E1301">
      <w:pPr>
        <w:suppressAutoHyphens/>
        <w:autoSpaceDN w:val="0"/>
        <w:spacing w:after="0" w:line="240" w:lineRule="auto"/>
        <w:jc w:val="both"/>
        <w:textAlignment w:val="baseline"/>
        <w:rPr>
          <w:rFonts w:eastAsia="Times New Roman" w:cs="Arial"/>
          <w:lang w:val="es-ES"/>
        </w:rPr>
      </w:pPr>
    </w:p>
    <w:p w14:paraId="6957226B" w14:textId="1E5A78E3" w:rsidR="0049304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El enfoque del Plan Estratégico para las Especies Migratorias (2015-2023; SPMS) es valorar, conservar, restaurar y utilizar acertadamente las poblaciones y los hábitats de las especies migratorias en los cuales las personas vivirán en armonía con la naturaleza. </w:t>
      </w:r>
    </w:p>
    <w:p w14:paraId="4ED05C8E" w14:textId="77777777" w:rsidR="00493044" w:rsidRPr="00660F6A" w:rsidRDefault="00493044" w:rsidP="005E1301">
      <w:pPr>
        <w:suppressAutoHyphens/>
        <w:autoSpaceDN w:val="0"/>
        <w:spacing w:after="0" w:line="240" w:lineRule="auto"/>
        <w:jc w:val="both"/>
        <w:textAlignment w:val="baseline"/>
        <w:rPr>
          <w:rFonts w:eastAsia="Times New Roman" w:cs="Arial"/>
          <w:lang w:val="es-ES"/>
        </w:rPr>
      </w:pPr>
    </w:p>
    <w:p w14:paraId="2A7B8CD4" w14:textId="77777777" w:rsidR="0049304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La Acción Concertada propuesta implementará las actividades propuestas para alcanzar los objetivos (1, 2 y 3) y el enfoque general del SPMS. Además, la Acción Concertada contribuirá a implementar las metas 7, 8 y 15 del SPMS.  </w:t>
      </w:r>
    </w:p>
    <w:p w14:paraId="60D6614D" w14:textId="77777777" w:rsidR="00493044" w:rsidRPr="00660F6A" w:rsidRDefault="00493044" w:rsidP="005E1301">
      <w:pPr>
        <w:suppressAutoHyphens/>
        <w:autoSpaceDN w:val="0"/>
        <w:spacing w:after="0" w:line="240" w:lineRule="auto"/>
        <w:jc w:val="both"/>
        <w:textAlignment w:val="baseline"/>
        <w:rPr>
          <w:rFonts w:eastAsia="Times New Roman" w:cs="Arial"/>
          <w:lang w:val="es-ES"/>
        </w:rPr>
      </w:pPr>
    </w:p>
    <w:p w14:paraId="1B5FC155" w14:textId="77777777" w:rsidR="0049304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La inclusión del </w:t>
      </w:r>
      <w:r w:rsidRPr="00660F6A">
        <w:rPr>
          <w:rFonts w:eastAsia="Times New Roman" w:cs="Arial"/>
          <w:i/>
          <w:iCs/>
          <w:lang w:val="es-ES"/>
        </w:rPr>
        <w:t xml:space="preserve">E. </w:t>
      </w:r>
      <w:proofErr w:type="spellStart"/>
      <w:r w:rsidRPr="00660F6A">
        <w:rPr>
          <w:rFonts w:eastAsia="Times New Roman" w:cs="Arial"/>
          <w:i/>
          <w:iCs/>
          <w:lang w:val="es-ES"/>
        </w:rPr>
        <w:t>helvum</w:t>
      </w:r>
      <w:proofErr w:type="spellEnd"/>
      <w:r w:rsidRPr="00660F6A">
        <w:rPr>
          <w:rFonts w:eastAsia="Times New Roman" w:cs="Arial"/>
          <w:lang w:val="es-ES"/>
        </w:rPr>
        <w:t xml:space="preserve"> en el Apéndice II de la CMS en 2001 ya puso de manifiesto que el estado de conservación de esta especie es desfavorable en todos los estados del área de distribución. Por lo tanto, la implementación de la Acción Concertada propuesta facilitaría la firma de acuerdos multinacionales para la conservación de esta especie, en consonancia con las Resoluciones de la Conferencia de las Partes (COP) de la CMS publicadas anteriormente (p. ej. Mejorar las formas de abordar la interconexión en la conservación de las especies migratorias).</w:t>
      </w:r>
    </w:p>
    <w:p w14:paraId="081DAEFB"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75CE90C6" w14:textId="55755AC6"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lang w:val="es-ES" w:eastAsia="ja-JP"/>
        </w:rPr>
      </w:pPr>
      <w:r w:rsidRPr="00660F6A">
        <w:rPr>
          <w:rFonts w:eastAsia="MS Mincho" w:cs="Arial"/>
          <w:b/>
          <w:lang w:val="es-ES" w:eastAsia="ja-JP"/>
        </w:rPr>
        <w:t>Prioridad de la conservación</w:t>
      </w:r>
    </w:p>
    <w:p w14:paraId="5119340E" w14:textId="77777777" w:rsidR="004579C8" w:rsidRPr="00660F6A" w:rsidRDefault="004579C8" w:rsidP="005E1301">
      <w:pPr>
        <w:suppressAutoHyphens/>
        <w:autoSpaceDN w:val="0"/>
        <w:spacing w:after="0" w:line="240" w:lineRule="auto"/>
        <w:jc w:val="both"/>
        <w:textAlignment w:val="baseline"/>
        <w:rPr>
          <w:rFonts w:eastAsia="Times New Roman" w:cs="Arial"/>
          <w:i/>
          <w:iCs/>
          <w:lang w:val="es-ES"/>
        </w:rPr>
      </w:pPr>
    </w:p>
    <w:p w14:paraId="33E02F68" w14:textId="4C2C0DC6" w:rsidR="009D240A"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El </w:t>
      </w:r>
      <w:proofErr w:type="spellStart"/>
      <w:r w:rsidRPr="00660F6A">
        <w:rPr>
          <w:rFonts w:eastAsia="Times New Roman" w:cs="Arial"/>
          <w:i/>
          <w:iCs/>
          <w:lang w:val="es-ES"/>
        </w:rPr>
        <w:t>Eidolon</w:t>
      </w:r>
      <w:proofErr w:type="spellEnd"/>
      <w:r w:rsidRPr="00660F6A">
        <w:rPr>
          <w:rFonts w:eastAsia="Times New Roman" w:cs="Arial"/>
          <w:i/>
          <w:iCs/>
          <w:lang w:val="es-ES"/>
        </w:rPr>
        <w:t xml:space="preserve"> </w:t>
      </w:r>
      <w:proofErr w:type="spellStart"/>
      <w:r w:rsidRPr="00660F6A">
        <w:rPr>
          <w:rFonts w:eastAsia="Times New Roman" w:cs="Arial"/>
          <w:i/>
          <w:iCs/>
          <w:lang w:val="es-ES"/>
        </w:rPr>
        <w:t>helvum</w:t>
      </w:r>
      <w:proofErr w:type="spellEnd"/>
      <w:r w:rsidRPr="00660F6A">
        <w:rPr>
          <w:rFonts w:eastAsia="Times New Roman" w:cs="Arial"/>
          <w:lang w:val="es-ES"/>
        </w:rPr>
        <w:t xml:space="preserve"> está catalogado como especie «Casi amenazada» en la Lista Roja de la UICN y se considera cercana a «Vulnerable» (UICN 2025-2). Una pérdida estimada del 25 % al 30 % de la población en los últimos 15 años (UICN 2025-2) es alarmante, especialmente si se tiene en cuenta que los murciélagos tienen solo una o dos crías por año. Actualmente, la especie afronta múltiples amenazas, que, probablemente, tengan efectos acumulativos, lo que disminuirá notablemente la población (UICN 2025-2). La degradación medioambiental y la pérdida del hábitat por la deforestación y la fragmentación están aumentando en los estados del área de distribución de la especie. Estas presiones se ven muy exacerbadas por la destrucción de los dormideros, la caza excesiva (</w:t>
      </w:r>
      <w:proofErr w:type="spellStart"/>
      <w:r w:rsidRPr="00660F6A">
        <w:rPr>
          <w:rFonts w:eastAsia="Times New Roman" w:cs="Arial"/>
          <w:lang w:val="es-ES"/>
        </w:rPr>
        <w:t>Kamins</w:t>
      </w:r>
      <w:proofErr w:type="spellEnd"/>
      <w:r w:rsidRPr="00660F6A">
        <w:rPr>
          <w:rFonts w:eastAsia="Times New Roman" w:cs="Arial"/>
          <w:lang w:val="es-ES"/>
        </w:rPr>
        <w:t xml:space="preserve"> et al. 2011) y la persecución provocada por una imagen negativa de los murciélagos en general, fenómeno que ha cobrado un peso considerable en la última década y que se basa en la actitud de la gente de que son símbolo de mal agüero y en que son un reservorio de virus. Debido a su migración a largas distancias, además afronta amenazas en varios lugares, lo que requiere que diferentes países tomen iniciativas para su conservación (Richter y Cumming 2008). </w:t>
      </w:r>
    </w:p>
    <w:p w14:paraId="3A87792E" w14:textId="77777777" w:rsidR="009D240A" w:rsidRPr="00660F6A" w:rsidRDefault="009D240A" w:rsidP="005E1301">
      <w:pPr>
        <w:suppressAutoHyphens/>
        <w:autoSpaceDN w:val="0"/>
        <w:spacing w:after="0" w:line="240" w:lineRule="auto"/>
        <w:jc w:val="both"/>
        <w:textAlignment w:val="baseline"/>
        <w:rPr>
          <w:rFonts w:eastAsia="Times New Roman" w:cs="Arial"/>
          <w:lang w:val="es-ES"/>
        </w:rPr>
      </w:pPr>
    </w:p>
    <w:p w14:paraId="7A40AFBA" w14:textId="77777777" w:rsidR="009D240A"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El </w:t>
      </w:r>
      <w:proofErr w:type="spellStart"/>
      <w:r w:rsidRPr="00660F6A">
        <w:rPr>
          <w:rFonts w:eastAsia="Times New Roman" w:cs="Arial"/>
          <w:i/>
          <w:iCs/>
          <w:lang w:val="es-ES"/>
        </w:rPr>
        <w:t>Eidolon</w:t>
      </w:r>
      <w:proofErr w:type="spellEnd"/>
      <w:r w:rsidRPr="00660F6A">
        <w:rPr>
          <w:rFonts w:eastAsia="Times New Roman" w:cs="Arial"/>
          <w:i/>
          <w:iCs/>
          <w:lang w:val="es-ES"/>
        </w:rPr>
        <w:t xml:space="preserve"> </w:t>
      </w:r>
      <w:proofErr w:type="spellStart"/>
      <w:r w:rsidRPr="00660F6A">
        <w:rPr>
          <w:rFonts w:eastAsia="Times New Roman" w:cs="Arial"/>
          <w:i/>
          <w:iCs/>
          <w:lang w:val="es-ES"/>
        </w:rPr>
        <w:t>helvum</w:t>
      </w:r>
      <w:proofErr w:type="spellEnd"/>
      <w:r w:rsidRPr="00660F6A">
        <w:rPr>
          <w:rFonts w:eastAsia="Times New Roman" w:cs="Arial"/>
          <w:lang w:val="es-ES"/>
        </w:rPr>
        <w:t xml:space="preserve"> se congrega en grandes colonias repartidas en grupos, lo que hace que su población sea vulnerable a la persecución y la perturbación en los dormideros (Costa et al. 2020). Los dormideros controlados en </w:t>
      </w:r>
      <w:proofErr w:type="spellStart"/>
      <w:r w:rsidRPr="00660F6A">
        <w:rPr>
          <w:rFonts w:eastAsia="Times New Roman" w:cs="Arial"/>
          <w:lang w:val="es-ES"/>
        </w:rPr>
        <w:t>Ruhango</w:t>
      </w:r>
      <w:proofErr w:type="spellEnd"/>
      <w:r w:rsidRPr="00660F6A">
        <w:rPr>
          <w:rFonts w:eastAsia="Times New Roman" w:cs="Arial"/>
          <w:lang w:val="es-ES"/>
        </w:rPr>
        <w:t xml:space="preserve"> y Kigali (Ruanda), en el condado de </w:t>
      </w:r>
      <w:proofErr w:type="spellStart"/>
      <w:r w:rsidRPr="00660F6A">
        <w:rPr>
          <w:rFonts w:eastAsia="Times New Roman" w:cs="Arial"/>
          <w:lang w:val="es-ES"/>
        </w:rPr>
        <w:t>Vihiga</w:t>
      </w:r>
      <w:proofErr w:type="spellEnd"/>
      <w:r w:rsidRPr="00660F6A">
        <w:rPr>
          <w:rFonts w:eastAsia="Times New Roman" w:cs="Arial"/>
          <w:lang w:val="es-ES"/>
        </w:rPr>
        <w:t xml:space="preserve"> (Kenia) y en Yaundé (Camerún) son ejemplos recientes de que los árboles donde dormita el </w:t>
      </w:r>
      <w:r w:rsidRPr="00660F6A">
        <w:rPr>
          <w:rFonts w:eastAsia="Times New Roman" w:cs="Arial"/>
          <w:i/>
          <w:iCs/>
          <w:lang w:val="es-ES"/>
        </w:rPr>
        <w:t xml:space="preserve">E. </w:t>
      </w:r>
      <w:proofErr w:type="spellStart"/>
      <w:r w:rsidRPr="00660F6A">
        <w:rPr>
          <w:rFonts w:eastAsia="Times New Roman" w:cs="Arial"/>
          <w:i/>
          <w:iCs/>
          <w:lang w:val="es-ES"/>
        </w:rPr>
        <w:t>helvum</w:t>
      </w:r>
      <w:proofErr w:type="spellEnd"/>
      <w:r w:rsidRPr="00660F6A">
        <w:rPr>
          <w:rFonts w:eastAsia="Times New Roman" w:cs="Arial"/>
          <w:lang w:val="es-ES"/>
        </w:rPr>
        <w:t xml:space="preserve"> han sido talados. Otro dormidero tradicional importante en Acra (Ghana) ya se ha reducido y está disminuyendo continuamente, debido a las obras de construcción y la incomodidad de los residentes por los murciélagos. Esto se debe principalmente a la sensibilización y el conocimiento limitados de las personas sobre el papel ecológico que el </w:t>
      </w:r>
      <w:r w:rsidRPr="00660F6A">
        <w:rPr>
          <w:rFonts w:eastAsia="Times New Roman" w:cs="Arial"/>
          <w:i/>
          <w:iCs/>
          <w:lang w:val="es-ES"/>
        </w:rPr>
        <w:t xml:space="preserve">E. </w:t>
      </w:r>
      <w:proofErr w:type="spellStart"/>
      <w:r w:rsidRPr="00660F6A">
        <w:rPr>
          <w:rFonts w:eastAsia="Times New Roman" w:cs="Arial"/>
          <w:i/>
          <w:iCs/>
          <w:lang w:val="es-ES"/>
        </w:rPr>
        <w:t>helvum</w:t>
      </w:r>
      <w:proofErr w:type="spellEnd"/>
      <w:r w:rsidRPr="00660F6A">
        <w:rPr>
          <w:rFonts w:eastAsia="Times New Roman" w:cs="Arial"/>
          <w:lang w:val="es-ES"/>
        </w:rPr>
        <w:t xml:space="preserve"> juega en toda su área de distribución. Aparte de la pérdida directa de los dormideros, </w:t>
      </w:r>
      <w:r w:rsidRPr="00660F6A">
        <w:rPr>
          <w:rFonts w:eastAsia="Times New Roman" w:cs="Arial"/>
          <w:lang w:val="es-ES"/>
        </w:rPr>
        <w:lastRenderedPageBreak/>
        <w:t xml:space="preserve">no se sabe en qué medida esta pérdida afecta a la ecología y la migración de la especie, ya que la colonia original podría verse obligada a dividirse en varios dormideros más pequeños. Los datos no publicados sugieren una fuerte caída de las cifras en el mayor dormidero conocido del </w:t>
      </w:r>
      <w:r w:rsidRPr="00660F6A">
        <w:rPr>
          <w:rFonts w:eastAsia="Times New Roman" w:cs="Arial"/>
          <w:i/>
          <w:iCs/>
          <w:lang w:val="es-ES"/>
        </w:rPr>
        <w:t xml:space="preserve">E. </w:t>
      </w:r>
      <w:proofErr w:type="spellStart"/>
      <w:r w:rsidRPr="00660F6A">
        <w:rPr>
          <w:rFonts w:eastAsia="Times New Roman" w:cs="Arial"/>
          <w:i/>
          <w:iCs/>
          <w:lang w:val="es-ES"/>
        </w:rPr>
        <w:t>helvum</w:t>
      </w:r>
      <w:proofErr w:type="spellEnd"/>
      <w:r w:rsidRPr="00660F6A">
        <w:rPr>
          <w:rFonts w:eastAsia="Times New Roman" w:cs="Arial"/>
          <w:lang w:val="es-ES"/>
        </w:rPr>
        <w:t xml:space="preserve"> en el Parque Nacional </w:t>
      </w:r>
      <w:proofErr w:type="spellStart"/>
      <w:r w:rsidRPr="00660F6A">
        <w:rPr>
          <w:rFonts w:eastAsia="Times New Roman" w:cs="Arial"/>
          <w:lang w:val="es-ES"/>
        </w:rPr>
        <w:t>Kasanka</w:t>
      </w:r>
      <w:proofErr w:type="spellEnd"/>
      <w:r w:rsidRPr="00660F6A">
        <w:rPr>
          <w:rFonts w:eastAsia="Times New Roman" w:cs="Arial"/>
          <w:lang w:val="es-ES"/>
        </w:rPr>
        <w:t xml:space="preserve"> (Zambia), lo que constituye otra gran preocupación. Por lo tanto, esta propuesta tiene como objetivo esbozar los próximos pasos críticos que deben tomarse para dar respuesta a las necesidades inmediatas de conservación de esta especie. </w:t>
      </w:r>
    </w:p>
    <w:p w14:paraId="3A9FE3E1"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ja-JP"/>
        </w:rPr>
      </w:pPr>
    </w:p>
    <w:p w14:paraId="54D63A60" w14:textId="31DA614E"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color w:val="000000"/>
          <w:lang w:val="es-ES" w:eastAsia="ja-JP"/>
        </w:rPr>
      </w:pPr>
      <w:r w:rsidRPr="00660F6A">
        <w:rPr>
          <w:rFonts w:eastAsia="MS Mincho" w:cs="Arial"/>
          <w:b/>
          <w:color w:val="000000"/>
          <w:lang w:val="es-ES" w:eastAsia="ja-JP"/>
        </w:rPr>
        <w:t>Pertinencia</w:t>
      </w:r>
    </w:p>
    <w:p w14:paraId="763F9822" w14:textId="77777777" w:rsidR="004579C8" w:rsidRPr="00660F6A" w:rsidRDefault="004579C8" w:rsidP="005E1301">
      <w:pPr>
        <w:suppressAutoHyphens/>
        <w:autoSpaceDN w:val="0"/>
        <w:spacing w:after="0" w:line="240" w:lineRule="auto"/>
        <w:jc w:val="both"/>
        <w:textAlignment w:val="baseline"/>
        <w:rPr>
          <w:rFonts w:eastAsia="Times New Roman" w:cs="Arial"/>
          <w:color w:val="000000"/>
          <w:lang w:val="es-ES"/>
        </w:rPr>
      </w:pPr>
    </w:p>
    <w:p w14:paraId="78C43EA1" w14:textId="21DEAA7F" w:rsidR="00390D79"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color w:val="000000"/>
          <w:lang w:val="es-ES"/>
        </w:rPr>
        <w:t xml:space="preserve">Este murciélago es una especie esencial para África (Richter y Cumming 2008, </w:t>
      </w:r>
      <w:proofErr w:type="spellStart"/>
      <w:r w:rsidRPr="00660F6A">
        <w:rPr>
          <w:rFonts w:eastAsia="Times New Roman" w:cs="Arial"/>
          <w:color w:val="000000"/>
          <w:lang w:val="es-ES"/>
        </w:rPr>
        <w:t>Fahr</w:t>
      </w:r>
      <w:proofErr w:type="spellEnd"/>
      <w:r w:rsidRPr="00660F6A">
        <w:rPr>
          <w:rFonts w:eastAsia="Times New Roman" w:cs="Arial"/>
          <w:color w:val="000000"/>
          <w:lang w:val="es-ES"/>
        </w:rPr>
        <w:t xml:space="preserve"> et al. 2015, van </w:t>
      </w:r>
      <w:proofErr w:type="spellStart"/>
      <w:r w:rsidRPr="00660F6A">
        <w:rPr>
          <w:rFonts w:eastAsia="Times New Roman" w:cs="Arial"/>
          <w:color w:val="000000"/>
          <w:lang w:val="es-ES"/>
        </w:rPr>
        <w:t>Toor</w:t>
      </w:r>
      <w:proofErr w:type="spellEnd"/>
      <w:r w:rsidRPr="00660F6A">
        <w:rPr>
          <w:rFonts w:eastAsia="Times New Roman" w:cs="Arial"/>
          <w:color w:val="000000"/>
          <w:lang w:val="es-ES"/>
        </w:rPr>
        <w:t xml:space="preserve"> et al. 2019). Constituye una de las mayores migraciones de mamíferos de África. Según los conocimientos actuales, no existe ninguna otra especie que transporte semillas y polen a distancias comparables (que superan el triple de las distancias registradas de los elefantes; Abedi-</w:t>
      </w:r>
      <w:proofErr w:type="spellStart"/>
      <w:r w:rsidRPr="00660F6A">
        <w:rPr>
          <w:rFonts w:eastAsia="Times New Roman" w:cs="Arial"/>
          <w:color w:val="000000"/>
          <w:lang w:val="es-ES"/>
        </w:rPr>
        <w:t>Lartey</w:t>
      </w:r>
      <w:proofErr w:type="spellEnd"/>
      <w:r w:rsidRPr="00660F6A">
        <w:rPr>
          <w:rFonts w:eastAsia="Times New Roman" w:cs="Arial"/>
          <w:color w:val="000000"/>
          <w:lang w:val="es-ES"/>
        </w:rPr>
        <w:t xml:space="preserve"> et al. 2016). Habla por sí mismo el hecho de que los estudios indiquen que más del 90 % de las semillas transportadas a áreas taladas y deforestadas son llevadas por murciélagos frugívoros. Como los datos que van conociéndose también indican que los comportamientos colectivos (</w:t>
      </w:r>
      <w:proofErr w:type="spellStart"/>
      <w:r w:rsidRPr="00660F6A">
        <w:rPr>
          <w:rFonts w:eastAsia="Times New Roman" w:cs="Arial"/>
          <w:color w:val="000000"/>
          <w:lang w:val="es-ES"/>
        </w:rPr>
        <w:t>Hurme</w:t>
      </w:r>
      <w:proofErr w:type="spellEnd"/>
      <w:r w:rsidRPr="00660F6A">
        <w:rPr>
          <w:rFonts w:eastAsia="Times New Roman" w:cs="Arial"/>
          <w:color w:val="000000"/>
          <w:lang w:val="es-ES"/>
        </w:rPr>
        <w:t xml:space="preserve"> et al. 2022), especialmente el momento y la precisión de la migración, dependen del tamaño de las colonias grandes, </w:t>
      </w:r>
      <w:proofErr w:type="gramStart"/>
      <w:r w:rsidRPr="00660F6A">
        <w:rPr>
          <w:rFonts w:eastAsia="Times New Roman" w:cs="Arial"/>
          <w:color w:val="000000"/>
          <w:lang w:val="es-ES"/>
        </w:rPr>
        <w:t>una mayor protección de las grandes colonias tradicionales junto con iniciativas más coordinadas a través de las fronteras de los países son</w:t>
      </w:r>
      <w:proofErr w:type="gramEnd"/>
      <w:r w:rsidRPr="00660F6A">
        <w:rPr>
          <w:rFonts w:eastAsia="Times New Roman" w:cs="Arial"/>
          <w:color w:val="000000"/>
          <w:lang w:val="es-ES"/>
        </w:rPr>
        <w:t xml:space="preserve"> urgentes, si no tardías. El </w:t>
      </w:r>
      <w:proofErr w:type="spellStart"/>
      <w:r w:rsidRPr="00660F6A">
        <w:rPr>
          <w:rFonts w:eastAsia="Times New Roman" w:cs="Arial"/>
          <w:i/>
          <w:iCs/>
          <w:color w:val="000000"/>
          <w:lang w:val="es-ES"/>
        </w:rPr>
        <w:t>Eidolon</w:t>
      </w:r>
      <w:proofErr w:type="spellEnd"/>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proporciona servicios ecosistémicos esenciales para grandes extensiones del continente y, debido a su migración de larga distancia, realmente requiere esfuerzos de conservación a gran escala.</w:t>
      </w:r>
    </w:p>
    <w:p w14:paraId="1BA3AF16" w14:textId="77777777" w:rsidR="00390D79" w:rsidRPr="00660F6A" w:rsidRDefault="00390D79" w:rsidP="005E1301">
      <w:pPr>
        <w:suppressAutoHyphens/>
        <w:autoSpaceDN w:val="0"/>
        <w:spacing w:after="0" w:line="240" w:lineRule="auto"/>
        <w:jc w:val="both"/>
        <w:textAlignment w:val="baseline"/>
        <w:rPr>
          <w:rFonts w:eastAsia="Times New Roman" w:cs="Arial"/>
          <w:lang w:val="es-ES"/>
        </w:rPr>
      </w:pPr>
    </w:p>
    <w:p w14:paraId="7180978F" w14:textId="77777777" w:rsidR="00390D79"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El </w:t>
      </w:r>
      <w:proofErr w:type="spellStart"/>
      <w:r w:rsidRPr="00660F6A">
        <w:rPr>
          <w:rFonts w:eastAsia="Times New Roman" w:cs="Arial"/>
          <w:i/>
          <w:iCs/>
          <w:color w:val="000000"/>
          <w:lang w:val="es-ES"/>
        </w:rPr>
        <w:t>Eidolon</w:t>
      </w:r>
      <w:proofErr w:type="spellEnd"/>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se menciona con frecuencia como una fuente potencial de propagación zoonótica en los medios de comunicación y en las campañas comunitarias de sensibilización sobre enfermedades, sin datos que lo respalden (p.ej., Roth 2022). Esto complica cada vez más la conservación de la especie, en muchos países de África Occidental, especialmente desde el brote de ébola de 2014 (según nuestras observaciones personales) y en África Oriental más recientemente desde la COVID-19 (p.ej., </w:t>
      </w:r>
      <w:proofErr w:type="spellStart"/>
      <w:r w:rsidRPr="00660F6A">
        <w:rPr>
          <w:rFonts w:eastAsia="Times New Roman" w:cs="Arial"/>
          <w:color w:val="000000"/>
          <w:lang w:val="es-ES"/>
        </w:rPr>
        <w:t>Ejotre</w:t>
      </w:r>
      <w:proofErr w:type="spellEnd"/>
      <w:r w:rsidRPr="00660F6A">
        <w:rPr>
          <w:rFonts w:eastAsia="Times New Roman" w:cs="Arial"/>
          <w:color w:val="000000"/>
          <w:lang w:val="es-ES"/>
        </w:rPr>
        <w:t xml:space="preserve"> et al. 2022). Por otra parte, se ha demostrado que los intentos de expulsión de otra especie de murciélago africano de la fruta (</w:t>
      </w:r>
      <w:proofErr w:type="spellStart"/>
      <w:r w:rsidRPr="00660F6A">
        <w:rPr>
          <w:rFonts w:eastAsia="Times New Roman" w:cs="Arial"/>
          <w:i/>
          <w:iCs/>
          <w:color w:val="000000"/>
          <w:lang w:val="es-ES"/>
        </w:rPr>
        <w:t>Rousettus</w:t>
      </w:r>
      <w:proofErr w:type="spellEnd"/>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aegyptiacus</w:t>
      </w:r>
      <w:proofErr w:type="spellEnd"/>
      <w:r w:rsidRPr="00660F6A">
        <w:rPr>
          <w:rFonts w:eastAsia="Times New Roman" w:cs="Arial"/>
          <w:color w:val="000000"/>
          <w:lang w:val="es-ES"/>
        </w:rPr>
        <w:t>) desde su dormidero diurno en una cueva ha incrementado la carga viral de los murciélagos, probablemente debido al aumento de los niveles de estrés (Amman et al. 2014), lo que finalmente enfatiza que la protección de los dormideros es una mejor estrategia que la persecución.</w:t>
      </w:r>
    </w:p>
    <w:p w14:paraId="0AC6AAF9"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ja-JP"/>
        </w:rPr>
      </w:pPr>
    </w:p>
    <w:p w14:paraId="0299D3CC" w14:textId="16AFA7EC"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lang w:val="es-ES" w:eastAsia="ja-JP"/>
        </w:rPr>
      </w:pPr>
      <w:r w:rsidRPr="00660F6A">
        <w:rPr>
          <w:rFonts w:eastAsia="MS Mincho" w:cs="Arial"/>
          <w:b/>
          <w:lang w:val="es-ES" w:eastAsia="ja-JP"/>
        </w:rPr>
        <w:t>Ausencia de medidas mejores</w:t>
      </w:r>
    </w:p>
    <w:p w14:paraId="4E646F56" w14:textId="77777777" w:rsidR="004579C8" w:rsidRPr="00660F6A" w:rsidRDefault="004579C8" w:rsidP="005E1301">
      <w:pPr>
        <w:suppressAutoHyphens/>
        <w:autoSpaceDN w:val="0"/>
        <w:spacing w:after="0" w:line="240" w:lineRule="auto"/>
        <w:jc w:val="both"/>
        <w:textAlignment w:val="baseline"/>
        <w:rPr>
          <w:rFonts w:eastAsia="Times New Roman" w:cs="Arial"/>
          <w:lang w:val="es-ES"/>
        </w:rPr>
      </w:pPr>
    </w:p>
    <w:p w14:paraId="326CBF6E" w14:textId="153286A7" w:rsidR="0045651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La especie </w:t>
      </w:r>
      <w:proofErr w:type="spellStart"/>
      <w:r w:rsidRPr="00660F6A">
        <w:rPr>
          <w:rFonts w:eastAsia="Times New Roman" w:cs="Arial"/>
          <w:i/>
          <w:iCs/>
          <w:lang w:val="es-ES"/>
        </w:rPr>
        <w:t>Eidolon</w:t>
      </w:r>
      <w:proofErr w:type="spellEnd"/>
      <w:r w:rsidRPr="00660F6A">
        <w:rPr>
          <w:rFonts w:eastAsia="Times New Roman" w:cs="Arial"/>
          <w:i/>
          <w:iCs/>
          <w:lang w:val="es-ES"/>
        </w:rPr>
        <w:t xml:space="preserve"> </w:t>
      </w:r>
      <w:proofErr w:type="spellStart"/>
      <w:r w:rsidRPr="00660F6A">
        <w:rPr>
          <w:rFonts w:eastAsia="Times New Roman" w:cs="Arial"/>
          <w:i/>
          <w:iCs/>
          <w:lang w:val="es-ES"/>
        </w:rPr>
        <w:t>helvum</w:t>
      </w:r>
      <w:proofErr w:type="spellEnd"/>
      <w:r w:rsidRPr="00660F6A">
        <w:rPr>
          <w:rFonts w:eastAsia="Times New Roman" w:cs="Arial"/>
          <w:lang w:val="es-ES"/>
        </w:rPr>
        <w:t xml:space="preserve"> no está restringida a áreas protegidas y, básicamente, se ha adaptado bien para dormitar en paisajes antropogénicos. Muchos dormideros conocidos están situados en terrenos privados, comunitarios o públicos. Por lo tanto, la conservación de la especie requiere múltiples enfoques y una fuerte colaboración a todos los niveles con los Estados del área de distribución y las comunidades locales para aceptar y proteger sus colonias. El </w:t>
      </w:r>
      <w:proofErr w:type="spellStart"/>
      <w:r w:rsidRPr="00660F6A">
        <w:rPr>
          <w:rFonts w:eastAsia="Times New Roman" w:cs="Arial"/>
          <w:i/>
          <w:iCs/>
          <w:lang w:val="es-ES"/>
        </w:rPr>
        <w:t>Eidolon</w:t>
      </w:r>
      <w:proofErr w:type="spellEnd"/>
      <w:r w:rsidRPr="00660F6A">
        <w:rPr>
          <w:rFonts w:eastAsia="Times New Roman" w:cs="Arial"/>
          <w:i/>
          <w:iCs/>
          <w:lang w:val="es-ES"/>
        </w:rPr>
        <w:t xml:space="preserve"> </w:t>
      </w:r>
      <w:proofErr w:type="spellStart"/>
      <w:r w:rsidRPr="00660F6A">
        <w:rPr>
          <w:rFonts w:eastAsia="Times New Roman" w:cs="Arial"/>
          <w:i/>
          <w:iCs/>
          <w:lang w:val="es-ES"/>
        </w:rPr>
        <w:t>helvum</w:t>
      </w:r>
      <w:proofErr w:type="spellEnd"/>
      <w:r w:rsidRPr="00660F6A">
        <w:rPr>
          <w:rFonts w:eastAsia="Times New Roman" w:cs="Arial"/>
          <w:lang w:val="es-ES"/>
        </w:rPr>
        <w:t xml:space="preserve"> está incluido en el Apéndice II de la CMS, y la mayoría de los Estados del área de distribución son Partes integrantes de la CMS. En consecuencia, la Secretaría de la CMS y las Partes, especialmente los respectivos Estados del área de distribución, son muy adecuados para coordinar la generación y el intercambio de información sobre la presencia de la especie en su área de distribución.</w:t>
      </w:r>
    </w:p>
    <w:p w14:paraId="10F8A446" w14:textId="77777777" w:rsidR="00456514" w:rsidRPr="00660F6A" w:rsidRDefault="00456514" w:rsidP="005E1301">
      <w:pPr>
        <w:suppressAutoHyphens/>
        <w:autoSpaceDN w:val="0"/>
        <w:spacing w:after="0" w:line="240" w:lineRule="auto"/>
        <w:jc w:val="both"/>
        <w:textAlignment w:val="baseline"/>
        <w:rPr>
          <w:rFonts w:eastAsia="Times New Roman" w:cs="Arial"/>
          <w:lang w:val="es-ES"/>
        </w:rPr>
      </w:pPr>
    </w:p>
    <w:p w14:paraId="2DC2C595" w14:textId="77777777" w:rsidR="00456514" w:rsidRPr="00660F6A" w:rsidRDefault="00BE3C12" w:rsidP="005E1301">
      <w:pPr>
        <w:spacing w:after="0" w:line="240" w:lineRule="auto"/>
        <w:contextualSpacing/>
        <w:jc w:val="both"/>
        <w:rPr>
          <w:rFonts w:eastAsia="Times New Roman" w:cs="Arial"/>
          <w:shd w:val="clear" w:color="auto" w:fill="FF0000"/>
          <w:lang w:val="es-ES"/>
        </w:rPr>
      </w:pPr>
      <w:r w:rsidRPr="00660F6A">
        <w:rPr>
          <w:rFonts w:eastAsia="Times New Roman" w:cs="Arial"/>
          <w:lang w:val="es-ES"/>
        </w:rPr>
        <w:t xml:space="preserve">La Red de Seguimiento del </w:t>
      </w:r>
      <w:proofErr w:type="spellStart"/>
      <w:r w:rsidRPr="00660F6A">
        <w:rPr>
          <w:rFonts w:eastAsia="Times New Roman" w:cs="Arial"/>
          <w:lang w:val="es-ES"/>
        </w:rPr>
        <w:t>Eidolon</w:t>
      </w:r>
      <w:proofErr w:type="spellEnd"/>
      <w:r w:rsidRPr="00660F6A">
        <w:rPr>
          <w:rFonts w:eastAsia="Times New Roman" w:cs="Arial"/>
          <w:lang w:val="es-ES"/>
        </w:rPr>
        <w:t xml:space="preserve"> tiene como objetivo realizar el seguimiento de las fluctuaciones estacionales y generales de la población de la especie a largo plazo, y el monitoreo lo lleva a cabo gran diversidad de socios nacionales, p.ej., la Asociación para la Conservación de la Vida Silvestre de Ruanda (RWCA) inició el proyecto de seguimiento de la especie en Ruanda en 2018. En Kenia se han realizado estudios para comprender la dieta y </w:t>
      </w:r>
      <w:r w:rsidRPr="00660F6A">
        <w:rPr>
          <w:rFonts w:eastAsia="Times New Roman" w:cs="Arial"/>
          <w:lang w:val="es-ES"/>
        </w:rPr>
        <w:lastRenderedPageBreak/>
        <w:t xml:space="preserve">las funciones de diseminación de semillas de la especie, combinadas con programas de educación (p. ej., </w:t>
      </w:r>
      <w:proofErr w:type="spellStart"/>
      <w:r w:rsidRPr="00660F6A">
        <w:rPr>
          <w:rFonts w:eastAsia="Times New Roman" w:cs="Arial"/>
          <w:lang w:val="es-ES"/>
        </w:rPr>
        <w:t>Webala</w:t>
      </w:r>
      <w:proofErr w:type="spellEnd"/>
      <w:r w:rsidRPr="00660F6A">
        <w:rPr>
          <w:rFonts w:eastAsia="Times New Roman" w:cs="Arial"/>
          <w:lang w:val="es-ES"/>
        </w:rPr>
        <w:t xml:space="preserve"> et al. 2014). Sin embargo, la falta de medidas legales de protección a nivel nacional, de colaboración entre los Estados del área de distribución y de conocimientos sobre los patrones migratorios sigue siendo un reto para la conservación eficaz de </w:t>
      </w:r>
      <w:r w:rsidRPr="00660F6A">
        <w:rPr>
          <w:rFonts w:eastAsia="Times New Roman" w:cs="Arial"/>
          <w:i/>
          <w:iCs/>
          <w:lang w:val="es-ES"/>
        </w:rPr>
        <w:t xml:space="preserve">E. </w:t>
      </w:r>
      <w:proofErr w:type="spellStart"/>
      <w:r w:rsidRPr="00660F6A">
        <w:rPr>
          <w:rFonts w:eastAsia="Times New Roman" w:cs="Arial"/>
          <w:i/>
          <w:iCs/>
          <w:lang w:val="es-ES"/>
        </w:rPr>
        <w:t>helvum</w:t>
      </w:r>
      <w:proofErr w:type="spellEnd"/>
      <w:r w:rsidRPr="00660F6A">
        <w:rPr>
          <w:rFonts w:eastAsia="Times New Roman" w:cs="Arial"/>
          <w:lang w:val="es-ES"/>
        </w:rPr>
        <w:t>. Por lo tanto, la Acción Concertada propuesta es la mejor opción para planificar e implementar la conservación a largo plazo.</w:t>
      </w:r>
      <w:r w:rsidRPr="00660F6A">
        <w:rPr>
          <w:rFonts w:eastAsia="Times New Roman" w:cs="Arial"/>
          <w:shd w:val="clear" w:color="auto" w:fill="FF0000"/>
          <w:lang w:val="es-ES"/>
        </w:rPr>
        <w:t xml:space="preserve"> </w:t>
      </w:r>
    </w:p>
    <w:p w14:paraId="70E5EE4C"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iCs/>
          <w:lang w:val="es-ES" w:eastAsia="ja-JP"/>
        </w:rPr>
      </w:pPr>
    </w:p>
    <w:p w14:paraId="3FF3DDC9" w14:textId="2C024D22"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Preparación y viabilidad</w:t>
      </w:r>
    </w:p>
    <w:p w14:paraId="72104D86" w14:textId="77777777" w:rsidR="004B04F9" w:rsidRPr="00660F6A" w:rsidRDefault="004B04F9" w:rsidP="005E1301">
      <w:pPr>
        <w:suppressAutoHyphens/>
        <w:autoSpaceDN w:val="0"/>
        <w:spacing w:after="0" w:line="240" w:lineRule="auto"/>
        <w:jc w:val="both"/>
        <w:textAlignment w:val="baseline"/>
        <w:rPr>
          <w:rFonts w:eastAsia="Times New Roman" w:cs="Arial"/>
          <w:color w:val="000000"/>
          <w:lang w:val="es-ES"/>
        </w:rPr>
      </w:pPr>
    </w:p>
    <w:p w14:paraId="43B459B2" w14:textId="6B6DE5A8" w:rsidR="005D5A20" w:rsidRPr="00660F6A" w:rsidRDefault="00BE3C12" w:rsidP="005E1301">
      <w:pPr>
        <w:suppressAutoHyphens/>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 xml:space="preserve">Ya que las asociaciones y algunos trabajos de conservación local ya se han puesto en marcha a través de la Red de Seguimiento del </w:t>
      </w:r>
      <w:proofErr w:type="spellStart"/>
      <w:r w:rsidRPr="00660F6A">
        <w:rPr>
          <w:rFonts w:eastAsia="Times New Roman" w:cs="Arial"/>
          <w:color w:val="000000"/>
          <w:lang w:val="es-ES"/>
        </w:rPr>
        <w:t>Eidolon</w:t>
      </w:r>
      <w:proofErr w:type="spellEnd"/>
      <w:r w:rsidRPr="00660F6A">
        <w:rPr>
          <w:rFonts w:eastAsia="Times New Roman" w:cs="Arial"/>
          <w:color w:val="000000"/>
          <w:lang w:val="es-ES"/>
        </w:rPr>
        <w:t xml:space="preserve"> (</w:t>
      </w:r>
      <w:hyperlink r:id="rId18" w:history="1">
        <w:r w:rsidR="005D5A20" w:rsidRPr="00660F6A">
          <w:rPr>
            <w:rFonts w:eastAsia="Times New Roman" w:cs="Arial"/>
            <w:color w:val="1155CC"/>
            <w:u w:val="single"/>
            <w:lang w:val="es-ES"/>
          </w:rPr>
          <w:t>https://www.eidolonmonitoring.com/monitoring</w:t>
        </w:r>
      </w:hyperlink>
      <w:r w:rsidRPr="00660F6A">
        <w:rPr>
          <w:rFonts w:eastAsia="Times New Roman" w:cs="Arial"/>
          <w:color w:val="000000"/>
          <w:lang w:val="es-ES"/>
        </w:rPr>
        <w:t>), esta Acción Concertada es oportuna y viable.</w:t>
      </w:r>
    </w:p>
    <w:p w14:paraId="7ADD0D63"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0D57976A" w14:textId="19B62090" w:rsidR="00843436" w:rsidRPr="00660F6A" w:rsidRDefault="00BE3C12" w:rsidP="004B04F9">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Probabilidad de éxito</w:t>
      </w:r>
    </w:p>
    <w:p w14:paraId="5AEE0923" w14:textId="77777777" w:rsidR="004B04F9" w:rsidRPr="00660F6A" w:rsidRDefault="004B04F9" w:rsidP="005E1301">
      <w:pPr>
        <w:suppressAutoHyphens/>
        <w:autoSpaceDN w:val="0"/>
        <w:spacing w:after="0" w:line="240" w:lineRule="auto"/>
        <w:jc w:val="both"/>
        <w:textAlignment w:val="baseline"/>
        <w:rPr>
          <w:rFonts w:eastAsia="Times New Roman" w:cs="Arial"/>
          <w:color w:val="000000"/>
          <w:lang w:val="es-ES"/>
        </w:rPr>
      </w:pPr>
    </w:p>
    <w:p w14:paraId="7DAF3109" w14:textId="496FA3DC" w:rsidR="00F97469"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color w:val="000000"/>
          <w:lang w:val="es-ES"/>
        </w:rPr>
        <w:t>Los primeros intentos de divulgar a través de entrevistas y debates posteriores han demostrado que la percepción sobre los murciélagos por parte de los humanos se rectifica mediante la sensibilización y el intercambio de conocimientos biológicos y ecológicos sobre los murciélagos. De hecho, el intercambio con las comunidades locales en el marco de las actividades continuas de seguimiento indicó que la gente tiene imágenes negativas de y sobre esta especie en particular, en parte, debido a una comunicación poco clara sobre los murciélagos y los virus. Aparte de los conocimientos biológicos y ecológicos transmitidos durante los debates, también observamos que manejar a los individuos de esta especie con confianza y amor es fascinante para las poblaciones y es una prueba de que esta especie es importante. Estas observaciones indican que expandir y oficializar estas iniciativas ampliará e incrementará el resultado positivo de la conservación.</w:t>
      </w:r>
    </w:p>
    <w:p w14:paraId="44F91B9B" w14:textId="77777777" w:rsidR="00F97469" w:rsidRPr="00660F6A" w:rsidRDefault="00F97469" w:rsidP="005E1301">
      <w:pPr>
        <w:suppressAutoHyphens/>
        <w:autoSpaceDN w:val="0"/>
        <w:spacing w:after="0" w:line="240" w:lineRule="auto"/>
        <w:jc w:val="both"/>
        <w:textAlignment w:val="baseline"/>
        <w:rPr>
          <w:rFonts w:eastAsia="Times New Roman" w:cs="Arial"/>
          <w:lang w:val="es-ES"/>
        </w:rPr>
      </w:pPr>
    </w:p>
    <w:p w14:paraId="7EA0147A" w14:textId="23A4F488" w:rsidR="00843436" w:rsidRPr="00660F6A" w:rsidRDefault="00BE3C12" w:rsidP="005E1301">
      <w:pPr>
        <w:widowControl w:val="0"/>
        <w:suppressAutoHyphens/>
        <w:autoSpaceDE w:val="0"/>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 xml:space="preserve">Además, las áreas que se pretende proteger, es decir, los dormideros de la especie que se utilizan </w:t>
      </w:r>
      <w:proofErr w:type="gramStart"/>
      <w:r w:rsidRPr="00660F6A">
        <w:rPr>
          <w:rFonts w:eastAsia="Times New Roman" w:cs="Arial"/>
          <w:color w:val="000000"/>
          <w:lang w:val="es-ES"/>
        </w:rPr>
        <w:t>habitualmente,</w:t>
      </w:r>
      <w:proofErr w:type="gramEnd"/>
      <w:r w:rsidRPr="00660F6A">
        <w:rPr>
          <w:rFonts w:eastAsia="Times New Roman" w:cs="Arial"/>
          <w:color w:val="000000"/>
          <w:lang w:val="es-ES"/>
        </w:rPr>
        <w:t xml:space="preserve"> son limitados en su extensión espacial, además de predecibles. Esto permite tomar medidas puntuales de protección que son fáciles de implementar y controlar.</w:t>
      </w:r>
    </w:p>
    <w:p w14:paraId="5DDC32ED" w14:textId="77777777" w:rsidR="00F97469" w:rsidRPr="00660F6A" w:rsidRDefault="00F97469" w:rsidP="005E1301">
      <w:pPr>
        <w:widowControl w:val="0"/>
        <w:suppressAutoHyphens/>
        <w:autoSpaceDE w:val="0"/>
        <w:autoSpaceDN w:val="0"/>
        <w:spacing w:after="0" w:line="240" w:lineRule="auto"/>
        <w:jc w:val="both"/>
        <w:textAlignment w:val="baseline"/>
        <w:rPr>
          <w:rFonts w:eastAsia="MS Mincho" w:cs="Arial"/>
          <w:lang w:val="es-ES" w:eastAsia="en-GB"/>
        </w:rPr>
      </w:pPr>
    </w:p>
    <w:p w14:paraId="5E3E7FA2" w14:textId="5886DB70" w:rsidR="00843436" w:rsidRPr="00660F6A" w:rsidRDefault="00BE3C12" w:rsidP="004B04F9">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Magnitud del posible impacto</w:t>
      </w:r>
    </w:p>
    <w:p w14:paraId="5C2CF09E" w14:textId="77777777" w:rsidR="004B04F9" w:rsidRPr="00660F6A" w:rsidRDefault="004B04F9" w:rsidP="005E1301">
      <w:pPr>
        <w:suppressAutoHyphens/>
        <w:autoSpaceDN w:val="0"/>
        <w:spacing w:after="0" w:line="240" w:lineRule="auto"/>
        <w:jc w:val="both"/>
        <w:textAlignment w:val="baseline"/>
        <w:rPr>
          <w:rFonts w:eastAsia="Times New Roman" w:cs="Arial"/>
          <w:lang w:val="es-ES"/>
        </w:rPr>
      </w:pPr>
    </w:p>
    <w:p w14:paraId="6B18F58C" w14:textId="3E1C3BBF" w:rsidR="00E550F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La especie se distribuye por África subsahariana; las herramientas y actividades desarrolladas en esta Acción Concertada se pueden traducir en incluir a muchos otros países en </w:t>
      </w:r>
      <w:proofErr w:type="gramStart"/>
      <w:r w:rsidRPr="00660F6A">
        <w:rPr>
          <w:rFonts w:eastAsia="Times New Roman" w:cs="Arial"/>
          <w:lang w:val="es-ES"/>
        </w:rPr>
        <w:t>todo el área</w:t>
      </w:r>
      <w:proofErr w:type="gramEnd"/>
      <w:r w:rsidRPr="00660F6A">
        <w:rPr>
          <w:rFonts w:eastAsia="Times New Roman" w:cs="Arial"/>
          <w:lang w:val="es-ES"/>
        </w:rPr>
        <w:t xml:space="preserve"> de distribución. El tamaño de las poblaciones locales y la amenaza a la que están expuestas varía, aunque en un futuro próximo se prevé que haya disminuciones continuas y amenazas crecientes, y no hay conocimientos que permitan predecir los posibles umbrales del tamaño de la población que podrían poner en riesgo la extinción de la especie (véase Halliday 1980). Por lo tanto, estas acciones tienen como objetivo salvar y conservar un sistema de migración que abarca todo el continente de un murciélago de la fruta esencial, lo que permite el flujo de genes y la reforestación que recorre grandes distancias y cruza fronteras nacionales. Las iniciativas locales de conservación son cruciales para lograr estos objetivos y requieren un apoyo a mayor escala.</w:t>
      </w:r>
    </w:p>
    <w:p w14:paraId="615D8AC2"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5CA1313B" w14:textId="193780C7" w:rsidR="00843436" w:rsidRPr="00660F6A" w:rsidRDefault="00BE3C12" w:rsidP="004B04F9">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Rentabilidad</w:t>
      </w:r>
    </w:p>
    <w:p w14:paraId="2CC44A90" w14:textId="77777777" w:rsidR="004B04F9" w:rsidRPr="00660F6A" w:rsidRDefault="004B04F9" w:rsidP="005E1301">
      <w:pPr>
        <w:suppressAutoHyphens/>
        <w:autoSpaceDN w:val="0"/>
        <w:spacing w:after="0" w:line="240" w:lineRule="auto"/>
        <w:jc w:val="both"/>
        <w:textAlignment w:val="baseline"/>
        <w:rPr>
          <w:rFonts w:eastAsia="Times New Roman" w:cs="Arial"/>
          <w:lang w:val="es-ES"/>
        </w:rPr>
      </w:pPr>
    </w:p>
    <w:p w14:paraId="78724DAF" w14:textId="73CD79BD" w:rsidR="0036404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Las actividades cuentan con el apoyo de diversas fuentes de financiación. La Red de Vigilancia está gestionada por voluntarios y (actualmente) coordinada por BCI, y anteriormente por el MPI-AB. La investigación sobre migración para comprender mejor la interconexión entre las poblaciones está financiada y llevada a cabo por el MPI-AB en colaboración con socios africanos. La RWCA tiene actividades de divulgación en marcha a las que se pueden incorporar más información y acciones. El Dr. Patrick </w:t>
      </w:r>
      <w:proofErr w:type="spellStart"/>
      <w:r w:rsidRPr="00660F6A">
        <w:rPr>
          <w:rFonts w:eastAsia="Times New Roman" w:cs="Arial"/>
          <w:lang w:val="es-ES"/>
        </w:rPr>
        <w:t>Atagana</w:t>
      </w:r>
      <w:proofErr w:type="spellEnd"/>
      <w:r w:rsidRPr="00660F6A">
        <w:rPr>
          <w:rFonts w:eastAsia="Times New Roman" w:cs="Arial"/>
          <w:lang w:val="es-ES"/>
        </w:rPr>
        <w:t xml:space="preserve">, como profesor universitario, busca crear una red de estudiantes voluntarios en todo Camerún, que </w:t>
      </w:r>
      <w:r w:rsidRPr="00660F6A">
        <w:rPr>
          <w:rFonts w:eastAsia="Times New Roman" w:cs="Arial"/>
          <w:lang w:val="es-ES"/>
        </w:rPr>
        <w:lastRenderedPageBreak/>
        <w:t xml:space="preserve">ya es efectiva en la capital, Yaundé, donde se realizan recuentos cada mes, y son un potencial para futuras actividades. La financiación de un taller provendrá de la fundación </w:t>
      </w:r>
      <w:proofErr w:type="spellStart"/>
      <w:r w:rsidRPr="00660F6A">
        <w:rPr>
          <w:rFonts w:eastAsia="Times New Roman" w:cs="Arial"/>
          <w:lang w:val="es-ES"/>
        </w:rPr>
        <w:t>Rufford</w:t>
      </w:r>
      <w:proofErr w:type="spellEnd"/>
      <w:r w:rsidRPr="00660F6A">
        <w:rPr>
          <w:rFonts w:eastAsia="Times New Roman" w:cs="Arial"/>
          <w:lang w:val="es-ES"/>
        </w:rPr>
        <w:t xml:space="preserve"> o una similar e incluirá a más socios de, p. ej., Benín, Kenia, Mozambique, Zambia, Ghana, Guinea, Malí, Nigeria, Sierra Leona y Uganda.</w:t>
      </w:r>
    </w:p>
    <w:p w14:paraId="77765884"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122EC9AD" w14:textId="77777777"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Consultas previstas/realizadas</w:t>
      </w:r>
    </w:p>
    <w:p w14:paraId="55CBE654" w14:textId="77777777" w:rsidR="004B04F9" w:rsidRPr="00660F6A" w:rsidRDefault="004B04F9" w:rsidP="005E1301">
      <w:pPr>
        <w:suppressAutoHyphens/>
        <w:autoSpaceDN w:val="0"/>
        <w:spacing w:after="0" w:line="240" w:lineRule="auto"/>
        <w:jc w:val="both"/>
        <w:textAlignment w:val="baseline"/>
        <w:rPr>
          <w:rFonts w:eastAsia="Times New Roman" w:cs="Arial"/>
          <w:lang w:val="es-ES"/>
        </w:rPr>
      </w:pPr>
    </w:p>
    <w:p w14:paraId="187FF862" w14:textId="016D3661" w:rsidR="002308F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Los proponentes, </w:t>
      </w:r>
      <w:proofErr w:type="gramStart"/>
      <w:r w:rsidRPr="00660F6A">
        <w:rPr>
          <w:rFonts w:eastAsia="Times New Roman" w:cs="Arial"/>
          <w:lang w:val="es-ES"/>
        </w:rPr>
        <w:t>individualmente y conjuntamente</w:t>
      </w:r>
      <w:proofErr w:type="gramEnd"/>
      <w:r w:rsidRPr="00660F6A">
        <w:rPr>
          <w:rFonts w:eastAsia="Times New Roman" w:cs="Arial"/>
          <w:lang w:val="es-ES"/>
        </w:rPr>
        <w:t xml:space="preserve"> con BCI y el MPI-AB, consultaron a instituciones gubernamentales, ONG y voluntarios individuales de todos los Estados del área de distribución de la especie. Habrá más consultas después de la presentación y durante la COP15.</w:t>
      </w:r>
    </w:p>
    <w:p w14:paraId="5CA60733" w14:textId="77777777" w:rsidR="004854CA" w:rsidRPr="00660F6A" w:rsidRDefault="00BE3C12" w:rsidP="005E1301">
      <w:pPr>
        <w:suppressAutoHyphens/>
        <w:autoSpaceDN w:val="0"/>
        <w:spacing w:after="0" w:line="240" w:lineRule="auto"/>
        <w:jc w:val="both"/>
        <w:textAlignment w:val="baseline"/>
        <w:rPr>
          <w:rFonts w:eastAsia="Times New Roman" w:cs="Arial"/>
          <w:b/>
          <w:lang w:val="es-ES"/>
        </w:rPr>
      </w:pPr>
      <w:r w:rsidRPr="00660F6A">
        <w:rPr>
          <w:rFonts w:eastAsia="Times New Roman" w:cs="Arial"/>
          <w:color w:val="000000"/>
          <w:lang w:val="es-ES"/>
        </w:rPr>
        <w:t> </w:t>
      </w:r>
    </w:p>
    <w:p w14:paraId="17ADEEDC" w14:textId="77777777" w:rsidR="004B04F9" w:rsidRPr="00660F6A" w:rsidRDefault="004B04F9">
      <w:pPr>
        <w:rPr>
          <w:rFonts w:eastAsia="Times New Roman" w:cs="Arial"/>
          <w:b/>
          <w:color w:val="000000"/>
          <w:lang w:val="es-ES"/>
        </w:rPr>
      </w:pPr>
      <w:r w:rsidRPr="00660F6A">
        <w:rPr>
          <w:rFonts w:eastAsia="Times New Roman" w:cs="Arial"/>
          <w:b/>
          <w:color w:val="000000"/>
          <w:lang w:val="es-ES"/>
        </w:rPr>
        <w:br w:type="page"/>
      </w:r>
    </w:p>
    <w:p w14:paraId="46962B93" w14:textId="6AE5258D" w:rsidR="00BB289A" w:rsidRPr="00C20403" w:rsidRDefault="00BE3C12" w:rsidP="005E1301">
      <w:pPr>
        <w:suppressAutoHyphens/>
        <w:autoSpaceDN w:val="0"/>
        <w:spacing w:after="0" w:line="240" w:lineRule="auto"/>
        <w:jc w:val="both"/>
        <w:textAlignment w:val="baseline"/>
        <w:rPr>
          <w:rFonts w:eastAsia="Times New Roman" w:cs="Arial"/>
          <w:b/>
          <w:color w:val="000000"/>
        </w:rPr>
      </w:pPr>
      <w:proofErr w:type="spellStart"/>
      <w:r w:rsidRPr="00C20403">
        <w:rPr>
          <w:rFonts w:eastAsia="Times New Roman" w:cs="Arial"/>
          <w:b/>
          <w:color w:val="000000"/>
        </w:rPr>
        <w:lastRenderedPageBreak/>
        <w:t>Referenc</w:t>
      </w:r>
      <w:r w:rsidR="00C20403" w:rsidRPr="00C20403">
        <w:rPr>
          <w:rFonts w:eastAsia="Times New Roman" w:cs="Arial"/>
          <w:b/>
          <w:color w:val="000000"/>
        </w:rPr>
        <w:t>ias</w:t>
      </w:r>
      <w:proofErr w:type="spellEnd"/>
    </w:p>
    <w:p w14:paraId="3AC426DE" w14:textId="77777777" w:rsidR="00C20403" w:rsidRPr="00C20403" w:rsidRDefault="00C20403" w:rsidP="005E1301">
      <w:pPr>
        <w:suppressAutoHyphens/>
        <w:autoSpaceDN w:val="0"/>
        <w:spacing w:after="0" w:line="240" w:lineRule="auto"/>
        <w:jc w:val="both"/>
        <w:textAlignment w:val="baseline"/>
        <w:rPr>
          <w:rFonts w:eastAsia="Times New Roman" w:cs="Arial"/>
          <w:b/>
        </w:rPr>
      </w:pPr>
    </w:p>
    <w:p w14:paraId="0A128CC2"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Abedi-Lartey, M., Dechmann, D. K. N., </w:t>
      </w:r>
      <w:proofErr w:type="spellStart"/>
      <w:r w:rsidRPr="00C20403">
        <w:rPr>
          <w:rFonts w:eastAsia="Times New Roman" w:cs="Arial"/>
          <w:color w:val="000000"/>
          <w:sz w:val="20"/>
          <w:szCs w:val="20"/>
        </w:rPr>
        <w:t>Wikelski</w:t>
      </w:r>
      <w:proofErr w:type="spellEnd"/>
      <w:r w:rsidRPr="00C20403">
        <w:rPr>
          <w:rFonts w:eastAsia="Times New Roman" w:cs="Arial"/>
          <w:color w:val="000000"/>
          <w:sz w:val="20"/>
          <w:szCs w:val="20"/>
        </w:rPr>
        <w:t xml:space="preserve">, M., Scharf, A. K. &amp; Fahr, J. (2016) Long-distance seed dispersal by </w:t>
      </w:r>
      <w:proofErr w:type="spellStart"/>
      <w:r w:rsidRPr="00C20403">
        <w:rPr>
          <w:rFonts w:eastAsia="Times New Roman" w:cs="Arial"/>
          <w:color w:val="000000"/>
          <w:sz w:val="20"/>
          <w:szCs w:val="20"/>
        </w:rPr>
        <w:t>straw-coloured</w:t>
      </w:r>
      <w:proofErr w:type="spellEnd"/>
      <w:r w:rsidRPr="00C20403">
        <w:rPr>
          <w:rFonts w:eastAsia="Times New Roman" w:cs="Arial"/>
          <w:color w:val="000000"/>
          <w:sz w:val="20"/>
          <w:szCs w:val="20"/>
        </w:rPr>
        <w:t xml:space="preserve"> fruit bats varies by season and landscape. Global Ecology and Conservation 7: 12-24.</w:t>
      </w:r>
    </w:p>
    <w:p w14:paraId="04AEA69A"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Amman, B. R., </w:t>
      </w:r>
      <w:proofErr w:type="spellStart"/>
      <w:r w:rsidRPr="00C20403">
        <w:rPr>
          <w:rFonts w:eastAsia="Times New Roman" w:cs="Arial"/>
          <w:color w:val="000000"/>
          <w:sz w:val="20"/>
          <w:szCs w:val="20"/>
        </w:rPr>
        <w:t>Nyakarahuka</w:t>
      </w:r>
      <w:proofErr w:type="spellEnd"/>
      <w:r w:rsidRPr="00C20403">
        <w:rPr>
          <w:rFonts w:eastAsia="Times New Roman" w:cs="Arial"/>
          <w:color w:val="000000"/>
          <w:sz w:val="20"/>
          <w:szCs w:val="20"/>
        </w:rPr>
        <w:t xml:space="preserve">, L., McElroy, A. K., Dodd, K. A., Sealy, T. K., Schuh, A. J., Shoemaker, T. R., </w:t>
      </w:r>
      <w:proofErr w:type="spellStart"/>
      <w:r w:rsidRPr="00C20403">
        <w:rPr>
          <w:rFonts w:eastAsia="Times New Roman" w:cs="Arial"/>
          <w:color w:val="000000"/>
          <w:sz w:val="20"/>
          <w:szCs w:val="20"/>
        </w:rPr>
        <w:t>Balinandi</w:t>
      </w:r>
      <w:proofErr w:type="spellEnd"/>
      <w:r w:rsidRPr="00C20403">
        <w:rPr>
          <w:rFonts w:eastAsia="Times New Roman" w:cs="Arial"/>
          <w:color w:val="000000"/>
          <w:sz w:val="20"/>
          <w:szCs w:val="20"/>
        </w:rPr>
        <w:t xml:space="preserve">, S., </w:t>
      </w:r>
      <w:proofErr w:type="spellStart"/>
      <w:r w:rsidRPr="00C20403">
        <w:rPr>
          <w:rFonts w:eastAsia="Times New Roman" w:cs="Arial"/>
          <w:color w:val="000000"/>
          <w:sz w:val="20"/>
          <w:szCs w:val="20"/>
        </w:rPr>
        <w:t>Atimnedi</w:t>
      </w:r>
      <w:proofErr w:type="spellEnd"/>
      <w:r w:rsidRPr="00C20403">
        <w:rPr>
          <w:rFonts w:eastAsia="Times New Roman" w:cs="Arial"/>
          <w:color w:val="000000"/>
          <w:sz w:val="20"/>
          <w:szCs w:val="20"/>
        </w:rPr>
        <w:t xml:space="preserve">, P., </w:t>
      </w:r>
      <w:proofErr w:type="spellStart"/>
      <w:r w:rsidRPr="00C20403">
        <w:rPr>
          <w:rFonts w:eastAsia="Times New Roman" w:cs="Arial"/>
          <w:color w:val="000000"/>
          <w:sz w:val="20"/>
          <w:szCs w:val="20"/>
        </w:rPr>
        <w:t>Kaboyo</w:t>
      </w:r>
      <w:proofErr w:type="spellEnd"/>
      <w:r w:rsidRPr="00C20403">
        <w:rPr>
          <w:rFonts w:eastAsia="Times New Roman" w:cs="Arial"/>
          <w:color w:val="000000"/>
          <w:sz w:val="20"/>
          <w:szCs w:val="20"/>
        </w:rPr>
        <w:t>, W., Nichol, S. T. &amp; Towner, J. S. (2014) Marburgvirus resurgence in Kitaka Mine bat population after extermination attempts, Uganda. Emerging Infectious Diseases 20(10): 1761-1764.</w:t>
      </w:r>
    </w:p>
    <w:p w14:paraId="3B3A174B"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Costa, T. D., Santos, C. D., </w:t>
      </w:r>
      <w:proofErr w:type="spellStart"/>
      <w:r w:rsidRPr="00C20403">
        <w:rPr>
          <w:rFonts w:eastAsia="Times New Roman" w:cs="Arial"/>
          <w:color w:val="000000"/>
          <w:sz w:val="20"/>
          <w:szCs w:val="20"/>
        </w:rPr>
        <w:t>Rainho</w:t>
      </w:r>
      <w:proofErr w:type="spellEnd"/>
      <w:r w:rsidRPr="00C20403">
        <w:rPr>
          <w:rFonts w:eastAsia="Times New Roman" w:cs="Arial"/>
          <w:color w:val="000000"/>
          <w:sz w:val="20"/>
          <w:szCs w:val="20"/>
        </w:rPr>
        <w:t xml:space="preserve">, A., Abedi-Lartey, M., Fahr, J., </w:t>
      </w:r>
      <w:proofErr w:type="spellStart"/>
      <w:r w:rsidRPr="00C20403">
        <w:rPr>
          <w:rFonts w:eastAsia="Times New Roman" w:cs="Arial"/>
          <w:color w:val="000000"/>
          <w:sz w:val="20"/>
          <w:szCs w:val="20"/>
        </w:rPr>
        <w:t>Wikelski</w:t>
      </w:r>
      <w:proofErr w:type="spellEnd"/>
      <w:r w:rsidRPr="00C20403">
        <w:rPr>
          <w:rFonts w:eastAsia="Times New Roman" w:cs="Arial"/>
          <w:color w:val="000000"/>
          <w:sz w:val="20"/>
          <w:szCs w:val="20"/>
        </w:rPr>
        <w:t xml:space="preserve">, M. &amp; </w:t>
      </w:r>
      <w:proofErr w:type="spellStart"/>
      <w:r w:rsidRPr="00C20403">
        <w:rPr>
          <w:rFonts w:eastAsia="Times New Roman" w:cs="Arial"/>
          <w:color w:val="000000"/>
          <w:sz w:val="20"/>
          <w:szCs w:val="20"/>
        </w:rPr>
        <w:t>Dechmann</w:t>
      </w:r>
      <w:proofErr w:type="spellEnd"/>
      <w:r w:rsidRPr="00C20403">
        <w:rPr>
          <w:rFonts w:eastAsia="Times New Roman" w:cs="Arial"/>
          <w:color w:val="000000"/>
          <w:sz w:val="20"/>
          <w:szCs w:val="20"/>
        </w:rPr>
        <w:t xml:space="preserve">, D. K. N. (2020) Assessing roost disturbance of </w:t>
      </w:r>
      <w:proofErr w:type="spellStart"/>
      <w:r w:rsidRPr="00C20403">
        <w:rPr>
          <w:rFonts w:eastAsia="Times New Roman" w:cs="Arial"/>
          <w:color w:val="000000"/>
          <w:sz w:val="20"/>
          <w:szCs w:val="20"/>
        </w:rPr>
        <w:t>straw-coloured</w:t>
      </w:r>
      <w:proofErr w:type="spellEnd"/>
      <w:r w:rsidRPr="00C20403">
        <w:rPr>
          <w:rFonts w:eastAsia="Times New Roman" w:cs="Arial"/>
          <w:color w:val="000000"/>
          <w:sz w:val="20"/>
          <w:szCs w:val="20"/>
        </w:rPr>
        <w:t xml:space="preserve"> fruit bats (Eidolon </w:t>
      </w:r>
      <w:proofErr w:type="spellStart"/>
      <w:r w:rsidRPr="00C20403">
        <w:rPr>
          <w:rFonts w:eastAsia="Times New Roman" w:cs="Arial"/>
          <w:color w:val="000000"/>
          <w:sz w:val="20"/>
          <w:szCs w:val="20"/>
        </w:rPr>
        <w:t>helvum</w:t>
      </w:r>
      <w:proofErr w:type="spellEnd"/>
      <w:r w:rsidRPr="00C20403">
        <w:rPr>
          <w:rFonts w:eastAsia="Times New Roman" w:cs="Arial"/>
          <w:color w:val="000000"/>
          <w:sz w:val="20"/>
          <w:szCs w:val="20"/>
        </w:rPr>
        <w:t xml:space="preserve">) through tri-axial acceleration. </w:t>
      </w:r>
      <w:proofErr w:type="spellStart"/>
      <w:r w:rsidRPr="00C20403">
        <w:rPr>
          <w:rFonts w:eastAsia="Times New Roman" w:cs="Arial"/>
          <w:color w:val="000000"/>
          <w:sz w:val="20"/>
          <w:szCs w:val="20"/>
        </w:rPr>
        <w:t>PLoS</w:t>
      </w:r>
      <w:proofErr w:type="spellEnd"/>
      <w:r w:rsidRPr="00C20403">
        <w:rPr>
          <w:rFonts w:eastAsia="Times New Roman" w:cs="Arial"/>
          <w:color w:val="000000"/>
          <w:sz w:val="20"/>
          <w:szCs w:val="20"/>
        </w:rPr>
        <w:t xml:space="preserve"> ONE 15(11): e0242662.</w:t>
      </w:r>
    </w:p>
    <w:p w14:paraId="3E9C7EAC"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proofErr w:type="spellStart"/>
      <w:r w:rsidRPr="00C20403">
        <w:rPr>
          <w:rFonts w:eastAsia="Times New Roman" w:cs="Arial"/>
          <w:color w:val="000000"/>
          <w:sz w:val="20"/>
          <w:szCs w:val="20"/>
        </w:rPr>
        <w:t>Ejotre</w:t>
      </w:r>
      <w:proofErr w:type="spellEnd"/>
      <w:r w:rsidRPr="00C20403">
        <w:rPr>
          <w:rFonts w:eastAsia="Times New Roman" w:cs="Arial"/>
          <w:color w:val="000000"/>
          <w:sz w:val="20"/>
          <w:szCs w:val="20"/>
        </w:rPr>
        <w:t xml:space="preserve">, I., Reeder, D. M., Matuschewski, K., </w:t>
      </w:r>
      <w:proofErr w:type="spellStart"/>
      <w:r w:rsidRPr="00C20403">
        <w:rPr>
          <w:rFonts w:eastAsia="Times New Roman" w:cs="Arial"/>
          <w:color w:val="000000"/>
          <w:sz w:val="20"/>
          <w:szCs w:val="20"/>
        </w:rPr>
        <w:t>Kityo</w:t>
      </w:r>
      <w:proofErr w:type="spellEnd"/>
      <w:r w:rsidRPr="00C20403">
        <w:rPr>
          <w:rFonts w:eastAsia="Times New Roman" w:cs="Arial"/>
          <w:color w:val="000000"/>
          <w:sz w:val="20"/>
          <w:szCs w:val="20"/>
        </w:rPr>
        <w:t>, R. &amp; Schaer, J. (2022) Negative perception of bats, exacerbated by the SARS-CoV-2 pandemic, may hinder bat conservation in northern Uganda. Sustainability 14(24): 16924.</w:t>
      </w:r>
    </w:p>
    <w:p w14:paraId="14B471F1"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Fahr, J., Abedi-Lartey, M., Esch, T., </w:t>
      </w:r>
      <w:proofErr w:type="spellStart"/>
      <w:r w:rsidRPr="00C20403">
        <w:rPr>
          <w:rFonts w:eastAsia="Times New Roman" w:cs="Arial"/>
          <w:color w:val="000000"/>
          <w:sz w:val="20"/>
          <w:szCs w:val="20"/>
        </w:rPr>
        <w:t>Machwitz</w:t>
      </w:r>
      <w:proofErr w:type="spellEnd"/>
      <w:r w:rsidRPr="00C20403">
        <w:rPr>
          <w:rFonts w:eastAsia="Times New Roman" w:cs="Arial"/>
          <w:color w:val="000000"/>
          <w:sz w:val="20"/>
          <w:szCs w:val="20"/>
        </w:rPr>
        <w:t xml:space="preserve">, M., Suu-Ire, R., Wikelski, M. &amp; </w:t>
      </w:r>
      <w:proofErr w:type="spellStart"/>
      <w:r w:rsidRPr="00C20403">
        <w:rPr>
          <w:rFonts w:eastAsia="Times New Roman" w:cs="Arial"/>
          <w:color w:val="000000"/>
          <w:sz w:val="20"/>
          <w:szCs w:val="20"/>
        </w:rPr>
        <w:t>Dechmann</w:t>
      </w:r>
      <w:proofErr w:type="spellEnd"/>
      <w:r w:rsidRPr="00C20403">
        <w:rPr>
          <w:rFonts w:eastAsia="Times New Roman" w:cs="Arial"/>
          <w:color w:val="000000"/>
          <w:sz w:val="20"/>
          <w:szCs w:val="20"/>
        </w:rPr>
        <w:t xml:space="preserve">, D. K. (2015) Pronounced seasonal changes in the movement ecology of a highly gregarious central-place forager, the African </w:t>
      </w:r>
      <w:proofErr w:type="spellStart"/>
      <w:r w:rsidRPr="00C20403">
        <w:rPr>
          <w:rFonts w:eastAsia="Times New Roman" w:cs="Arial"/>
          <w:color w:val="000000"/>
          <w:sz w:val="20"/>
          <w:szCs w:val="20"/>
        </w:rPr>
        <w:t>straw-coloured</w:t>
      </w:r>
      <w:proofErr w:type="spellEnd"/>
      <w:r w:rsidRPr="00C20403">
        <w:rPr>
          <w:rFonts w:eastAsia="Times New Roman" w:cs="Arial"/>
          <w:color w:val="000000"/>
          <w:sz w:val="20"/>
          <w:szCs w:val="20"/>
        </w:rPr>
        <w:t xml:space="preserve"> fruit bat (Eidolon </w:t>
      </w:r>
      <w:proofErr w:type="spellStart"/>
      <w:r w:rsidRPr="00C20403">
        <w:rPr>
          <w:rFonts w:eastAsia="Times New Roman" w:cs="Arial"/>
          <w:color w:val="000000"/>
          <w:sz w:val="20"/>
          <w:szCs w:val="20"/>
        </w:rPr>
        <w:t>helvum</w:t>
      </w:r>
      <w:proofErr w:type="spellEnd"/>
      <w:r w:rsidRPr="00C20403">
        <w:rPr>
          <w:rFonts w:eastAsia="Times New Roman" w:cs="Arial"/>
          <w:color w:val="000000"/>
          <w:sz w:val="20"/>
          <w:szCs w:val="20"/>
        </w:rPr>
        <w:t xml:space="preserve">). </w:t>
      </w:r>
      <w:proofErr w:type="spellStart"/>
      <w:proofErr w:type="gramStart"/>
      <w:r w:rsidRPr="00C20403">
        <w:rPr>
          <w:rFonts w:eastAsia="Times New Roman" w:cs="Arial"/>
          <w:color w:val="000000"/>
          <w:sz w:val="20"/>
          <w:szCs w:val="20"/>
        </w:rPr>
        <w:t>PLoS</w:t>
      </w:r>
      <w:proofErr w:type="spellEnd"/>
      <w:proofErr w:type="gramEnd"/>
      <w:r w:rsidRPr="00C20403">
        <w:rPr>
          <w:rFonts w:eastAsia="Times New Roman" w:cs="Arial"/>
          <w:color w:val="000000"/>
          <w:sz w:val="20"/>
          <w:szCs w:val="20"/>
        </w:rPr>
        <w:t xml:space="preserve"> ONE 10(10): e0138985.</w:t>
      </w:r>
    </w:p>
    <w:p w14:paraId="6983DBC7"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Halliday, T. (1980) The extinction of the passenger pigeon </w:t>
      </w:r>
      <w:proofErr w:type="spellStart"/>
      <w:r w:rsidRPr="00C20403">
        <w:rPr>
          <w:rFonts w:eastAsia="Times New Roman" w:cs="Arial"/>
          <w:i/>
          <w:iCs/>
          <w:color w:val="000000"/>
          <w:sz w:val="20"/>
          <w:szCs w:val="20"/>
        </w:rPr>
        <w:t>Ectopistes</w:t>
      </w:r>
      <w:proofErr w:type="spellEnd"/>
      <w:r w:rsidRPr="00C20403">
        <w:rPr>
          <w:rFonts w:eastAsia="Times New Roman" w:cs="Arial"/>
          <w:i/>
          <w:iCs/>
          <w:color w:val="000000"/>
          <w:sz w:val="20"/>
          <w:szCs w:val="20"/>
        </w:rPr>
        <w:t xml:space="preserve"> </w:t>
      </w:r>
      <w:proofErr w:type="spellStart"/>
      <w:r w:rsidRPr="00C20403">
        <w:rPr>
          <w:rFonts w:eastAsia="Times New Roman" w:cs="Arial"/>
          <w:i/>
          <w:iCs/>
          <w:color w:val="000000"/>
          <w:sz w:val="20"/>
          <w:szCs w:val="20"/>
        </w:rPr>
        <w:t>migratorius</w:t>
      </w:r>
      <w:proofErr w:type="spellEnd"/>
      <w:r w:rsidRPr="00C20403">
        <w:rPr>
          <w:rFonts w:eastAsia="Times New Roman" w:cs="Arial"/>
          <w:color w:val="000000"/>
          <w:sz w:val="20"/>
          <w:szCs w:val="20"/>
        </w:rPr>
        <w:t xml:space="preserve"> and its relevance to contemporary conservation. Biological Conservation 17(2): 157-162. </w:t>
      </w:r>
    </w:p>
    <w:p w14:paraId="02934819"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Hurme, E., Fahr, J., Eidolon Monitoring Network, </w:t>
      </w:r>
      <w:proofErr w:type="spellStart"/>
      <w:r w:rsidRPr="00C20403">
        <w:rPr>
          <w:rFonts w:eastAsia="Times New Roman" w:cs="Arial"/>
          <w:color w:val="000000"/>
          <w:sz w:val="20"/>
          <w:szCs w:val="20"/>
        </w:rPr>
        <w:t>Bakwo</w:t>
      </w:r>
      <w:proofErr w:type="spellEnd"/>
      <w:r w:rsidRPr="00C20403">
        <w:rPr>
          <w:rFonts w:eastAsia="Times New Roman" w:cs="Arial"/>
          <w:color w:val="000000"/>
          <w:sz w:val="20"/>
          <w:szCs w:val="20"/>
        </w:rPr>
        <w:t xml:space="preserve"> Fils, E.-M., Hash, C. T., O'Mara, M. T., Richter, H., Tanshi, I., </w:t>
      </w:r>
      <w:proofErr w:type="spellStart"/>
      <w:r w:rsidRPr="00C20403">
        <w:rPr>
          <w:rFonts w:eastAsia="Times New Roman" w:cs="Arial"/>
          <w:color w:val="000000"/>
          <w:sz w:val="20"/>
          <w:szCs w:val="20"/>
        </w:rPr>
        <w:t>Webala</w:t>
      </w:r>
      <w:proofErr w:type="spellEnd"/>
      <w:r w:rsidRPr="00C20403">
        <w:rPr>
          <w:rFonts w:eastAsia="Times New Roman" w:cs="Arial"/>
          <w:color w:val="000000"/>
          <w:sz w:val="20"/>
          <w:szCs w:val="20"/>
        </w:rPr>
        <w:t xml:space="preserve">, P. W., Weber, N., </w:t>
      </w:r>
      <w:proofErr w:type="spellStart"/>
      <w:r w:rsidRPr="00C20403">
        <w:rPr>
          <w:rFonts w:eastAsia="Times New Roman" w:cs="Arial"/>
          <w:color w:val="000000"/>
          <w:sz w:val="20"/>
          <w:szCs w:val="20"/>
        </w:rPr>
        <w:t>Wikelski</w:t>
      </w:r>
      <w:proofErr w:type="spellEnd"/>
      <w:r w:rsidRPr="00C20403">
        <w:rPr>
          <w:rFonts w:eastAsia="Times New Roman" w:cs="Arial"/>
          <w:color w:val="000000"/>
          <w:sz w:val="20"/>
          <w:szCs w:val="20"/>
        </w:rPr>
        <w:t xml:space="preserve">, M. &amp; </w:t>
      </w:r>
      <w:proofErr w:type="spellStart"/>
      <w:r w:rsidRPr="00C20403">
        <w:rPr>
          <w:rFonts w:eastAsia="Times New Roman" w:cs="Arial"/>
          <w:color w:val="000000"/>
          <w:sz w:val="20"/>
          <w:szCs w:val="20"/>
        </w:rPr>
        <w:t>Dechmann</w:t>
      </w:r>
      <w:proofErr w:type="spellEnd"/>
      <w:r w:rsidRPr="00C20403">
        <w:rPr>
          <w:rFonts w:eastAsia="Times New Roman" w:cs="Arial"/>
          <w:color w:val="000000"/>
          <w:sz w:val="20"/>
          <w:szCs w:val="20"/>
        </w:rPr>
        <w:t>, D. K. N. (2022) Fruit bat migration matches green wave in seasonal landscapes. Functional Ecology 36(8): 2043-2055.</w:t>
      </w:r>
    </w:p>
    <w:p w14:paraId="6741A2A6"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IUCN 2022-2. IUCN Red List of Threatened Species. </w:t>
      </w:r>
      <w:hyperlink r:id="rId19" w:history="1">
        <w:r w:rsidR="00BB289A" w:rsidRPr="00C20403">
          <w:rPr>
            <w:rFonts w:eastAsia="Times New Roman" w:cs="Arial"/>
            <w:color w:val="0563C1"/>
            <w:sz w:val="20"/>
            <w:szCs w:val="20"/>
            <w:u w:val="single"/>
          </w:rPr>
          <w:t>https://www.iucnredlist.org/species/7084/22028026</w:t>
        </w:r>
      </w:hyperlink>
      <w:r w:rsidRPr="00C20403">
        <w:rPr>
          <w:rFonts w:eastAsia="Times New Roman" w:cs="Arial"/>
          <w:color w:val="000000"/>
          <w:sz w:val="20"/>
          <w:szCs w:val="20"/>
        </w:rPr>
        <w:t xml:space="preserve"> (downloaded 12/04/2023).</w:t>
      </w:r>
    </w:p>
    <w:p w14:paraId="5C09A3A8"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Kamins, A. O., </w:t>
      </w:r>
      <w:proofErr w:type="spellStart"/>
      <w:r w:rsidRPr="00C20403">
        <w:rPr>
          <w:rFonts w:eastAsia="Times New Roman" w:cs="Arial"/>
          <w:color w:val="000000"/>
          <w:sz w:val="20"/>
          <w:szCs w:val="20"/>
        </w:rPr>
        <w:t>Restif</w:t>
      </w:r>
      <w:proofErr w:type="spellEnd"/>
      <w:r w:rsidRPr="00C20403">
        <w:rPr>
          <w:rFonts w:eastAsia="Times New Roman" w:cs="Arial"/>
          <w:color w:val="000000"/>
          <w:sz w:val="20"/>
          <w:szCs w:val="20"/>
        </w:rPr>
        <w:t xml:space="preserve">, O., </w:t>
      </w:r>
      <w:proofErr w:type="spellStart"/>
      <w:r w:rsidRPr="00C20403">
        <w:rPr>
          <w:rFonts w:eastAsia="Times New Roman" w:cs="Arial"/>
          <w:color w:val="000000"/>
          <w:sz w:val="20"/>
          <w:szCs w:val="20"/>
        </w:rPr>
        <w:t>Ntiamoa</w:t>
      </w:r>
      <w:proofErr w:type="spellEnd"/>
      <w:r w:rsidRPr="00C20403">
        <w:rPr>
          <w:rFonts w:eastAsia="Times New Roman" w:cs="Arial"/>
          <w:color w:val="000000"/>
          <w:sz w:val="20"/>
          <w:szCs w:val="20"/>
        </w:rPr>
        <w:t>-Baidu, Y., Suu-Ire, R., Hayman, D. T. S., Cunningham, A. A., Wood, J. L. N. &amp; Rowcliffe, J. M. (2011) Uncovering the fruit bat bushmeat commodity chain and the true extent of fruit bat hunting in Ghana, West Africa. Biological Conservation 144(12): 3000-3008.</w:t>
      </w:r>
    </w:p>
    <w:p w14:paraId="78D83D58"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Richter, H. V. &amp; Cumming, G. S. (2008) First application of satellite telemetry to track African </w:t>
      </w:r>
      <w:proofErr w:type="spellStart"/>
      <w:r w:rsidRPr="00C20403">
        <w:rPr>
          <w:rFonts w:eastAsia="Times New Roman" w:cs="Arial"/>
          <w:color w:val="000000"/>
          <w:sz w:val="20"/>
          <w:szCs w:val="20"/>
        </w:rPr>
        <w:t>straw-coloured</w:t>
      </w:r>
      <w:proofErr w:type="spellEnd"/>
      <w:r w:rsidRPr="00C20403">
        <w:rPr>
          <w:rFonts w:eastAsia="Times New Roman" w:cs="Arial"/>
          <w:color w:val="000000"/>
          <w:sz w:val="20"/>
          <w:szCs w:val="20"/>
        </w:rPr>
        <w:t xml:space="preserve"> fruit bat migration. Journal of Zoology 275(2): 172-176.</w:t>
      </w:r>
    </w:p>
    <w:p w14:paraId="1AB64697"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Roth, E. (2022) How to live safely with bats? Ignorance(s) in post-</w:t>
      </w:r>
      <w:proofErr w:type="spellStart"/>
      <w:r w:rsidRPr="00C20403">
        <w:rPr>
          <w:rFonts w:eastAsia="Times New Roman" w:cs="Arial"/>
          <w:color w:val="000000"/>
          <w:sz w:val="20"/>
          <w:szCs w:val="20"/>
        </w:rPr>
        <w:t>ebola</w:t>
      </w:r>
      <w:proofErr w:type="spellEnd"/>
      <w:r w:rsidRPr="00C20403">
        <w:rPr>
          <w:rFonts w:eastAsia="Times New Roman" w:cs="Arial"/>
          <w:color w:val="000000"/>
          <w:sz w:val="20"/>
          <w:szCs w:val="20"/>
        </w:rPr>
        <w:t xml:space="preserve"> risk communication (Guinea, Sierra Leone). Sources. Material &amp; Fieldwork in African Studies. Knowing Nature | </w:t>
      </w:r>
      <w:proofErr w:type="spellStart"/>
      <w:r w:rsidRPr="00C20403">
        <w:rPr>
          <w:rFonts w:eastAsia="Times New Roman" w:cs="Arial"/>
          <w:color w:val="000000"/>
          <w:sz w:val="20"/>
          <w:szCs w:val="20"/>
        </w:rPr>
        <w:t>Savoirs</w:t>
      </w:r>
      <w:proofErr w:type="spellEnd"/>
      <w:r w:rsidRPr="00C20403">
        <w:rPr>
          <w:rFonts w:eastAsia="Times New Roman" w:cs="Arial"/>
          <w:color w:val="000000"/>
          <w:sz w:val="20"/>
          <w:szCs w:val="20"/>
        </w:rPr>
        <w:t xml:space="preserve"> </w:t>
      </w:r>
      <w:proofErr w:type="spellStart"/>
      <w:r w:rsidRPr="00C20403">
        <w:rPr>
          <w:rFonts w:eastAsia="Times New Roman" w:cs="Arial"/>
          <w:color w:val="000000"/>
          <w:sz w:val="20"/>
          <w:szCs w:val="20"/>
        </w:rPr>
        <w:t>environnementaux</w:t>
      </w:r>
      <w:proofErr w:type="spellEnd"/>
      <w:r w:rsidRPr="00C20403">
        <w:rPr>
          <w:rFonts w:eastAsia="Times New Roman" w:cs="Arial"/>
          <w:color w:val="000000"/>
          <w:sz w:val="20"/>
          <w:szCs w:val="20"/>
        </w:rPr>
        <w:t xml:space="preserve"> 4: 39-67.</w:t>
      </w:r>
    </w:p>
    <w:p w14:paraId="5DBEDECD"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van Toor, M. L., O'Mara, M. T., Abedi-Lartey, M., Wikelski, M., Fahr, J. &amp; </w:t>
      </w:r>
      <w:proofErr w:type="spellStart"/>
      <w:r w:rsidRPr="00C20403">
        <w:rPr>
          <w:rFonts w:eastAsia="Times New Roman" w:cs="Arial"/>
          <w:color w:val="000000"/>
          <w:sz w:val="20"/>
          <w:szCs w:val="20"/>
        </w:rPr>
        <w:t>Dechmann</w:t>
      </w:r>
      <w:proofErr w:type="spellEnd"/>
      <w:r w:rsidRPr="00C20403">
        <w:rPr>
          <w:rFonts w:eastAsia="Times New Roman" w:cs="Arial"/>
          <w:color w:val="000000"/>
          <w:sz w:val="20"/>
          <w:szCs w:val="20"/>
        </w:rPr>
        <w:t>, D. K. N. (2019) Linking colony size with quantitative estimates of ecosystem services of African fruit bats. Current Biology 29(7): R237-R238.</w:t>
      </w:r>
    </w:p>
    <w:p w14:paraId="7E765767" w14:textId="77777777" w:rsidR="00BB289A" w:rsidRPr="00660F6A" w:rsidRDefault="00BE3C12" w:rsidP="005E1301">
      <w:pPr>
        <w:suppressAutoHyphens/>
        <w:autoSpaceDN w:val="0"/>
        <w:spacing w:after="0" w:line="240" w:lineRule="auto"/>
        <w:ind w:left="540" w:hanging="540"/>
        <w:jc w:val="both"/>
        <w:textAlignment w:val="baseline"/>
        <w:rPr>
          <w:rFonts w:eastAsia="Times New Roman" w:cs="Arial"/>
          <w:color w:val="000000"/>
          <w:sz w:val="20"/>
          <w:szCs w:val="20"/>
          <w:lang w:val="es-ES"/>
        </w:rPr>
      </w:pPr>
      <w:proofErr w:type="spellStart"/>
      <w:r w:rsidRPr="00C20403">
        <w:rPr>
          <w:rFonts w:eastAsia="Times New Roman" w:cs="Arial"/>
          <w:color w:val="000000"/>
          <w:sz w:val="20"/>
          <w:szCs w:val="20"/>
        </w:rPr>
        <w:t>Webala</w:t>
      </w:r>
      <w:proofErr w:type="spellEnd"/>
      <w:r w:rsidRPr="00C20403">
        <w:rPr>
          <w:rFonts w:eastAsia="Times New Roman" w:cs="Arial"/>
          <w:color w:val="000000"/>
          <w:sz w:val="20"/>
          <w:szCs w:val="20"/>
        </w:rPr>
        <w:t xml:space="preserve">, P. W., Musila, S. &amp; Makau, R. (2014) Roost occupancy, roost site selection and diet of </w:t>
      </w:r>
      <w:proofErr w:type="spellStart"/>
      <w:r w:rsidRPr="00C20403">
        <w:rPr>
          <w:rFonts w:eastAsia="Times New Roman" w:cs="Arial"/>
          <w:color w:val="000000"/>
          <w:sz w:val="20"/>
          <w:szCs w:val="20"/>
        </w:rPr>
        <w:t>straw-coloured</w:t>
      </w:r>
      <w:proofErr w:type="spellEnd"/>
      <w:r w:rsidRPr="00C20403">
        <w:rPr>
          <w:rFonts w:eastAsia="Times New Roman" w:cs="Arial"/>
          <w:color w:val="000000"/>
          <w:sz w:val="20"/>
          <w:szCs w:val="20"/>
        </w:rPr>
        <w:t xml:space="preserve"> fruit bats (</w:t>
      </w:r>
      <w:proofErr w:type="spellStart"/>
      <w:r w:rsidRPr="00C20403">
        <w:rPr>
          <w:rFonts w:eastAsia="Times New Roman" w:cs="Arial"/>
          <w:color w:val="000000"/>
          <w:sz w:val="20"/>
          <w:szCs w:val="20"/>
        </w:rPr>
        <w:t>Pteropodidae</w:t>
      </w:r>
      <w:proofErr w:type="spellEnd"/>
      <w:r w:rsidRPr="00C20403">
        <w:rPr>
          <w:rFonts w:eastAsia="Times New Roman" w:cs="Arial"/>
          <w:color w:val="000000"/>
          <w:sz w:val="20"/>
          <w:szCs w:val="20"/>
        </w:rPr>
        <w:t xml:space="preserve">: </w:t>
      </w:r>
      <w:r w:rsidRPr="00C20403">
        <w:rPr>
          <w:rFonts w:eastAsia="Times New Roman" w:cs="Arial"/>
          <w:i/>
          <w:iCs/>
          <w:color w:val="000000"/>
          <w:sz w:val="20"/>
          <w:szCs w:val="20"/>
        </w:rPr>
        <w:t xml:space="preserve">Eidolon </w:t>
      </w:r>
      <w:proofErr w:type="spellStart"/>
      <w:r w:rsidRPr="00C20403">
        <w:rPr>
          <w:rFonts w:eastAsia="Times New Roman" w:cs="Arial"/>
          <w:i/>
          <w:iCs/>
          <w:color w:val="000000"/>
          <w:sz w:val="20"/>
          <w:szCs w:val="20"/>
        </w:rPr>
        <w:t>helvum</w:t>
      </w:r>
      <w:proofErr w:type="spellEnd"/>
      <w:r w:rsidRPr="00C20403">
        <w:rPr>
          <w:rFonts w:eastAsia="Times New Roman" w:cs="Arial"/>
          <w:color w:val="000000"/>
          <w:sz w:val="20"/>
          <w:szCs w:val="20"/>
        </w:rPr>
        <w:t xml:space="preserve">) in Western Kenya: the need for continued public education. </w:t>
      </w:r>
      <w:r w:rsidRPr="00C20403">
        <w:rPr>
          <w:rFonts w:eastAsia="Times New Roman" w:cs="Arial"/>
          <w:color w:val="000000"/>
          <w:sz w:val="20"/>
          <w:szCs w:val="20"/>
          <w:lang w:val="es-ES"/>
        </w:rPr>
        <w:t xml:space="preserve">Acta </w:t>
      </w:r>
      <w:proofErr w:type="spellStart"/>
      <w:r w:rsidRPr="00C20403">
        <w:rPr>
          <w:rFonts w:eastAsia="Times New Roman" w:cs="Arial"/>
          <w:color w:val="000000"/>
          <w:sz w:val="20"/>
          <w:szCs w:val="20"/>
          <w:lang w:val="es-ES"/>
        </w:rPr>
        <w:t>Chiropterologica</w:t>
      </w:r>
      <w:proofErr w:type="spellEnd"/>
      <w:r w:rsidRPr="00C20403">
        <w:rPr>
          <w:rFonts w:eastAsia="Times New Roman" w:cs="Arial"/>
          <w:color w:val="000000"/>
          <w:sz w:val="20"/>
          <w:szCs w:val="20"/>
          <w:lang w:val="es-ES"/>
        </w:rPr>
        <w:t xml:space="preserve"> 16(1): 85-94.</w:t>
      </w:r>
    </w:p>
    <w:p w14:paraId="06D38F06" w14:textId="77777777" w:rsidR="00135B73" w:rsidRPr="00660F6A" w:rsidRDefault="00135B73" w:rsidP="005E1301">
      <w:pPr>
        <w:suppressAutoHyphens/>
        <w:autoSpaceDN w:val="0"/>
        <w:spacing w:after="0" w:line="240" w:lineRule="auto"/>
        <w:ind w:left="540" w:hanging="540"/>
        <w:jc w:val="both"/>
        <w:textAlignment w:val="baseline"/>
        <w:rPr>
          <w:rFonts w:eastAsia="Times New Roman" w:cs="Arial"/>
          <w:color w:val="000000"/>
          <w:sz w:val="20"/>
          <w:szCs w:val="20"/>
          <w:lang w:val="es-ES"/>
        </w:rPr>
        <w:sectPr w:rsidR="00135B73" w:rsidRPr="00660F6A" w:rsidSect="002430C8">
          <w:headerReference w:type="even" r:id="rId20"/>
          <w:headerReference w:type="default" r:id="rId21"/>
          <w:footerReference w:type="even" r:id="rId22"/>
          <w:footerReference w:type="default" r:id="rId23"/>
          <w:headerReference w:type="first" r:id="rId24"/>
          <w:footerReference w:type="first" r:id="rId25"/>
          <w:type w:val="continuous"/>
          <w:pgSz w:w="11905" w:h="16837" w:code="9"/>
          <w:pgMar w:top="1440" w:right="1440" w:bottom="1440" w:left="1440" w:header="720" w:footer="720" w:gutter="0"/>
          <w:cols w:space="720"/>
          <w:titlePg/>
          <w:docGrid w:linePitch="360"/>
        </w:sectPr>
      </w:pPr>
    </w:p>
    <w:p w14:paraId="2D23B92F" w14:textId="0E6432B5" w:rsidR="00BB289A" w:rsidRPr="00660F6A" w:rsidRDefault="00BE3C12"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eastAsia="Times New Roman" w:cs="Arial"/>
          <w:b/>
          <w:lang w:val="es-ES"/>
        </w:rPr>
      </w:pPr>
      <w:r w:rsidRPr="00660F6A">
        <w:rPr>
          <w:rFonts w:eastAsia="Times New Roman" w:cs="Arial"/>
          <w:b/>
          <w:lang w:val="es-ES"/>
        </w:rPr>
        <w:lastRenderedPageBreak/>
        <w:t>ANEXO</w:t>
      </w:r>
    </w:p>
    <w:p w14:paraId="4E840409" w14:textId="77777777" w:rsidR="00BB289A" w:rsidRPr="00660F6A"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lang w:val="es-ES"/>
        </w:rPr>
      </w:pPr>
    </w:p>
    <w:p w14:paraId="399B9D72" w14:textId="77777777" w:rsidR="00BB289A" w:rsidRPr="00660F6A"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lang w:val="es-ES"/>
        </w:rPr>
      </w:pPr>
    </w:p>
    <w:p w14:paraId="21F3DF87" w14:textId="77777777" w:rsidR="00BB289A" w:rsidRPr="00660F6A" w:rsidRDefault="00BE3C12" w:rsidP="005E1301">
      <w:pPr>
        <w:suppressAutoHyphens/>
        <w:autoSpaceDN w:val="0"/>
        <w:spacing w:after="0" w:line="240" w:lineRule="auto"/>
        <w:jc w:val="center"/>
        <w:textAlignment w:val="baseline"/>
        <w:rPr>
          <w:rFonts w:eastAsia="Calibri" w:cs="Arial"/>
          <w:lang w:val="es-ES"/>
        </w:rPr>
      </w:pPr>
      <w:r w:rsidRPr="00660F6A">
        <w:rPr>
          <w:rFonts w:eastAsia="Calibri" w:cs="Arial"/>
          <w:b/>
          <w:bCs/>
          <w:i/>
          <w:iCs/>
          <w:lang w:val="es-ES"/>
        </w:rPr>
        <w:t>EIDOLON HELVUM</w:t>
      </w:r>
      <w:r w:rsidRPr="00660F6A">
        <w:rPr>
          <w:rFonts w:eastAsia="Calibri" w:cs="Arial"/>
          <w:b/>
          <w:bCs/>
          <w:lang w:val="es-ES"/>
        </w:rPr>
        <w:t xml:space="preserve"> EN KENIA: HACIA UN PLAN DE ACCIÓN NACIONAL</w:t>
      </w:r>
      <w:r w:rsidRPr="00660F6A">
        <w:rPr>
          <w:rFonts w:eastAsia="Calibri" w:cs="Arial"/>
          <w:b/>
          <w:bCs/>
          <w:i/>
          <w:iCs/>
          <w:lang w:val="es-ES"/>
        </w:rPr>
        <w:t xml:space="preserve"> </w:t>
      </w:r>
    </w:p>
    <w:p w14:paraId="23D311F7"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7364F4FD" w14:textId="77777777"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Se ha registrado que la especie se congrega en colonias de decenas de miles (</w:t>
      </w:r>
      <w:proofErr w:type="spellStart"/>
      <w:r w:rsidRPr="00660F6A">
        <w:rPr>
          <w:rFonts w:eastAsia="Calibri" w:cs="Arial"/>
          <w:lang w:val="es-ES"/>
        </w:rPr>
        <w:t>Webala</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2014), a unos pocos millones (Thomas 1983, </w:t>
      </w:r>
      <w:proofErr w:type="spellStart"/>
      <w:r w:rsidRPr="00660F6A">
        <w:rPr>
          <w:rFonts w:eastAsia="Calibri" w:cs="Arial"/>
          <w:lang w:val="es-ES"/>
        </w:rPr>
        <w:t>Hayman</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2012, </w:t>
      </w:r>
      <w:proofErr w:type="spellStart"/>
      <w:r w:rsidRPr="00660F6A">
        <w:rPr>
          <w:rFonts w:eastAsia="Calibri" w:cs="Arial"/>
          <w:lang w:val="es-ES"/>
        </w:rPr>
        <w:t>Fahr</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2015), y, a veces, hasta aproximadamente 10 millones de individuos (Richter y Cumming 2006). Se sabe que el </w:t>
      </w:r>
      <w:r w:rsidRPr="00660F6A">
        <w:rPr>
          <w:rFonts w:eastAsia="Calibri" w:cs="Arial"/>
          <w:i/>
          <w:lang w:val="es-ES"/>
        </w:rPr>
        <w:t>E</w:t>
      </w:r>
      <w:r w:rsidRPr="00660F6A">
        <w:rPr>
          <w:rFonts w:eastAsia="Calibri" w:cs="Arial"/>
          <w:lang w:val="es-ES"/>
        </w:rPr>
        <w:t xml:space="preserve">. </w:t>
      </w:r>
      <w:proofErr w:type="spellStart"/>
      <w:r w:rsidRPr="00660F6A">
        <w:rPr>
          <w:rFonts w:eastAsia="Calibri" w:cs="Arial"/>
          <w:i/>
          <w:lang w:val="es-ES"/>
        </w:rPr>
        <w:t>helvum</w:t>
      </w:r>
      <w:proofErr w:type="spellEnd"/>
      <w:r w:rsidRPr="00660F6A">
        <w:rPr>
          <w:rFonts w:eastAsia="Calibri" w:cs="Arial"/>
          <w:lang w:val="es-ES"/>
        </w:rPr>
        <w:t xml:space="preserve"> realiza migraciones estacionales de larga distancia, a veces más de 2000 kilómetros (Thomas 1983, Richter y Cumming 2008, Ossa </w:t>
      </w:r>
      <w:r w:rsidRPr="00660F6A">
        <w:rPr>
          <w:rFonts w:eastAsia="Calibri" w:cs="Arial"/>
          <w:i/>
          <w:lang w:val="es-ES"/>
        </w:rPr>
        <w:t>et al</w:t>
      </w:r>
      <w:r w:rsidRPr="00660F6A">
        <w:rPr>
          <w:rFonts w:eastAsia="Calibri" w:cs="Arial"/>
          <w:lang w:val="es-ES"/>
        </w:rPr>
        <w:t xml:space="preserve">. 2012). Los datos adicionales demuestran que la especie vuela a distancias que oscilan entre los 59 y los 88 kilómetros en períodos de alimentación nocturnos (Richter y Cumming 2008, </w:t>
      </w:r>
      <w:proofErr w:type="spellStart"/>
      <w:r w:rsidRPr="00660F6A">
        <w:rPr>
          <w:rFonts w:eastAsia="Calibri" w:cs="Arial"/>
          <w:lang w:val="es-ES"/>
        </w:rPr>
        <w:t>Fahr</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2015). Evidentemente, tales movimientos a corto y largo plazo son vías potenciales de dispersión de cientos de miles de semillas y polen, y el impacto para paisajes enteros es enorme, dado que viven en agrupaciones de miles a millones de individuos. </w:t>
      </w:r>
    </w:p>
    <w:p w14:paraId="031779F6"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36AE8325" w14:textId="6A86F8CC"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En Kenia, los registros y los especímenes representativos muestran colonias más grandes y una distribución más amplia, patrones de migración claramente marcados a principios del siglo XX, pero con evidencia actual creciente (</w:t>
      </w:r>
      <w:proofErr w:type="spellStart"/>
      <w:r w:rsidRPr="00660F6A">
        <w:rPr>
          <w:rFonts w:eastAsia="Calibri" w:cs="Arial"/>
          <w:lang w:val="es-ES"/>
        </w:rPr>
        <w:t>Webala</w:t>
      </w:r>
      <w:proofErr w:type="spellEnd"/>
      <w:r w:rsidRPr="00660F6A">
        <w:rPr>
          <w:rFonts w:eastAsia="Calibri" w:cs="Arial"/>
          <w:lang w:val="es-ES"/>
        </w:rPr>
        <w:t xml:space="preserve"> et al. 2014, </w:t>
      </w:r>
      <w:proofErr w:type="spellStart"/>
      <w:r w:rsidRPr="00660F6A">
        <w:rPr>
          <w:rFonts w:eastAsia="Calibri" w:cs="Arial"/>
          <w:lang w:val="es-ES"/>
        </w:rPr>
        <w:t>Hurme</w:t>
      </w:r>
      <w:proofErr w:type="spellEnd"/>
      <w:r w:rsidRPr="00660F6A">
        <w:rPr>
          <w:rFonts w:eastAsia="Calibri" w:cs="Arial"/>
          <w:lang w:val="es-ES"/>
        </w:rPr>
        <w:t xml:space="preserve"> et al. 2022)</w:t>
      </w:r>
      <w:r w:rsidR="001E63FF" w:rsidRPr="00660F6A">
        <w:rPr>
          <w:rFonts w:eastAsia="Calibri" w:cs="Arial"/>
          <w:lang w:val="es-ES"/>
        </w:rPr>
        <w:t>.</w:t>
      </w:r>
    </w:p>
    <w:p w14:paraId="5FEA05CC"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2FED4E68" w14:textId="77777777"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 xml:space="preserve">La especie está dispersa por todo el país, principalmente en el oeste, el centro y la costa de Kenia, aunque no hay evidencia de su distribución en el norte más seco de Kenia. </w:t>
      </w:r>
    </w:p>
    <w:p w14:paraId="3DE5C9D1"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337C2F31" w14:textId="77777777" w:rsidR="00BB289A" w:rsidRPr="00660F6A" w:rsidRDefault="00BE3C12" w:rsidP="005E1301">
      <w:pPr>
        <w:suppressAutoHyphens/>
        <w:autoSpaceDN w:val="0"/>
        <w:spacing w:after="0" w:line="240" w:lineRule="auto"/>
        <w:jc w:val="both"/>
        <w:textAlignment w:val="baseline"/>
        <w:rPr>
          <w:rFonts w:eastAsia="TimesNewRomanPSMT" w:cs="Arial"/>
          <w:lang w:val="es-ES"/>
        </w:rPr>
      </w:pPr>
      <w:r w:rsidRPr="00660F6A">
        <w:rPr>
          <w:rFonts w:eastAsia="Calibri" w:cs="Arial"/>
          <w:lang w:val="es-ES"/>
        </w:rPr>
        <w:t xml:space="preserve">En Kenia, varias colonias de </w:t>
      </w:r>
      <w:r w:rsidRPr="00660F6A">
        <w:rPr>
          <w:rFonts w:eastAsia="Calibri" w:cs="Arial"/>
          <w:i/>
          <w:lang w:val="es-ES"/>
        </w:rPr>
        <w:t>E</w:t>
      </w:r>
      <w:r w:rsidRPr="00660F6A">
        <w:rPr>
          <w:rFonts w:eastAsia="Calibri" w:cs="Arial"/>
          <w:lang w:val="es-ES"/>
        </w:rPr>
        <w:t xml:space="preserve">. </w:t>
      </w:r>
      <w:proofErr w:type="spellStart"/>
      <w:r w:rsidRPr="00660F6A">
        <w:rPr>
          <w:rFonts w:eastAsia="Calibri" w:cs="Arial"/>
          <w:i/>
          <w:lang w:val="es-ES"/>
        </w:rPr>
        <w:t>helvum</w:t>
      </w:r>
      <w:proofErr w:type="spellEnd"/>
      <w:r w:rsidRPr="00660F6A">
        <w:rPr>
          <w:rFonts w:eastAsia="Calibri" w:cs="Arial"/>
          <w:lang w:val="es-ES"/>
        </w:rPr>
        <w:t xml:space="preserve"> han sido localizadas y representadas gráficamente, y los estudios en algunas de estas colonias han revelado que la especie puede descansar y continuar en paisajes altamente modificados al alimentarse de una mezcla entre especies nativas e introducidas (</w:t>
      </w:r>
      <w:proofErr w:type="spellStart"/>
      <w:r w:rsidRPr="00660F6A">
        <w:rPr>
          <w:rFonts w:eastAsia="Calibri" w:cs="Arial"/>
          <w:lang w:val="es-ES"/>
        </w:rPr>
        <w:t>Webala</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2014). Es importante destacar que la especie requiere para sobrevivir una red funcional de dormideros y lugares de alimentación como respuesta a las perturbaciones y, tal vez, a los patrones cambiantes de disponibilidad de los alimentos (</w:t>
      </w:r>
      <w:proofErr w:type="spellStart"/>
      <w:r w:rsidRPr="00660F6A">
        <w:rPr>
          <w:rFonts w:eastAsia="Calibri" w:cs="Arial"/>
          <w:lang w:val="es-ES"/>
        </w:rPr>
        <w:t>Poiani</w:t>
      </w:r>
      <w:proofErr w:type="spellEnd"/>
      <w:r w:rsidRPr="00660F6A">
        <w:rPr>
          <w:rFonts w:eastAsia="Calibri" w:cs="Arial"/>
          <w:lang w:val="es-ES"/>
        </w:rPr>
        <w:t xml:space="preserve"> </w:t>
      </w:r>
      <w:r w:rsidRPr="00660F6A">
        <w:rPr>
          <w:rFonts w:eastAsia="Calibri" w:cs="Arial"/>
          <w:i/>
          <w:iCs/>
          <w:lang w:val="es-ES"/>
        </w:rPr>
        <w:t>et al</w:t>
      </w:r>
      <w:r w:rsidRPr="00660F6A">
        <w:rPr>
          <w:rFonts w:eastAsia="Calibri" w:cs="Arial"/>
          <w:lang w:val="es-ES"/>
        </w:rPr>
        <w:t xml:space="preserve">. 2000, </w:t>
      </w:r>
      <w:proofErr w:type="spellStart"/>
      <w:r w:rsidRPr="00660F6A">
        <w:rPr>
          <w:rFonts w:eastAsia="Calibri" w:cs="Arial"/>
          <w:lang w:val="es-ES"/>
        </w:rPr>
        <w:t>Webala</w:t>
      </w:r>
      <w:proofErr w:type="spellEnd"/>
      <w:r w:rsidRPr="00660F6A">
        <w:rPr>
          <w:rFonts w:eastAsia="Calibri" w:cs="Arial"/>
          <w:lang w:val="es-ES"/>
        </w:rPr>
        <w:t xml:space="preserve"> </w:t>
      </w:r>
      <w:r w:rsidRPr="00660F6A">
        <w:rPr>
          <w:rFonts w:eastAsia="TimesNewRomanPSMT" w:cs="Arial"/>
          <w:i/>
          <w:lang w:val="es-ES"/>
        </w:rPr>
        <w:t>et al</w:t>
      </w:r>
      <w:r w:rsidRPr="00660F6A">
        <w:rPr>
          <w:rFonts w:eastAsia="Calibri" w:cs="Arial"/>
          <w:lang w:val="es-ES"/>
        </w:rPr>
        <w:t xml:space="preserve">. 2014). </w:t>
      </w:r>
    </w:p>
    <w:p w14:paraId="3E2B4397"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1CCCDB10" w14:textId="7280E7D3"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Por su condición de especie esencial, su carácter migratorio y su hábito de alternar entre dormideros (</w:t>
      </w:r>
      <w:proofErr w:type="spellStart"/>
      <w:r w:rsidRPr="00660F6A">
        <w:rPr>
          <w:rFonts w:eastAsia="Calibri" w:cs="Arial"/>
          <w:lang w:val="es-ES"/>
        </w:rPr>
        <w:t>Webala</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2014), tales movimientos y al alimentarse de frutas, polen y néctar de plantas tropicales, la especie ayuda a la sucesión forestal y a la dinámica de la vegetación (Fleming, 1982; Medellin y Gaona 1999, Taylor </w:t>
      </w:r>
      <w:r w:rsidRPr="00660F6A">
        <w:rPr>
          <w:rFonts w:eastAsia="Calibri" w:cs="Arial"/>
          <w:i/>
          <w:lang w:val="es-ES"/>
        </w:rPr>
        <w:t>et al</w:t>
      </w:r>
      <w:r w:rsidRPr="00660F6A">
        <w:rPr>
          <w:rFonts w:eastAsia="Calibri" w:cs="Arial"/>
          <w:lang w:val="es-ES"/>
        </w:rPr>
        <w:t xml:space="preserve">. 2000, Henry y </w:t>
      </w:r>
      <w:proofErr w:type="spellStart"/>
      <w:r w:rsidRPr="00660F6A">
        <w:rPr>
          <w:rFonts w:eastAsia="Calibri" w:cs="Arial"/>
          <w:lang w:val="es-ES"/>
        </w:rPr>
        <w:t>Jouard</w:t>
      </w:r>
      <w:proofErr w:type="spellEnd"/>
      <w:r w:rsidRPr="00660F6A">
        <w:rPr>
          <w:rFonts w:eastAsia="Calibri" w:cs="Arial"/>
          <w:lang w:val="es-ES"/>
        </w:rPr>
        <w:t xml:space="preserve"> 2007). Evidentemente, tales movimientos a corto y largo plazo son vías potenciales de dispersión de cientos de miles de semillas y polen, y el impacto para paisajes enteros es enorme, dado que viven en agrupaciones de miles a millones de individuos. Por lo tanto, ayudan a mantener la interconexión genética entre grupos fragmentados situados en selvas tropicales y hábitats distantes, debido a su capacidad para volar largas distancias (Richter y Cumming, 2008</w:t>
      </w:r>
      <w:r w:rsidR="001E63FF" w:rsidRPr="00660F6A">
        <w:rPr>
          <w:rFonts w:eastAsia="Calibri" w:cs="Arial"/>
          <w:lang w:val="es-ES"/>
        </w:rPr>
        <w:t>;</w:t>
      </w:r>
      <w:r w:rsidRPr="00660F6A">
        <w:rPr>
          <w:rFonts w:eastAsia="Calibri" w:cs="Arial"/>
          <w:lang w:val="es-ES"/>
        </w:rPr>
        <w:t xml:space="preserve"> Smith </w:t>
      </w:r>
      <w:r w:rsidRPr="00660F6A">
        <w:rPr>
          <w:rFonts w:eastAsia="Calibri" w:cs="Arial"/>
          <w:i/>
          <w:iCs/>
          <w:lang w:val="es-ES"/>
        </w:rPr>
        <w:t>et al</w:t>
      </w:r>
      <w:r w:rsidRPr="00660F6A">
        <w:rPr>
          <w:rFonts w:eastAsia="Calibri" w:cs="Arial"/>
          <w:lang w:val="es-ES"/>
        </w:rPr>
        <w:t>., 2011</w:t>
      </w:r>
      <w:r w:rsidR="001E63FF" w:rsidRPr="00660F6A">
        <w:rPr>
          <w:rFonts w:eastAsia="Calibri" w:cs="Arial"/>
          <w:lang w:val="es-ES"/>
        </w:rPr>
        <w:t>;</w:t>
      </w:r>
      <w:r w:rsidRPr="00660F6A">
        <w:rPr>
          <w:rFonts w:eastAsia="Calibri" w:cs="Arial"/>
          <w:lang w:val="es-ES"/>
        </w:rPr>
        <w:t xml:space="preserve"> </w:t>
      </w:r>
      <w:proofErr w:type="spellStart"/>
      <w:r w:rsidRPr="00660F6A">
        <w:rPr>
          <w:rFonts w:eastAsia="Calibri" w:cs="Arial"/>
          <w:lang w:val="es-ES"/>
        </w:rPr>
        <w:t>Tsoar</w:t>
      </w:r>
      <w:proofErr w:type="spellEnd"/>
      <w:r w:rsidRPr="00660F6A">
        <w:rPr>
          <w:rFonts w:eastAsia="Calibri" w:cs="Arial"/>
          <w:lang w:val="es-ES"/>
        </w:rPr>
        <w:t xml:space="preserve"> </w:t>
      </w:r>
      <w:r w:rsidRPr="00660F6A">
        <w:rPr>
          <w:rFonts w:eastAsia="Calibri" w:cs="Arial"/>
          <w:i/>
          <w:iCs/>
          <w:lang w:val="es-ES"/>
        </w:rPr>
        <w:t>et al</w:t>
      </w:r>
      <w:r w:rsidRPr="00660F6A">
        <w:rPr>
          <w:rFonts w:eastAsia="Calibri" w:cs="Arial"/>
          <w:lang w:val="es-ES"/>
        </w:rPr>
        <w:t xml:space="preserve">. 2010; </w:t>
      </w:r>
      <w:proofErr w:type="spellStart"/>
      <w:r w:rsidRPr="00660F6A">
        <w:rPr>
          <w:rFonts w:eastAsia="Calibri" w:cs="Arial"/>
          <w:lang w:val="es-ES"/>
        </w:rPr>
        <w:t>Fahr</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2015; Abedi-</w:t>
      </w:r>
      <w:proofErr w:type="spellStart"/>
      <w:r w:rsidRPr="00660F6A">
        <w:rPr>
          <w:rFonts w:eastAsia="Calibri" w:cs="Arial"/>
          <w:lang w:val="es-ES"/>
        </w:rPr>
        <w:t>Lartey</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2016). </w:t>
      </w:r>
    </w:p>
    <w:p w14:paraId="79FCBB2B"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6FA54FF6" w14:textId="77777777"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Tales desplazamientos a largas distancias son vías para la transferencia efectiva de semillas y polen y, por lo tanto, son fundamentales en los paisajes fragmentados para mantener el flujo de genes y colonizar nuevos lugares para las plantas. A diferencia de otros dispersores de semillas (p. ej., los primates), que arrojan semillas debajo de la planta madre o a solo unos metros de distancia, lo que las somete a los depredadores de semillas y a la mortalidad de las semillas y plántulas dependiente de la densidad o la distancia, los murciélagos de la fruta pajizos nómadas que vuelan a largas distancias proporcionan semillas con altas probabilidades de supervivencia y posibilidades de colonizar nuevos lugares adecuados lejos de las plantas de origen (</w:t>
      </w:r>
      <w:proofErr w:type="spellStart"/>
      <w:r w:rsidRPr="00660F6A">
        <w:rPr>
          <w:rFonts w:eastAsia="Calibri" w:cs="Arial"/>
          <w:lang w:val="es-ES"/>
        </w:rPr>
        <w:t>Wenny</w:t>
      </w:r>
      <w:proofErr w:type="spellEnd"/>
      <w:r w:rsidRPr="00660F6A">
        <w:rPr>
          <w:rFonts w:eastAsia="Calibri" w:cs="Arial"/>
          <w:lang w:val="es-ES"/>
        </w:rPr>
        <w:t xml:space="preserve"> 2001).</w:t>
      </w:r>
    </w:p>
    <w:p w14:paraId="33F98D93"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07B907F6" w14:textId="77777777"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 xml:space="preserve">Entre las colonias conocidas, la especie está amenazada por una combinación de factores, como la pérdida del hábitat (tala de los árboles de los dormideros para expulsar a los murciélagos, obtener madera o emplearlos en la construcción) y la fumigación química, que </w:t>
      </w:r>
      <w:r w:rsidRPr="00660F6A">
        <w:rPr>
          <w:rFonts w:eastAsia="Calibri" w:cs="Arial"/>
          <w:lang w:val="es-ES"/>
        </w:rPr>
        <w:lastRenderedPageBreak/>
        <w:t xml:space="preserve">provoca la mortalidad directa. Además, las percepciones negativas y las creencias tradicionales ejercen presión sobre los propietarios de viviendas para que sean intolerantes con los murciélagos y sus dormideros, lo que lleva a la destrucción de los refugios a través de la deforestación. </w:t>
      </w:r>
    </w:p>
    <w:p w14:paraId="60732DC0"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3DAF003B" w14:textId="77777777"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La pérdida de los árboles dormideros en el área puede que esté amontonando demasiados murciélagos en muy pocos árboles para dormir. Estas amenazas no solo provocan la pérdida y la reducción de la abundancia de estas especies animales, sino que también afectan a las plantas dispersadas o polinizadas. Aparte del comercio de carne de animales silvestres y el consumo local que prevalece en África Central y Occidental, pero que no hay en Kenia, estas amenazas no son diferentes de las que la especie afronta en otros lugares de gran parte de su área de distribución en el África subsahariana. La supervivencia de la especie puede, por lo tanto, depender, en gran parte, de salvar a muchos grupos más pequeños que se encuentren en un área muy extensa.</w:t>
      </w:r>
    </w:p>
    <w:p w14:paraId="7DA8BD55"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4D746748" w14:textId="51E93245" w:rsidR="00BB289A" w:rsidRPr="00660F6A" w:rsidRDefault="00BE3C12" w:rsidP="005E1301">
      <w:pPr>
        <w:spacing w:after="0" w:line="240" w:lineRule="auto"/>
        <w:contextualSpacing/>
        <w:jc w:val="both"/>
        <w:rPr>
          <w:rFonts w:eastAsia="Calibri" w:cs="Arial"/>
          <w:lang w:val="es-ES"/>
        </w:rPr>
      </w:pPr>
      <w:r w:rsidRPr="00660F6A">
        <w:rPr>
          <w:rFonts w:eastAsia="Times New Roman" w:cs="Arial"/>
          <w:color w:val="000000"/>
          <w:lang w:val="es-ES"/>
        </w:rPr>
        <w:t xml:space="preserve">En Kenia hay en marcha iniciativas de estudios para comprender la </w:t>
      </w:r>
      <w:r w:rsidRPr="00660F6A">
        <w:rPr>
          <w:rFonts w:eastAsia="Calibri" w:cs="Arial"/>
          <w:lang w:val="es-ES"/>
        </w:rPr>
        <w:t xml:space="preserve">dieta y las funciones de dispersión de las semillas llevadas a cabo por la especie (p. ej., </w:t>
      </w:r>
      <w:proofErr w:type="spellStart"/>
      <w:r w:rsidRPr="00660F6A">
        <w:rPr>
          <w:rFonts w:eastAsia="Calibri" w:cs="Arial"/>
          <w:lang w:val="es-ES"/>
        </w:rPr>
        <w:t>Webala</w:t>
      </w:r>
      <w:proofErr w:type="spellEnd"/>
      <w:r w:rsidRPr="00660F6A">
        <w:rPr>
          <w:rFonts w:eastAsia="Calibri" w:cs="Arial"/>
          <w:lang w:val="es-ES"/>
        </w:rPr>
        <w:t xml:space="preserve"> et al. 2014, </w:t>
      </w:r>
      <w:proofErr w:type="spellStart"/>
      <w:r w:rsidRPr="00660F6A">
        <w:rPr>
          <w:rFonts w:eastAsia="Calibri" w:cs="Arial"/>
          <w:lang w:val="es-ES"/>
        </w:rPr>
        <w:t>Hurme</w:t>
      </w:r>
      <w:proofErr w:type="spellEnd"/>
      <w:r w:rsidRPr="00660F6A">
        <w:rPr>
          <w:rFonts w:eastAsia="Calibri" w:cs="Arial"/>
          <w:lang w:val="es-ES"/>
        </w:rPr>
        <w:t xml:space="preserve"> et al. 2022), así como para una sólida educación pública y programas comunitarios que protejan los dormideros conocidos. Otras acciones llevadas a efecto en el país incluyen la vigilancia de enfermedades zoonóticas en las especies de murciélagos, especialmente en los pueblos y las aldeas, e implica la localización y representación gráfica de las principales colonias de todo el país y el seguimiento para rastrear los patrones de descanso, movimiento y migración de las poblaciones satélite de Kenia.</w:t>
      </w:r>
    </w:p>
    <w:p w14:paraId="05AB034F" w14:textId="77777777" w:rsidR="00BB289A" w:rsidRPr="00660F6A" w:rsidRDefault="00BB289A" w:rsidP="005E1301">
      <w:pPr>
        <w:suppressAutoHyphens/>
        <w:autoSpaceDN w:val="0"/>
        <w:spacing w:after="0" w:line="240" w:lineRule="auto"/>
        <w:jc w:val="both"/>
        <w:textAlignment w:val="baseline"/>
        <w:rPr>
          <w:rFonts w:eastAsia="Times New Roman" w:cs="Arial"/>
          <w:lang w:val="es-ES"/>
        </w:rPr>
      </w:pPr>
    </w:p>
    <w:p w14:paraId="0CAAB27D" w14:textId="68067257" w:rsidR="00BB289A" w:rsidRPr="00C20403" w:rsidRDefault="00BE3C12"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lang w:val="de-DE"/>
        </w:rPr>
      </w:pPr>
      <w:r w:rsidRPr="00C20403">
        <w:rPr>
          <w:rFonts w:eastAsia="Times New Roman" w:cs="Arial"/>
          <w:b/>
          <w:lang w:val="de-DE"/>
        </w:rPr>
        <w:t>REFERENC</w:t>
      </w:r>
      <w:r w:rsidR="00C20403" w:rsidRPr="00C20403">
        <w:rPr>
          <w:rFonts w:eastAsia="Times New Roman" w:cs="Arial"/>
          <w:b/>
          <w:lang w:val="de-DE"/>
        </w:rPr>
        <w:t>IAS</w:t>
      </w:r>
    </w:p>
    <w:p w14:paraId="0B8E0F26" w14:textId="77777777" w:rsidR="00BB289A" w:rsidRPr="00C20403"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lang w:val="de-DE"/>
        </w:rPr>
      </w:pPr>
    </w:p>
    <w:p w14:paraId="63E7DEF2"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lang w:val="de-DE"/>
        </w:rPr>
        <w:t xml:space="preserve">Fahr, J., Abedi-Lartey, M., Esch, T., Machwitz, M., Suu-Ire, R., Wikelski, M., Dechmann, D.K.N., 2015. </w:t>
      </w:r>
      <w:r w:rsidRPr="00C20403">
        <w:rPr>
          <w:rFonts w:eastAsia="Calibri" w:cs="Arial"/>
          <w:sz w:val="20"/>
          <w:szCs w:val="20"/>
        </w:rPr>
        <w:t xml:space="preserve">Pronounced seasonal changes in the movement ecology of a highly gregarious central-place forager, the African </w:t>
      </w:r>
      <w:proofErr w:type="spellStart"/>
      <w:r w:rsidRPr="00C20403">
        <w:rPr>
          <w:rFonts w:eastAsia="Calibri" w:cs="Arial"/>
          <w:sz w:val="20"/>
          <w:szCs w:val="20"/>
        </w:rPr>
        <w:t>straw-coloured</w:t>
      </w:r>
      <w:proofErr w:type="spellEnd"/>
      <w:r w:rsidRPr="00C20403">
        <w:rPr>
          <w:rFonts w:eastAsia="Calibri" w:cs="Arial"/>
          <w:sz w:val="20"/>
          <w:szCs w:val="20"/>
        </w:rPr>
        <w:t xml:space="preserve"> fruit bat (Eidolon </w:t>
      </w:r>
      <w:proofErr w:type="spellStart"/>
      <w:r w:rsidRPr="00C20403">
        <w:rPr>
          <w:rFonts w:eastAsia="Calibri" w:cs="Arial"/>
          <w:sz w:val="20"/>
          <w:szCs w:val="20"/>
        </w:rPr>
        <w:t>helvum</w:t>
      </w:r>
      <w:proofErr w:type="spellEnd"/>
      <w:r w:rsidRPr="00C20403">
        <w:rPr>
          <w:rFonts w:eastAsia="Calibri" w:cs="Arial"/>
          <w:sz w:val="20"/>
          <w:szCs w:val="20"/>
        </w:rPr>
        <w:t xml:space="preserve">). </w:t>
      </w:r>
      <w:proofErr w:type="spellStart"/>
      <w:r w:rsidRPr="00C20403">
        <w:rPr>
          <w:rFonts w:eastAsia="Calibri" w:cs="Arial"/>
          <w:sz w:val="20"/>
          <w:szCs w:val="20"/>
        </w:rPr>
        <w:t>PLoS</w:t>
      </w:r>
      <w:proofErr w:type="spellEnd"/>
      <w:r w:rsidRPr="00C20403">
        <w:rPr>
          <w:rFonts w:eastAsia="Calibri" w:cs="Arial"/>
          <w:sz w:val="20"/>
          <w:szCs w:val="20"/>
        </w:rPr>
        <w:t xml:space="preserve"> One 10, e0138985. </w:t>
      </w:r>
      <w:hyperlink r:id="rId26" w:history="1">
        <w:r w:rsidR="00BB289A" w:rsidRPr="00C20403">
          <w:rPr>
            <w:rFonts w:eastAsia="Calibri" w:cs="Arial"/>
            <w:color w:val="0563C1"/>
            <w:sz w:val="20"/>
            <w:szCs w:val="20"/>
            <w:u w:val="single"/>
          </w:rPr>
          <w:t>http://dx.doi.org/10.1371/journal.pone.0138985</w:t>
        </w:r>
      </w:hyperlink>
      <w:r w:rsidRPr="00C20403">
        <w:rPr>
          <w:rFonts w:eastAsia="Calibri" w:cs="Arial"/>
          <w:sz w:val="20"/>
          <w:szCs w:val="20"/>
        </w:rPr>
        <w:t>.</w:t>
      </w:r>
    </w:p>
    <w:p w14:paraId="5160E851"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 xml:space="preserve">Fleming, T.H., 1982. Foraging strategies </w:t>
      </w:r>
      <w:proofErr w:type="gramStart"/>
      <w:r w:rsidRPr="00C20403">
        <w:rPr>
          <w:rFonts w:eastAsia="Calibri" w:cs="Arial"/>
          <w:sz w:val="20"/>
          <w:szCs w:val="20"/>
        </w:rPr>
        <w:t>of</w:t>
      </w:r>
      <w:proofErr w:type="gramEnd"/>
      <w:r w:rsidRPr="00C20403">
        <w:rPr>
          <w:rFonts w:eastAsia="Calibri" w:cs="Arial"/>
          <w:sz w:val="20"/>
          <w:szCs w:val="20"/>
        </w:rPr>
        <w:t xml:space="preserve"> plant-visiting bats. Pp. 287–325, </w:t>
      </w:r>
      <w:r w:rsidRPr="00C20403">
        <w:rPr>
          <w:rFonts w:eastAsia="Calibri" w:cs="Arial"/>
          <w:i/>
          <w:iCs/>
          <w:sz w:val="20"/>
          <w:szCs w:val="20"/>
        </w:rPr>
        <w:t xml:space="preserve">in </w:t>
      </w:r>
      <w:r w:rsidRPr="00C20403">
        <w:rPr>
          <w:rFonts w:eastAsia="Calibri" w:cs="Arial"/>
          <w:sz w:val="20"/>
          <w:szCs w:val="20"/>
        </w:rPr>
        <w:t xml:space="preserve">Ecology of bats (T. H. KUNZ, ed.). Plenum Press, New York, 425 </w:t>
      </w:r>
      <w:proofErr w:type="gramStart"/>
      <w:r w:rsidRPr="00C20403">
        <w:rPr>
          <w:rFonts w:eastAsia="Calibri" w:cs="Arial"/>
          <w:sz w:val="20"/>
          <w:szCs w:val="20"/>
        </w:rPr>
        <w:t>pp</w:t>
      </w:r>
      <w:proofErr w:type="gramEnd"/>
      <w:r w:rsidRPr="00C20403">
        <w:rPr>
          <w:rFonts w:eastAsia="Calibri" w:cs="Arial"/>
          <w:sz w:val="20"/>
          <w:szCs w:val="20"/>
        </w:rPr>
        <w:t>.</w:t>
      </w:r>
    </w:p>
    <w:p w14:paraId="0DBD55AD"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 xml:space="preserve">Hurme, E., Fahr, J., Eidolon Monitoring Network, </w:t>
      </w:r>
      <w:proofErr w:type="spellStart"/>
      <w:r w:rsidRPr="00C20403">
        <w:rPr>
          <w:rFonts w:eastAsia="Calibri" w:cs="Arial"/>
          <w:sz w:val="20"/>
          <w:szCs w:val="20"/>
        </w:rPr>
        <w:t>Bakwo</w:t>
      </w:r>
      <w:proofErr w:type="spellEnd"/>
      <w:r w:rsidRPr="00C20403">
        <w:rPr>
          <w:rFonts w:eastAsia="Calibri" w:cs="Arial"/>
          <w:sz w:val="20"/>
          <w:szCs w:val="20"/>
        </w:rPr>
        <w:t xml:space="preserve"> Fils, E.-M., Hash, C. T., O'Mara, M. T., Richter, H., Tanshi, I., </w:t>
      </w:r>
      <w:proofErr w:type="spellStart"/>
      <w:r w:rsidRPr="00C20403">
        <w:rPr>
          <w:rFonts w:eastAsia="Calibri" w:cs="Arial"/>
          <w:sz w:val="20"/>
          <w:szCs w:val="20"/>
        </w:rPr>
        <w:t>Webala</w:t>
      </w:r>
      <w:proofErr w:type="spellEnd"/>
      <w:r w:rsidRPr="00C20403">
        <w:rPr>
          <w:rFonts w:eastAsia="Calibri" w:cs="Arial"/>
          <w:sz w:val="20"/>
          <w:szCs w:val="20"/>
        </w:rPr>
        <w:t xml:space="preserve">, P. W., Weber, N., </w:t>
      </w:r>
      <w:proofErr w:type="spellStart"/>
      <w:r w:rsidRPr="00C20403">
        <w:rPr>
          <w:rFonts w:eastAsia="Calibri" w:cs="Arial"/>
          <w:sz w:val="20"/>
          <w:szCs w:val="20"/>
        </w:rPr>
        <w:t>Wikelski</w:t>
      </w:r>
      <w:proofErr w:type="spellEnd"/>
      <w:r w:rsidRPr="00C20403">
        <w:rPr>
          <w:rFonts w:eastAsia="Calibri" w:cs="Arial"/>
          <w:sz w:val="20"/>
          <w:szCs w:val="20"/>
        </w:rPr>
        <w:t xml:space="preserve">, M. &amp; </w:t>
      </w:r>
      <w:proofErr w:type="spellStart"/>
      <w:r w:rsidRPr="00C20403">
        <w:rPr>
          <w:rFonts w:eastAsia="Calibri" w:cs="Arial"/>
          <w:sz w:val="20"/>
          <w:szCs w:val="20"/>
        </w:rPr>
        <w:t>Dechmann</w:t>
      </w:r>
      <w:proofErr w:type="spellEnd"/>
      <w:r w:rsidRPr="00C20403">
        <w:rPr>
          <w:rFonts w:eastAsia="Calibri" w:cs="Arial"/>
          <w:sz w:val="20"/>
          <w:szCs w:val="20"/>
        </w:rPr>
        <w:t>, D. K. N. (2022) Fruit bat migration matches green wave in seasonal landscapes. Functional Ecology 36(8): 2043-2055.</w:t>
      </w:r>
    </w:p>
    <w:p w14:paraId="338C970E"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 xml:space="preserve">Medellin, R.A., Gaona, O., 1999. Seed dispersal by bats and birds in forest and disturbed habitats of Chiapas, Mexico. </w:t>
      </w:r>
      <w:proofErr w:type="spellStart"/>
      <w:r w:rsidRPr="00C20403">
        <w:rPr>
          <w:rFonts w:eastAsia="Calibri" w:cs="Arial"/>
          <w:sz w:val="20"/>
          <w:szCs w:val="20"/>
        </w:rPr>
        <w:t>Biotropica</w:t>
      </w:r>
      <w:proofErr w:type="spellEnd"/>
      <w:r w:rsidRPr="00C20403">
        <w:rPr>
          <w:rFonts w:eastAsia="Calibri" w:cs="Arial"/>
          <w:sz w:val="20"/>
          <w:szCs w:val="20"/>
        </w:rPr>
        <w:t xml:space="preserve"> 3, 478–485.</w:t>
      </w:r>
    </w:p>
    <w:p w14:paraId="338BB952"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de-DE"/>
        </w:rPr>
      </w:pPr>
      <w:bookmarkStart w:id="0" w:name="_Hlk524167406"/>
      <w:r w:rsidRPr="00C20403">
        <w:rPr>
          <w:rFonts w:eastAsia="Calibri" w:cs="Arial"/>
          <w:sz w:val="20"/>
          <w:szCs w:val="20"/>
        </w:rPr>
        <w:t xml:space="preserve">Ossa, G., Kramer-Schadt, S., Peel, A.J., Scharf, A.K., Voigt, C.C., 2012. The movement ecology of the </w:t>
      </w:r>
      <w:proofErr w:type="spellStart"/>
      <w:r w:rsidRPr="00C20403">
        <w:rPr>
          <w:rFonts w:eastAsia="Calibri" w:cs="Arial"/>
          <w:sz w:val="20"/>
          <w:szCs w:val="20"/>
        </w:rPr>
        <w:t>straw-coloured</w:t>
      </w:r>
      <w:proofErr w:type="spellEnd"/>
      <w:r w:rsidRPr="00C20403">
        <w:rPr>
          <w:rFonts w:eastAsia="Calibri" w:cs="Arial"/>
          <w:sz w:val="20"/>
          <w:szCs w:val="20"/>
        </w:rPr>
        <w:t xml:space="preserve"> fruit bat, Eidolon </w:t>
      </w:r>
      <w:proofErr w:type="spellStart"/>
      <w:r w:rsidRPr="00C20403">
        <w:rPr>
          <w:rFonts w:eastAsia="Calibri" w:cs="Arial"/>
          <w:sz w:val="20"/>
          <w:szCs w:val="20"/>
        </w:rPr>
        <w:t>helvum</w:t>
      </w:r>
      <w:proofErr w:type="spellEnd"/>
      <w:r w:rsidRPr="00C20403">
        <w:rPr>
          <w:rFonts w:eastAsia="Calibri" w:cs="Arial"/>
          <w:sz w:val="20"/>
          <w:szCs w:val="20"/>
        </w:rPr>
        <w:t xml:space="preserve">, in Sub-Saharan Africa assessed by stable isotope ratios. </w:t>
      </w:r>
      <w:r w:rsidRPr="00C20403">
        <w:rPr>
          <w:rFonts w:eastAsia="Calibri" w:cs="Arial"/>
          <w:sz w:val="20"/>
          <w:szCs w:val="20"/>
          <w:lang w:val="de-DE"/>
        </w:rPr>
        <w:t>PLoS One 7.e45729.</w:t>
      </w:r>
    </w:p>
    <w:bookmarkEnd w:id="0"/>
    <w:p w14:paraId="12515256"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lang w:val="de-DE"/>
        </w:rPr>
        <w:t xml:space="preserve">Poiani, K.A., Richter, B.D., Anderson, M.G., RICHTER, H.E., 2000. </w:t>
      </w:r>
      <w:r w:rsidRPr="00C20403">
        <w:rPr>
          <w:rFonts w:eastAsia="Calibri" w:cs="Arial"/>
          <w:sz w:val="20"/>
          <w:szCs w:val="20"/>
        </w:rPr>
        <w:t>Biodiversity conservation at multiple scales: functional sites, landscapes, and networks. Bioscience 50,</w:t>
      </w:r>
    </w:p>
    <w:p w14:paraId="54D07506"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133–146.</w:t>
      </w:r>
    </w:p>
    <w:p w14:paraId="5C264178"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 xml:space="preserve">Richter, H.V., Cumming, G.S., 2006. Food availability and annual migration of the </w:t>
      </w:r>
      <w:proofErr w:type="spellStart"/>
      <w:r w:rsidRPr="00C20403">
        <w:rPr>
          <w:rFonts w:eastAsia="Calibri" w:cs="Arial"/>
          <w:sz w:val="20"/>
          <w:szCs w:val="20"/>
        </w:rPr>
        <w:t>straw-coloured</w:t>
      </w:r>
      <w:proofErr w:type="spellEnd"/>
      <w:r w:rsidRPr="00C20403">
        <w:rPr>
          <w:rFonts w:eastAsia="Calibri" w:cs="Arial"/>
          <w:sz w:val="20"/>
          <w:szCs w:val="20"/>
        </w:rPr>
        <w:t xml:space="preserve"> fruit bat (Eidolon </w:t>
      </w:r>
      <w:proofErr w:type="spellStart"/>
      <w:r w:rsidRPr="00C20403">
        <w:rPr>
          <w:rFonts w:eastAsia="Calibri" w:cs="Arial"/>
          <w:sz w:val="20"/>
          <w:szCs w:val="20"/>
        </w:rPr>
        <w:t>helvum</w:t>
      </w:r>
      <w:proofErr w:type="spellEnd"/>
      <w:r w:rsidRPr="00C20403">
        <w:rPr>
          <w:rFonts w:eastAsia="Calibri" w:cs="Arial"/>
          <w:sz w:val="20"/>
          <w:szCs w:val="20"/>
        </w:rPr>
        <w:t>). J. Zool. 268, 35–44.</w:t>
      </w:r>
    </w:p>
    <w:p w14:paraId="42AA6DB6" w14:textId="77777777" w:rsidR="00BB289A" w:rsidRPr="00C20403" w:rsidRDefault="00BB289A"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hyperlink r:id="rId27" w:history="1">
        <w:r w:rsidRPr="00C20403">
          <w:rPr>
            <w:rFonts w:eastAsia="Calibri" w:cs="Arial"/>
            <w:color w:val="0563C1"/>
            <w:sz w:val="20"/>
            <w:szCs w:val="20"/>
            <w:u w:val="single"/>
          </w:rPr>
          <w:t>http://dx.doi.org/10.1111/j.1469-7998.2005.00020.x</w:t>
        </w:r>
      </w:hyperlink>
      <w:r w:rsidRPr="00C20403">
        <w:rPr>
          <w:rFonts w:eastAsia="Calibri" w:cs="Arial"/>
          <w:sz w:val="20"/>
          <w:szCs w:val="20"/>
        </w:rPr>
        <w:t>.</w:t>
      </w:r>
    </w:p>
    <w:p w14:paraId="1F3FC625"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bookmarkStart w:id="1" w:name="_Hlk39403443"/>
      <w:r w:rsidRPr="00C20403">
        <w:rPr>
          <w:rFonts w:eastAsia="Calibri" w:cs="Arial"/>
          <w:sz w:val="20"/>
          <w:szCs w:val="20"/>
        </w:rPr>
        <w:t xml:space="preserve">Richter, H.V., Cumming, G.S., 2008. First application of satellite telemetry to track African </w:t>
      </w:r>
      <w:proofErr w:type="spellStart"/>
      <w:r w:rsidRPr="00C20403">
        <w:rPr>
          <w:rFonts w:eastAsia="Calibri" w:cs="Arial"/>
          <w:sz w:val="20"/>
          <w:szCs w:val="20"/>
        </w:rPr>
        <w:t>straw-coloured</w:t>
      </w:r>
      <w:proofErr w:type="spellEnd"/>
      <w:r w:rsidRPr="00C20403">
        <w:rPr>
          <w:rFonts w:eastAsia="Calibri" w:cs="Arial"/>
          <w:sz w:val="20"/>
          <w:szCs w:val="20"/>
        </w:rPr>
        <w:t xml:space="preserve"> fruit bat migration. J. Zool. 275, 172–176.</w:t>
      </w:r>
    </w:p>
    <w:p w14:paraId="6CA149E9" w14:textId="77777777" w:rsidR="00BB289A" w:rsidRPr="00C20403" w:rsidRDefault="00BB289A"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hyperlink r:id="rId28" w:history="1">
        <w:r w:rsidRPr="00C20403">
          <w:rPr>
            <w:rFonts w:eastAsia="Calibri" w:cs="Arial"/>
            <w:color w:val="0563C1"/>
            <w:sz w:val="20"/>
            <w:szCs w:val="20"/>
            <w:u w:val="single"/>
          </w:rPr>
          <w:t>http://dx.doi.org/10.1111/j.1469-7998.2008.00425.x</w:t>
        </w:r>
      </w:hyperlink>
    </w:p>
    <w:bookmarkEnd w:id="1"/>
    <w:p w14:paraId="029D72FF"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 xml:space="preserve">Taylor, D.A.R., Kankam, B.O., Wagner, M.R., 2000. The role of fruit bat, Eidolon </w:t>
      </w:r>
      <w:proofErr w:type="spellStart"/>
      <w:r w:rsidRPr="00C20403">
        <w:rPr>
          <w:rFonts w:eastAsia="Calibri" w:cs="Arial"/>
          <w:sz w:val="20"/>
          <w:szCs w:val="20"/>
        </w:rPr>
        <w:t>helvum</w:t>
      </w:r>
      <w:proofErr w:type="spellEnd"/>
      <w:r w:rsidRPr="00C20403">
        <w:rPr>
          <w:rFonts w:eastAsia="Calibri" w:cs="Arial"/>
          <w:sz w:val="20"/>
          <w:szCs w:val="20"/>
        </w:rPr>
        <w:t xml:space="preserve">, in seed dispersal, survival, and germination in Milicia excelsa, a threatened West African hardwood. In: </w:t>
      </w:r>
      <w:proofErr w:type="spellStart"/>
      <w:r w:rsidRPr="00C20403">
        <w:rPr>
          <w:rFonts w:eastAsia="Calibri" w:cs="Arial"/>
          <w:sz w:val="20"/>
          <w:szCs w:val="20"/>
        </w:rPr>
        <w:t>Cobbinah</w:t>
      </w:r>
      <w:proofErr w:type="spellEnd"/>
      <w:r w:rsidRPr="00C20403">
        <w:rPr>
          <w:rFonts w:eastAsia="Calibri" w:cs="Arial"/>
          <w:sz w:val="20"/>
          <w:szCs w:val="20"/>
        </w:rPr>
        <w:t>, J.R., Wagner, M.R. (Eds.), Research Advances in Restoration of Iroko as a Commercial Species in West Africa. Forestry Research Institute of Ghana (FORIG), Kumasi, Ghana, pp. 29–39.</w:t>
      </w:r>
    </w:p>
    <w:p w14:paraId="6D516425"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Thomas, D.W., 1983. The annual migrations of three species of West African fruit bats (</w:t>
      </w:r>
      <w:proofErr w:type="spellStart"/>
      <w:r w:rsidRPr="00C20403">
        <w:rPr>
          <w:rFonts w:eastAsia="Calibri" w:cs="Arial"/>
          <w:sz w:val="20"/>
          <w:szCs w:val="20"/>
        </w:rPr>
        <w:t>Chiroptera</w:t>
      </w:r>
      <w:proofErr w:type="spellEnd"/>
      <w:r w:rsidRPr="00C20403">
        <w:rPr>
          <w:rFonts w:eastAsia="Calibri" w:cs="Arial"/>
          <w:sz w:val="20"/>
          <w:szCs w:val="20"/>
        </w:rPr>
        <w:t xml:space="preserve">: </w:t>
      </w:r>
      <w:proofErr w:type="spellStart"/>
      <w:r w:rsidRPr="00C20403">
        <w:rPr>
          <w:rFonts w:eastAsia="Calibri" w:cs="Arial"/>
          <w:sz w:val="20"/>
          <w:szCs w:val="20"/>
        </w:rPr>
        <w:t>Pteropodidae</w:t>
      </w:r>
      <w:proofErr w:type="spellEnd"/>
      <w:r w:rsidRPr="00C20403">
        <w:rPr>
          <w:rFonts w:eastAsia="Calibri" w:cs="Arial"/>
          <w:sz w:val="20"/>
          <w:szCs w:val="20"/>
        </w:rPr>
        <w:t xml:space="preserve">). Can. J. Zool. 61, 2266–2272. </w:t>
      </w:r>
      <w:hyperlink r:id="rId29" w:history="1">
        <w:r w:rsidR="00BB289A" w:rsidRPr="00C20403">
          <w:rPr>
            <w:rFonts w:eastAsia="Calibri" w:cs="Arial"/>
            <w:color w:val="0563C1"/>
            <w:sz w:val="20"/>
            <w:szCs w:val="20"/>
            <w:u w:val="single"/>
          </w:rPr>
          <w:t>http://dx.doi.org/10.1139/z83-299</w:t>
        </w:r>
      </w:hyperlink>
    </w:p>
    <w:p w14:paraId="667BD288"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proofErr w:type="spellStart"/>
      <w:r w:rsidRPr="00C20403">
        <w:rPr>
          <w:rFonts w:eastAsia="Calibri" w:cs="Arial"/>
          <w:sz w:val="20"/>
          <w:szCs w:val="20"/>
        </w:rPr>
        <w:lastRenderedPageBreak/>
        <w:t>Tsoar</w:t>
      </w:r>
      <w:proofErr w:type="spellEnd"/>
      <w:r w:rsidRPr="00C20403">
        <w:rPr>
          <w:rFonts w:eastAsia="Calibri" w:cs="Arial"/>
          <w:sz w:val="20"/>
          <w:szCs w:val="20"/>
        </w:rPr>
        <w:t xml:space="preserve">, A., </w:t>
      </w:r>
      <w:proofErr w:type="spellStart"/>
      <w:r w:rsidRPr="00C20403">
        <w:rPr>
          <w:rFonts w:eastAsia="Calibri" w:cs="Arial"/>
          <w:sz w:val="20"/>
          <w:szCs w:val="20"/>
        </w:rPr>
        <w:t>Shohami</w:t>
      </w:r>
      <w:proofErr w:type="spellEnd"/>
      <w:r w:rsidRPr="00C20403">
        <w:rPr>
          <w:rFonts w:eastAsia="Calibri" w:cs="Arial"/>
          <w:sz w:val="20"/>
          <w:szCs w:val="20"/>
        </w:rPr>
        <w:t xml:space="preserve">, D., Nathan, R., 2010. A movement ecology approach to study seed dispersal and plant invasion: an overview and application of seed dispersal by fruit bats. In: Richardson, D.M. (Ed.), Fifty Years of Invasion Ecology: The Legacy of Charles Elton. Wiley-Blackwell, Oxford, UK, pp. 103–119. </w:t>
      </w:r>
      <w:hyperlink r:id="rId30" w:history="1">
        <w:r w:rsidR="00BB289A" w:rsidRPr="00C20403">
          <w:rPr>
            <w:rFonts w:eastAsia="Calibri" w:cs="Arial"/>
            <w:color w:val="0563C1"/>
            <w:sz w:val="20"/>
            <w:szCs w:val="20"/>
            <w:u w:val="single"/>
          </w:rPr>
          <w:t>http://dx.doi.org/10.1002/9781444329988.ch9</w:t>
        </w:r>
      </w:hyperlink>
      <w:r w:rsidRPr="00C20403">
        <w:rPr>
          <w:rFonts w:eastAsia="Calibri" w:cs="Arial"/>
          <w:sz w:val="20"/>
          <w:szCs w:val="20"/>
        </w:rPr>
        <w:t>.</w:t>
      </w:r>
    </w:p>
    <w:p w14:paraId="77A1EBB9" w14:textId="77777777" w:rsidR="00BB289A" w:rsidRPr="00660F6A" w:rsidRDefault="00BE3C12" w:rsidP="005E1301">
      <w:pPr>
        <w:autoSpaceDN w:val="0"/>
        <w:spacing w:after="0" w:line="240" w:lineRule="auto"/>
        <w:ind w:left="540" w:hanging="540"/>
        <w:jc w:val="both"/>
        <w:textAlignment w:val="baseline"/>
        <w:rPr>
          <w:rFonts w:eastAsia="Times New Roman" w:cs="Arial"/>
          <w:b/>
          <w:sz w:val="20"/>
          <w:szCs w:val="20"/>
          <w:lang w:val="es-ES"/>
        </w:rPr>
      </w:pPr>
      <w:proofErr w:type="spellStart"/>
      <w:r w:rsidRPr="00C20403">
        <w:rPr>
          <w:rFonts w:eastAsia="Calibri" w:cs="Arial"/>
          <w:sz w:val="20"/>
          <w:szCs w:val="20"/>
        </w:rPr>
        <w:t>Webala</w:t>
      </w:r>
      <w:proofErr w:type="spellEnd"/>
      <w:r w:rsidRPr="00C20403">
        <w:rPr>
          <w:rFonts w:eastAsia="Calibri" w:cs="Arial"/>
          <w:sz w:val="20"/>
          <w:szCs w:val="20"/>
        </w:rPr>
        <w:t xml:space="preserve"> P. W</w:t>
      </w:r>
      <w:r w:rsidRPr="00C20403">
        <w:rPr>
          <w:rFonts w:eastAsia="Calibri" w:cs="Arial"/>
          <w:bCs/>
          <w:sz w:val="20"/>
          <w:szCs w:val="20"/>
        </w:rPr>
        <w:t xml:space="preserve">., Musila, S., Makau R. 2014. Roost occupancy, roost site selection and diet of </w:t>
      </w:r>
      <w:proofErr w:type="spellStart"/>
      <w:r w:rsidRPr="00C20403">
        <w:rPr>
          <w:rFonts w:eastAsia="Calibri" w:cs="Arial"/>
          <w:bCs/>
          <w:sz w:val="20"/>
          <w:szCs w:val="20"/>
        </w:rPr>
        <w:t>straw-coloured</w:t>
      </w:r>
      <w:proofErr w:type="spellEnd"/>
      <w:r w:rsidRPr="00C20403">
        <w:rPr>
          <w:rFonts w:eastAsia="Calibri" w:cs="Arial"/>
          <w:bCs/>
          <w:sz w:val="20"/>
          <w:szCs w:val="20"/>
        </w:rPr>
        <w:t xml:space="preserve"> fruit bats (</w:t>
      </w:r>
      <w:proofErr w:type="spellStart"/>
      <w:r w:rsidRPr="00C20403">
        <w:rPr>
          <w:rFonts w:eastAsia="Calibri" w:cs="Arial"/>
          <w:bCs/>
          <w:sz w:val="20"/>
          <w:szCs w:val="20"/>
        </w:rPr>
        <w:t>Pteropodidae</w:t>
      </w:r>
      <w:proofErr w:type="spellEnd"/>
      <w:r w:rsidRPr="00C20403">
        <w:rPr>
          <w:rFonts w:eastAsia="Calibri" w:cs="Arial"/>
          <w:bCs/>
          <w:sz w:val="20"/>
          <w:szCs w:val="20"/>
        </w:rPr>
        <w:t xml:space="preserve">: </w:t>
      </w:r>
      <w:r w:rsidRPr="00C20403">
        <w:rPr>
          <w:rFonts w:eastAsia="Calibri" w:cs="Arial"/>
          <w:bCs/>
          <w:i/>
          <w:sz w:val="20"/>
          <w:szCs w:val="20"/>
        </w:rPr>
        <w:t xml:space="preserve">Eidolon </w:t>
      </w:r>
      <w:proofErr w:type="spellStart"/>
      <w:r w:rsidRPr="00C20403">
        <w:rPr>
          <w:rFonts w:eastAsia="Calibri" w:cs="Arial"/>
          <w:bCs/>
          <w:i/>
          <w:sz w:val="20"/>
          <w:szCs w:val="20"/>
        </w:rPr>
        <w:t>helvum</w:t>
      </w:r>
      <w:proofErr w:type="spellEnd"/>
      <w:r w:rsidRPr="00C20403">
        <w:rPr>
          <w:rFonts w:eastAsia="Calibri" w:cs="Arial"/>
          <w:bCs/>
          <w:sz w:val="20"/>
          <w:szCs w:val="20"/>
        </w:rPr>
        <w:t xml:space="preserve">) in western Kenya: the need for continued public education. </w:t>
      </w:r>
      <w:r w:rsidRPr="00C20403">
        <w:rPr>
          <w:rFonts w:eastAsia="Calibri" w:cs="Arial"/>
          <w:bCs/>
          <w:i/>
          <w:sz w:val="20"/>
          <w:szCs w:val="20"/>
        </w:rPr>
        <w:t xml:space="preserve">Acta </w:t>
      </w:r>
      <w:proofErr w:type="spellStart"/>
      <w:r w:rsidRPr="00C20403">
        <w:rPr>
          <w:rFonts w:eastAsia="Calibri" w:cs="Arial"/>
          <w:bCs/>
          <w:i/>
          <w:sz w:val="20"/>
          <w:szCs w:val="20"/>
        </w:rPr>
        <w:t>Chiropterologica</w:t>
      </w:r>
      <w:proofErr w:type="spellEnd"/>
      <w:r w:rsidRPr="00C20403">
        <w:rPr>
          <w:rFonts w:eastAsia="Calibri" w:cs="Arial"/>
          <w:bCs/>
          <w:i/>
          <w:sz w:val="20"/>
          <w:szCs w:val="20"/>
        </w:rPr>
        <w:t xml:space="preserve"> </w:t>
      </w:r>
      <w:r w:rsidRPr="00C20403">
        <w:rPr>
          <w:rFonts w:eastAsia="Calibri" w:cs="Arial"/>
          <w:b/>
          <w:bCs/>
          <w:sz w:val="20"/>
          <w:szCs w:val="20"/>
        </w:rPr>
        <w:t>16(1)</w:t>
      </w:r>
      <w:r w:rsidRPr="00C20403">
        <w:rPr>
          <w:rFonts w:eastAsia="Calibri" w:cs="Arial"/>
          <w:bCs/>
          <w:sz w:val="20"/>
          <w:szCs w:val="20"/>
        </w:rPr>
        <w:t>,</w:t>
      </w:r>
      <w:r w:rsidRPr="00C20403">
        <w:rPr>
          <w:rFonts w:eastAsia="Calibri" w:cs="Arial"/>
          <w:b/>
          <w:bCs/>
          <w:i/>
          <w:sz w:val="20"/>
          <w:szCs w:val="20"/>
        </w:rPr>
        <w:t xml:space="preserve"> </w:t>
      </w:r>
      <w:r w:rsidRPr="00C20403">
        <w:rPr>
          <w:rFonts w:eastAsia="Calibri" w:cs="Arial"/>
          <w:bCs/>
          <w:sz w:val="20"/>
          <w:szCs w:val="20"/>
        </w:rPr>
        <w:t xml:space="preserve">85–94. </w:t>
      </w:r>
      <w:hyperlink r:id="rId31" w:history="1">
        <w:r w:rsidR="00BB289A" w:rsidRPr="00C20403">
          <w:rPr>
            <w:rFonts w:eastAsia="Calibri" w:cs="Arial"/>
            <w:bCs/>
            <w:color w:val="0563C1"/>
            <w:sz w:val="20"/>
            <w:szCs w:val="20"/>
            <w:u w:val="single"/>
          </w:rPr>
          <w:t>https://doi.org/10.3161/150811014X683291</w:t>
        </w:r>
      </w:hyperlink>
      <w:r w:rsidRPr="00C20403">
        <w:rPr>
          <w:rFonts w:eastAsia="Calibri" w:cs="Arial"/>
          <w:sz w:val="20"/>
          <w:szCs w:val="20"/>
        </w:rPr>
        <w:t xml:space="preserve">Wenny, D.G., 2001. Advantages of seed dispersal: A re-evaluation of directed dispersal. </w:t>
      </w:r>
      <w:proofErr w:type="spellStart"/>
      <w:r w:rsidRPr="00C20403">
        <w:rPr>
          <w:rFonts w:eastAsia="Calibri" w:cs="Arial"/>
          <w:sz w:val="20"/>
          <w:szCs w:val="20"/>
          <w:lang w:val="es-ES"/>
        </w:rPr>
        <w:t>Evol</w:t>
      </w:r>
      <w:proofErr w:type="spellEnd"/>
      <w:r w:rsidRPr="00C20403">
        <w:rPr>
          <w:rFonts w:eastAsia="Calibri" w:cs="Arial"/>
          <w:sz w:val="20"/>
          <w:szCs w:val="20"/>
          <w:lang w:val="es-ES"/>
        </w:rPr>
        <w:t>. Ecol. Res. 3, 51–74.</w:t>
      </w:r>
    </w:p>
    <w:p w14:paraId="3A36F553" w14:textId="77777777" w:rsidR="006A7DC4" w:rsidRPr="00660F6A" w:rsidRDefault="006A7DC4" w:rsidP="005E1301">
      <w:pPr>
        <w:spacing w:after="0"/>
        <w:jc w:val="both"/>
        <w:rPr>
          <w:lang w:val="es-ES"/>
        </w:rPr>
      </w:pPr>
    </w:p>
    <w:sectPr w:rsidR="006A7DC4" w:rsidRPr="00660F6A" w:rsidSect="00135B73">
      <w:headerReference w:type="even" r:id="rId32"/>
      <w:headerReference w:type="default" r:id="rId33"/>
      <w:headerReference w:type="first" r:id="rId34"/>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E09B" w14:textId="77777777" w:rsidR="00972479" w:rsidRDefault="00972479">
      <w:pPr>
        <w:spacing w:after="0" w:line="240" w:lineRule="auto"/>
      </w:pPr>
      <w:r>
        <w:separator/>
      </w:r>
    </w:p>
  </w:endnote>
  <w:endnote w:type="continuationSeparator" w:id="0">
    <w:p w14:paraId="3AD68E97" w14:textId="77777777" w:rsidR="00972479" w:rsidRDefault="0097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027"/>
      <w:docPartObj>
        <w:docPartGallery w:val="Page Numbers (Bottom of Page)"/>
        <w:docPartUnique/>
      </w:docPartObj>
    </w:sdtPr>
    <w:sdtEndPr>
      <w:rPr>
        <w:noProof/>
        <w:sz w:val="18"/>
        <w:szCs w:val="18"/>
      </w:rPr>
    </w:sdtEndPr>
    <w:sdtContent>
      <w:p w14:paraId="6957A5B2" w14:textId="77777777" w:rsidR="003A1362" w:rsidRPr="00401AA3" w:rsidRDefault="00BE3C12">
        <w:pPr>
          <w:pStyle w:val="Footer"/>
          <w:jc w:val="center"/>
          <w:rPr>
            <w:sz w:val="18"/>
            <w:szCs w:val="18"/>
          </w:rPr>
        </w:pPr>
        <w:r w:rsidRPr="00401AA3">
          <w:rPr>
            <w:sz w:val="18"/>
            <w:szCs w:val="18"/>
          </w:rPr>
          <w:fldChar w:fldCharType="begin"/>
        </w:r>
        <w:r w:rsidRPr="00401AA3">
          <w:rPr>
            <w:sz w:val="18"/>
            <w:szCs w:val="18"/>
          </w:rPr>
          <w:instrText xml:space="preserve"> PAGE   \* MERGEFORMAT </w:instrText>
        </w:r>
        <w:r w:rsidRPr="00401AA3">
          <w:rPr>
            <w:sz w:val="18"/>
            <w:szCs w:val="18"/>
          </w:rPr>
          <w:fldChar w:fldCharType="separate"/>
        </w:r>
        <w:r w:rsidRPr="00401AA3">
          <w:rPr>
            <w:noProof/>
            <w:sz w:val="18"/>
            <w:szCs w:val="18"/>
          </w:rPr>
          <w:t>2</w:t>
        </w:r>
        <w:r w:rsidRPr="00401AA3">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47AB" w14:textId="77777777" w:rsidR="003A1362" w:rsidRPr="00401AA3" w:rsidRDefault="00BE3C12">
    <w:pPr>
      <w:pStyle w:val="Footer"/>
      <w:ind w:right="-367"/>
      <w:jc w:val="center"/>
    </w:pPr>
    <w:r w:rsidRPr="00401AA3">
      <w:rPr>
        <w:rFonts w:cs="Arial"/>
      </w:rPr>
      <w:fldChar w:fldCharType="begin"/>
    </w:r>
    <w:r w:rsidRPr="00401AA3">
      <w:rPr>
        <w:rFonts w:cs="Arial"/>
      </w:rPr>
      <w:instrText xml:space="preserve"> PAGE </w:instrText>
    </w:r>
    <w:r w:rsidRPr="00401AA3">
      <w:rPr>
        <w:rFonts w:cs="Arial"/>
      </w:rPr>
      <w:fldChar w:fldCharType="separate"/>
    </w:r>
    <w:r w:rsidRPr="00401AA3">
      <w:rPr>
        <w:rFonts w:cs="Arial"/>
      </w:rPr>
      <w:t>7</w:t>
    </w:r>
    <w:r w:rsidRPr="00401AA3">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BB" w14:textId="77777777" w:rsidR="003A1362" w:rsidRDefault="003A136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401AA3" w:rsidRDefault="00BE3C12">
        <w:pPr>
          <w:pStyle w:val="Footer"/>
          <w:jc w:val="center"/>
          <w:rPr>
            <w:sz w:val="18"/>
            <w:szCs w:val="18"/>
          </w:rPr>
        </w:pPr>
        <w:r w:rsidRPr="00401AA3">
          <w:rPr>
            <w:sz w:val="18"/>
            <w:szCs w:val="18"/>
          </w:rPr>
          <w:fldChar w:fldCharType="begin"/>
        </w:r>
        <w:r w:rsidRPr="00401AA3">
          <w:rPr>
            <w:sz w:val="18"/>
            <w:szCs w:val="18"/>
          </w:rPr>
          <w:instrText xml:space="preserve"> PAGE   \* MERGEFORMAT </w:instrText>
        </w:r>
        <w:r w:rsidRPr="00401AA3">
          <w:rPr>
            <w:sz w:val="18"/>
            <w:szCs w:val="18"/>
          </w:rPr>
          <w:fldChar w:fldCharType="separate"/>
        </w:r>
        <w:r w:rsidRPr="00401AA3">
          <w:rPr>
            <w:noProof/>
            <w:sz w:val="18"/>
            <w:szCs w:val="18"/>
          </w:rPr>
          <w:t>2</w:t>
        </w:r>
        <w:r w:rsidRPr="00401AA3">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401AA3" w:rsidRDefault="00BE3C12" w:rsidP="0035024E">
        <w:pPr>
          <w:pStyle w:val="Footer"/>
          <w:jc w:val="center"/>
          <w:rPr>
            <w:sz w:val="18"/>
            <w:szCs w:val="18"/>
          </w:rPr>
        </w:pPr>
        <w:r w:rsidRPr="00401AA3">
          <w:rPr>
            <w:sz w:val="18"/>
            <w:szCs w:val="18"/>
          </w:rPr>
          <w:fldChar w:fldCharType="begin"/>
        </w:r>
        <w:r w:rsidRPr="00401AA3">
          <w:rPr>
            <w:sz w:val="18"/>
            <w:szCs w:val="18"/>
          </w:rPr>
          <w:instrText xml:space="preserve"> PAGE   \* MERGEFORMAT </w:instrText>
        </w:r>
        <w:r w:rsidRPr="00401AA3">
          <w:rPr>
            <w:sz w:val="18"/>
            <w:szCs w:val="18"/>
          </w:rPr>
          <w:fldChar w:fldCharType="separate"/>
        </w:r>
        <w:r w:rsidRPr="00401AA3">
          <w:rPr>
            <w:noProof/>
            <w:sz w:val="18"/>
            <w:szCs w:val="18"/>
          </w:rPr>
          <w:t>2</w:t>
        </w:r>
        <w:r w:rsidRPr="00401AA3">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557511"/>
      <w:docPartObj>
        <w:docPartGallery w:val="Page Numbers (Bottom of Page)"/>
        <w:docPartUnique/>
      </w:docPartObj>
    </w:sdtPr>
    <w:sdtEndPr>
      <w:rPr>
        <w:noProof/>
        <w:sz w:val="18"/>
        <w:szCs w:val="18"/>
      </w:rPr>
    </w:sdtEndPr>
    <w:sdtContent>
      <w:p w14:paraId="460F6C4B" w14:textId="54AE4F2A" w:rsidR="00135B73" w:rsidRPr="00401AA3" w:rsidRDefault="00135B73">
        <w:pPr>
          <w:pStyle w:val="Footer"/>
          <w:jc w:val="center"/>
          <w:rPr>
            <w:sz w:val="18"/>
            <w:szCs w:val="18"/>
          </w:rPr>
        </w:pPr>
        <w:r w:rsidRPr="00401AA3">
          <w:rPr>
            <w:sz w:val="18"/>
            <w:szCs w:val="18"/>
          </w:rPr>
          <w:fldChar w:fldCharType="begin"/>
        </w:r>
        <w:r w:rsidRPr="00401AA3">
          <w:rPr>
            <w:sz w:val="18"/>
            <w:szCs w:val="18"/>
          </w:rPr>
          <w:instrText xml:space="preserve"> PAGE   \* MERGEFORMAT </w:instrText>
        </w:r>
        <w:r w:rsidRPr="00401AA3">
          <w:rPr>
            <w:sz w:val="18"/>
            <w:szCs w:val="18"/>
          </w:rPr>
          <w:fldChar w:fldCharType="separate"/>
        </w:r>
        <w:r w:rsidRPr="00401AA3">
          <w:rPr>
            <w:noProof/>
            <w:sz w:val="18"/>
            <w:szCs w:val="18"/>
          </w:rPr>
          <w:t>2</w:t>
        </w:r>
        <w:r w:rsidRPr="00401AA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4B27" w14:textId="77777777" w:rsidR="00972479" w:rsidRDefault="00972479">
      <w:pPr>
        <w:spacing w:after="0" w:line="240" w:lineRule="auto"/>
      </w:pPr>
      <w:r>
        <w:separator/>
      </w:r>
    </w:p>
  </w:footnote>
  <w:footnote w:type="continuationSeparator" w:id="0">
    <w:p w14:paraId="5F143992" w14:textId="77777777" w:rsidR="00972479" w:rsidRDefault="0097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2154" w14:textId="77777777" w:rsidR="003A1362" w:rsidRPr="00401AA3" w:rsidRDefault="00BE3C12" w:rsidP="00A345DA">
    <w:pPr>
      <w:pStyle w:val="Header"/>
      <w:pBdr>
        <w:bottom w:val="single" w:sz="4" w:space="1" w:color="000000"/>
      </w:pBdr>
    </w:pPr>
    <w:r w:rsidRPr="00401AA3">
      <w:rPr>
        <w:rFonts w:cs="Arial"/>
        <w:i/>
        <w:sz w:val="18"/>
        <w:szCs w:val="18"/>
        <w:lang w:val="de-DE"/>
      </w:rPr>
      <w:t>UNEP/CMS/COP14/Doc.[  ]</w:t>
    </w:r>
  </w:p>
  <w:p w14:paraId="47957D04" w14:textId="77777777" w:rsidR="003A1362" w:rsidRPr="00401AA3" w:rsidRDefault="003A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0B79" w14:textId="77777777" w:rsidR="003A1362" w:rsidRPr="00401AA3" w:rsidRDefault="00BE3C12">
    <w:pPr>
      <w:pStyle w:val="Heading1"/>
      <w:keepNext w:val="0"/>
      <w:pBdr>
        <w:bottom w:val="single" w:sz="4" w:space="1" w:color="000000"/>
      </w:pBdr>
      <w:ind w:left="261" w:right="-277" w:hanging="261"/>
      <w:jc w:val="right"/>
      <w:rPr>
        <w:lang w:val="fr-FR"/>
      </w:rPr>
    </w:pPr>
    <w:r w:rsidRPr="00401AA3">
      <w:rPr>
        <w:rFonts w:cs="Arial"/>
        <w:i/>
        <w:sz w:val="18"/>
        <w:szCs w:val="18"/>
        <w:lang w:val="fr-FR"/>
      </w:rPr>
      <w:t>UNEP/CMS/COP12/</w:t>
    </w:r>
    <w:proofErr w:type="spellStart"/>
    <w:r w:rsidRPr="00401AA3">
      <w:rPr>
        <w:rFonts w:cs="Arial"/>
        <w:i/>
        <w:sz w:val="18"/>
        <w:szCs w:val="18"/>
        <w:lang w:val="fr-FR"/>
      </w:rPr>
      <w:t>Doc.x</w:t>
    </w:r>
    <w:proofErr w:type="spellEnd"/>
    <w:r w:rsidRPr="00401AA3">
      <w:rPr>
        <w:rFonts w:cs="Arial"/>
        <w:i/>
        <w:sz w:val="18"/>
        <w:szCs w:val="18"/>
        <w:lang w:val="fr-FR"/>
      </w:rPr>
      <w:t>/x</w:t>
    </w:r>
  </w:p>
  <w:p w14:paraId="10D5F0C2" w14:textId="77777777" w:rsidR="003A1362" w:rsidRPr="00401AA3" w:rsidRDefault="003A136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A7A2" w14:textId="6703137F" w:rsidR="00222940" w:rsidRPr="00002A97" w:rsidRDefault="00222940" w:rsidP="0022294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4F989064" wp14:editId="4DF4C8D4">
          <wp:simplePos x="0" y="0"/>
          <wp:positionH relativeFrom="column">
            <wp:posOffset>776030</wp:posOffset>
          </wp:positionH>
          <wp:positionV relativeFrom="paragraph">
            <wp:posOffset>19326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val="es-ES" w:eastAsia="es-ES"/>
      </w:rPr>
      <w:drawing>
        <wp:anchor distT="0" distB="0" distL="114300" distR="114300" simplePos="0" relativeHeight="251661312" behindDoc="1" locked="0" layoutInCell="1" allowOverlap="1" wp14:anchorId="5CFECF96" wp14:editId="6D534D31">
          <wp:simplePos x="0" y="0"/>
          <wp:positionH relativeFrom="column">
            <wp:posOffset>-11430</wp:posOffset>
          </wp:positionH>
          <wp:positionV relativeFrom="paragraph">
            <wp:posOffset>-76020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AA0AA29" wp14:editId="156179CA">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5ED2F88E" w14:textId="77777777" w:rsidR="00222940" w:rsidRDefault="002229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1ED40B10" w:rsidR="002E0DE9" w:rsidRPr="00401AA3" w:rsidRDefault="00BE3C12" w:rsidP="002E0DE9">
    <w:pPr>
      <w:pStyle w:val="Header"/>
      <w:pBdr>
        <w:bottom w:val="single" w:sz="4" w:space="1" w:color="auto"/>
      </w:pBdr>
      <w:rPr>
        <w:i/>
        <w:sz w:val="18"/>
        <w:szCs w:val="18"/>
      </w:rPr>
    </w:pPr>
    <w:r w:rsidRPr="00401AA3">
      <w:rPr>
        <w:rFonts w:eastAsia="Times New Roman" w:cs="Arial"/>
        <w:i/>
        <w:sz w:val="18"/>
        <w:szCs w:val="18"/>
        <w:lang w:val="es-ES"/>
      </w:rPr>
      <w:t>UNEP/CMS/COP15/Doc.31.3.2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1C98E9EB" w:rsidR="002E0DE9" w:rsidRPr="00401AA3" w:rsidRDefault="00BE3C12" w:rsidP="00842B75">
    <w:pPr>
      <w:pStyle w:val="Header"/>
      <w:pBdr>
        <w:bottom w:val="single" w:sz="4" w:space="1" w:color="auto"/>
      </w:pBdr>
      <w:jc w:val="right"/>
      <w:rPr>
        <w:i/>
        <w:sz w:val="18"/>
        <w:szCs w:val="18"/>
      </w:rPr>
    </w:pPr>
    <w:r w:rsidRPr="00401AA3">
      <w:rPr>
        <w:rFonts w:eastAsia="Times New Roman" w:cs="Arial"/>
        <w:i/>
        <w:sz w:val="18"/>
        <w:szCs w:val="18"/>
        <w:lang w:val="es-ES"/>
      </w:rPr>
      <w:t>UNEP/CMS/COP15/Doc.31.3.2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1287" w14:textId="5EA31CE0" w:rsidR="003A1362" w:rsidRPr="002E0DE9" w:rsidRDefault="00BE3C12" w:rsidP="003A1362">
    <w:pPr>
      <w:pStyle w:val="Header"/>
      <w:pBdr>
        <w:bottom w:val="single" w:sz="4" w:space="1" w:color="auto"/>
      </w:pBdr>
      <w:rPr>
        <w:i/>
        <w:sz w:val="18"/>
        <w:szCs w:val="18"/>
      </w:rPr>
    </w:pPr>
    <w:r w:rsidRPr="002E0DE9">
      <w:rPr>
        <w:rFonts w:eastAsia="Times New Roman" w:cs="Arial"/>
        <w:i/>
        <w:sz w:val="18"/>
        <w:szCs w:val="18"/>
        <w:lang w:val="es-ES"/>
      </w:rPr>
      <w:t>UNEP/CMS/COP15/Doc.31.3.2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482E" w14:textId="4FFFC7FF" w:rsidR="001A3132" w:rsidRPr="00401AA3" w:rsidRDefault="001A3132" w:rsidP="002E0DE9">
    <w:pPr>
      <w:pStyle w:val="Header"/>
      <w:pBdr>
        <w:bottom w:val="single" w:sz="4" w:space="1" w:color="auto"/>
      </w:pBdr>
      <w:rPr>
        <w:i/>
        <w:sz w:val="18"/>
        <w:szCs w:val="18"/>
      </w:rPr>
    </w:pPr>
    <w:r w:rsidRPr="00401AA3">
      <w:rPr>
        <w:rFonts w:eastAsia="Times New Roman" w:cs="Arial"/>
        <w:i/>
        <w:sz w:val="18"/>
        <w:szCs w:val="18"/>
        <w:lang w:val="es-ES"/>
      </w:rPr>
      <w:t>UNEP/CMS/COP15/Doc.31.3.2</w:t>
    </w:r>
    <w:r>
      <w:rPr>
        <w:rFonts w:eastAsia="Times New Roman" w:cs="Arial"/>
        <w:i/>
        <w:sz w:val="18"/>
        <w:szCs w:val="18"/>
        <w:lang w:val="es-ES"/>
      </w:rPr>
      <w:t>/Anexo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9A58" w14:textId="58F3FD48" w:rsidR="00135B73" w:rsidRPr="00401AA3" w:rsidRDefault="00135B73" w:rsidP="00842B75">
    <w:pPr>
      <w:pStyle w:val="Header"/>
      <w:pBdr>
        <w:bottom w:val="single" w:sz="4" w:space="1" w:color="auto"/>
      </w:pBdr>
      <w:jc w:val="right"/>
      <w:rPr>
        <w:i/>
        <w:sz w:val="18"/>
        <w:szCs w:val="18"/>
      </w:rPr>
    </w:pPr>
    <w:r w:rsidRPr="00401AA3">
      <w:rPr>
        <w:rFonts w:eastAsia="Times New Roman" w:cs="Arial"/>
        <w:i/>
        <w:sz w:val="18"/>
        <w:szCs w:val="18"/>
        <w:lang w:val="es-ES"/>
      </w:rPr>
      <w:t>UNEP/CMS/COP15/Doc.31.3.2/Anexo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F4B3" w14:textId="30A91AA9" w:rsidR="00135B73" w:rsidRPr="002E0DE9" w:rsidRDefault="00135B73" w:rsidP="001A3132">
    <w:pPr>
      <w:pStyle w:val="Header"/>
      <w:pBdr>
        <w:bottom w:val="single" w:sz="4" w:space="1" w:color="auto"/>
      </w:pBdr>
      <w:jc w:val="right"/>
      <w:rPr>
        <w:i/>
        <w:sz w:val="18"/>
        <w:szCs w:val="18"/>
      </w:rPr>
    </w:pPr>
    <w:r w:rsidRPr="002E0DE9">
      <w:rPr>
        <w:rFonts w:eastAsia="Times New Roman" w:cs="Arial"/>
        <w:i/>
        <w:sz w:val="18"/>
        <w:szCs w:val="18"/>
        <w:lang w:val="es-ES"/>
      </w:rPr>
      <w:t>UNEP/CMS/COP15/Doc.31.3.2/Anexo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20A7788">
      <w:start w:val="1"/>
      <w:numFmt w:val="decimal"/>
      <w:lvlText w:val="%1."/>
      <w:lvlJc w:val="left"/>
      <w:pPr>
        <w:ind w:left="720" w:hanging="360"/>
      </w:pPr>
    </w:lvl>
    <w:lvl w:ilvl="1" w:tplc="33629310" w:tentative="1">
      <w:start w:val="1"/>
      <w:numFmt w:val="lowerLetter"/>
      <w:lvlText w:val="%2."/>
      <w:lvlJc w:val="left"/>
      <w:pPr>
        <w:ind w:left="1440" w:hanging="360"/>
      </w:pPr>
    </w:lvl>
    <w:lvl w:ilvl="2" w:tplc="3564AA4E" w:tentative="1">
      <w:start w:val="1"/>
      <w:numFmt w:val="lowerRoman"/>
      <w:lvlText w:val="%3."/>
      <w:lvlJc w:val="right"/>
      <w:pPr>
        <w:ind w:left="2160" w:hanging="180"/>
      </w:pPr>
    </w:lvl>
    <w:lvl w:ilvl="3" w:tplc="DFDEF878" w:tentative="1">
      <w:start w:val="1"/>
      <w:numFmt w:val="decimal"/>
      <w:lvlText w:val="%4."/>
      <w:lvlJc w:val="left"/>
      <w:pPr>
        <w:ind w:left="2880" w:hanging="360"/>
      </w:pPr>
    </w:lvl>
    <w:lvl w:ilvl="4" w:tplc="C974F7B6" w:tentative="1">
      <w:start w:val="1"/>
      <w:numFmt w:val="lowerLetter"/>
      <w:lvlText w:val="%5."/>
      <w:lvlJc w:val="left"/>
      <w:pPr>
        <w:ind w:left="3600" w:hanging="360"/>
      </w:pPr>
    </w:lvl>
    <w:lvl w:ilvl="5" w:tplc="C72C808E" w:tentative="1">
      <w:start w:val="1"/>
      <w:numFmt w:val="lowerRoman"/>
      <w:lvlText w:val="%6."/>
      <w:lvlJc w:val="right"/>
      <w:pPr>
        <w:ind w:left="4320" w:hanging="180"/>
      </w:pPr>
    </w:lvl>
    <w:lvl w:ilvl="6" w:tplc="35020028" w:tentative="1">
      <w:start w:val="1"/>
      <w:numFmt w:val="decimal"/>
      <w:lvlText w:val="%7."/>
      <w:lvlJc w:val="left"/>
      <w:pPr>
        <w:ind w:left="5040" w:hanging="360"/>
      </w:pPr>
    </w:lvl>
    <w:lvl w:ilvl="7" w:tplc="634491D0" w:tentative="1">
      <w:start w:val="1"/>
      <w:numFmt w:val="lowerLetter"/>
      <w:lvlText w:val="%8."/>
      <w:lvlJc w:val="left"/>
      <w:pPr>
        <w:ind w:left="5760" w:hanging="360"/>
      </w:pPr>
    </w:lvl>
    <w:lvl w:ilvl="8" w:tplc="5002F25C"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8572D8C6">
      <w:start w:val="1"/>
      <w:numFmt w:val="decimal"/>
      <w:lvlText w:val="%1."/>
      <w:lvlJc w:val="left"/>
      <w:pPr>
        <w:ind w:left="720" w:hanging="360"/>
      </w:pPr>
      <w:rPr>
        <w:rFonts w:ascii="Arial" w:hAnsi="Arial" w:cs="Arial" w:hint="default"/>
        <w:sz w:val="22"/>
        <w:szCs w:val="22"/>
      </w:rPr>
    </w:lvl>
    <w:lvl w:ilvl="1" w:tplc="ABDCA6CA" w:tentative="1">
      <w:start w:val="1"/>
      <w:numFmt w:val="lowerLetter"/>
      <w:lvlText w:val="%2."/>
      <w:lvlJc w:val="left"/>
      <w:pPr>
        <w:ind w:left="1440" w:hanging="360"/>
      </w:pPr>
    </w:lvl>
    <w:lvl w:ilvl="2" w:tplc="214239C4" w:tentative="1">
      <w:start w:val="1"/>
      <w:numFmt w:val="lowerRoman"/>
      <w:lvlText w:val="%3."/>
      <w:lvlJc w:val="right"/>
      <w:pPr>
        <w:ind w:left="2160" w:hanging="180"/>
      </w:pPr>
    </w:lvl>
    <w:lvl w:ilvl="3" w:tplc="690094E0" w:tentative="1">
      <w:start w:val="1"/>
      <w:numFmt w:val="decimal"/>
      <w:lvlText w:val="%4."/>
      <w:lvlJc w:val="left"/>
      <w:pPr>
        <w:ind w:left="2880" w:hanging="360"/>
      </w:pPr>
    </w:lvl>
    <w:lvl w:ilvl="4" w:tplc="C5340B1E" w:tentative="1">
      <w:start w:val="1"/>
      <w:numFmt w:val="lowerLetter"/>
      <w:lvlText w:val="%5."/>
      <w:lvlJc w:val="left"/>
      <w:pPr>
        <w:ind w:left="3600" w:hanging="360"/>
      </w:pPr>
    </w:lvl>
    <w:lvl w:ilvl="5" w:tplc="BE403726" w:tentative="1">
      <w:start w:val="1"/>
      <w:numFmt w:val="lowerRoman"/>
      <w:lvlText w:val="%6."/>
      <w:lvlJc w:val="right"/>
      <w:pPr>
        <w:ind w:left="4320" w:hanging="180"/>
      </w:pPr>
    </w:lvl>
    <w:lvl w:ilvl="6" w:tplc="F514C382" w:tentative="1">
      <w:start w:val="1"/>
      <w:numFmt w:val="decimal"/>
      <w:lvlText w:val="%7."/>
      <w:lvlJc w:val="left"/>
      <w:pPr>
        <w:ind w:left="5040" w:hanging="360"/>
      </w:pPr>
    </w:lvl>
    <w:lvl w:ilvl="7" w:tplc="CD305248" w:tentative="1">
      <w:start w:val="1"/>
      <w:numFmt w:val="lowerLetter"/>
      <w:lvlText w:val="%8."/>
      <w:lvlJc w:val="left"/>
      <w:pPr>
        <w:ind w:left="5760" w:hanging="360"/>
      </w:pPr>
    </w:lvl>
    <w:lvl w:ilvl="8" w:tplc="0DE0B63E" w:tentative="1">
      <w:start w:val="1"/>
      <w:numFmt w:val="lowerRoman"/>
      <w:lvlText w:val="%9."/>
      <w:lvlJc w:val="right"/>
      <w:pPr>
        <w:ind w:left="6480" w:hanging="180"/>
      </w:pPr>
    </w:lvl>
  </w:abstractNum>
  <w:abstractNum w:abstractNumId="2" w15:restartNumberingAfterBreak="0">
    <w:nsid w:val="12087D47"/>
    <w:multiLevelType w:val="hybridMultilevel"/>
    <w:tmpl w:val="C296A6C8"/>
    <w:lvl w:ilvl="0" w:tplc="396A2624">
      <w:start w:val="1"/>
      <w:numFmt w:val="lowerLetter"/>
      <w:lvlText w:val="%1)"/>
      <w:lvlJc w:val="left"/>
      <w:pPr>
        <w:ind w:left="720" w:hanging="360"/>
      </w:pPr>
    </w:lvl>
    <w:lvl w:ilvl="1" w:tplc="B6E292EE">
      <w:start w:val="1"/>
      <w:numFmt w:val="lowerRoman"/>
      <w:lvlText w:val="%2."/>
      <w:lvlJc w:val="right"/>
      <w:pPr>
        <w:ind w:left="1440" w:hanging="360"/>
      </w:pPr>
    </w:lvl>
    <w:lvl w:ilvl="2" w:tplc="45A8CBA0" w:tentative="1">
      <w:start w:val="1"/>
      <w:numFmt w:val="lowerRoman"/>
      <w:lvlText w:val="%3."/>
      <w:lvlJc w:val="right"/>
      <w:pPr>
        <w:ind w:left="2160" w:hanging="180"/>
      </w:pPr>
    </w:lvl>
    <w:lvl w:ilvl="3" w:tplc="787CAE38" w:tentative="1">
      <w:start w:val="1"/>
      <w:numFmt w:val="decimal"/>
      <w:lvlText w:val="%4."/>
      <w:lvlJc w:val="left"/>
      <w:pPr>
        <w:ind w:left="2880" w:hanging="360"/>
      </w:pPr>
    </w:lvl>
    <w:lvl w:ilvl="4" w:tplc="167028DA" w:tentative="1">
      <w:start w:val="1"/>
      <w:numFmt w:val="lowerLetter"/>
      <w:lvlText w:val="%5."/>
      <w:lvlJc w:val="left"/>
      <w:pPr>
        <w:ind w:left="3600" w:hanging="360"/>
      </w:pPr>
    </w:lvl>
    <w:lvl w:ilvl="5" w:tplc="7712754A" w:tentative="1">
      <w:start w:val="1"/>
      <w:numFmt w:val="lowerRoman"/>
      <w:lvlText w:val="%6."/>
      <w:lvlJc w:val="right"/>
      <w:pPr>
        <w:ind w:left="4320" w:hanging="180"/>
      </w:pPr>
    </w:lvl>
    <w:lvl w:ilvl="6" w:tplc="3544F762" w:tentative="1">
      <w:start w:val="1"/>
      <w:numFmt w:val="decimal"/>
      <w:lvlText w:val="%7."/>
      <w:lvlJc w:val="left"/>
      <w:pPr>
        <w:ind w:left="5040" w:hanging="360"/>
      </w:pPr>
    </w:lvl>
    <w:lvl w:ilvl="7" w:tplc="0D3AA4A4" w:tentative="1">
      <w:start w:val="1"/>
      <w:numFmt w:val="lowerLetter"/>
      <w:lvlText w:val="%8."/>
      <w:lvlJc w:val="left"/>
      <w:pPr>
        <w:ind w:left="5760" w:hanging="360"/>
      </w:pPr>
    </w:lvl>
    <w:lvl w:ilvl="8" w:tplc="9446A6BC" w:tentative="1">
      <w:start w:val="1"/>
      <w:numFmt w:val="lowerRoman"/>
      <w:lvlText w:val="%9."/>
      <w:lvlJc w:val="right"/>
      <w:pPr>
        <w:ind w:left="6480" w:hanging="180"/>
      </w:pPr>
    </w:lvl>
  </w:abstractNum>
  <w:abstractNum w:abstractNumId="3" w15:restartNumberingAfterBreak="0">
    <w:nsid w:val="30F20254"/>
    <w:multiLevelType w:val="hybridMultilevel"/>
    <w:tmpl w:val="F146D33A"/>
    <w:lvl w:ilvl="0" w:tplc="4D3689E2">
      <w:start w:val="1"/>
      <w:numFmt w:val="decimal"/>
      <w:lvlText w:val="%1."/>
      <w:lvlJc w:val="left"/>
      <w:pPr>
        <w:ind w:left="720" w:hanging="360"/>
      </w:pPr>
    </w:lvl>
    <w:lvl w:ilvl="1" w:tplc="0F0A50A0" w:tentative="1">
      <w:start w:val="1"/>
      <w:numFmt w:val="lowerLetter"/>
      <w:lvlText w:val="%2."/>
      <w:lvlJc w:val="left"/>
      <w:pPr>
        <w:ind w:left="1440" w:hanging="360"/>
      </w:pPr>
    </w:lvl>
    <w:lvl w:ilvl="2" w:tplc="8D742CCC" w:tentative="1">
      <w:start w:val="1"/>
      <w:numFmt w:val="lowerRoman"/>
      <w:lvlText w:val="%3."/>
      <w:lvlJc w:val="right"/>
      <w:pPr>
        <w:ind w:left="2160" w:hanging="180"/>
      </w:pPr>
    </w:lvl>
    <w:lvl w:ilvl="3" w:tplc="0E34646A" w:tentative="1">
      <w:start w:val="1"/>
      <w:numFmt w:val="decimal"/>
      <w:lvlText w:val="%4."/>
      <w:lvlJc w:val="left"/>
      <w:pPr>
        <w:ind w:left="2880" w:hanging="360"/>
      </w:pPr>
    </w:lvl>
    <w:lvl w:ilvl="4" w:tplc="9A38C3EC" w:tentative="1">
      <w:start w:val="1"/>
      <w:numFmt w:val="lowerLetter"/>
      <w:lvlText w:val="%5."/>
      <w:lvlJc w:val="left"/>
      <w:pPr>
        <w:ind w:left="3600" w:hanging="360"/>
      </w:pPr>
    </w:lvl>
    <w:lvl w:ilvl="5" w:tplc="D4A2EF6C" w:tentative="1">
      <w:start w:val="1"/>
      <w:numFmt w:val="lowerRoman"/>
      <w:lvlText w:val="%6."/>
      <w:lvlJc w:val="right"/>
      <w:pPr>
        <w:ind w:left="4320" w:hanging="180"/>
      </w:pPr>
    </w:lvl>
    <w:lvl w:ilvl="6" w:tplc="C4463F12" w:tentative="1">
      <w:start w:val="1"/>
      <w:numFmt w:val="decimal"/>
      <w:lvlText w:val="%7."/>
      <w:lvlJc w:val="left"/>
      <w:pPr>
        <w:ind w:left="5040" w:hanging="360"/>
      </w:pPr>
    </w:lvl>
    <w:lvl w:ilvl="7" w:tplc="F1443FAA" w:tentative="1">
      <w:start w:val="1"/>
      <w:numFmt w:val="lowerLetter"/>
      <w:lvlText w:val="%8."/>
      <w:lvlJc w:val="left"/>
      <w:pPr>
        <w:ind w:left="5760" w:hanging="360"/>
      </w:pPr>
    </w:lvl>
    <w:lvl w:ilvl="8" w:tplc="EA263578" w:tentative="1">
      <w:start w:val="1"/>
      <w:numFmt w:val="lowerRoman"/>
      <w:lvlText w:val="%9."/>
      <w:lvlJc w:val="right"/>
      <w:pPr>
        <w:ind w:left="6480" w:hanging="180"/>
      </w:pPr>
    </w:lvl>
  </w:abstractNum>
  <w:abstractNum w:abstractNumId="4" w15:restartNumberingAfterBreak="0">
    <w:nsid w:val="3CE73142"/>
    <w:multiLevelType w:val="hybridMultilevel"/>
    <w:tmpl w:val="093A36F6"/>
    <w:lvl w:ilvl="0" w:tplc="E534BF54">
      <w:start w:val="1"/>
      <w:numFmt w:val="lowerRoman"/>
      <w:lvlText w:val="(%1)"/>
      <w:lvlJc w:val="left"/>
      <w:pPr>
        <w:ind w:left="720" w:hanging="360"/>
      </w:pPr>
      <w:rPr>
        <w:rFonts w:hint="default"/>
        <w:b/>
      </w:rPr>
    </w:lvl>
    <w:lvl w:ilvl="1" w:tplc="89BA12AE">
      <w:start w:val="1"/>
      <w:numFmt w:val="lowerLetter"/>
      <w:lvlText w:val="%2."/>
      <w:lvlJc w:val="left"/>
      <w:pPr>
        <w:ind w:left="1440" w:hanging="360"/>
      </w:pPr>
    </w:lvl>
    <w:lvl w:ilvl="2" w:tplc="0AC69D54" w:tentative="1">
      <w:start w:val="1"/>
      <w:numFmt w:val="lowerRoman"/>
      <w:lvlText w:val="%3."/>
      <w:lvlJc w:val="right"/>
      <w:pPr>
        <w:ind w:left="2160" w:hanging="180"/>
      </w:pPr>
    </w:lvl>
    <w:lvl w:ilvl="3" w:tplc="1EBA276E" w:tentative="1">
      <w:start w:val="1"/>
      <w:numFmt w:val="decimal"/>
      <w:lvlText w:val="%4."/>
      <w:lvlJc w:val="left"/>
      <w:pPr>
        <w:ind w:left="2880" w:hanging="360"/>
      </w:pPr>
    </w:lvl>
    <w:lvl w:ilvl="4" w:tplc="F156F1AC" w:tentative="1">
      <w:start w:val="1"/>
      <w:numFmt w:val="lowerLetter"/>
      <w:lvlText w:val="%5."/>
      <w:lvlJc w:val="left"/>
      <w:pPr>
        <w:ind w:left="3600" w:hanging="360"/>
      </w:pPr>
    </w:lvl>
    <w:lvl w:ilvl="5" w:tplc="E670F484" w:tentative="1">
      <w:start w:val="1"/>
      <w:numFmt w:val="lowerRoman"/>
      <w:lvlText w:val="%6."/>
      <w:lvlJc w:val="right"/>
      <w:pPr>
        <w:ind w:left="4320" w:hanging="180"/>
      </w:pPr>
    </w:lvl>
    <w:lvl w:ilvl="6" w:tplc="2E167EEA" w:tentative="1">
      <w:start w:val="1"/>
      <w:numFmt w:val="decimal"/>
      <w:lvlText w:val="%7."/>
      <w:lvlJc w:val="left"/>
      <w:pPr>
        <w:ind w:left="5040" w:hanging="360"/>
      </w:pPr>
    </w:lvl>
    <w:lvl w:ilvl="7" w:tplc="6F4C26BE" w:tentative="1">
      <w:start w:val="1"/>
      <w:numFmt w:val="lowerLetter"/>
      <w:lvlText w:val="%8."/>
      <w:lvlJc w:val="left"/>
      <w:pPr>
        <w:ind w:left="5760" w:hanging="360"/>
      </w:pPr>
    </w:lvl>
    <w:lvl w:ilvl="8" w:tplc="D34A5272"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81AE6080">
      <w:start w:val="1"/>
      <w:numFmt w:val="lowerRoman"/>
      <w:lvlText w:val="(%1)"/>
      <w:lvlJc w:val="left"/>
      <w:pPr>
        <w:ind w:left="1080" w:hanging="720"/>
      </w:pPr>
    </w:lvl>
    <w:lvl w:ilvl="1" w:tplc="683A083C">
      <w:start w:val="1"/>
      <w:numFmt w:val="lowerLetter"/>
      <w:lvlText w:val="(%2)"/>
      <w:lvlJc w:val="left"/>
      <w:pPr>
        <w:ind w:left="1440" w:hanging="360"/>
      </w:pPr>
    </w:lvl>
    <w:lvl w:ilvl="2" w:tplc="3E165496">
      <w:start w:val="1"/>
      <w:numFmt w:val="lowerRoman"/>
      <w:lvlText w:val="%3."/>
      <w:lvlJc w:val="right"/>
      <w:pPr>
        <w:ind w:left="2160" w:hanging="180"/>
      </w:pPr>
    </w:lvl>
    <w:lvl w:ilvl="3" w:tplc="86085532">
      <w:start w:val="1"/>
      <w:numFmt w:val="decimal"/>
      <w:lvlText w:val="%4."/>
      <w:lvlJc w:val="left"/>
      <w:pPr>
        <w:ind w:left="2880" w:hanging="360"/>
      </w:pPr>
    </w:lvl>
    <w:lvl w:ilvl="4" w:tplc="FA0AF4E8">
      <w:start w:val="1"/>
      <w:numFmt w:val="lowerLetter"/>
      <w:lvlText w:val="%5."/>
      <w:lvlJc w:val="left"/>
      <w:pPr>
        <w:ind w:left="3600" w:hanging="360"/>
      </w:pPr>
    </w:lvl>
    <w:lvl w:ilvl="5" w:tplc="F802FDAA">
      <w:start w:val="1"/>
      <w:numFmt w:val="lowerRoman"/>
      <w:lvlText w:val="%6."/>
      <w:lvlJc w:val="right"/>
      <w:pPr>
        <w:ind w:left="4320" w:hanging="180"/>
      </w:pPr>
    </w:lvl>
    <w:lvl w:ilvl="6" w:tplc="E738D4BC">
      <w:start w:val="1"/>
      <w:numFmt w:val="decimal"/>
      <w:lvlText w:val="%7."/>
      <w:lvlJc w:val="left"/>
      <w:pPr>
        <w:ind w:left="5040" w:hanging="360"/>
      </w:pPr>
    </w:lvl>
    <w:lvl w:ilvl="7" w:tplc="CDB05516">
      <w:start w:val="1"/>
      <w:numFmt w:val="lowerLetter"/>
      <w:lvlText w:val="%8."/>
      <w:lvlJc w:val="left"/>
      <w:pPr>
        <w:ind w:left="5760" w:hanging="360"/>
      </w:pPr>
    </w:lvl>
    <w:lvl w:ilvl="8" w:tplc="A85C8688">
      <w:start w:val="1"/>
      <w:numFmt w:val="lowerRoman"/>
      <w:lvlText w:val="%9."/>
      <w:lvlJc w:val="right"/>
      <w:pPr>
        <w:ind w:left="6480" w:hanging="180"/>
      </w:pPr>
    </w:lvl>
  </w:abstractNum>
  <w:abstractNum w:abstractNumId="6" w15:restartNumberingAfterBreak="0">
    <w:nsid w:val="46D80CEF"/>
    <w:multiLevelType w:val="hybridMultilevel"/>
    <w:tmpl w:val="6D54CE50"/>
    <w:lvl w:ilvl="0" w:tplc="8AA8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3F7345"/>
    <w:multiLevelType w:val="hybridMultilevel"/>
    <w:tmpl w:val="C826DECE"/>
    <w:lvl w:ilvl="0" w:tplc="F380FE36">
      <w:start w:val="1"/>
      <w:numFmt w:val="decimal"/>
      <w:lvlText w:val="%1."/>
      <w:lvlJc w:val="left"/>
      <w:pPr>
        <w:ind w:left="720" w:hanging="360"/>
      </w:pPr>
      <w:rPr>
        <w:rFonts w:ascii="Arial" w:hAnsi="Arial" w:hint="default"/>
        <w:sz w:val="22"/>
      </w:rPr>
    </w:lvl>
    <w:lvl w:ilvl="1" w:tplc="28D2599E" w:tentative="1">
      <w:start w:val="1"/>
      <w:numFmt w:val="lowerLetter"/>
      <w:lvlText w:val="%2."/>
      <w:lvlJc w:val="left"/>
      <w:pPr>
        <w:ind w:left="1440" w:hanging="360"/>
      </w:pPr>
    </w:lvl>
    <w:lvl w:ilvl="2" w:tplc="948EB6FC" w:tentative="1">
      <w:start w:val="1"/>
      <w:numFmt w:val="lowerRoman"/>
      <w:lvlText w:val="%3."/>
      <w:lvlJc w:val="right"/>
      <w:pPr>
        <w:ind w:left="2160" w:hanging="180"/>
      </w:pPr>
    </w:lvl>
    <w:lvl w:ilvl="3" w:tplc="99C80456" w:tentative="1">
      <w:start w:val="1"/>
      <w:numFmt w:val="decimal"/>
      <w:lvlText w:val="%4."/>
      <w:lvlJc w:val="left"/>
      <w:pPr>
        <w:ind w:left="2880" w:hanging="360"/>
      </w:pPr>
    </w:lvl>
    <w:lvl w:ilvl="4" w:tplc="9766BE98" w:tentative="1">
      <w:start w:val="1"/>
      <w:numFmt w:val="lowerLetter"/>
      <w:lvlText w:val="%5."/>
      <w:lvlJc w:val="left"/>
      <w:pPr>
        <w:ind w:left="3600" w:hanging="360"/>
      </w:pPr>
    </w:lvl>
    <w:lvl w:ilvl="5" w:tplc="7FC8B230" w:tentative="1">
      <w:start w:val="1"/>
      <w:numFmt w:val="lowerRoman"/>
      <w:lvlText w:val="%6."/>
      <w:lvlJc w:val="right"/>
      <w:pPr>
        <w:ind w:left="4320" w:hanging="180"/>
      </w:pPr>
    </w:lvl>
    <w:lvl w:ilvl="6" w:tplc="8D36F972" w:tentative="1">
      <w:start w:val="1"/>
      <w:numFmt w:val="decimal"/>
      <w:lvlText w:val="%7."/>
      <w:lvlJc w:val="left"/>
      <w:pPr>
        <w:ind w:left="5040" w:hanging="360"/>
      </w:pPr>
    </w:lvl>
    <w:lvl w:ilvl="7" w:tplc="226A9C5E" w:tentative="1">
      <w:start w:val="1"/>
      <w:numFmt w:val="lowerLetter"/>
      <w:lvlText w:val="%8."/>
      <w:lvlJc w:val="left"/>
      <w:pPr>
        <w:ind w:left="5760" w:hanging="360"/>
      </w:pPr>
    </w:lvl>
    <w:lvl w:ilvl="8" w:tplc="2FFA0610" w:tentative="1">
      <w:start w:val="1"/>
      <w:numFmt w:val="lowerRoman"/>
      <w:lvlText w:val="%9."/>
      <w:lvlJc w:val="right"/>
      <w:pPr>
        <w:ind w:left="6480" w:hanging="180"/>
      </w:pPr>
    </w:lvl>
  </w:abstractNum>
  <w:abstractNum w:abstractNumId="8" w15:restartNumberingAfterBreak="0">
    <w:nsid w:val="51F14F97"/>
    <w:multiLevelType w:val="hybridMultilevel"/>
    <w:tmpl w:val="59B625C2"/>
    <w:lvl w:ilvl="0" w:tplc="285A4E58">
      <w:numFmt w:val="bullet"/>
      <w:lvlText w:val="-"/>
      <w:lvlJc w:val="left"/>
      <w:pPr>
        <w:ind w:left="720" w:hanging="360"/>
      </w:pPr>
      <w:rPr>
        <w:rFonts w:ascii="Calibri" w:eastAsia="Calibri" w:hAnsi="Calibri" w:cs="Times New Roman" w:hint="default"/>
      </w:rPr>
    </w:lvl>
    <w:lvl w:ilvl="1" w:tplc="023C1B7A" w:tentative="1">
      <w:start w:val="1"/>
      <w:numFmt w:val="bullet"/>
      <w:lvlText w:val="o"/>
      <w:lvlJc w:val="left"/>
      <w:pPr>
        <w:ind w:left="1440" w:hanging="360"/>
      </w:pPr>
      <w:rPr>
        <w:rFonts w:ascii="Courier New" w:hAnsi="Courier New" w:cs="Courier New" w:hint="default"/>
      </w:rPr>
    </w:lvl>
    <w:lvl w:ilvl="2" w:tplc="9DDC8B26" w:tentative="1">
      <w:start w:val="1"/>
      <w:numFmt w:val="bullet"/>
      <w:lvlText w:val=""/>
      <w:lvlJc w:val="left"/>
      <w:pPr>
        <w:ind w:left="2160" w:hanging="360"/>
      </w:pPr>
      <w:rPr>
        <w:rFonts w:ascii="Wingdings" w:hAnsi="Wingdings" w:hint="default"/>
      </w:rPr>
    </w:lvl>
    <w:lvl w:ilvl="3" w:tplc="CA0E31E0" w:tentative="1">
      <w:start w:val="1"/>
      <w:numFmt w:val="bullet"/>
      <w:lvlText w:val=""/>
      <w:lvlJc w:val="left"/>
      <w:pPr>
        <w:ind w:left="2880" w:hanging="360"/>
      </w:pPr>
      <w:rPr>
        <w:rFonts w:ascii="Symbol" w:hAnsi="Symbol" w:hint="default"/>
      </w:rPr>
    </w:lvl>
    <w:lvl w:ilvl="4" w:tplc="CCF6A254" w:tentative="1">
      <w:start w:val="1"/>
      <w:numFmt w:val="bullet"/>
      <w:lvlText w:val="o"/>
      <w:lvlJc w:val="left"/>
      <w:pPr>
        <w:ind w:left="3600" w:hanging="360"/>
      </w:pPr>
      <w:rPr>
        <w:rFonts w:ascii="Courier New" w:hAnsi="Courier New" w:cs="Courier New" w:hint="default"/>
      </w:rPr>
    </w:lvl>
    <w:lvl w:ilvl="5" w:tplc="1674E404" w:tentative="1">
      <w:start w:val="1"/>
      <w:numFmt w:val="bullet"/>
      <w:lvlText w:val=""/>
      <w:lvlJc w:val="left"/>
      <w:pPr>
        <w:ind w:left="4320" w:hanging="360"/>
      </w:pPr>
      <w:rPr>
        <w:rFonts w:ascii="Wingdings" w:hAnsi="Wingdings" w:hint="default"/>
      </w:rPr>
    </w:lvl>
    <w:lvl w:ilvl="6" w:tplc="0C4C06D6" w:tentative="1">
      <w:start w:val="1"/>
      <w:numFmt w:val="bullet"/>
      <w:lvlText w:val=""/>
      <w:lvlJc w:val="left"/>
      <w:pPr>
        <w:ind w:left="5040" w:hanging="360"/>
      </w:pPr>
      <w:rPr>
        <w:rFonts w:ascii="Symbol" w:hAnsi="Symbol" w:hint="default"/>
      </w:rPr>
    </w:lvl>
    <w:lvl w:ilvl="7" w:tplc="AA44797E" w:tentative="1">
      <w:start w:val="1"/>
      <w:numFmt w:val="bullet"/>
      <w:lvlText w:val="o"/>
      <w:lvlJc w:val="left"/>
      <w:pPr>
        <w:ind w:left="5760" w:hanging="360"/>
      </w:pPr>
      <w:rPr>
        <w:rFonts w:ascii="Courier New" w:hAnsi="Courier New" w:cs="Courier New" w:hint="default"/>
      </w:rPr>
    </w:lvl>
    <w:lvl w:ilvl="8" w:tplc="59241BB8" w:tentative="1">
      <w:start w:val="1"/>
      <w:numFmt w:val="bullet"/>
      <w:lvlText w:val=""/>
      <w:lvlJc w:val="left"/>
      <w:pPr>
        <w:ind w:left="6480" w:hanging="360"/>
      </w:pPr>
      <w:rPr>
        <w:rFonts w:ascii="Wingdings" w:hAnsi="Wingdings" w:hint="default"/>
      </w:rPr>
    </w:lvl>
  </w:abstractNum>
  <w:abstractNum w:abstractNumId="9" w15:restartNumberingAfterBreak="0">
    <w:nsid w:val="6560639D"/>
    <w:multiLevelType w:val="hybridMultilevel"/>
    <w:tmpl w:val="783C13C6"/>
    <w:lvl w:ilvl="0" w:tplc="4BAC7F8E">
      <w:start w:val="1"/>
      <w:numFmt w:val="lowerLetter"/>
      <w:lvlText w:val="%1)"/>
      <w:lvlJc w:val="left"/>
      <w:pPr>
        <w:ind w:left="720" w:hanging="360"/>
      </w:pPr>
    </w:lvl>
    <w:lvl w:ilvl="1" w:tplc="E8CC9CB4">
      <w:start w:val="1"/>
      <w:numFmt w:val="lowerLetter"/>
      <w:lvlText w:val="%2."/>
      <w:lvlJc w:val="left"/>
      <w:pPr>
        <w:ind w:left="1440" w:hanging="360"/>
      </w:pPr>
    </w:lvl>
    <w:lvl w:ilvl="2" w:tplc="32FEAF5A" w:tentative="1">
      <w:start w:val="1"/>
      <w:numFmt w:val="lowerRoman"/>
      <w:lvlText w:val="%3."/>
      <w:lvlJc w:val="right"/>
      <w:pPr>
        <w:ind w:left="2160" w:hanging="180"/>
      </w:pPr>
    </w:lvl>
    <w:lvl w:ilvl="3" w:tplc="A96ACA36" w:tentative="1">
      <w:start w:val="1"/>
      <w:numFmt w:val="decimal"/>
      <w:lvlText w:val="%4."/>
      <w:lvlJc w:val="left"/>
      <w:pPr>
        <w:ind w:left="2880" w:hanging="360"/>
      </w:pPr>
    </w:lvl>
    <w:lvl w:ilvl="4" w:tplc="33EC5E54" w:tentative="1">
      <w:start w:val="1"/>
      <w:numFmt w:val="lowerLetter"/>
      <w:lvlText w:val="%5."/>
      <w:lvlJc w:val="left"/>
      <w:pPr>
        <w:ind w:left="3600" w:hanging="360"/>
      </w:pPr>
    </w:lvl>
    <w:lvl w:ilvl="5" w:tplc="1CF4FF28" w:tentative="1">
      <w:start w:val="1"/>
      <w:numFmt w:val="lowerRoman"/>
      <w:lvlText w:val="%6."/>
      <w:lvlJc w:val="right"/>
      <w:pPr>
        <w:ind w:left="4320" w:hanging="180"/>
      </w:pPr>
    </w:lvl>
    <w:lvl w:ilvl="6" w:tplc="575AAE50" w:tentative="1">
      <w:start w:val="1"/>
      <w:numFmt w:val="decimal"/>
      <w:lvlText w:val="%7."/>
      <w:lvlJc w:val="left"/>
      <w:pPr>
        <w:ind w:left="5040" w:hanging="360"/>
      </w:pPr>
    </w:lvl>
    <w:lvl w:ilvl="7" w:tplc="BF1E89C6" w:tentative="1">
      <w:start w:val="1"/>
      <w:numFmt w:val="lowerLetter"/>
      <w:lvlText w:val="%8."/>
      <w:lvlJc w:val="left"/>
      <w:pPr>
        <w:ind w:left="5760" w:hanging="360"/>
      </w:pPr>
    </w:lvl>
    <w:lvl w:ilvl="8" w:tplc="F5E29540" w:tentative="1">
      <w:start w:val="1"/>
      <w:numFmt w:val="lowerRoman"/>
      <w:lvlText w:val="%9."/>
      <w:lvlJc w:val="right"/>
      <w:pPr>
        <w:ind w:left="6480" w:hanging="180"/>
      </w:pPr>
    </w:lvl>
  </w:abstractNum>
  <w:abstractNum w:abstractNumId="10" w15:restartNumberingAfterBreak="0">
    <w:nsid w:val="67DB0C71"/>
    <w:multiLevelType w:val="multilevel"/>
    <w:tmpl w:val="0FCC45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23F83"/>
    <w:multiLevelType w:val="hybridMultilevel"/>
    <w:tmpl w:val="A6DA6EC0"/>
    <w:lvl w:ilvl="0" w:tplc="2F7AD466">
      <w:start w:val="1"/>
      <w:numFmt w:val="decimal"/>
      <w:lvlText w:val="%1."/>
      <w:lvlJc w:val="left"/>
      <w:pPr>
        <w:ind w:left="360" w:hanging="360"/>
      </w:pPr>
    </w:lvl>
    <w:lvl w:ilvl="1" w:tplc="EE26DA6A">
      <w:start w:val="1"/>
      <w:numFmt w:val="lowerLetter"/>
      <w:lvlText w:val="%2."/>
      <w:lvlJc w:val="left"/>
      <w:pPr>
        <w:ind w:left="1080" w:hanging="360"/>
      </w:pPr>
    </w:lvl>
    <w:lvl w:ilvl="2" w:tplc="D52803AC">
      <w:start w:val="1"/>
      <w:numFmt w:val="lowerRoman"/>
      <w:lvlText w:val="%3."/>
      <w:lvlJc w:val="right"/>
      <w:pPr>
        <w:ind w:left="1800" w:hanging="180"/>
      </w:pPr>
    </w:lvl>
    <w:lvl w:ilvl="3" w:tplc="2D6C026E">
      <w:start w:val="1"/>
      <w:numFmt w:val="decimal"/>
      <w:lvlText w:val="%4."/>
      <w:lvlJc w:val="left"/>
      <w:pPr>
        <w:ind w:left="2520" w:hanging="360"/>
      </w:pPr>
    </w:lvl>
    <w:lvl w:ilvl="4" w:tplc="861C43A8">
      <w:start w:val="1"/>
      <w:numFmt w:val="lowerLetter"/>
      <w:lvlText w:val="%5."/>
      <w:lvlJc w:val="left"/>
      <w:pPr>
        <w:ind w:left="3240" w:hanging="360"/>
      </w:pPr>
    </w:lvl>
    <w:lvl w:ilvl="5" w:tplc="E9F623DC">
      <w:start w:val="1"/>
      <w:numFmt w:val="lowerRoman"/>
      <w:lvlText w:val="%6."/>
      <w:lvlJc w:val="right"/>
      <w:pPr>
        <w:ind w:left="3960" w:hanging="180"/>
      </w:pPr>
    </w:lvl>
    <w:lvl w:ilvl="6" w:tplc="20C2345A">
      <w:start w:val="1"/>
      <w:numFmt w:val="decimal"/>
      <w:lvlText w:val="%7."/>
      <w:lvlJc w:val="left"/>
      <w:pPr>
        <w:ind w:left="4680" w:hanging="360"/>
      </w:pPr>
    </w:lvl>
    <w:lvl w:ilvl="7" w:tplc="CC58E9FC">
      <w:start w:val="1"/>
      <w:numFmt w:val="lowerLetter"/>
      <w:lvlText w:val="%8."/>
      <w:lvlJc w:val="left"/>
      <w:pPr>
        <w:ind w:left="5400" w:hanging="360"/>
      </w:pPr>
    </w:lvl>
    <w:lvl w:ilvl="8" w:tplc="28FEDACC">
      <w:start w:val="1"/>
      <w:numFmt w:val="lowerRoman"/>
      <w:lvlText w:val="%9."/>
      <w:lvlJc w:val="right"/>
      <w:pPr>
        <w:ind w:left="6120" w:hanging="180"/>
      </w:pPr>
    </w:lvl>
  </w:abstractNum>
  <w:abstractNum w:abstractNumId="12" w15:restartNumberingAfterBreak="0">
    <w:nsid w:val="74ED6731"/>
    <w:multiLevelType w:val="hybridMultilevel"/>
    <w:tmpl w:val="FE98D134"/>
    <w:lvl w:ilvl="0" w:tplc="84982332">
      <w:start w:val="1"/>
      <w:numFmt w:val="decimal"/>
      <w:lvlText w:val="%1."/>
      <w:lvlJc w:val="left"/>
      <w:pPr>
        <w:ind w:left="720" w:hanging="360"/>
      </w:pPr>
    </w:lvl>
    <w:lvl w:ilvl="1" w:tplc="ABFA378E" w:tentative="1">
      <w:start w:val="1"/>
      <w:numFmt w:val="lowerLetter"/>
      <w:lvlText w:val="%2."/>
      <w:lvlJc w:val="left"/>
      <w:pPr>
        <w:ind w:left="1440" w:hanging="360"/>
      </w:pPr>
    </w:lvl>
    <w:lvl w:ilvl="2" w:tplc="972CDA26" w:tentative="1">
      <w:start w:val="1"/>
      <w:numFmt w:val="lowerRoman"/>
      <w:lvlText w:val="%3."/>
      <w:lvlJc w:val="right"/>
      <w:pPr>
        <w:ind w:left="2160" w:hanging="180"/>
      </w:pPr>
    </w:lvl>
    <w:lvl w:ilvl="3" w:tplc="6A7C9DAA" w:tentative="1">
      <w:start w:val="1"/>
      <w:numFmt w:val="decimal"/>
      <w:lvlText w:val="%4."/>
      <w:lvlJc w:val="left"/>
      <w:pPr>
        <w:ind w:left="2880" w:hanging="360"/>
      </w:pPr>
    </w:lvl>
    <w:lvl w:ilvl="4" w:tplc="06740084" w:tentative="1">
      <w:start w:val="1"/>
      <w:numFmt w:val="lowerLetter"/>
      <w:lvlText w:val="%5."/>
      <w:lvlJc w:val="left"/>
      <w:pPr>
        <w:ind w:left="3600" w:hanging="360"/>
      </w:pPr>
    </w:lvl>
    <w:lvl w:ilvl="5" w:tplc="1840B16C" w:tentative="1">
      <w:start w:val="1"/>
      <w:numFmt w:val="lowerRoman"/>
      <w:lvlText w:val="%6."/>
      <w:lvlJc w:val="right"/>
      <w:pPr>
        <w:ind w:left="4320" w:hanging="180"/>
      </w:pPr>
    </w:lvl>
    <w:lvl w:ilvl="6" w:tplc="F18AF87C" w:tentative="1">
      <w:start w:val="1"/>
      <w:numFmt w:val="decimal"/>
      <w:lvlText w:val="%7."/>
      <w:lvlJc w:val="left"/>
      <w:pPr>
        <w:ind w:left="5040" w:hanging="360"/>
      </w:pPr>
    </w:lvl>
    <w:lvl w:ilvl="7" w:tplc="30127B4C" w:tentative="1">
      <w:start w:val="1"/>
      <w:numFmt w:val="lowerLetter"/>
      <w:lvlText w:val="%8."/>
      <w:lvlJc w:val="left"/>
      <w:pPr>
        <w:ind w:left="5760" w:hanging="360"/>
      </w:pPr>
    </w:lvl>
    <w:lvl w:ilvl="8" w:tplc="A3823944" w:tentative="1">
      <w:start w:val="1"/>
      <w:numFmt w:val="lowerRoman"/>
      <w:lvlText w:val="%9."/>
      <w:lvlJc w:val="right"/>
      <w:pPr>
        <w:ind w:left="6480" w:hanging="180"/>
      </w:pPr>
    </w:lvl>
  </w:abstractNum>
  <w:abstractNum w:abstractNumId="13" w15:restartNumberingAfterBreak="0">
    <w:nsid w:val="7683632E"/>
    <w:multiLevelType w:val="multilevel"/>
    <w:tmpl w:val="2C8A03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6076D"/>
    <w:multiLevelType w:val="hybridMultilevel"/>
    <w:tmpl w:val="3AA2A316"/>
    <w:lvl w:ilvl="0" w:tplc="EB1AE29A">
      <w:start w:val="1"/>
      <w:numFmt w:val="lowerLetter"/>
      <w:lvlText w:val="%1)"/>
      <w:lvlJc w:val="left"/>
      <w:pPr>
        <w:ind w:left="1440" w:hanging="720"/>
      </w:pPr>
    </w:lvl>
    <w:lvl w:ilvl="1" w:tplc="B7025B0E">
      <w:start w:val="1"/>
      <w:numFmt w:val="lowerLetter"/>
      <w:lvlText w:val="%2."/>
      <w:lvlJc w:val="left"/>
      <w:pPr>
        <w:ind w:left="1800" w:hanging="360"/>
      </w:pPr>
    </w:lvl>
    <w:lvl w:ilvl="2" w:tplc="91B68190">
      <w:start w:val="1"/>
      <w:numFmt w:val="lowerRoman"/>
      <w:lvlText w:val="%3."/>
      <w:lvlJc w:val="right"/>
      <w:pPr>
        <w:ind w:left="2520" w:hanging="180"/>
      </w:pPr>
    </w:lvl>
    <w:lvl w:ilvl="3" w:tplc="0C045558">
      <w:start w:val="1"/>
      <w:numFmt w:val="decimal"/>
      <w:lvlText w:val="%4."/>
      <w:lvlJc w:val="left"/>
      <w:pPr>
        <w:ind w:left="3240" w:hanging="360"/>
      </w:pPr>
    </w:lvl>
    <w:lvl w:ilvl="4" w:tplc="6638FA00">
      <w:start w:val="1"/>
      <w:numFmt w:val="lowerLetter"/>
      <w:lvlText w:val="%5."/>
      <w:lvlJc w:val="left"/>
      <w:pPr>
        <w:ind w:left="3960" w:hanging="360"/>
      </w:pPr>
    </w:lvl>
    <w:lvl w:ilvl="5" w:tplc="706C569E">
      <w:start w:val="1"/>
      <w:numFmt w:val="lowerRoman"/>
      <w:lvlText w:val="%6."/>
      <w:lvlJc w:val="right"/>
      <w:pPr>
        <w:ind w:left="4680" w:hanging="180"/>
      </w:pPr>
    </w:lvl>
    <w:lvl w:ilvl="6" w:tplc="5F2A4268">
      <w:start w:val="1"/>
      <w:numFmt w:val="decimal"/>
      <w:lvlText w:val="%7."/>
      <w:lvlJc w:val="left"/>
      <w:pPr>
        <w:ind w:left="5400" w:hanging="360"/>
      </w:pPr>
    </w:lvl>
    <w:lvl w:ilvl="7" w:tplc="F0EAED3E">
      <w:start w:val="1"/>
      <w:numFmt w:val="lowerLetter"/>
      <w:lvlText w:val="%8."/>
      <w:lvlJc w:val="left"/>
      <w:pPr>
        <w:ind w:left="6120" w:hanging="360"/>
      </w:pPr>
    </w:lvl>
    <w:lvl w:ilvl="8" w:tplc="1064358A">
      <w:start w:val="1"/>
      <w:numFmt w:val="lowerRoman"/>
      <w:lvlText w:val="%9."/>
      <w:lvlJc w:val="right"/>
      <w:pPr>
        <w:ind w:left="6840" w:hanging="180"/>
      </w:pPr>
    </w:lvl>
  </w:abstractNum>
  <w:abstractNum w:abstractNumId="15" w15:restartNumberingAfterBreak="0">
    <w:nsid w:val="7C464D04"/>
    <w:multiLevelType w:val="hybridMultilevel"/>
    <w:tmpl w:val="C7B6150A"/>
    <w:lvl w:ilvl="0" w:tplc="2558EFDE">
      <w:start w:val="1"/>
      <w:numFmt w:val="decimal"/>
      <w:lvlText w:val="%1."/>
      <w:lvlJc w:val="left"/>
      <w:pPr>
        <w:ind w:left="720" w:hanging="360"/>
      </w:pPr>
    </w:lvl>
    <w:lvl w:ilvl="1" w:tplc="D74AEB22" w:tentative="1">
      <w:start w:val="1"/>
      <w:numFmt w:val="lowerLetter"/>
      <w:lvlText w:val="%2."/>
      <w:lvlJc w:val="left"/>
      <w:pPr>
        <w:ind w:left="1440" w:hanging="360"/>
      </w:pPr>
    </w:lvl>
    <w:lvl w:ilvl="2" w:tplc="2B50F866" w:tentative="1">
      <w:start w:val="1"/>
      <w:numFmt w:val="lowerRoman"/>
      <w:lvlText w:val="%3."/>
      <w:lvlJc w:val="right"/>
      <w:pPr>
        <w:ind w:left="2160" w:hanging="180"/>
      </w:pPr>
    </w:lvl>
    <w:lvl w:ilvl="3" w:tplc="07D0F112" w:tentative="1">
      <w:start w:val="1"/>
      <w:numFmt w:val="decimal"/>
      <w:lvlText w:val="%4."/>
      <w:lvlJc w:val="left"/>
      <w:pPr>
        <w:ind w:left="2880" w:hanging="360"/>
      </w:pPr>
    </w:lvl>
    <w:lvl w:ilvl="4" w:tplc="D85A9890" w:tentative="1">
      <w:start w:val="1"/>
      <w:numFmt w:val="lowerLetter"/>
      <w:lvlText w:val="%5."/>
      <w:lvlJc w:val="left"/>
      <w:pPr>
        <w:ind w:left="3600" w:hanging="360"/>
      </w:pPr>
    </w:lvl>
    <w:lvl w:ilvl="5" w:tplc="678CF0A4" w:tentative="1">
      <w:start w:val="1"/>
      <w:numFmt w:val="lowerRoman"/>
      <w:lvlText w:val="%6."/>
      <w:lvlJc w:val="right"/>
      <w:pPr>
        <w:ind w:left="4320" w:hanging="180"/>
      </w:pPr>
    </w:lvl>
    <w:lvl w:ilvl="6" w:tplc="55A03FBC" w:tentative="1">
      <w:start w:val="1"/>
      <w:numFmt w:val="decimal"/>
      <w:lvlText w:val="%7."/>
      <w:lvlJc w:val="left"/>
      <w:pPr>
        <w:ind w:left="5040" w:hanging="360"/>
      </w:pPr>
    </w:lvl>
    <w:lvl w:ilvl="7" w:tplc="71BEE3A4" w:tentative="1">
      <w:start w:val="1"/>
      <w:numFmt w:val="lowerLetter"/>
      <w:lvlText w:val="%8."/>
      <w:lvlJc w:val="left"/>
      <w:pPr>
        <w:ind w:left="5760" w:hanging="360"/>
      </w:pPr>
    </w:lvl>
    <w:lvl w:ilvl="8" w:tplc="A8343EAC" w:tentative="1">
      <w:start w:val="1"/>
      <w:numFmt w:val="lowerRoman"/>
      <w:lvlText w:val="%9."/>
      <w:lvlJc w:val="right"/>
      <w:pPr>
        <w:ind w:left="6480" w:hanging="180"/>
      </w:pPr>
    </w:lvl>
  </w:abstractNum>
  <w:num w:numId="1" w16cid:durableId="2044750603">
    <w:abstractNumId w:val="7"/>
  </w:num>
  <w:num w:numId="2" w16cid:durableId="1912500419">
    <w:abstractNumId w:val="12"/>
  </w:num>
  <w:num w:numId="3" w16cid:durableId="1204295569">
    <w:abstractNumId w:val="0"/>
  </w:num>
  <w:num w:numId="4" w16cid:durableId="52887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2930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22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2697116">
    <w:abstractNumId w:val="3"/>
  </w:num>
  <w:num w:numId="8" w16cid:durableId="1931543576">
    <w:abstractNumId w:val="15"/>
  </w:num>
  <w:num w:numId="9" w16cid:durableId="429161557">
    <w:abstractNumId w:val="8"/>
  </w:num>
  <w:num w:numId="10" w16cid:durableId="493491614">
    <w:abstractNumId w:val="1"/>
  </w:num>
  <w:num w:numId="11" w16cid:durableId="1750225330">
    <w:abstractNumId w:val="10"/>
  </w:num>
  <w:num w:numId="12" w16cid:durableId="1618096777">
    <w:abstractNumId w:val="9"/>
  </w:num>
  <w:num w:numId="13" w16cid:durableId="1343557259">
    <w:abstractNumId w:val="2"/>
  </w:num>
  <w:num w:numId="14" w16cid:durableId="6490510">
    <w:abstractNumId w:val="13"/>
  </w:num>
  <w:num w:numId="15" w16cid:durableId="342977895">
    <w:abstractNumId w:val="4"/>
  </w:num>
  <w:num w:numId="16" w16cid:durableId="9989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30746"/>
    <w:rsid w:val="0003325C"/>
    <w:rsid w:val="000336C3"/>
    <w:rsid w:val="00044667"/>
    <w:rsid w:val="000539AB"/>
    <w:rsid w:val="0005507E"/>
    <w:rsid w:val="0006101D"/>
    <w:rsid w:val="00063C40"/>
    <w:rsid w:val="000661B2"/>
    <w:rsid w:val="00081045"/>
    <w:rsid w:val="000A5440"/>
    <w:rsid w:val="000B4F43"/>
    <w:rsid w:val="000E346B"/>
    <w:rsid w:val="000F0FE3"/>
    <w:rsid w:val="000F13BB"/>
    <w:rsid w:val="00103C7C"/>
    <w:rsid w:val="00122A54"/>
    <w:rsid w:val="0012633F"/>
    <w:rsid w:val="00135B73"/>
    <w:rsid w:val="00137609"/>
    <w:rsid w:val="0015361E"/>
    <w:rsid w:val="001768E7"/>
    <w:rsid w:val="00177179"/>
    <w:rsid w:val="00184004"/>
    <w:rsid w:val="00184287"/>
    <w:rsid w:val="0018676A"/>
    <w:rsid w:val="00190ADA"/>
    <w:rsid w:val="001A3132"/>
    <w:rsid w:val="001C12D6"/>
    <w:rsid w:val="001C56F2"/>
    <w:rsid w:val="001C6C56"/>
    <w:rsid w:val="001E1375"/>
    <w:rsid w:val="001E4894"/>
    <w:rsid w:val="001E63FF"/>
    <w:rsid w:val="001F26CC"/>
    <w:rsid w:val="001F46A4"/>
    <w:rsid w:val="00215CB2"/>
    <w:rsid w:val="00221CA8"/>
    <w:rsid w:val="00222940"/>
    <w:rsid w:val="002279EF"/>
    <w:rsid w:val="002308F4"/>
    <w:rsid w:val="002326AB"/>
    <w:rsid w:val="00235010"/>
    <w:rsid w:val="002430C8"/>
    <w:rsid w:val="002656EC"/>
    <w:rsid w:val="0027532E"/>
    <w:rsid w:val="00284272"/>
    <w:rsid w:val="00284880"/>
    <w:rsid w:val="002B0BD1"/>
    <w:rsid w:val="002B2806"/>
    <w:rsid w:val="002B397D"/>
    <w:rsid w:val="002E0DE9"/>
    <w:rsid w:val="002E3144"/>
    <w:rsid w:val="002E6A7D"/>
    <w:rsid w:val="002F6913"/>
    <w:rsid w:val="0031637F"/>
    <w:rsid w:val="00327666"/>
    <w:rsid w:val="00331D38"/>
    <w:rsid w:val="00347AC6"/>
    <w:rsid w:val="0035024E"/>
    <w:rsid w:val="0036226F"/>
    <w:rsid w:val="00364044"/>
    <w:rsid w:val="003669FF"/>
    <w:rsid w:val="00381138"/>
    <w:rsid w:val="003857FC"/>
    <w:rsid w:val="00390D79"/>
    <w:rsid w:val="003A1362"/>
    <w:rsid w:val="003B3471"/>
    <w:rsid w:val="003C569E"/>
    <w:rsid w:val="003C5D9B"/>
    <w:rsid w:val="003E088F"/>
    <w:rsid w:val="003E78F2"/>
    <w:rsid w:val="003F7B65"/>
    <w:rsid w:val="00401906"/>
    <w:rsid w:val="00401AA3"/>
    <w:rsid w:val="0040663F"/>
    <w:rsid w:val="0040684F"/>
    <w:rsid w:val="00431FE3"/>
    <w:rsid w:val="00434BDA"/>
    <w:rsid w:val="00443325"/>
    <w:rsid w:val="004531F1"/>
    <w:rsid w:val="004548E5"/>
    <w:rsid w:val="00456514"/>
    <w:rsid w:val="004579C8"/>
    <w:rsid w:val="00457A20"/>
    <w:rsid w:val="004608C4"/>
    <w:rsid w:val="004639CE"/>
    <w:rsid w:val="004714F5"/>
    <w:rsid w:val="00472BCE"/>
    <w:rsid w:val="00481E4B"/>
    <w:rsid w:val="00483B3E"/>
    <w:rsid w:val="004854CA"/>
    <w:rsid w:val="00493044"/>
    <w:rsid w:val="00495B71"/>
    <w:rsid w:val="004B04F9"/>
    <w:rsid w:val="004C015B"/>
    <w:rsid w:val="004C1FDD"/>
    <w:rsid w:val="004C33DD"/>
    <w:rsid w:val="004F676B"/>
    <w:rsid w:val="00505647"/>
    <w:rsid w:val="00506D08"/>
    <w:rsid w:val="00516A25"/>
    <w:rsid w:val="005170DA"/>
    <w:rsid w:val="0052567C"/>
    <w:rsid w:val="00531BD1"/>
    <w:rsid w:val="005330F7"/>
    <w:rsid w:val="0055344C"/>
    <w:rsid w:val="0055422A"/>
    <w:rsid w:val="00563598"/>
    <w:rsid w:val="0057681B"/>
    <w:rsid w:val="0059075E"/>
    <w:rsid w:val="00594151"/>
    <w:rsid w:val="0059467B"/>
    <w:rsid w:val="00597EB1"/>
    <w:rsid w:val="005A2A3E"/>
    <w:rsid w:val="005A720E"/>
    <w:rsid w:val="005B23A6"/>
    <w:rsid w:val="005B53AD"/>
    <w:rsid w:val="005C28E8"/>
    <w:rsid w:val="005C4FB6"/>
    <w:rsid w:val="005C5625"/>
    <w:rsid w:val="005C5C48"/>
    <w:rsid w:val="005C6BB6"/>
    <w:rsid w:val="005D5A20"/>
    <w:rsid w:val="005E031D"/>
    <w:rsid w:val="005E1301"/>
    <w:rsid w:val="005E6456"/>
    <w:rsid w:val="005E6D3C"/>
    <w:rsid w:val="005F738C"/>
    <w:rsid w:val="006041B1"/>
    <w:rsid w:val="00605C9E"/>
    <w:rsid w:val="00610891"/>
    <w:rsid w:val="00621459"/>
    <w:rsid w:val="00631444"/>
    <w:rsid w:val="00632CC6"/>
    <w:rsid w:val="00644300"/>
    <w:rsid w:val="00647902"/>
    <w:rsid w:val="00660F6A"/>
    <w:rsid w:val="006704FB"/>
    <w:rsid w:val="0068285F"/>
    <w:rsid w:val="00682891"/>
    <w:rsid w:val="006867A3"/>
    <w:rsid w:val="006A2ED0"/>
    <w:rsid w:val="006A689A"/>
    <w:rsid w:val="006A7DC4"/>
    <w:rsid w:val="006C0316"/>
    <w:rsid w:val="006C08A3"/>
    <w:rsid w:val="006C1546"/>
    <w:rsid w:val="006D1A27"/>
    <w:rsid w:val="006D2054"/>
    <w:rsid w:val="006E1070"/>
    <w:rsid w:val="006E1A9F"/>
    <w:rsid w:val="006F057F"/>
    <w:rsid w:val="00704E4A"/>
    <w:rsid w:val="0071181A"/>
    <w:rsid w:val="0071249D"/>
    <w:rsid w:val="007259EC"/>
    <w:rsid w:val="00727315"/>
    <w:rsid w:val="0073233F"/>
    <w:rsid w:val="00735DAE"/>
    <w:rsid w:val="00746752"/>
    <w:rsid w:val="00786961"/>
    <w:rsid w:val="007936A1"/>
    <w:rsid w:val="007A0BCF"/>
    <w:rsid w:val="007A4747"/>
    <w:rsid w:val="007B628D"/>
    <w:rsid w:val="007D190C"/>
    <w:rsid w:val="007E43D7"/>
    <w:rsid w:val="007F3DE7"/>
    <w:rsid w:val="00816618"/>
    <w:rsid w:val="00820572"/>
    <w:rsid w:val="00837BC1"/>
    <w:rsid w:val="00842B75"/>
    <w:rsid w:val="00843436"/>
    <w:rsid w:val="008619CA"/>
    <w:rsid w:val="00861AD0"/>
    <w:rsid w:val="00871567"/>
    <w:rsid w:val="00871E2C"/>
    <w:rsid w:val="00872FF8"/>
    <w:rsid w:val="00882426"/>
    <w:rsid w:val="008852CE"/>
    <w:rsid w:val="0088656F"/>
    <w:rsid w:val="00891B9F"/>
    <w:rsid w:val="008940E0"/>
    <w:rsid w:val="00897DE7"/>
    <w:rsid w:val="008A454C"/>
    <w:rsid w:val="008B08D6"/>
    <w:rsid w:val="008B0AC3"/>
    <w:rsid w:val="008C3A4A"/>
    <w:rsid w:val="008D7F9C"/>
    <w:rsid w:val="008E399F"/>
    <w:rsid w:val="008E6292"/>
    <w:rsid w:val="00906363"/>
    <w:rsid w:val="0092141A"/>
    <w:rsid w:val="00926DAC"/>
    <w:rsid w:val="00933B90"/>
    <w:rsid w:val="0093410E"/>
    <w:rsid w:val="0093713A"/>
    <w:rsid w:val="009372E0"/>
    <w:rsid w:val="00942EBB"/>
    <w:rsid w:val="00972479"/>
    <w:rsid w:val="00972577"/>
    <w:rsid w:val="009920F8"/>
    <w:rsid w:val="00995176"/>
    <w:rsid w:val="009A08AE"/>
    <w:rsid w:val="009A2337"/>
    <w:rsid w:val="009A4FCA"/>
    <w:rsid w:val="009A7535"/>
    <w:rsid w:val="009B28A1"/>
    <w:rsid w:val="009B3CF3"/>
    <w:rsid w:val="009C7B2D"/>
    <w:rsid w:val="009D240A"/>
    <w:rsid w:val="009F0041"/>
    <w:rsid w:val="009F1AE8"/>
    <w:rsid w:val="009F6C60"/>
    <w:rsid w:val="00A00B04"/>
    <w:rsid w:val="00A21AF7"/>
    <w:rsid w:val="00A345DA"/>
    <w:rsid w:val="00A350E8"/>
    <w:rsid w:val="00A358EE"/>
    <w:rsid w:val="00A44ED2"/>
    <w:rsid w:val="00A45996"/>
    <w:rsid w:val="00A5442D"/>
    <w:rsid w:val="00A56F6E"/>
    <w:rsid w:val="00A62573"/>
    <w:rsid w:val="00A63EC9"/>
    <w:rsid w:val="00A852B5"/>
    <w:rsid w:val="00A93363"/>
    <w:rsid w:val="00A95DCE"/>
    <w:rsid w:val="00AC1964"/>
    <w:rsid w:val="00AD3106"/>
    <w:rsid w:val="00AD4552"/>
    <w:rsid w:val="00AD4F4C"/>
    <w:rsid w:val="00AE555A"/>
    <w:rsid w:val="00AF63ED"/>
    <w:rsid w:val="00AF6B99"/>
    <w:rsid w:val="00B00F6A"/>
    <w:rsid w:val="00B011C3"/>
    <w:rsid w:val="00B03B6F"/>
    <w:rsid w:val="00B06959"/>
    <w:rsid w:val="00B10294"/>
    <w:rsid w:val="00B14E34"/>
    <w:rsid w:val="00B16A2E"/>
    <w:rsid w:val="00B2055E"/>
    <w:rsid w:val="00B30151"/>
    <w:rsid w:val="00B33183"/>
    <w:rsid w:val="00B514C4"/>
    <w:rsid w:val="00B51A11"/>
    <w:rsid w:val="00B51ED4"/>
    <w:rsid w:val="00B54E21"/>
    <w:rsid w:val="00B609A5"/>
    <w:rsid w:val="00B665AB"/>
    <w:rsid w:val="00B716CD"/>
    <w:rsid w:val="00B76E16"/>
    <w:rsid w:val="00B81CB2"/>
    <w:rsid w:val="00B86FD6"/>
    <w:rsid w:val="00B93B28"/>
    <w:rsid w:val="00BA192A"/>
    <w:rsid w:val="00BA44D0"/>
    <w:rsid w:val="00BB164C"/>
    <w:rsid w:val="00BB289A"/>
    <w:rsid w:val="00BB7FAE"/>
    <w:rsid w:val="00BC60DB"/>
    <w:rsid w:val="00BD0AED"/>
    <w:rsid w:val="00BE1A44"/>
    <w:rsid w:val="00BE3C12"/>
    <w:rsid w:val="00BE54DD"/>
    <w:rsid w:val="00BE7961"/>
    <w:rsid w:val="00C01ED7"/>
    <w:rsid w:val="00C03121"/>
    <w:rsid w:val="00C108C1"/>
    <w:rsid w:val="00C20403"/>
    <w:rsid w:val="00C22028"/>
    <w:rsid w:val="00C235F9"/>
    <w:rsid w:val="00C32E9F"/>
    <w:rsid w:val="00C34F42"/>
    <w:rsid w:val="00C70CEB"/>
    <w:rsid w:val="00C7409D"/>
    <w:rsid w:val="00C82F19"/>
    <w:rsid w:val="00C9645B"/>
    <w:rsid w:val="00C974A1"/>
    <w:rsid w:val="00CA5FE2"/>
    <w:rsid w:val="00CB4441"/>
    <w:rsid w:val="00CB6B96"/>
    <w:rsid w:val="00CC20D1"/>
    <w:rsid w:val="00CD03B0"/>
    <w:rsid w:val="00CD1485"/>
    <w:rsid w:val="00CD7CEF"/>
    <w:rsid w:val="00CE0BB4"/>
    <w:rsid w:val="00CE1ACA"/>
    <w:rsid w:val="00CF5D3B"/>
    <w:rsid w:val="00D12958"/>
    <w:rsid w:val="00D1567A"/>
    <w:rsid w:val="00D1789D"/>
    <w:rsid w:val="00D31124"/>
    <w:rsid w:val="00D40160"/>
    <w:rsid w:val="00D418E6"/>
    <w:rsid w:val="00D4691A"/>
    <w:rsid w:val="00D512FD"/>
    <w:rsid w:val="00D62FDB"/>
    <w:rsid w:val="00D8210B"/>
    <w:rsid w:val="00D82584"/>
    <w:rsid w:val="00D93628"/>
    <w:rsid w:val="00DB025B"/>
    <w:rsid w:val="00DD09A6"/>
    <w:rsid w:val="00DD4314"/>
    <w:rsid w:val="00DD57DD"/>
    <w:rsid w:val="00DE481B"/>
    <w:rsid w:val="00E05243"/>
    <w:rsid w:val="00E07651"/>
    <w:rsid w:val="00E14376"/>
    <w:rsid w:val="00E32349"/>
    <w:rsid w:val="00E4182C"/>
    <w:rsid w:val="00E550F4"/>
    <w:rsid w:val="00E56C45"/>
    <w:rsid w:val="00E60392"/>
    <w:rsid w:val="00E67A81"/>
    <w:rsid w:val="00E77D51"/>
    <w:rsid w:val="00E80841"/>
    <w:rsid w:val="00E82F16"/>
    <w:rsid w:val="00EB2D10"/>
    <w:rsid w:val="00EB3205"/>
    <w:rsid w:val="00EC472A"/>
    <w:rsid w:val="00EF1373"/>
    <w:rsid w:val="00EF6159"/>
    <w:rsid w:val="00F071CF"/>
    <w:rsid w:val="00F166B9"/>
    <w:rsid w:val="00F231E8"/>
    <w:rsid w:val="00F24084"/>
    <w:rsid w:val="00F26BA0"/>
    <w:rsid w:val="00F53636"/>
    <w:rsid w:val="00F6382C"/>
    <w:rsid w:val="00F67E81"/>
    <w:rsid w:val="00F7155B"/>
    <w:rsid w:val="00F73D38"/>
    <w:rsid w:val="00F74F81"/>
    <w:rsid w:val="00F75474"/>
    <w:rsid w:val="00F90F0C"/>
    <w:rsid w:val="00F97469"/>
    <w:rsid w:val="00FA29AC"/>
    <w:rsid w:val="00FA5582"/>
    <w:rsid w:val="00FB0604"/>
    <w:rsid w:val="00FB53FE"/>
    <w:rsid w:val="00FE321E"/>
    <w:rsid w:val="00FE3EF8"/>
    <w:rsid w:val="00FE4A0E"/>
    <w:rsid w:val="00FF315B"/>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2E80E9CC-1167-4133-84F0-F172B80E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7CEF"/>
    <w:pPr>
      <w:spacing w:after="0" w:line="240" w:lineRule="auto"/>
    </w:pPr>
  </w:style>
  <w:style w:type="character" w:styleId="Mention">
    <w:name w:val="Mention"/>
    <w:basedOn w:val="DefaultParagraphFont"/>
    <w:uiPriority w:val="99"/>
    <w:unhideWhenUsed/>
    <w:rsid w:val="009725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url.avanan.click/v2/r01/___https://www.eidolonmonitoring.com/monitoring___.YXAzOmJhdGNvbjphOm86OGQ4ZDQzZjM4NGJlYjFiYzEwMzU5ODI1OWFiYmI3YTk6Nzo2M2JjOjFkYjE2MTE0YzQ0MTQ1ZTA1NDZhNmMzOWQzYjViNzllMGNiNzQ3Nzg0MGY4NzRmZTNjNTZhNzVlNzhjODdlMzI6cDpUOk4" TargetMode="External"/><Relationship Id="rId26" Type="http://schemas.openxmlformats.org/officeDocument/2006/relationships/hyperlink" Target="https://url.avanan.click/v2/r01/___http://dx.doi.org/10.1371/journal.pone.0138985___.YXAzOmJhdGNvbjphOm86OGQ4ZDQzZjM4NGJlYjFiYzEwMzU5ODI1OWFiYmI3YTk6NzozMGM1OmU0YzJlODg5ZmY3OGQwM2QwZGUzOGEzYWZhYTg4NmM4Zjk1NGI1ZjA0YTM4ZmFjZjE5MWIzMTQ5ZGE2OWIzODc6cDpUOk4"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url.avanan.click/v2/r01/___http://dx.doi.org/10.1139/z83-299___.YXAzOmJhdGNvbjphOm86OGQ4ZDQzZjM4NGJlYjFiYzEwMzU5ODI1OWFiYmI3YTk6NzplYWY3OjVjODUxYjlhNDc2ZDkzZjc3ZWQzYzFkYWI2ZjllYWM5YmEwN2UyYjA2MmUyNzMxYzdhOTA0MGY5NjY3NjZiZjM6cDpUOk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url.avanan.click/v2/r01/___http://dx.doi.org/10.1111/j.1469-7998.2008.00425.x___.YXAzOmJhdGNvbjphOm86OGQ4ZDQzZjM4NGJlYjFiYzEwMzU5ODI1OWFiYmI3YTk6NzpkMWE4OjJjNzk5OTQ3YzAwMmI0MzJlMmQ1ZjEwOWYwMGFkMWI3M2E4NTBlZDU4NjJhZWU5YWJkMjcxMzY0ODMxYjFkMDI6cDpUOk4"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rl.avanan.click/v2/r01/___https://www.iucnredlist.org/species/7084/22028026___.YXAzOmJhdGNvbjphOm86OGQ4ZDQzZjM4NGJlYjFiYzEwMzU5ODI1OWFiYmI3YTk6NzowYWQ4OjY2MTQ1N2I5MDU3MDIxYjFmNGZiNGM1NDY4M2EyMTBhNzA0YjZiYjNkNTRmMGNkNDdkNzc0ZDVlMjM2ZTUzZjc6cDpUOk4" TargetMode="External"/><Relationship Id="rId31" Type="http://schemas.openxmlformats.org/officeDocument/2006/relationships/hyperlink" Target="https://url.avanan.click/v2/r01/___https://doi.org/10.3161/150811014X683291___.YXAzOmJhdGNvbjphOm86OGQ4ZDQzZjM4NGJlYjFiYzEwMzU5ODI1OWFiYmI3YTk6NzoxYTA3OmZkOGI3M2UxZTI5OWZkMTc5NTJhMDcxNTEzODMxZGE0N2ZlMGZiMjNiMGNhMTgyYjEyZTg2MjFiMGJhYWZlNmU6cDpUOk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url.avanan.click/v2/r01/___http://dx.doi.org/10.1111/j.1469-7998.2005.00020.x___.YXAzOmJhdGNvbjphOm86OGQ4ZDQzZjM4NGJlYjFiYzEwMzU5ODI1OWFiYmI3YTk6Nzo2Y2U3OmE0M2U1M2Y4Mjc0NTllNTJhNDViZGRmNDBlOWNlZTBkZTVlM2RlMDRkZTI3ZWRkM2ZhNTMwM2E3MzIzMDU3MzU6cDpUOk4" TargetMode="External"/><Relationship Id="rId30" Type="http://schemas.openxmlformats.org/officeDocument/2006/relationships/hyperlink" Target="https://url.avanan.click/v2/r01/___http://dx.doi.org/10.1002/9781444329988.ch9___.YXAzOmJhdGNvbjphOm86OGQ4ZDQzZjM4NGJlYjFiYzEwMzU5ODI1OWFiYmI3YTk6NzpiZmI4OmVkZTNlMDNiMjFmMjQxNjA5YmMxY2U3MWViNjBkMjg4OTliMGIwNzY1NGI1N2JhYmU2NTI5NDFiZDk2NjI1NjA6cDpUOk4"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3B0A9FA-2E0A-4D55-BC4F-974E22CBE05D}"/>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4662</Words>
  <Characters>26578</Characters>
  <Application>Microsoft Office Word</Application>
  <DocSecurity>0</DocSecurity>
  <Lines>221</Lines>
  <Paragraphs>62</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31178</CharactersWithSpaces>
  <SharedDoc>false</SharedDoc>
  <HLinks>
    <vt:vector size="48" baseType="variant">
      <vt:variant>
        <vt:i4>65560</vt:i4>
      </vt:variant>
      <vt:variant>
        <vt:i4>21</vt:i4>
      </vt:variant>
      <vt:variant>
        <vt:i4>0</vt:i4>
      </vt:variant>
      <vt:variant>
        <vt:i4>5</vt:i4>
      </vt:variant>
      <vt:variant>
        <vt:lpwstr>https://url.avanan.click/v2/r01/___https://doi.org/10.3161/150811014X683291___.YXAzOmJhdGNvbjphOm86OGQ4ZDQzZjM4NGJlYjFiYzEwMzU5ODI1OWFiYmI3YTk6NzoxYTA3OmZkOGI3M2UxZTI5OWZkMTc5NTJhMDcxNTEzODMxZGE0N2ZlMGZiMjNiMGNhMTgyYjEyZTg2MjFiMGJhYWZlNmU6cDpUOk4</vt:lpwstr>
      </vt:variant>
      <vt:variant>
        <vt:lpwstr/>
      </vt:variant>
      <vt:variant>
        <vt:i4>4587595</vt:i4>
      </vt:variant>
      <vt:variant>
        <vt:i4>18</vt:i4>
      </vt:variant>
      <vt:variant>
        <vt:i4>0</vt:i4>
      </vt:variant>
      <vt:variant>
        <vt:i4>5</vt:i4>
      </vt:variant>
      <vt:variant>
        <vt:lpwstr>https://url.avanan.click/v2/r01/___http://dx.doi.org/10.1002/9781444329988.ch9___.YXAzOmJhdGNvbjphOm86OGQ4ZDQzZjM4NGJlYjFiYzEwMzU5ODI1OWFiYmI3YTk6NzpiZmI4OmVkZTNlMDNiMjFmMjQxNjA5YmMxY2U3MWViNjBkMjg4OTliMGIwNzY1NGI1N2JhYmU2NTI5NDFiZDk2NjI1NjA6cDpUOk4</vt:lpwstr>
      </vt:variant>
      <vt:variant>
        <vt:lpwstr/>
      </vt:variant>
      <vt:variant>
        <vt:i4>7667753</vt:i4>
      </vt:variant>
      <vt:variant>
        <vt:i4>15</vt:i4>
      </vt:variant>
      <vt:variant>
        <vt:i4>0</vt:i4>
      </vt:variant>
      <vt:variant>
        <vt:i4>5</vt:i4>
      </vt:variant>
      <vt:variant>
        <vt:lpwstr>https://url.avanan.click/v2/r01/___http://dx.doi.org/10.1139/z83-299___.YXAzOmJhdGNvbjphOm86OGQ4ZDQzZjM4NGJlYjFiYzEwMzU5ODI1OWFiYmI3YTk6NzplYWY3OjVjODUxYjlhNDc2ZDkzZjc3ZWQzYzFkYWI2ZjllYWM5YmEwN2UyYjA2MmUyNzMxYzdhOTA0MGY5NjY3NjZiZjM6cDpUOk4</vt:lpwstr>
      </vt:variant>
      <vt:variant>
        <vt:lpwstr/>
      </vt:variant>
      <vt:variant>
        <vt:i4>5111894</vt:i4>
      </vt:variant>
      <vt:variant>
        <vt:i4>12</vt:i4>
      </vt:variant>
      <vt:variant>
        <vt:i4>0</vt:i4>
      </vt:variant>
      <vt:variant>
        <vt:i4>5</vt:i4>
      </vt:variant>
      <vt:variant>
        <vt:lpwstr>https://url.avanan.click/v2/r01/___http://dx.doi.org/10.1111/j.1469-7998.2008.00425.x___.YXAzOmJhdGNvbjphOm86OGQ4ZDQzZjM4NGJlYjFiYzEwMzU5ODI1OWFiYmI3YTk6NzpkMWE4OjJjNzk5OTQ3YzAwMmI0MzJlMmQ1ZjEwOWYwMGFkMWI3M2E4NTBlZDU4NjJhZWU5YWJkMjcxMzY0ODMxYjFkMDI6cDpUOk4</vt:lpwstr>
      </vt:variant>
      <vt:variant>
        <vt:lpwstr/>
      </vt:variant>
      <vt:variant>
        <vt:i4>6160479</vt:i4>
      </vt:variant>
      <vt:variant>
        <vt:i4>9</vt:i4>
      </vt:variant>
      <vt:variant>
        <vt:i4>0</vt:i4>
      </vt:variant>
      <vt:variant>
        <vt:i4>5</vt:i4>
      </vt:variant>
      <vt:variant>
        <vt:lpwstr>https://url.avanan.click/v2/r01/___http://dx.doi.org/10.1111/j.1469-7998.2005.00020.x___.YXAzOmJhdGNvbjphOm86OGQ4ZDQzZjM4NGJlYjFiYzEwMzU5ODI1OWFiYmI3YTk6Nzo2Y2U3OmE0M2U1M2Y4Mjc0NTllNTJhNDViZGRmNDBlOWNlZTBkZTVlM2RlMDRkZTI3ZWRkM2ZhNTMwM2E3MzIzMDU3MzU6cDpUOk4</vt:lpwstr>
      </vt:variant>
      <vt:variant>
        <vt:lpwstr/>
      </vt:variant>
      <vt:variant>
        <vt:i4>3211382</vt:i4>
      </vt:variant>
      <vt:variant>
        <vt:i4>6</vt:i4>
      </vt:variant>
      <vt:variant>
        <vt:i4>0</vt:i4>
      </vt:variant>
      <vt:variant>
        <vt:i4>5</vt:i4>
      </vt:variant>
      <vt:variant>
        <vt:lpwstr>https://url.avanan.click/v2/r01/___http://dx.doi.org/10.1371/journal.pone.0138985___.YXAzOmJhdGNvbjphOm86OGQ4ZDQzZjM4NGJlYjFiYzEwMzU5ODI1OWFiYmI3YTk6NzozMGM1OmU0YzJlODg5ZmY3OGQwM2QwZGUzOGEzYWZhYTg4NmM4Zjk1NGI1ZjA0YTM4ZmFjZjE5MWIzMTQ5ZGE2OWIzODc6cDpUOk4</vt:lpwstr>
      </vt:variant>
      <vt:variant>
        <vt:lpwstr/>
      </vt:variant>
      <vt:variant>
        <vt:i4>3604591</vt:i4>
      </vt:variant>
      <vt:variant>
        <vt:i4>3</vt:i4>
      </vt:variant>
      <vt:variant>
        <vt:i4>0</vt:i4>
      </vt:variant>
      <vt:variant>
        <vt:i4>5</vt:i4>
      </vt:variant>
      <vt:variant>
        <vt:lpwstr>https://url.avanan.click/v2/r01/___https://www.iucnredlist.org/species/7084/22028026___.YXAzOmJhdGNvbjphOm86OGQ4ZDQzZjM4NGJlYjFiYzEwMzU5ODI1OWFiYmI3YTk6NzowYWQ4OjY2MTQ1N2I5MDU3MDIxYjFmNGZiNGM1NDY4M2EyMTBhNzA0YjZiYjNkNTRmMGNkNDdkNzc0ZDVlMjM2ZTUzZjc6cDpUOk4</vt:lpwstr>
      </vt:variant>
      <vt:variant>
        <vt:lpwstr/>
      </vt:variant>
      <vt:variant>
        <vt:i4>1310723</vt:i4>
      </vt:variant>
      <vt:variant>
        <vt:i4>0</vt:i4>
      </vt:variant>
      <vt:variant>
        <vt:i4>0</vt:i4>
      </vt:variant>
      <vt:variant>
        <vt:i4>5</vt:i4>
      </vt:variant>
      <vt:variant>
        <vt:lpwstr>https://url.avanan.click/v2/r01/___https://www.eidolonmonitoring.com/monitoring___.YXAzOmJhdGNvbjphOm86OGQ4ZDQzZjM4NGJlYjFiYzEwMzU5ODI1OWFiYmI3YTk6Nzo2M2JjOjFkYjE2MTE0YzQ0MTQ1ZTA1NDZhNmMzOWQzYjViNzllMGNiNzQ3Nzg0MGY4NzRmZTNjNTZhNzVlNzhjODdlMzI6cDpUOk4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Ximena Victoria Cancino Ordenes</cp:lastModifiedBy>
  <cp:revision>12</cp:revision>
  <dcterms:created xsi:type="dcterms:W3CDTF">2025-11-07T11:31:00Z</dcterms:created>
  <dcterms:modified xsi:type="dcterms:W3CDTF">2025-11-11T14:04:00Z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100</vt:r8>
  </property>
  <property fmtid="{D5CDD505-2E9C-101B-9397-08002B2CF9AE}" pid="5" name="TaxKeyword">
    <vt:lpwstr/>
  </property>
</Properties>
</file>