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616823" w:rsidRPr="00BE6C85" w14:paraId="0DF28F29" w14:textId="77777777" w:rsidTr="00375C82">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4A5E07E3" w14:textId="77777777" w:rsidR="00616823" w:rsidRPr="00002A97" w:rsidRDefault="00616823" w:rsidP="00375C82">
            <w:pPr>
              <w:widowControl w:val="0"/>
              <w:suppressAutoHyphens/>
              <w:autoSpaceDE w:val="0"/>
              <w:autoSpaceDN w:val="0"/>
              <w:spacing w:after="0" w:line="240" w:lineRule="auto"/>
              <w:textAlignment w:val="baseline"/>
              <w:rPr>
                <w:rFonts w:ascii="Calibri" w:eastAsia="Calibri" w:hAnsi="Calibri" w:cs="Times New Roman"/>
              </w:rPr>
            </w:pPr>
            <w:bookmarkStart w:id="0" w:name="_Hlk213850153"/>
            <w:r w:rsidRPr="00002A97">
              <w:rPr>
                <w:rFonts w:eastAsia="Times New Roman" w:cs="Arial"/>
                <w:noProof/>
                <w:szCs w:val="24"/>
              </w:rPr>
              <w:drawing>
                <wp:inline distT="0" distB="0" distL="0" distR="0" wp14:anchorId="6161A4C1" wp14:editId="79FA687C">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1461638A" w14:textId="77777777" w:rsidR="00616823" w:rsidRPr="00002A97" w:rsidRDefault="00616823" w:rsidP="00375C82">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73450F6" w14:textId="77777777" w:rsidR="00616823" w:rsidRPr="00002A97" w:rsidRDefault="00616823" w:rsidP="00375C8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2D12F789" w14:textId="77777777" w:rsidR="00616823" w:rsidRPr="00002A97" w:rsidRDefault="00616823" w:rsidP="00375C8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BAF1A83" w14:textId="77777777" w:rsidR="00616823" w:rsidRPr="00002A97" w:rsidRDefault="00616823" w:rsidP="00375C8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798E1F8" w14:textId="38C92C84" w:rsidR="00616823" w:rsidRPr="00457C8A" w:rsidRDefault="00616823" w:rsidP="00375C8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AD5979">
              <w:rPr>
                <w:rFonts w:eastAsia="Times New Roman" w:cs="Arial"/>
                <w:szCs w:val="24"/>
                <w:lang w:val="fr-FR" w:eastAsia="es-ES"/>
              </w:rPr>
              <w:t>31.3.10</w:t>
            </w:r>
          </w:p>
          <w:p w14:paraId="5F219A6B" w14:textId="00CF35F7" w:rsidR="00616823" w:rsidRPr="002C395A" w:rsidRDefault="00AD5979" w:rsidP="00375C8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24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616823" w:rsidRPr="002C395A">
              <w:rPr>
                <w:rFonts w:eastAsia="Times New Roman" w:cs="Arial"/>
                <w:szCs w:val="24"/>
                <w:lang w:val="fr-FR" w:eastAsia="es-ES"/>
              </w:rPr>
              <w:t>2025</w:t>
            </w:r>
          </w:p>
          <w:p w14:paraId="272DE4F9" w14:textId="77777777" w:rsidR="00616823" w:rsidRPr="00002A97" w:rsidRDefault="00616823" w:rsidP="00375C82">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26B5DFBA" w14:textId="77777777" w:rsidR="00616823" w:rsidRPr="000F4BDA" w:rsidRDefault="00616823" w:rsidP="00375C82">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2A54B00C" w14:textId="77777777" w:rsidR="00616823" w:rsidRPr="00002A97" w:rsidRDefault="00616823" w:rsidP="00375C82">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2D6AC05B" w14:textId="77777777" w:rsidR="00616823" w:rsidRPr="00002A97" w:rsidRDefault="00616823" w:rsidP="00616823">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73624031" w14:textId="77777777" w:rsidR="00616823" w:rsidRPr="00002A97" w:rsidRDefault="00616823" w:rsidP="0061682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1B458F8A" w14:textId="77777777" w:rsidR="00616823" w:rsidRPr="00002A97" w:rsidRDefault="00616823" w:rsidP="0061682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56A05ECC" w14:textId="50DDD734" w:rsidR="00616823" w:rsidRPr="00002A97" w:rsidRDefault="00616823" w:rsidP="00616823">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D5979">
        <w:rPr>
          <w:rFonts w:eastAsia="Times New Roman" w:cs="Arial"/>
          <w:szCs w:val="24"/>
          <w:lang w:val="es-ES" w:eastAsia="es-ES"/>
        </w:rPr>
        <w:t xml:space="preserve">31.3.10 </w:t>
      </w:r>
      <w:r w:rsidRPr="00002A97">
        <w:rPr>
          <w:rFonts w:eastAsia="Times New Roman" w:cs="Arial"/>
          <w:szCs w:val="24"/>
          <w:lang w:val="es-ES" w:eastAsia="es-ES"/>
        </w:rPr>
        <w:t>del orden del día</w:t>
      </w:r>
    </w:p>
    <w:bookmarkEnd w:id="0"/>
    <w:p w14:paraId="258B44F2"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3ABD8297" w14:textId="77777777" w:rsidR="00EE7EF9" w:rsidRPr="0081008E" w:rsidRDefault="00EE7EF9" w:rsidP="00EE7EF9">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81008E">
        <w:rPr>
          <w:rFonts w:eastAsia="Times New Roman" w:cs="Arial"/>
          <w:b/>
          <w:bCs/>
          <w:lang w:val="es-ES"/>
        </w:rPr>
        <w:t>PROPUESTA DE ACCIÓN CONCERTADA PARA</w:t>
      </w:r>
    </w:p>
    <w:p w14:paraId="1347A44A" w14:textId="77777777" w:rsidR="00EE7EF9" w:rsidRPr="0081008E" w:rsidRDefault="00EE7EF9" w:rsidP="00EE7EF9">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81008E">
        <w:rPr>
          <w:rFonts w:eastAsia="Times New Roman" w:cs="Arial"/>
          <w:b/>
          <w:bCs/>
          <w:lang w:val="es-ES"/>
        </w:rPr>
        <w:t>LA PARDELA PATICLARA (</w:t>
      </w:r>
      <w:proofErr w:type="spellStart"/>
      <w:r w:rsidRPr="0081008E">
        <w:rPr>
          <w:rFonts w:cs="Arial"/>
          <w:b/>
          <w:bCs/>
          <w:i/>
          <w:iCs/>
          <w:lang w:val="es-ES"/>
        </w:rPr>
        <w:t>Ardenna</w:t>
      </w:r>
      <w:proofErr w:type="spellEnd"/>
      <w:r w:rsidRPr="0081008E">
        <w:rPr>
          <w:rFonts w:cs="Arial"/>
          <w:b/>
          <w:bCs/>
          <w:i/>
          <w:iCs/>
          <w:lang w:val="es-ES"/>
        </w:rPr>
        <w:t xml:space="preserve"> </w:t>
      </w:r>
      <w:proofErr w:type="spellStart"/>
      <w:r w:rsidRPr="0081008E">
        <w:rPr>
          <w:rFonts w:cs="Arial"/>
          <w:b/>
          <w:bCs/>
          <w:i/>
          <w:iCs/>
          <w:lang w:val="es-ES"/>
        </w:rPr>
        <w:t>carneipes</w:t>
      </w:r>
      <w:proofErr w:type="spellEnd"/>
      <w:r w:rsidRPr="0081008E">
        <w:rPr>
          <w:rFonts w:eastAsia="Times New Roman" w:cs="Arial"/>
          <w:b/>
          <w:bCs/>
          <w:lang w:val="es-ES"/>
        </w:rPr>
        <w:t xml:space="preserve">) </w:t>
      </w:r>
    </w:p>
    <w:p w14:paraId="22A41750" w14:textId="7C824400" w:rsidR="00AD4F4C" w:rsidRPr="0081008E" w:rsidRDefault="00EE7EF9" w:rsidP="00EE7EF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81008E">
        <w:rPr>
          <w:rFonts w:eastAsia="Times New Roman" w:cs="Arial"/>
          <w:b/>
          <w:bCs/>
          <w:lang w:val="es-ES"/>
        </w:rPr>
        <w:t>PROPUESTA PARA INCLUSIÓN EN EL APÉNDICE II DE LA CONVENCIÓN*</w:t>
      </w:r>
    </w:p>
    <w:p w14:paraId="2843937F" w14:textId="5C4E1664" w:rsidR="002E0DE9" w:rsidRPr="0081008E"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11EAEC91" w:rsidR="002E0DE9" w:rsidRPr="0081008E" w:rsidRDefault="00EE7EF9"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81008E">
        <w:rPr>
          <w:rFonts w:eastAsia="Times New Roman" w:cs="Arial"/>
          <w:noProof/>
          <w:sz w:val="21"/>
          <w:szCs w:val="21"/>
          <w:lang w:val="es-ES" w:eastAsia="es-ES"/>
        </w:rPr>
        <mc:AlternateContent>
          <mc:Choice Requires="wps">
            <w:drawing>
              <wp:anchor distT="0" distB="0" distL="114300" distR="114300" simplePos="0" relativeHeight="251655680" behindDoc="1" locked="0" layoutInCell="1" allowOverlap="1" wp14:anchorId="6AF39586" wp14:editId="22170FF7">
                <wp:simplePos x="0" y="0"/>
                <wp:positionH relativeFrom="margin">
                  <wp:posOffset>896620</wp:posOffset>
                </wp:positionH>
                <wp:positionV relativeFrom="margin">
                  <wp:posOffset>2656840</wp:posOffset>
                </wp:positionV>
                <wp:extent cx="4304665" cy="1310640"/>
                <wp:effectExtent l="0" t="0" r="19685" b="2286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10640"/>
                        </a:xfrm>
                        <a:prstGeom prst="rect">
                          <a:avLst/>
                        </a:prstGeom>
                        <a:solidFill>
                          <a:srgbClr val="FFFFFF"/>
                        </a:solidFill>
                        <a:ln w="3172">
                          <a:solidFill>
                            <a:srgbClr val="000000"/>
                          </a:solidFill>
                          <a:prstDash val="solid"/>
                        </a:ln>
                      </wps:spPr>
                      <wps:txbx>
                        <w:txbxContent>
                          <w:p w14:paraId="361301A9" w14:textId="77777777" w:rsidR="002E0DE9" w:rsidRPr="0081008E" w:rsidRDefault="002E0DE9" w:rsidP="00F75474">
                            <w:pPr>
                              <w:spacing w:after="0"/>
                              <w:jc w:val="both"/>
                              <w:rPr>
                                <w:rFonts w:cs="Arial"/>
                                <w:lang w:val="es-ES"/>
                              </w:rPr>
                            </w:pPr>
                            <w:r w:rsidRPr="0081008E">
                              <w:rPr>
                                <w:rFonts w:cs="Arial"/>
                                <w:lang w:val="es-ES"/>
                              </w:rPr>
                              <w:t>Resumen:</w:t>
                            </w:r>
                          </w:p>
                          <w:p w14:paraId="12338272" w14:textId="77777777" w:rsidR="002E0DE9" w:rsidRPr="0081008E" w:rsidRDefault="002E0DE9" w:rsidP="00F75474">
                            <w:pPr>
                              <w:spacing w:after="0"/>
                              <w:jc w:val="both"/>
                              <w:rPr>
                                <w:rFonts w:cs="Arial"/>
                                <w:lang w:val="es-ES"/>
                              </w:rPr>
                            </w:pPr>
                          </w:p>
                          <w:p w14:paraId="4047CA36" w14:textId="3AF70F2A" w:rsidR="00EE7EF9" w:rsidRPr="0081008E" w:rsidRDefault="00EE7EF9" w:rsidP="00F75474">
                            <w:pPr>
                              <w:spacing w:after="0"/>
                              <w:jc w:val="both"/>
                              <w:rPr>
                                <w:rFonts w:cs="Arial"/>
                                <w:lang w:val="es-ES"/>
                              </w:rPr>
                            </w:pPr>
                            <w:r w:rsidRPr="0081008E">
                              <w:rPr>
                                <w:rFonts w:cs="Arial"/>
                                <w:lang w:val="es-ES"/>
                              </w:rPr>
                              <w:t xml:space="preserve">Los Gobiernos de Nueva Zelanda y Australia han presentado la propuesta adjunta para una Acción Concertada para la pardela </w:t>
                            </w:r>
                            <w:proofErr w:type="spellStart"/>
                            <w:r w:rsidRPr="0081008E">
                              <w:rPr>
                                <w:rFonts w:cs="Arial"/>
                                <w:lang w:val="es-ES"/>
                              </w:rPr>
                              <w:t>paticlara</w:t>
                            </w:r>
                            <w:proofErr w:type="spellEnd"/>
                            <w:r w:rsidRPr="0081008E">
                              <w:rPr>
                                <w:rFonts w:cs="Arial"/>
                                <w:lang w:val="es-ES"/>
                              </w:rPr>
                              <w:t xml:space="preserve"> (</w:t>
                            </w:r>
                            <w:proofErr w:type="spellStart"/>
                            <w:r w:rsidRPr="0081008E">
                              <w:rPr>
                                <w:rFonts w:cs="Arial"/>
                                <w:i/>
                                <w:iCs/>
                                <w:lang w:val="es-ES"/>
                              </w:rPr>
                              <w:t>Ardenna</w:t>
                            </w:r>
                            <w:proofErr w:type="spellEnd"/>
                            <w:r w:rsidRPr="0081008E">
                              <w:rPr>
                                <w:rFonts w:cs="Arial"/>
                                <w:i/>
                                <w:iCs/>
                                <w:lang w:val="es-ES"/>
                              </w:rPr>
                              <w:t xml:space="preserve"> </w:t>
                            </w:r>
                            <w:proofErr w:type="spellStart"/>
                            <w:r w:rsidRPr="0081008E">
                              <w:rPr>
                                <w:rFonts w:cs="Arial"/>
                                <w:i/>
                                <w:iCs/>
                                <w:lang w:val="es-ES"/>
                              </w:rPr>
                              <w:t>carneipes</w:t>
                            </w:r>
                            <w:proofErr w:type="spellEnd"/>
                            <w:r w:rsidRPr="0081008E">
                              <w:rPr>
                                <w:rFonts w:cs="Arial"/>
                                <w:lang w:val="es-ES"/>
                              </w:rPr>
                              <w:t>), de conformidad con el proceso elaborado en la Resolución 12.28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6pt;margin-top:209.2pt;width:338.95pt;height:103.2pt;z-index:-25166080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" strokeweight=".08811mm">
                <v:textbox>
                  <w:txbxContent>
                    <w:p w14:paraId="361301A9" w14:textId="77777777" w:rsidR="002E0DE9" w:rsidRPr="0081008E" w:rsidRDefault="002E0DE9" w:rsidP="00F75474">
                      <w:pPr>
                        <w:spacing w:after="0"/>
                        <w:jc w:val="both"/>
                        <w:rPr>
                          <w:rFonts w:cs="Arial"/>
                          <w:lang w:val="es-ES"/>
                        </w:rPr>
                      </w:pPr>
                      <w:r w:rsidRPr="0081008E">
                        <w:rPr>
                          <w:rFonts w:cs="Arial"/>
                          <w:lang w:val="es-ES"/>
                        </w:rPr>
                        <w:t>Resumen:</w:t>
                      </w:r>
                    </w:p>
                    <w:p w14:paraId="12338272" w14:textId="77777777" w:rsidR="002E0DE9" w:rsidRPr="0081008E" w:rsidRDefault="002E0DE9" w:rsidP="00F75474">
                      <w:pPr>
                        <w:spacing w:after="0"/>
                        <w:jc w:val="both"/>
                        <w:rPr>
                          <w:rFonts w:cs="Arial"/>
                          <w:lang w:val="es-ES"/>
                        </w:rPr>
                      </w:pPr>
                    </w:p>
                    <w:p w14:paraId="4047CA36" w14:textId="3AF70F2A" w:rsidR="00EE7EF9" w:rsidRPr="0081008E" w:rsidRDefault="00EE7EF9" w:rsidP="00F75474">
                      <w:pPr>
                        <w:spacing w:after="0"/>
                        <w:jc w:val="both"/>
                        <w:rPr>
                          <w:rFonts w:cs="Arial"/>
                          <w:lang w:val="es-ES"/>
                        </w:rPr>
                      </w:pPr>
                      <w:r w:rsidRPr="0081008E">
                        <w:rPr>
                          <w:rFonts w:cs="Arial"/>
                          <w:lang w:val="es-ES"/>
                        </w:rPr>
                        <w:t xml:space="preserve">Los Gobiernos de Nueva Zelanda y Australia han presentado la propuesta adjunta para una Acción Concertada para la pardela </w:t>
                      </w:r>
                      <w:proofErr w:type="spellStart"/>
                      <w:r w:rsidRPr="0081008E">
                        <w:rPr>
                          <w:rFonts w:cs="Arial"/>
                          <w:lang w:val="es-ES"/>
                        </w:rPr>
                        <w:t>paticlara</w:t>
                      </w:r>
                      <w:proofErr w:type="spellEnd"/>
                      <w:r w:rsidRPr="0081008E">
                        <w:rPr>
                          <w:rFonts w:cs="Arial"/>
                          <w:lang w:val="es-ES"/>
                        </w:rPr>
                        <w:t xml:space="preserve"> (</w:t>
                      </w:r>
                      <w:proofErr w:type="spellStart"/>
                      <w:r w:rsidRPr="0081008E">
                        <w:rPr>
                          <w:rFonts w:cs="Arial"/>
                          <w:i/>
                          <w:iCs/>
                          <w:lang w:val="es-ES"/>
                        </w:rPr>
                        <w:t>Ardenna</w:t>
                      </w:r>
                      <w:proofErr w:type="spellEnd"/>
                      <w:r w:rsidRPr="0081008E">
                        <w:rPr>
                          <w:rFonts w:cs="Arial"/>
                          <w:i/>
                          <w:iCs/>
                          <w:lang w:val="es-ES"/>
                        </w:rPr>
                        <w:t xml:space="preserve"> </w:t>
                      </w:r>
                      <w:proofErr w:type="spellStart"/>
                      <w:r w:rsidRPr="0081008E">
                        <w:rPr>
                          <w:rFonts w:cs="Arial"/>
                          <w:i/>
                          <w:iCs/>
                          <w:lang w:val="es-ES"/>
                        </w:rPr>
                        <w:t>carneipes</w:t>
                      </w:r>
                      <w:proofErr w:type="spellEnd"/>
                      <w:r w:rsidRPr="0081008E">
                        <w:rPr>
                          <w:rFonts w:cs="Arial"/>
                          <w:lang w:val="es-ES"/>
                        </w:rPr>
                        <w:t>), de conformidad con el proceso elaborado en la Resolución 12.28 (Rev.COP14).</w:t>
                      </w:r>
                    </w:p>
                  </w:txbxContent>
                </v:textbox>
                <w10:wrap type="square" anchorx="margin" anchory="margin"/>
              </v:shape>
            </w:pict>
          </mc:Fallback>
        </mc:AlternateContent>
      </w:r>
    </w:p>
    <w:p w14:paraId="48B85236" w14:textId="44ABE7DD"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81008E"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81008E"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81008E" w:rsidRDefault="005330F7" w:rsidP="009A2337">
      <w:pPr>
        <w:spacing w:after="0" w:line="240" w:lineRule="auto"/>
        <w:jc w:val="both"/>
        <w:rPr>
          <w:lang w:val="es-ES"/>
        </w:rPr>
      </w:pPr>
    </w:p>
    <w:p w14:paraId="490DC140" w14:textId="77777777" w:rsidR="002E0DE9" w:rsidRPr="0081008E" w:rsidRDefault="002E0DE9" w:rsidP="009A2337">
      <w:pPr>
        <w:spacing w:after="0" w:line="240" w:lineRule="auto"/>
        <w:jc w:val="both"/>
        <w:rPr>
          <w:lang w:val="es-ES"/>
        </w:rPr>
      </w:pPr>
    </w:p>
    <w:p w14:paraId="2FBBA2D8" w14:textId="77777777" w:rsidR="002E0DE9" w:rsidRPr="0081008E" w:rsidRDefault="002E0DE9" w:rsidP="009A2337">
      <w:pPr>
        <w:spacing w:after="0" w:line="240" w:lineRule="auto"/>
        <w:jc w:val="both"/>
        <w:rPr>
          <w:lang w:val="es-ES"/>
        </w:rPr>
      </w:pPr>
    </w:p>
    <w:p w14:paraId="4C631634" w14:textId="77777777" w:rsidR="002E0DE9" w:rsidRPr="0081008E" w:rsidRDefault="002E0DE9" w:rsidP="009A2337">
      <w:pPr>
        <w:spacing w:after="0" w:line="240" w:lineRule="auto"/>
        <w:jc w:val="both"/>
        <w:rPr>
          <w:lang w:val="es-ES"/>
        </w:rPr>
      </w:pPr>
    </w:p>
    <w:p w14:paraId="1057ABA6" w14:textId="77777777" w:rsidR="002E0DE9" w:rsidRPr="0081008E" w:rsidRDefault="002E0DE9" w:rsidP="009A2337">
      <w:pPr>
        <w:spacing w:after="0" w:line="240" w:lineRule="auto"/>
        <w:jc w:val="both"/>
        <w:rPr>
          <w:lang w:val="es-ES"/>
        </w:rPr>
      </w:pPr>
    </w:p>
    <w:p w14:paraId="0E60C238" w14:textId="77777777" w:rsidR="002E0DE9" w:rsidRPr="0081008E" w:rsidRDefault="002E0DE9" w:rsidP="009A2337">
      <w:pPr>
        <w:spacing w:after="0" w:line="240" w:lineRule="auto"/>
        <w:jc w:val="both"/>
        <w:rPr>
          <w:lang w:val="es-ES"/>
        </w:rPr>
      </w:pPr>
    </w:p>
    <w:p w14:paraId="310799B0" w14:textId="77777777" w:rsidR="002E0DE9" w:rsidRPr="0081008E" w:rsidRDefault="002E0DE9" w:rsidP="009A2337">
      <w:pPr>
        <w:spacing w:after="0" w:line="240" w:lineRule="auto"/>
        <w:jc w:val="both"/>
        <w:rPr>
          <w:lang w:val="es-ES"/>
        </w:rPr>
      </w:pPr>
    </w:p>
    <w:p w14:paraId="0B9FC963" w14:textId="77777777" w:rsidR="002E0DE9" w:rsidRPr="0081008E" w:rsidRDefault="002E0DE9" w:rsidP="009A2337">
      <w:pPr>
        <w:spacing w:after="0" w:line="240" w:lineRule="auto"/>
        <w:jc w:val="both"/>
        <w:rPr>
          <w:lang w:val="es-ES"/>
        </w:rPr>
      </w:pPr>
    </w:p>
    <w:p w14:paraId="0BFD8348" w14:textId="77777777" w:rsidR="002E0DE9" w:rsidRPr="0081008E" w:rsidRDefault="002E0DE9" w:rsidP="009A2337">
      <w:pPr>
        <w:spacing w:after="0" w:line="240" w:lineRule="auto"/>
        <w:jc w:val="both"/>
        <w:rPr>
          <w:lang w:val="es-ES"/>
        </w:rPr>
      </w:pPr>
    </w:p>
    <w:p w14:paraId="68099AF7" w14:textId="77777777" w:rsidR="00EE7EF9" w:rsidRPr="0081008E" w:rsidRDefault="00EE7EF9" w:rsidP="009A2337">
      <w:pPr>
        <w:spacing w:after="0" w:line="240" w:lineRule="auto"/>
        <w:jc w:val="both"/>
        <w:rPr>
          <w:lang w:val="es-ES"/>
        </w:rPr>
      </w:pPr>
    </w:p>
    <w:p w14:paraId="4E71D265" w14:textId="77777777" w:rsidR="00EE7EF9" w:rsidRPr="0081008E" w:rsidRDefault="00EE7EF9" w:rsidP="009A2337">
      <w:pPr>
        <w:spacing w:after="0" w:line="240" w:lineRule="auto"/>
        <w:jc w:val="both"/>
        <w:rPr>
          <w:lang w:val="es-ES"/>
        </w:rPr>
      </w:pPr>
    </w:p>
    <w:p w14:paraId="68696918" w14:textId="77777777" w:rsidR="00EE7EF9" w:rsidRPr="0081008E" w:rsidRDefault="00EE7EF9" w:rsidP="009A2337">
      <w:pPr>
        <w:spacing w:after="0" w:line="240" w:lineRule="auto"/>
        <w:jc w:val="both"/>
        <w:rPr>
          <w:lang w:val="es-ES"/>
        </w:rPr>
      </w:pPr>
    </w:p>
    <w:p w14:paraId="090A6FB0" w14:textId="77777777" w:rsidR="00EE7EF9" w:rsidRPr="0081008E" w:rsidRDefault="00EE7EF9" w:rsidP="009A2337">
      <w:pPr>
        <w:spacing w:after="0" w:line="240" w:lineRule="auto"/>
        <w:jc w:val="both"/>
        <w:rPr>
          <w:lang w:val="es-ES"/>
        </w:rPr>
      </w:pPr>
    </w:p>
    <w:p w14:paraId="6521ECB6" w14:textId="77777777" w:rsidR="00EE7EF9" w:rsidRPr="0081008E" w:rsidRDefault="00EE7EF9" w:rsidP="009A2337">
      <w:pPr>
        <w:spacing w:after="0" w:line="240" w:lineRule="auto"/>
        <w:jc w:val="both"/>
        <w:rPr>
          <w:lang w:val="es-ES"/>
        </w:rPr>
      </w:pPr>
    </w:p>
    <w:p w14:paraId="75230D54" w14:textId="77777777" w:rsidR="00EE7EF9" w:rsidRPr="0081008E" w:rsidRDefault="00EE7EF9" w:rsidP="009A2337">
      <w:pPr>
        <w:spacing w:after="0" w:line="240" w:lineRule="auto"/>
        <w:jc w:val="both"/>
        <w:rPr>
          <w:lang w:val="es-ES"/>
        </w:rPr>
      </w:pPr>
    </w:p>
    <w:p w14:paraId="485AFFAE" w14:textId="77777777" w:rsidR="00EE7EF9" w:rsidRPr="0081008E" w:rsidRDefault="00EE7EF9" w:rsidP="009A2337">
      <w:pPr>
        <w:spacing w:after="0" w:line="240" w:lineRule="auto"/>
        <w:jc w:val="both"/>
        <w:rPr>
          <w:lang w:val="es-ES"/>
        </w:rPr>
      </w:pPr>
    </w:p>
    <w:p w14:paraId="00CAD53B" w14:textId="77777777" w:rsidR="00EE7EF9" w:rsidRPr="0081008E" w:rsidRDefault="00EE7EF9" w:rsidP="009A2337">
      <w:pPr>
        <w:spacing w:after="0" w:line="240" w:lineRule="auto"/>
        <w:jc w:val="both"/>
        <w:rPr>
          <w:lang w:val="es-ES"/>
        </w:rPr>
      </w:pPr>
    </w:p>
    <w:p w14:paraId="6E93B4B8" w14:textId="77777777" w:rsidR="00EE7EF9" w:rsidRPr="0081008E" w:rsidRDefault="00EE7EF9" w:rsidP="009A2337">
      <w:pPr>
        <w:spacing w:after="0" w:line="240" w:lineRule="auto"/>
        <w:jc w:val="both"/>
        <w:rPr>
          <w:lang w:val="es-ES"/>
        </w:rPr>
      </w:pPr>
    </w:p>
    <w:p w14:paraId="4B9B3D50" w14:textId="77777777" w:rsidR="00EE7EF9" w:rsidRPr="0081008E" w:rsidRDefault="00EE7EF9" w:rsidP="009A2337">
      <w:pPr>
        <w:spacing w:after="0" w:line="240" w:lineRule="auto"/>
        <w:jc w:val="both"/>
        <w:rPr>
          <w:lang w:val="es-ES"/>
        </w:rPr>
      </w:pPr>
    </w:p>
    <w:p w14:paraId="3E662EE3" w14:textId="2F18D38D" w:rsidR="006A7DC4" w:rsidRPr="00A957D4" w:rsidRDefault="00A957D4" w:rsidP="00A957D4">
      <w:pPr>
        <w:widowControl w:val="0"/>
        <w:suppressAutoHyphens/>
        <w:autoSpaceDE w:val="0"/>
        <w:autoSpaceDN w:val="0"/>
        <w:spacing w:after="0" w:line="240" w:lineRule="auto"/>
        <w:textAlignment w:val="baseline"/>
        <w:rPr>
          <w:lang w:val="es-ES"/>
        </w:rPr>
      </w:pPr>
      <w:r w:rsidRPr="00830C68">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r w:rsidR="006A7DC4" w:rsidRPr="00A957D4">
        <w:rPr>
          <w:lang w:val="es-ES"/>
        </w:rPr>
        <w:br w:type="page"/>
      </w:r>
    </w:p>
    <w:p w14:paraId="023F5213" w14:textId="77777777" w:rsidR="00A957D4" w:rsidRPr="0081008E" w:rsidRDefault="00A957D4" w:rsidP="00A957D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81008E">
        <w:rPr>
          <w:rFonts w:eastAsia="Times New Roman" w:cs="Arial"/>
          <w:b/>
          <w:bCs/>
          <w:lang w:val="es-ES"/>
        </w:rPr>
        <w:lastRenderedPageBreak/>
        <w:t>PROPUESTA DE ACCIÓN CONCERTADA PARA</w:t>
      </w:r>
    </w:p>
    <w:p w14:paraId="523C413F" w14:textId="77777777" w:rsidR="00A957D4" w:rsidRPr="0081008E" w:rsidRDefault="00A957D4" w:rsidP="00A957D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81008E">
        <w:rPr>
          <w:rFonts w:eastAsia="Times New Roman" w:cs="Arial"/>
          <w:b/>
          <w:bCs/>
          <w:lang w:val="es-ES"/>
        </w:rPr>
        <w:t>LA PARDELA PATICLARA (</w:t>
      </w:r>
      <w:proofErr w:type="spellStart"/>
      <w:r w:rsidRPr="0081008E">
        <w:rPr>
          <w:rFonts w:cs="Arial"/>
          <w:b/>
          <w:bCs/>
          <w:i/>
          <w:iCs/>
          <w:lang w:val="es-ES"/>
        </w:rPr>
        <w:t>Ardenna</w:t>
      </w:r>
      <w:proofErr w:type="spellEnd"/>
      <w:r w:rsidRPr="0081008E">
        <w:rPr>
          <w:rFonts w:cs="Arial"/>
          <w:b/>
          <w:bCs/>
          <w:i/>
          <w:iCs/>
          <w:lang w:val="es-ES"/>
        </w:rPr>
        <w:t xml:space="preserve"> </w:t>
      </w:r>
      <w:proofErr w:type="spellStart"/>
      <w:r w:rsidRPr="0081008E">
        <w:rPr>
          <w:rFonts w:cs="Arial"/>
          <w:b/>
          <w:bCs/>
          <w:i/>
          <w:iCs/>
          <w:lang w:val="es-ES"/>
        </w:rPr>
        <w:t>carneipes</w:t>
      </w:r>
      <w:proofErr w:type="spellEnd"/>
      <w:r w:rsidRPr="0081008E">
        <w:rPr>
          <w:rFonts w:eastAsia="Times New Roman" w:cs="Arial"/>
          <w:b/>
          <w:bCs/>
          <w:lang w:val="es-ES"/>
        </w:rPr>
        <w:t xml:space="preserve">) </w:t>
      </w:r>
    </w:p>
    <w:p w14:paraId="26B34A5E" w14:textId="6C9FFD61" w:rsidR="00EE7EF9" w:rsidRPr="0081008E" w:rsidRDefault="00A957D4" w:rsidP="00A957D4">
      <w:pPr>
        <w:jc w:val="center"/>
        <w:rPr>
          <w:rFonts w:cs="Arial"/>
          <w:b/>
          <w:bCs/>
          <w:lang w:val="es-ES"/>
        </w:rPr>
      </w:pPr>
      <w:r w:rsidRPr="0081008E">
        <w:rPr>
          <w:rFonts w:eastAsia="Times New Roman" w:cs="Arial"/>
          <w:b/>
          <w:bCs/>
          <w:lang w:val="es-ES"/>
        </w:rPr>
        <w:t>PROPUESTA PARA INCLUSIÓN EN EL APÉNDICE II DE LA CONVENCIÓN</w:t>
      </w:r>
    </w:p>
    <w:p w14:paraId="58752471" w14:textId="77777777" w:rsidR="00EE7EF9" w:rsidRPr="0081008E" w:rsidRDefault="00EE7EF9" w:rsidP="00EE7EF9">
      <w:pPr>
        <w:suppressAutoHyphens/>
        <w:autoSpaceDN w:val="0"/>
        <w:spacing w:after="0" w:line="240" w:lineRule="auto"/>
        <w:textAlignment w:val="baseline"/>
        <w:rPr>
          <w:rFonts w:cs="Arial"/>
          <w:b/>
          <w:bCs/>
          <w:lang w:val="es-ES"/>
        </w:rPr>
      </w:pPr>
    </w:p>
    <w:p w14:paraId="2F1247E9" w14:textId="77777777" w:rsidR="00EE7EF9" w:rsidRPr="0081008E" w:rsidRDefault="00EE7EF9" w:rsidP="00EE7EF9">
      <w:pPr>
        <w:suppressAutoHyphens/>
        <w:autoSpaceDN w:val="0"/>
        <w:spacing w:after="0" w:line="240" w:lineRule="auto"/>
        <w:textAlignment w:val="baseline"/>
        <w:rPr>
          <w:rFonts w:cs="Arial"/>
          <w:b/>
          <w:bCs/>
          <w:lang w:val="es-ES"/>
        </w:rPr>
      </w:pPr>
    </w:p>
    <w:p w14:paraId="51D3A696"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bCs/>
          <w:lang w:val="es-ES"/>
        </w:rPr>
        <w:t>Proponentes:</w:t>
      </w:r>
      <w:r w:rsidRPr="0081008E">
        <w:rPr>
          <w:rFonts w:cs="Arial"/>
          <w:lang w:val="es-ES"/>
        </w:rPr>
        <w:t xml:space="preserve"> </w:t>
      </w:r>
    </w:p>
    <w:p w14:paraId="123630A1" w14:textId="77777777" w:rsidR="00EE7EF9" w:rsidRPr="0081008E" w:rsidRDefault="00EE7EF9" w:rsidP="00EE7EF9">
      <w:pPr>
        <w:suppressAutoHyphens/>
        <w:autoSpaceDN w:val="0"/>
        <w:spacing w:after="0" w:line="240" w:lineRule="auto"/>
        <w:jc w:val="both"/>
        <w:textAlignment w:val="baseline"/>
        <w:rPr>
          <w:rFonts w:cs="Arial"/>
          <w:lang w:val="es-ES"/>
        </w:rPr>
      </w:pPr>
    </w:p>
    <w:p w14:paraId="4738C181" w14:textId="3FAAB031"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Gobiernos de Nueva Zelanda y Australia.</w:t>
      </w:r>
    </w:p>
    <w:p w14:paraId="67644508" w14:textId="77777777" w:rsidR="00EE7EF9" w:rsidRPr="0081008E" w:rsidRDefault="00EE7EF9" w:rsidP="00EE7EF9">
      <w:pPr>
        <w:spacing w:after="0" w:line="240" w:lineRule="auto"/>
        <w:ind w:left="540" w:hanging="540"/>
        <w:jc w:val="both"/>
        <w:rPr>
          <w:rFonts w:cs="Arial"/>
          <w:lang w:val="es-ES"/>
        </w:rPr>
      </w:pPr>
    </w:p>
    <w:p w14:paraId="0CB93593"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lang w:val="es-ES"/>
        </w:rPr>
        <w:t>Especies objetivo, taxón inferior o población, o grupo de taxones con necesidades en común:</w:t>
      </w:r>
      <w:r w:rsidRPr="0081008E">
        <w:rPr>
          <w:rFonts w:cs="Arial"/>
          <w:lang w:val="es-ES"/>
        </w:rPr>
        <w:t xml:space="preserve"> </w:t>
      </w:r>
    </w:p>
    <w:p w14:paraId="02982B45" w14:textId="77777777" w:rsidR="00EE7EF9" w:rsidRPr="0081008E" w:rsidRDefault="00EE7EF9" w:rsidP="00EE7EF9">
      <w:pPr>
        <w:pStyle w:val="ListParagraph"/>
        <w:suppressAutoHyphens/>
        <w:autoSpaceDN w:val="0"/>
        <w:spacing w:after="0" w:line="240" w:lineRule="auto"/>
        <w:ind w:left="540"/>
        <w:jc w:val="both"/>
        <w:textAlignment w:val="baseline"/>
        <w:rPr>
          <w:rFonts w:cs="Arial"/>
          <w:lang w:val="es-ES"/>
        </w:rPr>
      </w:pPr>
    </w:p>
    <w:p w14:paraId="384910EF" w14:textId="1F8D162B" w:rsidR="00EE7EF9" w:rsidRPr="0081008E" w:rsidRDefault="00EE7EF9" w:rsidP="00EE7EF9">
      <w:pPr>
        <w:pStyle w:val="ListParagraph"/>
        <w:suppressAutoHyphens/>
        <w:autoSpaceDN w:val="0"/>
        <w:spacing w:after="0" w:line="240" w:lineRule="auto"/>
        <w:ind w:left="0"/>
        <w:jc w:val="both"/>
        <w:textAlignment w:val="baseline"/>
        <w:rPr>
          <w:rFonts w:cs="Arial"/>
          <w:lang w:val="es-ES"/>
        </w:rPr>
      </w:pPr>
      <w:r w:rsidRPr="0081008E">
        <w:rPr>
          <w:rFonts w:cs="Arial"/>
          <w:lang w:val="es-ES"/>
        </w:rPr>
        <w:t xml:space="preserve">Pardela </w:t>
      </w:r>
      <w:proofErr w:type="spellStart"/>
      <w:r w:rsidRPr="0081008E">
        <w:rPr>
          <w:rFonts w:cs="Arial"/>
          <w:lang w:val="es-ES"/>
        </w:rPr>
        <w:t>paticlara</w:t>
      </w:r>
      <w:proofErr w:type="spellEnd"/>
      <w:r w:rsidRPr="0081008E">
        <w:rPr>
          <w:rFonts w:cs="Arial"/>
          <w:i/>
          <w:iCs/>
          <w:lang w:val="es-ES"/>
        </w:rPr>
        <w:t xml:space="preserve"> </w:t>
      </w:r>
      <w:r w:rsidRPr="0081008E">
        <w:rPr>
          <w:rFonts w:cs="Arial"/>
          <w:lang w:val="es-ES"/>
        </w:rPr>
        <w:t>(</w:t>
      </w:r>
      <w:proofErr w:type="spellStart"/>
      <w:r w:rsidRPr="0081008E">
        <w:rPr>
          <w:rFonts w:cs="Arial"/>
          <w:i/>
          <w:iCs/>
          <w:lang w:val="es-ES"/>
        </w:rPr>
        <w:t>Ardenna</w:t>
      </w:r>
      <w:proofErr w:type="spellEnd"/>
      <w:r w:rsidRPr="0081008E">
        <w:rPr>
          <w:rFonts w:cs="Arial"/>
          <w:i/>
          <w:iCs/>
          <w:lang w:val="es-ES"/>
        </w:rPr>
        <w:t xml:space="preserve"> </w:t>
      </w:r>
      <w:proofErr w:type="spellStart"/>
      <w:r w:rsidRPr="0081008E">
        <w:rPr>
          <w:rFonts w:cs="Arial"/>
          <w:i/>
          <w:iCs/>
          <w:lang w:val="es-ES"/>
        </w:rPr>
        <w:t>carneipes</w:t>
      </w:r>
      <w:proofErr w:type="spellEnd"/>
      <w:r w:rsidRPr="0081008E">
        <w:rPr>
          <w:rFonts w:cs="Arial"/>
          <w:lang w:val="es-ES"/>
        </w:rPr>
        <w:t xml:space="preserve">) </w:t>
      </w:r>
    </w:p>
    <w:p w14:paraId="661B7411" w14:textId="77777777" w:rsidR="00EE7EF9" w:rsidRPr="0081008E" w:rsidRDefault="00EE7EF9" w:rsidP="00EE7EF9">
      <w:pPr>
        <w:spacing w:after="0" w:line="240" w:lineRule="auto"/>
        <w:ind w:left="540" w:hanging="540"/>
        <w:jc w:val="both"/>
        <w:rPr>
          <w:rFonts w:cs="Arial"/>
          <w:lang w:val="es-ES"/>
        </w:rPr>
      </w:pPr>
    </w:p>
    <w:p w14:paraId="7CEAC336"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bCs/>
          <w:lang w:val="es-ES"/>
        </w:rPr>
        <w:t>Ámbito geográfico:</w:t>
      </w:r>
      <w:r w:rsidRPr="0081008E">
        <w:rPr>
          <w:rFonts w:cs="Arial"/>
          <w:lang w:val="es-ES"/>
        </w:rPr>
        <w:t xml:space="preserve"> </w:t>
      </w:r>
    </w:p>
    <w:p w14:paraId="74537996" w14:textId="77777777" w:rsidR="00EE7EF9" w:rsidRPr="0081008E" w:rsidRDefault="00EE7EF9" w:rsidP="00EE7EF9">
      <w:pPr>
        <w:suppressAutoHyphens/>
        <w:autoSpaceDN w:val="0"/>
        <w:spacing w:after="0" w:line="240" w:lineRule="auto"/>
        <w:jc w:val="both"/>
        <w:textAlignment w:val="baseline"/>
        <w:rPr>
          <w:rFonts w:cs="Arial"/>
          <w:lang w:val="es-ES"/>
        </w:rPr>
      </w:pPr>
    </w:p>
    <w:p w14:paraId="4640A8CF" w14:textId="554FE00F"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Las pardelas </w:t>
      </w:r>
      <w:proofErr w:type="spellStart"/>
      <w:r w:rsidRPr="0081008E">
        <w:rPr>
          <w:rFonts w:cs="Arial"/>
          <w:lang w:val="es-ES"/>
        </w:rPr>
        <w:t>paticlaras</w:t>
      </w:r>
      <w:proofErr w:type="spellEnd"/>
      <w:r w:rsidRPr="0081008E">
        <w:rPr>
          <w:rFonts w:cs="Arial"/>
          <w:lang w:val="es-ES"/>
        </w:rPr>
        <w:t xml:space="preserve"> anidan durante el verano austral en islas del norte de Nueva Zelanda, en la isla Lord Howe frente a la costa oriental de Australia, en islas frente a Australia Meridional y Australia Occidental, y en las islas Saint Paul y Ámsterdam, un territorio francés en el Océano Índico. Las aves no reproductoras y juveniles migran a través de aguas tropicales hacia el hemisferio norte, especialmente hacia las aguas del extremo nororiental de Asia.</w:t>
      </w:r>
    </w:p>
    <w:p w14:paraId="3998F7F9" w14:textId="77777777" w:rsidR="00EE7EF9" w:rsidRPr="0081008E" w:rsidRDefault="00EE7EF9" w:rsidP="00EE7EF9">
      <w:pPr>
        <w:pStyle w:val="ListParagraph"/>
        <w:spacing w:after="0" w:line="240" w:lineRule="auto"/>
        <w:jc w:val="both"/>
        <w:rPr>
          <w:rFonts w:cs="Arial"/>
          <w:b/>
          <w:lang w:val="es-ES"/>
        </w:rPr>
      </w:pPr>
    </w:p>
    <w:p w14:paraId="753A11AF"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lang w:val="es-ES"/>
        </w:rPr>
        <w:t>Resumen de actividades:</w:t>
      </w:r>
      <w:r w:rsidRPr="0081008E">
        <w:rPr>
          <w:rFonts w:cs="Arial"/>
          <w:lang w:val="es-ES"/>
        </w:rPr>
        <w:t xml:space="preserve"> </w:t>
      </w:r>
    </w:p>
    <w:p w14:paraId="63974B84" w14:textId="77777777" w:rsidR="00EE7EF9" w:rsidRPr="0081008E" w:rsidRDefault="00EE7EF9" w:rsidP="00EE7EF9">
      <w:pPr>
        <w:suppressAutoHyphens/>
        <w:autoSpaceDN w:val="0"/>
        <w:spacing w:after="0" w:line="240" w:lineRule="auto"/>
        <w:jc w:val="both"/>
        <w:textAlignment w:val="baseline"/>
        <w:rPr>
          <w:rFonts w:cs="Arial"/>
          <w:lang w:val="es-ES"/>
        </w:rPr>
      </w:pPr>
    </w:p>
    <w:p w14:paraId="3C6DDF14" w14:textId="4FC56A99"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Esta Acción Concertada se centra en gestionar la captura incidental en pesquerías, considerada la mayor amenaza para la pardela </w:t>
      </w:r>
      <w:proofErr w:type="spellStart"/>
      <w:r w:rsidRPr="0081008E">
        <w:rPr>
          <w:rFonts w:cs="Arial"/>
          <w:lang w:val="es-ES"/>
        </w:rPr>
        <w:t>paticlara</w:t>
      </w:r>
      <w:proofErr w:type="spellEnd"/>
      <w:r w:rsidRPr="0081008E">
        <w:rPr>
          <w:rFonts w:cs="Arial"/>
          <w:lang w:val="es-ES"/>
        </w:rPr>
        <w:t xml:space="preserve">. Esta amenaza se produce tanto en jurisdicciones nacionales como en alta mar. </w:t>
      </w:r>
    </w:p>
    <w:p w14:paraId="44F5830C" w14:textId="77777777" w:rsidR="00EE7EF9" w:rsidRPr="0081008E" w:rsidRDefault="00EE7EF9" w:rsidP="00EE7EF9">
      <w:pPr>
        <w:suppressAutoHyphens/>
        <w:autoSpaceDN w:val="0"/>
        <w:spacing w:after="0" w:line="240" w:lineRule="auto"/>
        <w:jc w:val="both"/>
        <w:textAlignment w:val="baseline"/>
        <w:rPr>
          <w:rFonts w:cs="Arial"/>
          <w:lang w:val="es-ES"/>
        </w:rPr>
      </w:pPr>
    </w:p>
    <w:p w14:paraId="39465C9F" w14:textId="6FEF289A" w:rsidR="00EE7EF9" w:rsidRPr="0081008E" w:rsidRDefault="00EE7EF9" w:rsidP="00EE7EF9">
      <w:pPr>
        <w:suppressAutoHyphens/>
        <w:autoSpaceDN w:val="0"/>
        <w:spacing w:after="80" w:line="240" w:lineRule="auto"/>
        <w:jc w:val="both"/>
        <w:textAlignment w:val="baseline"/>
        <w:rPr>
          <w:rFonts w:cs="Arial"/>
          <w:lang w:val="es-ES"/>
        </w:rPr>
      </w:pPr>
      <w:r w:rsidRPr="0081008E">
        <w:rPr>
          <w:rFonts w:cs="Arial"/>
          <w:lang w:val="es-ES"/>
        </w:rPr>
        <w:t xml:space="preserve">Las actividades para abordar la captura incidental en pesquerías en el marco de esta Acción Concertada incluyen: </w:t>
      </w:r>
    </w:p>
    <w:p w14:paraId="5B5C1541" w14:textId="77777777" w:rsidR="00EE7EF9" w:rsidRPr="0081008E" w:rsidRDefault="00EE7EF9" w:rsidP="00EE7EF9">
      <w:pPr>
        <w:pStyle w:val="ListParagraph"/>
        <w:numPr>
          <w:ilvl w:val="0"/>
          <w:numId w:val="12"/>
        </w:numPr>
        <w:suppressAutoHyphens/>
        <w:autoSpaceDN w:val="0"/>
        <w:spacing w:after="80" w:line="240" w:lineRule="auto"/>
        <w:contextualSpacing w:val="0"/>
        <w:jc w:val="both"/>
        <w:textAlignment w:val="baseline"/>
        <w:rPr>
          <w:rFonts w:cs="Arial"/>
          <w:lang w:val="es-ES"/>
        </w:rPr>
      </w:pPr>
      <w:r w:rsidRPr="0081008E">
        <w:rPr>
          <w:rFonts w:cs="Arial"/>
          <w:lang w:val="es-ES"/>
        </w:rPr>
        <w:t xml:space="preserve">el uso de medidas eficaces de mitigación de captura incidental de aves marinas en operaciones de pesca con palangre de fondo y arrastre, así como la supervisión y el cumplimiento asociados; </w:t>
      </w:r>
    </w:p>
    <w:p w14:paraId="76A8421D" w14:textId="77777777" w:rsidR="00EE7EF9" w:rsidRPr="0081008E" w:rsidRDefault="00EE7EF9" w:rsidP="00EE7EF9">
      <w:pPr>
        <w:pStyle w:val="ListParagraph"/>
        <w:numPr>
          <w:ilvl w:val="0"/>
          <w:numId w:val="12"/>
        </w:numPr>
        <w:suppressAutoHyphens/>
        <w:autoSpaceDN w:val="0"/>
        <w:spacing w:after="80" w:line="240" w:lineRule="auto"/>
        <w:jc w:val="both"/>
        <w:textAlignment w:val="baseline"/>
        <w:rPr>
          <w:rFonts w:cs="Arial"/>
          <w:lang w:val="es-ES"/>
        </w:rPr>
      </w:pPr>
      <w:r w:rsidRPr="0081008E">
        <w:rPr>
          <w:rFonts w:cs="Arial"/>
          <w:lang w:val="es-ES"/>
        </w:rPr>
        <w:t xml:space="preserve">el intercambio de datos y la evaluación del riesgo de captura incidental para cuantificar mejor los niveles de riesgo entre la diversa gama de pesquerías a lo largo del área de distribución de la especie, y promover el uso de medidas eficaces de mitigación de captura incidental de aves marinas cuando corresponda; y </w:t>
      </w:r>
    </w:p>
    <w:p w14:paraId="2FFD5B21" w14:textId="77777777" w:rsidR="00EE7EF9" w:rsidRPr="0081008E" w:rsidRDefault="00EE7EF9" w:rsidP="00EE7EF9">
      <w:pPr>
        <w:pStyle w:val="ListParagraph"/>
        <w:numPr>
          <w:ilvl w:val="0"/>
          <w:numId w:val="12"/>
        </w:numPr>
        <w:suppressAutoHyphens/>
        <w:autoSpaceDN w:val="0"/>
        <w:spacing w:after="0" w:line="240" w:lineRule="auto"/>
        <w:contextualSpacing w:val="0"/>
        <w:jc w:val="both"/>
        <w:textAlignment w:val="baseline"/>
        <w:rPr>
          <w:rFonts w:cs="Arial"/>
          <w:lang w:val="es-ES"/>
        </w:rPr>
      </w:pPr>
      <w:r w:rsidRPr="0081008E">
        <w:rPr>
          <w:rFonts w:cs="Arial"/>
          <w:lang w:val="es-ES"/>
        </w:rPr>
        <w:t>la recopilación de datos de otras pesquerías, como la pesca de calamar con potera, donde puede existir riesgo de captura incidental, colisión con embarcaciones u otros efectos indirectos.</w:t>
      </w:r>
    </w:p>
    <w:p w14:paraId="259DDFED" w14:textId="77777777" w:rsidR="00EE7EF9" w:rsidRPr="0081008E" w:rsidRDefault="00EE7EF9" w:rsidP="00EE7EF9">
      <w:pPr>
        <w:pStyle w:val="ListParagraph"/>
        <w:spacing w:after="0" w:line="240" w:lineRule="auto"/>
        <w:jc w:val="both"/>
        <w:rPr>
          <w:rFonts w:cs="Arial"/>
          <w:lang w:val="es-ES"/>
        </w:rPr>
      </w:pPr>
    </w:p>
    <w:p w14:paraId="34A43FE5"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Otras actividades, como mantener la protección y la cuarentena de los sitios de reproducción para evitar la incursión de mamíferos depredadores introducidos, y la investigación para comprender mejor la dinámica poblacional y el comportamiento de forrajeo, están incluidas en esta Acción Concertada. La evaluación cuantitativa del riesgo derivado de la contaminación por plásticos y el cambio climático también está incluida, ya que estas amenazas se intensifican debido a la naturaleza altamente migratoria de la especie.</w:t>
      </w:r>
    </w:p>
    <w:p w14:paraId="1C3401E5" w14:textId="77777777" w:rsidR="00EE7EF9" w:rsidRPr="0081008E" w:rsidRDefault="00EE7EF9" w:rsidP="00EE7EF9">
      <w:pPr>
        <w:pStyle w:val="ListParagraph"/>
        <w:suppressAutoHyphens/>
        <w:autoSpaceDN w:val="0"/>
        <w:spacing w:after="0" w:line="240" w:lineRule="auto"/>
        <w:ind w:left="540"/>
        <w:contextualSpacing w:val="0"/>
        <w:jc w:val="both"/>
        <w:textAlignment w:val="baseline"/>
        <w:rPr>
          <w:rFonts w:cs="Arial"/>
          <w:lang w:val="es-ES"/>
        </w:rPr>
      </w:pPr>
    </w:p>
    <w:p w14:paraId="12396F88" w14:textId="77777777" w:rsidR="00EE7EF9" w:rsidRPr="0081008E" w:rsidRDefault="00EE7EF9" w:rsidP="00EE7EF9">
      <w:pPr>
        <w:suppressAutoHyphens/>
        <w:autoSpaceDN w:val="0"/>
        <w:spacing w:after="80" w:line="240" w:lineRule="auto"/>
        <w:jc w:val="both"/>
        <w:textAlignment w:val="baseline"/>
        <w:rPr>
          <w:rFonts w:cs="Arial"/>
          <w:lang w:val="es-ES"/>
        </w:rPr>
      </w:pPr>
      <w:r w:rsidRPr="0081008E">
        <w:rPr>
          <w:rFonts w:cs="Arial"/>
          <w:lang w:val="es-ES"/>
        </w:rPr>
        <w:t>Las actividades y los resultados esperados en el marco de esta Acción Concertada abarcan las siguientes áreas de trabajo:</w:t>
      </w:r>
    </w:p>
    <w:p w14:paraId="407876DE" w14:textId="77777777" w:rsidR="00EE7EF9" w:rsidRPr="0081008E" w:rsidRDefault="00EE7EF9" w:rsidP="00EE7EF9">
      <w:pPr>
        <w:pStyle w:val="ListParagraph"/>
        <w:numPr>
          <w:ilvl w:val="0"/>
          <w:numId w:val="13"/>
        </w:numPr>
        <w:suppressAutoHyphens/>
        <w:autoSpaceDN w:val="0"/>
        <w:spacing w:after="80" w:line="240" w:lineRule="auto"/>
        <w:ind w:left="907"/>
        <w:contextualSpacing w:val="0"/>
        <w:jc w:val="both"/>
        <w:textAlignment w:val="baseline"/>
        <w:rPr>
          <w:rFonts w:cs="Arial"/>
          <w:lang w:val="es-ES"/>
        </w:rPr>
      </w:pPr>
      <w:r w:rsidRPr="0081008E">
        <w:rPr>
          <w:rFonts w:cs="Arial"/>
          <w:lang w:val="es-ES"/>
        </w:rPr>
        <w:t>captura incidental a causa de la pesca en las jurisdicciones de los Estados del área de distribución;</w:t>
      </w:r>
    </w:p>
    <w:p w14:paraId="687500E8" w14:textId="77777777" w:rsidR="00EE7EF9" w:rsidRPr="0081008E" w:rsidRDefault="00EE7EF9" w:rsidP="00EE7EF9">
      <w:pPr>
        <w:pStyle w:val="ListParagraph"/>
        <w:numPr>
          <w:ilvl w:val="0"/>
          <w:numId w:val="13"/>
        </w:numPr>
        <w:suppressAutoHyphens/>
        <w:autoSpaceDN w:val="0"/>
        <w:spacing w:after="80" w:line="240" w:lineRule="auto"/>
        <w:ind w:left="907"/>
        <w:contextualSpacing w:val="0"/>
        <w:jc w:val="both"/>
        <w:textAlignment w:val="baseline"/>
        <w:rPr>
          <w:rFonts w:cs="Arial"/>
          <w:lang w:val="es-ES"/>
        </w:rPr>
      </w:pPr>
      <w:r w:rsidRPr="0081008E">
        <w:rPr>
          <w:rFonts w:cs="Arial"/>
          <w:lang w:val="es-ES"/>
        </w:rPr>
        <w:lastRenderedPageBreak/>
        <w:t>captura incidental a causa de la pesca en alta mar;</w:t>
      </w:r>
    </w:p>
    <w:p w14:paraId="6BB0B173" w14:textId="77777777" w:rsidR="00EE7EF9" w:rsidRPr="0081008E" w:rsidRDefault="00EE7EF9" w:rsidP="00EE7EF9">
      <w:pPr>
        <w:pStyle w:val="ListParagraph"/>
        <w:numPr>
          <w:ilvl w:val="0"/>
          <w:numId w:val="13"/>
        </w:numPr>
        <w:suppressAutoHyphens/>
        <w:autoSpaceDN w:val="0"/>
        <w:spacing w:after="80" w:line="240" w:lineRule="auto"/>
        <w:ind w:left="907"/>
        <w:contextualSpacing w:val="0"/>
        <w:jc w:val="both"/>
        <w:textAlignment w:val="baseline"/>
        <w:rPr>
          <w:rFonts w:cs="Arial"/>
          <w:lang w:val="es-ES"/>
        </w:rPr>
      </w:pPr>
      <w:r w:rsidRPr="0081008E">
        <w:rPr>
          <w:rFonts w:cs="Arial"/>
          <w:lang w:val="es-ES"/>
        </w:rPr>
        <w:t>investigación; y</w:t>
      </w:r>
    </w:p>
    <w:p w14:paraId="74947B91" w14:textId="77777777" w:rsidR="00EE7EF9" w:rsidRPr="0081008E" w:rsidRDefault="00EE7EF9" w:rsidP="00EE7EF9">
      <w:pPr>
        <w:pStyle w:val="ListParagraph"/>
        <w:numPr>
          <w:ilvl w:val="0"/>
          <w:numId w:val="13"/>
        </w:numPr>
        <w:suppressAutoHyphens/>
        <w:autoSpaceDN w:val="0"/>
        <w:spacing w:after="0" w:line="240" w:lineRule="auto"/>
        <w:jc w:val="both"/>
        <w:textAlignment w:val="baseline"/>
        <w:rPr>
          <w:rFonts w:cs="Arial"/>
          <w:lang w:val="es-ES"/>
        </w:rPr>
      </w:pPr>
      <w:r w:rsidRPr="0081008E">
        <w:rPr>
          <w:rFonts w:cs="Arial"/>
          <w:lang w:val="es-ES"/>
        </w:rPr>
        <w:t>gestión de lugares de cría.</w:t>
      </w:r>
    </w:p>
    <w:p w14:paraId="7F554E00" w14:textId="77777777" w:rsidR="00EE7EF9" w:rsidRPr="0081008E" w:rsidRDefault="00EE7EF9" w:rsidP="00EE7EF9">
      <w:pPr>
        <w:suppressAutoHyphens/>
        <w:autoSpaceDN w:val="0"/>
        <w:spacing w:after="0" w:line="240" w:lineRule="auto"/>
        <w:ind w:left="540"/>
        <w:jc w:val="both"/>
        <w:textAlignment w:val="baseline"/>
        <w:rPr>
          <w:rFonts w:cs="Arial"/>
          <w:lang w:val="es-ES"/>
        </w:rPr>
      </w:pPr>
    </w:p>
    <w:p w14:paraId="069E5E99"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Las actividades y los resultados esperados pueden encontrarse en el Anexo: Acciones Concertadas para la Conservación de la pardela </w:t>
      </w:r>
      <w:proofErr w:type="spellStart"/>
      <w:r w:rsidRPr="0081008E">
        <w:rPr>
          <w:rFonts w:cs="Arial"/>
          <w:lang w:val="es-ES"/>
        </w:rPr>
        <w:t>paticlara</w:t>
      </w:r>
      <w:proofErr w:type="spellEnd"/>
      <w:r w:rsidRPr="0081008E">
        <w:rPr>
          <w:rFonts w:cs="Arial"/>
          <w:lang w:val="es-ES"/>
        </w:rPr>
        <w:t xml:space="preserve"> (</w:t>
      </w:r>
      <w:proofErr w:type="spellStart"/>
      <w:r w:rsidRPr="0081008E">
        <w:rPr>
          <w:rFonts w:cs="Arial"/>
          <w:i/>
          <w:iCs/>
          <w:lang w:val="es-ES"/>
        </w:rPr>
        <w:t>Ardenna</w:t>
      </w:r>
      <w:proofErr w:type="spellEnd"/>
      <w:r w:rsidRPr="0081008E">
        <w:rPr>
          <w:rFonts w:cs="Arial"/>
          <w:i/>
          <w:iCs/>
          <w:lang w:val="es-ES"/>
        </w:rPr>
        <w:t xml:space="preserve"> </w:t>
      </w:r>
      <w:proofErr w:type="spellStart"/>
      <w:r w:rsidRPr="0081008E">
        <w:rPr>
          <w:rFonts w:cs="Arial"/>
          <w:i/>
          <w:iCs/>
          <w:lang w:val="es-ES"/>
        </w:rPr>
        <w:t>carneipes</w:t>
      </w:r>
      <w:proofErr w:type="spellEnd"/>
      <w:r w:rsidRPr="0081008E">
        <w:rPr>
          <w:rFonts w:cs="Arial"/>
          <w:lang w:val="es-ES"/>
        </w:rPr>
        <w:t>) en el marco de la Convención sobre la Conservación de las Especies Migratorias de Animales Silvestres (CMS).</w:t>
      </w:r>
    </w:p>
    <w:p w14:paraId="4512049B" w14:textId="77777777" w:rsidR="00EE7EF9" w:rsidRPr="0081008E" w:rsidRDefault="00EE7EF9" w:rsidP="00EE7EF9">
      <w:pPr>
        <w:suppressAutoHyphens/>
        <w:autoSpaceDN w:val="0"/>
        <w:spacing w:after="0" w:line="240" w:lineRule="auto"/>
        <w:jc w:val="both"/>
        <w:textAlignment w:val="baseline"/>
        <w:rPr>
          <w:rFonts w:cs="Arial"/>
          <w:b/>
          <w:bCs/>
          <w:lang w:val="es-ES"/>
        </w:rPr>
      </w:pPr>
    </w:p>
    <w:p w14:paraId="19DE4C65"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bCs/>
          <w:lang w:val="es-ES"/>
        </w:rPr>
        <w:t>Ventajas asociadas:</w:t>
      </w:r>
      <w:r w:rsidRPr="0081008E">
        <w:rPr>
          <w:rFonts w:cs="Arial"/>
          <w:lang w:val="es-ES"/>
        </w:rPr>
        <w:t xml:space="preserve"> </w:t>
      </w:r>
    </w:p>
    <w:p w14:paraId="3B933F83" w14:textId="77777777" w:rsidR="00EE7EF9" w:rsidRPr="0081008E" w:rsidRDefault="00EE7EF9" w:rsidP="00EE7EF9">
      <w:pPr>
        <w:suppressAutoHyphens/>
        <w:autoSpaceDN w:val="0"/>
        <w:spacing w:after="0" w:line="240" w:lineRule="auto"/>
        <w:jc w:val="both"/>
        <w:textAlignment w:val="baseline"/>
        <w:rPr>
          <w:rFonts w:cs="Arial"/>
          <w:lang w:val="es-ES"/>
        </w:rPr>
      </w:pPr>
    </w:p>
    <w:p w14:paraId="0167D355" w14:textId="00258CB2"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El riesgo que representa la captura incidental en pesquerías no se limita únicamente a la pardela </w:t>
      </w:r>
      <w:proofErr w:type="spellStart"/>
      <w:r w:rsidRPr="0081008E">
        <w:rPr>
          <w:rFonts w:cs="Arial"/>
          <w:lang w:val="es-ES"/>
        </w:rPr>
        <w:t>paticlara</w:t>
      </w:r>
      <w:proofErr w:type="spellEnd"/>
      <w:r w:rsidRPr="0081008E">
        <w:rPr>
          <w:rFonts w:cs="Arial"/>
          <w:lang w:val="es-ES"/>
        </w:rPr>
        <w:t xml:space="preserve">, sino que también afecta a otras especies de aves marinas migratorias que coinciden con el esfuerzo pesquero. Estas incluyen aquellas especies de albatros y petreles incluidas en los Apéndices I y II de la CMS que se alimentan total o parcialmente en los océanos Pacífico Sur e Índico. Las prácticas de mitigación de captura incidental que reducen el riesgo de captura de la pardela </w:t>
      </w:r>
      <w:proofErr w:type="spellStart"/>
      <w:r w:rsidRPr="0081008E">
        <w:rPr>
          <w:rFonts w:cs="Arial"/>
          <w:lang w:val="es-ES"/>
        </w:rPr>
        <w:t>paticlara</w:t>
      </w:r>
      <w:proofErr w:type="spellEnd"/>
      <w:r w:rsidRPr="0081008E">
        <w:rPr>
          <w:rFonts w:cs="Arial"/>
          <w:lang w:val="es-ES"/>
        </w:rPr>
        <w:t xml:space="preserve"> también disminuirán el riesgo de captura de otras especies de aves marinas. </w:t>
      </w:r>
    </w:p>
    <w:p w14:paraId="6CBC88D6" w14:textId="77777777" w:rsidR="00EE7EF9" w:rsidRPr="0081008E" w:rsidRDefault="00EE7EF9" w:rsidP="00EE7EF9">
      <w:pPr>
        <w:suppressAutoHyphens/>
        <w:autoSpaceDN w:val="0"/>
        <w:spacing w:after="0" w:line="240" w:lineRule="auto"/>
        <w:jc w:val="both"/>
        <w:textAlignment w:val="baseline"/>
        <w:rPr>
          <w:rFonts w:cs="Arial"/>
          <w:lang w:val="es-ES"/>
        </w:rPr>
      </w:pPr>
    </w:p>
    <w:p w14:paraId="667224AE" w14:textId="1DB61125"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Aunque las actividades requeridas para la pardela </w:t>
      </w:r>
      <w:proofErr w:type="spellStart"/>
      <w:r w:rsidRPr="0081008E">
        <w:rPr>
          <w:rFonts w:cs="Arial"/>
          <w:lang w:val="es-ES"/>
        </w:rPr>
        <w:t>paticlara</w:t>
      </w:r>
      <w:proofErr w:type="spellEnd"/>
      <w:r w:rsidRPr="0081008E">
        <w:rPr>
          <w:rFonts w:cs="Arial"/>
          <w:lang w:val="es-ES"/>
        </w:rPr>
        <w:t xml:space="preserve"> se limitan a los océanos Índico Oriental y Pacífico Occidental, estas Acciones Concertadas pueden servir como precedente para mejorar la gestión de la captura incidental de aves marinas en pesquerías similares que operen en otros océanos. </w:t>
      </w:r>
    </w:p>
    <w:p w14:paraId="22DBA54A" w14:textId="77777777" w:rsidR="00EE7EF9" w:rsidRPr="0081008E" w:rsidRDefault="00EE7EF9" w:rsidP="00EE7EF9">
      <w:pPr>
        <w:suppressAutoHyphens/>
        <w:autoSpaceDN w:val="0"/>
        <w:spacing w:after="0" w:line="240" w:lineRule="auto"/>
        <w:jc w:val="both"/>
        <w:textAlignment w:val="baseline"/>
        <w:rPr>
          <w:rFonts w:cs="Arial"/>
          <w:lang w:val="es-ES"/>
        </w:rPr>
      </w:pPr>
    </w:p>
    <w:p w14:paraId="538B43B7" w14:textId="39559255"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Los beneficios adicionales incluyen oportunidades para aumentar la concienciación sobre el estado de conservación de la pardela </w:t>
      </w:r>
      <w:proofErr w:type="spellStart"/>
      <w:r w:rsidRPr="0081008E">
        <w:rPr>
          <w:rFonts w:cs="Arial"/>
          <w:lang w:val="es-ES"/>
        </w:rPr>
        <w:t>paticlara</w:t>
      </w:r>
      <w:proofErr w:type="spellEnd"/>
      <w:r w:rsidRPr="0081008E">
        <w:rPr>
          <w:rFonts w:cs="Arial"/>
          <w:lang w:val="es-ES"/>
        </w:rPr>
        <w:t xml:space="preserve"> y las amenazas que enfrenta entre las Partes de la CMS y las Partes no miembros de la CMS que pertenecen a las Organizaciones Regionales de Ordenación Pesquera (OROP) pertinentes. La Acción Concertada también puede actuar como un catalizador para actividades de fortalecimiento de capacidades relacionadas con la mitigación de la captura incidental de aves marinas y la recopilación de datos entre las Partes de la CMS.  </w:t>
      </w:r>
    </w:p>
    <w:p w14:paraId="20B1A15E" w14:textId="77777777" w:rsidR="00EE7EF9" w:rsidRPr="0081008E" w:rsidRDefault="00EE7EF9" w:rsidP="00EE7EF9">
      <w:pPr>
        <w:spacing w:after="0" w:line="240" w:lineRule="auto"/>
        <w:jc w:val="both"/>
        <w:rPr>
          <w:rFonts w:cs="Arial"/>
          <w:lang w:val="es-ES"/>
        </w:rPr>
      </w:pPr>
    </w:p>
    <w:p w14:paraId="21FCD0AD"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lang w:val="es-ES"/>
        </w:rPr>
        <w:t>Calendario:</w:t>
      </w:r>
      <w:r w:rsidRPr="0081008E">
        <w:rPr>
          <w:rFonts w:cs="Arial"/>
          <w:lang w:val="es-ES"/>
        </w:rPr>
        <w:t xml:space="preserve"> </w:t>
      </w:r>
    </w:p>
    <w:p w14:paraId="3A9FDE6D" w14:textId="77777777" w:rsidR="00EE7EF9" w:rsidRPr="0081008E" w:rsidRDefault="00EE7EF9" w:rsidP="00EE7EF9">
      <w:pPr>
        <w:suppressAutoHyphens/>
        <w:autoSpaceDN w:val="0"/>
        <w:spacing w:after="0" w:line="240" w:lineRule="auto"/>
        <w:jc w:val="both"/>
        <w:textAlignment w:val="baseline"/>
        <w:rPr>
          <w:rFonts w:cs="Arial"/>
          <w:lang w:val="es-ES"/>
        </w:rPr>
      </w:pPr>
    </w:p>
    <w:p w14:paraId="59885D7A" w14:textId="7ADE3B8F"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Se han identificado plazos para cada actividad (véase el Anexo).</w:t>
      </w:r>
    </w:p>
    <w:p w14:paraId="5F76F25A" w14:textId="77777777" w:rsidR="00EE7EF9" w:rsidRPr="0081008E" w:rsidRDefault="00EE7EF9" w:rsidP="00EE7EF9">
      <w:pPr>
        <w:spacing w:after="0" w:line="240" w:lineRule="auto"/>
        <w:jc w:val="both"/>
        <w:rPr>
          <w:rFonts w:cs="Arial"/>
          <w:lang w:val="es-ES"/>
        </w:rPr>
      </w:pPr>
    </w:p>
    <w:p w14:paraId="796503A2"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bCs/>
          <w:lang w:val="es-ES"/>
        </w:rPr>
        <w:t>Relación con otras acciones de la CMS:</w:t>
      </w:r>
      <w:r w:rsidRPr="0081008E">
        <w:rPr>
          <w:rFonts w:cs="Arial"/>
          <w:lang w:val="es-ES"/>
        </w:rPr>
        <w:t xml:space="preserve"> </w:t>
      </w:r>
    </w:p>
    <w:p w14:paraId="1FE0D9E3" w14:textId="77777777" w:rsidR="00EE7EF9" w:rsidRPr="0081008E" w:rsidRDefault="00EE7EF9" w:rsidP="00EE7EF9">
      <w:pPr>
        <w:suppressAutoHyphens/>
        <w:autoSpaceDN w:val="0"/>
        <w:spacing w:after="0" w:line="240" w:lineRule="auto"/>
        <w:jc w:val="both"/>
        <w:textAlignment w:val="baseline"/>
        <w:rPr>
          <w:rFonts w:cs="Arial"/>
          <w:lang w:val="es-ES"/>
        </w:rPr>
      </w:pPr>
    </w:p>
    <w:p w14:paraId="713C4926" w14:textId="334958CF"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Esta Acción Concertada respalda la implementación del Plan Estratégico de Samarcanda para Especies Migratorias 2024-2032 (UNEP/CMS/Resolución 14.1) y la Resolución de la CMS sobre la Captura Incidental (UNEP/CMS/Resolución 12.22).</w:t>
      </w:r>
    </w:p>
    <w:p w14:paraId="30CF2A92" w14:textId="77777777" w:rsidR="00EE7EF9" w:rsidRPr="0081008E" w:rsidRDefault="00EE7EF9" w:rsidP="00EE7EF9">
      <w:pPr>
        <w:pStyle w:val="ListParagraph"/>
        <w:suppressAutoHyphens/>
        <w:autoSpaceDN w:val="0"/>
        <w:spacing w:after="0" w:line="240" w:lineRule="auto"/>
        <w:jc w:val="both"/>
        <w:textAlignment w:val="baseline"/>
        <w:rPr>
          <w:rFonts w:cs="Arial"/>
          <w:lang w:val="es-ES"/>
        </w:rPr>
      </w:pPr>
    </w:p>
    <w:p w14:paraId="16A0EEF2"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Esta Acción Concertada es de naturaleza similar a, y contiene algunas acciones compartidas con, la Acción Concertada para el albatros de las Antípodas</w:t>
      </w:r>
      <w:r w:rsidRPr="0081008E">
        <w:rPr>
          <w:rFonts w:cs="Arial"/>
          <w:i/>
          <w:iCs/>
          <w:lang w:val="es-ES"/>
        </w:rPr>
        <w:t xml:space="preserve"> </w:t>
      </w:r>
      <w:r w:rsidRPr="0081008E">
        <w:rPr>
          <w:rFonts w:cs="Arial"/>
          <w:lang w:val="es-ES"/>
        </w:rPr>
        <w:t>(</w:t>
      </w:r>
      <w:proofErr w:type="spellStart"/>
      <w:r w:rsidRPr="0081008E">
        <w:rPr>
          <w:rFonts w:cs="Arial"/>
          <w:i/>
          <w:iCs/>
          <w:lang w:val="es-ES"/>
        </w:rPr>
        <w:t>Diomedea</w:t>
      </w:r>
      <w:proofErr w:type="spellEnd"/>
      <w:r w:rsidRPr="0081008E">
        <w:rPr>
          <w:rFonts w:cs="Arial"/>
          <w:i/>
          <w:iCs/>
          <w:lang w:val="es-ES"/>
        </w:rPr>
        <w:t xml:space="preserve"> </w:t>
      </w:r>
      <w:proofErr w:type="spellStart"/>
      <w:r w:rsidRPr="0081008E">
        <w:rPr>
          <w:rFonts w:cs="Arial"/>
          <w:i/>
          <w:iCs/>
          <w:lang w:val="es-ES"/>
        </w:rPr>
        <w:t>antipodensis</w:t>
      </w:r>
      <w:proofErr w:type="spellEnd"/>
      <w:r w:rsidRPr="0081008E">
        <w:rPr>
          <w:rFonts w:cs="Arial"/>
          <w:lang w:val="es-ES"/>
        </w:rPr>
        <w:t xml:space="preserve">) (Acción Concertada 13.12). Mientras que la Acción Concertada para el albatros de las Antípodas se centraba en la captura incidental en pesquerías de palangre pelágico en el Pacífico Sur, esta Acción Concertada amplía su alcance al Pacífico Norte y al Océano Índico, así como considerando otros métodos de pesca (palangre </w:t>
      </w:r>
      <w:proofErr w:type="spellStart"/>
      <w:r w:rsidRPr="0081008E">
        <w:rPr>
          <w:rFonts w:cs="Arial"/>
          <w:lang w:val="es-ES"/>
        </w:rPr>
        <w:t>demersal</w:t>
      </w:r>
      <w:proofErr w:type="spellEnd"/>
      <w:r w:rsidRPr="0081008E">
        <w:rPr>
          <w:rFonts w:cs="Arial"/>
          <w:lang w:val="es-ES"/>
        </w:rPr>
        <w:t xml:space="preserve"> y arrastre) utilizados para capturar especies distintas del atún. Esta ampliación del alcance de la reducción de la captura incidental en pesquerías aumenta los beneficios asociados para otras especies de aves marinas.</w:t>
      </w:r>
    </w:p>
    <w:p w14:paraId="36FB6D77" w14:textId="77777777" w:rsidR="00EE7EF9" w:rsidRPr="0081008E" w:rsidRDefault="00EE7EF9" w:rsidP="00EE7EF9">
      <w:pPr>
        <w:suppressAutoHyphens/>
        <w:autoSpaceDN w:val="0"/>
        <w:spacing w:after="0" w:line="240" w:lineRule="auto"/>
        <w:ind w:left="540"/>
        <w:jc w:val="both"/>
        <w:textAlignment w:val="baseline"/>
        <w:rPr>
          <w:rFonts w:cs="Arial"/>
          <w:lang w:val="es-ES"/>
        </w:rPr>
      </w:pPr>
    </w:p>
    <w:p w14:paraId="66A346DE"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lastRenderedPageBreak/>
        <w:t xml:space="preserve">También complementa el trabajo del Acuerdo sobre la Conservación de Albatros y Petreles (ACAP), un acuerdo subsidiario de la CMS. La pardela </w:t>
      </w:r>
      <w:proofErr w:type="spellStart"/>
      <w:r w:rsidRPr="0081008E">
        <w:rPr>
          <w:rFonts w:cs="Arial"/>
          <w:lang w:val="es-ES"/>
        </w:rPr>
        <w:t>paticlara</w:t>
      </w:r>
      <w:proofErr w:type="spellEnd"/>
      <w:r w:rsidRPr="0081008E">
        <w:rPr>
          <w:rFonts w:cs="Arial"/>
          <w:lang w:val="es-ES"/>
        </w:rPr>
        <w:t xml:space="preserve"> es un candidato altamente adecuado para su inclusión en el Anexo 1 del ACAP.</w:t>
      </w:r>
    </w:p>
    <w:p w14:paraId="20E2AE48" w14:textId="77777777" w:rsidR="00EE7EF9" w:rsidRPr="0081008E" w:rsidRDefault="00EE7EF9" w:rsidP="00EE7EF9">
      <w:pPr>
        <w:spacing w:after="0" w:line="240" w:lineRule="auto"/>
        <w:jc w:val="both"/>
        <w:rPr>
          <w:rFonts w:cs="Arial"/>
          <w:lang w:val="es-ES"/>
        </w:rPr>
      </w:pPr>
    </w:p>
    <w:p w14:paraId="5D097D92"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lang w:val="es-ES"/>
        </w:rPr>
        <w:t>Prioridad de la conservación:</w:t>
      </w:r>
      <w:r w:rsidRPr="0081008E">
        <w:rPr>
          <w:rFonts w:cs="Arial"/>
          <w:lang w:val="es-ES"/>
        </w:rPr>
        <w:t xml:space="preserve"> </w:t>
      </w:r>
    </w:p>
    <w:p w14:paraId="6F88DBE2" w14:textId="77777777" w:rsidR="00EE7EF9" w:rsidRPr="0081008E" w:rsidRDefault="00EE7EF9" w:rsidP="00EE7EF9">
      <w:pPr>
        <w:suppressAutoHyphens/>
        <w:autoSpaceDN w:val="0"/>
        <w:spacing w:after="0" w:line="240" w:lineRule="auto"/>
        <w:jc w:val="both"/>
        <w:textAlignment w:val="baseline"/>
        <w:rPr>
          <w:rFonts w:cs="Arial"/>
          <w:lang w:val="es-ES"/>
        </w:rPr>
      </w:pPr>
    </w:p>
    <w:p w14:paraId="3344CEC2" w14:textId="50232680"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La prioridad de la conservación de la pardela </w:t>
      </w:r>
      <w:proofErr w:type="spellStart"/>
      <w:r w:rsidRPr="0081008E">
        <w:rPr>
          <w:rFonts w:cs="Arial"/>
          <w:lang w:val="es-ES"/>
        </w:rPr>
        <w:t>paticlara</w:t>
      </w:r>
      <w:proofErr w:type="spellEnd"/>
      <w:r w:rsidRPr="0081008E">
        <w:rPr>
          <w:rFonts w:cs="Arial"/>
          <w:lang w:val="es-ES"/>
        </w:rPr>
        <w:t xml:space="preserve"> está clasificada como «Casi Amenazada» (UICN), habiendo sido reclasificada desde «Preocupación Menor» en 2016. </w:t>
      </w:r>
    </w:p>
    <w:p w14:paraId="30DEAD8E" w14:textId="77777777" w:rsidR="00EE7EF9" w:rsidRPr="0081008E" w:rsidRDefault="00EE7EF9" w:rsidP="00EE7EF9">
      <w:pPr>
        <w:suppressAutoHyphens/>
        <w:autoSpaceDN w:val="0"/>
        <w:spacing w:after="0" w:line="240" w:lineRule="auto"/>
        <w:jc w:val="both"/>
        <w:textAlignment w:val="baseline"/>
        <w:rPr>
          <w:rFonts w:cs="Arial"/>
          <w:lang w:val="es-ES"/>
        </w:rPr>
      </w:pPr>
    </w:p>
    <w:p w14:paraId="6ED3ED7D" w14:textId="5AFCD75B"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Aunque la tendencia general de la población presenta cierta incertidumbre debido a las complejidades y dificultades para monitorear esta especie, algunas colonias han mostrado descensos recientes. La prevalencia de la pardela </w:t>
      </w:r>
      <w:proofErr w:type="spellStart"/>
      <w:r w:rsidRPr="0081008E">
        <w:rPr>
          <w:rFonts w:cs="Arial"/>
          <w:lang w:val="es-ES"/>
        </w:rPr>
        <w:t>paticlara</w:t>
      </w:r>
      <w:proofErr w:type="spellEnd"/>
      <w:r w:rsidRPr="0081008E">
        <w:rPr>
          <w:rFonts w:cs="Arial"/>
          <w:lang w:val="es-ES"/>
        </w:rPr>
        <w:t xml:space="preserve"> en pesquerías relevantes bien monitoreadas, como la pesquería de palangre </w:t>
      </w:r>
      <w:proofErr w:type="spellStart"/>
      <w:r w:rsidRPr="0081008E">
        <w:rPr>
          <w:rFonts w:cs="Arial"/>
          <w:lang w:val="es-ES"/>
        </w:rPr>
        <w:t>demersal</w:t>
      </w:r>
      <w:proofErr w:type="spellEnd"/>
      <w:r w:rsidRPr="0081008E">
        <w:rPr>
          <w:rFonts w:cs="Arial"/>
          <w:lang w:val="es-ES"/>
        </w:rPr>
        <w:t xml:space="preserve"> de Nueva Zelanda (Edwards et al., 2023), genera preocupación por los niveles generalizados y preocupantes de captura incidental. Actuar ahora para abordar esta amenaza es vital para prevenir un mayor deterioro del estado de conservación de esta especie.</w:t>
      </w:r>
    </w:p>
    <w:p w14:paraId="5EA88AAB" w14:textId="77777777" w:rsidR="00EE7EF9" w:rsidRPr="0081008E" w:rsidRDefault="00EE7EF9" w:rsidP="00EE7EF9">
      <w:pPr>
        <w:suppressAutoHyphens/>
        <w:autoSpaceDN w:val="0"/>
        <w:spacing w:after="0" w:line="240" w:lineRule="auto"/>
        <w:jc w:val="both"/>
        <w:textAlignment w:val="baseline"/>
        <w:rPr>
          <w:rFonts w:cs="Arial"/>
          <w:lang w:val="es-ES"/>
        </w:rPr>
      </w:pPr>
    </w:p>
    <w:p w14:paraId="74648F7A" w14:textId="0C48C48A"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Esta Acción Concertada contribuirá a alcanzar las acciones de conservación prioritarias establecidas en la Resolución de la CMS sobre Captura Incidental (UNEP/CMS/Resolución 12.22).  </w:t>
      </w:r>
    </w:p>
    <w:p w14:paraId="50E11FE0" w14:textId="77777777" w:rsidR="00EE7EF9" w:rsidRPr="0081008E" w:rsidRDefault="00EE7EF9" w:rsidP="00EE7EF9">
      <w:pPr>
        <w:spacing w:after="0" w:line="240" w:lineRule="auto"/>
        <w:jc w:val="both"/>
        <w:rPr>
          <w:rFonts w:cs="Arial"/>
          <w:lang w:val="es-ES"/>
        </w:rPr>
      </w:pPr>
    </w:p>
    <w:p w14:paraId="3E75FBA6"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bCs/>
          <w:lang w:val="es-ES"/>
        </w:rPr>
        <w:t>Pertinencia:</w:t>
      </w:r>
      <w:r w:rsidRPr="0081008E">
        <w:rPr>
          <w:rFonts w:cs="Arial"/>
          <w:lang w:val="es-ES"/>
        </w:rPr>
        <w:t xml:space="preserve"> </w:t>
      </w:r>
    </w:p>
    <w:p w14:paraId="7D39CC41" w14:textId="77777777" w:rsidR="00EE7EF9" w:rsidRPr="0081008E" w:rsidRDefault="00EE7EF9" w:rsidP="00EE7EF9">
      <w:pPr>
        <w:suppressAutoHyphens/>
        <w:autoSpaceDN w:val="0"/>
        <w:spacing w:after="0" w:line="240" w:lineRule="auto"/>
        <w:jc w:val="both"/>
        <w:textAlignment w:val="baseline"/>
        <w:rPr>
          <w:rFonts w:cs="Arial"/>
          <w:lang w:val="es-ES"/>
        </w:rPr>
      </w:pPr>
    </w:p>
    <w:p w14:paraId="6790A538" w14:textId="4F43F5CE"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La principal amenaza para la pardela </w:t>
      </w:r>
      <w:proofErr w:type="spellStart"/>
      <w:r w:rsidRPr="0081008E">
        <w:rPr>
          <w:rFonts w:cs="Arial"/>
          <w:lang w:val="es-ES"/>
        </w:rPr>
        <w:t>paticlara</w:t>
      </w:r>
      <w:proofErr w:type="spellEnd"/>
      <w:r w:rsidRPr="0081008E">
        <w:rPr>
          <w:rFonts w:cs="Arial"/>
          <w:lang w:val="es-ES"/>
        </w:rPr>
        <w:t xml:space="preserve"> es la captura incidental en pesquerías a escala de cuenca oceánica, a través de múltiples jurisdicciones y en alta mar. La naturaleza generalizada de esta amenaza se debe a la alta </w:t>
      </w:r>
      <w:proofErr w:type="spellStart"/>
      <w:r w:rsidRPr="0081008E">
        <w:rPr>
          <w:rFonts w:cs="Arial"/>
          <w:lang w:val="es-ES"/>
        </w:rPr>
        <w:t>migratoriedad</w:t>
      </w:r>
      <w:proofErr w:type="spellEnd"/>
      <w:r w:rsidRPr="0081008E">
        <w:rPr>
          <w:rFonts w:cs="Arial"/>
          <w:lang w:val="es-ES"/>
        </w:rPr>
        <w:t xml:space="preserve"> de la especie. Para gestionar de manera efectiva esta amenaza a lo largo del área de distribución migratoria de la especie se requiere cooperación y alineación de los esfuerzos de gestión pesquera por parte de los Estados del área de distribución y de otros Estados que operan flotas de pesca de aguas lejanas en la zona. Los Estados del área de distribución incluyen a un número de Partes de la CMS. </w:t>
      </w:r>
    </w:p>
    <w:p w14:paraId="331F552C" w14:textId="77777777" w:rsidR="00EE7EF9" w:rsidRPr="0081008E" w:rsidRDefault="00EE7EF9" w:rsidP="00EE7EF9">
      <w:pPr>
        <w:spacing w:after="0" w:line="240" w:lineRule="auto"/>
        <w:jc w:val="both"/>
        <w:rPr>
          <w:rFonts w:cs="Arial"/>
          <w:lang w:val="es-ES"/>
        </w:rPr>
      </w:pPr>
    </w:p>
    <w:p w14:paraId="0385A3BF"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bCs/>
          <w:lang w:val="es-ES"/>
        </w:rPr>
        <w:t>Ausencia de medidas mejores:</w:t>
      </w:r>
      <w:r w:rsidRPr="0081008E">
        <w:rPr>
          <w:rFonts w:cs="Arial"/>
          <w:lang w:val="es-ES"/>
        </w:rPr>
        <w:t xml:space="preserve"> </w:t>
      </w:r>
    </w:p>
    <w:p w14:paraId="22A6F73B" w14:textId="77777777" w:rsidR="00EE7EF9" w:rsidRPr="0081008E" w:rsidRDefault="00EE7EF9" w:rsidP="00EE7EF9">
      <w:pPr>
        <w:suppressAutoHyphens/>
        <w:autoSpaceDN w:val="0"/>
        <w:spacing w:after="0" w:line="240" w:lineRule="auto"/>
        <w:jc w:val="both"/>
        <w:textAlignment w:val="baseline"/>
        <w:rPr>
          <w:rFonts w:cs="Arial"/>
          <w:lang w:val="es-ES"/>
        </w:rPr>
      </w:pPr>
    </w:p>
    <w:p w14:paraId="54134E2D" w14:textId="2247F83A"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No existen otras iniciativas de cooperación internacional centradas en la pardela </w:t>
      </w:r>
      <w:proofErr w:type="spellStart"/>
      <w:r w:rsidRPr="0081008E">
        <w:rPr>
          <w:rFonts w:cs="Arial"/>
          <w:lang w:val="es-ES"/>
        </w:rPr>
        <w:t>paticlara</w:t>
      </w:r>
      <w:proofErr w:type="spellEnd"/>
      <w:r w:rsidRPr="0081008E">
        <w:rPr>
          <w:rFonts w:cs="Arial"/>
          <w:lang w:val="es-ES"/>
        </w:rPr>
        <w:t xml:space="preserve">. El mecanismo relacionado más relevante para la pardela </w:t>
      </w:r>
      <w:proofErr w:type="spellStart"/>
      <w:r w:rsidRPr="0081008E">
        <w:rPr>
          <w:rFonts w:cs="Arial"/>
          <w:lang w:val="es-ES"/>
        </w:rPr>
        <w:t>paticlara</w:t>
      </w:r>
      <w:proofErr w:type="spellEnd"/>
      <w:r w:rsidRPr="0081008E">
        <w:rPr>
          <w:rFonts w:cs="Arial"/>
          <w:lang w:val="es-ES"/>
        </w:rPr>
        <w:t xml:space="preserve"> es el ACAP, donde las Partes del ACAP cooperan en asuntos como el desarrollo de recomendaciones de mitigación de la captura incidental de aves marinas, y mediante medidas de conservación y gestión adoptadas por las OROP. Sin embargo, dado que las pardelas </w:t>
      </w:r>
      <w:proofErr w:type="spellStart"/>
      <w:r w:rsidRPr="0081008E">
        <w:rPr>
          <w:rFonts w:cs="Arial"/>
          <w:lang w:val="es-ES"/>
        </w:rPr>
        <w:t>paticlaras</w:t>
      </w:r>
      <w:proofErr w:type="spellEnd"/>
      <w:r w:rsidRPr="0081008E">
        <w:rPr>
          <w:rFonts w:cs="Arial"/>
          <w:lang w:val="es-ES"/>
        </w:rPr>
        <w:t xml:space="preserve"> no están incluidas en el Anexo 1 del ACAP, las acciones del ACAP no proporcionan un alto nivel de defensa para la pardela </w:t>
      </w:r>
      <w:proofErr w:type="spellStart"/>
      <w:r w:rsidRPr="0081008E">
        <w:rPr>
          <w:rFonts w:cs="Arial"/>
          <w:lang w:val="es-ES"/>
        </w:rPr>
        <w:t>paticlara</w:t>
      </w:r>
      <w:proofErr w:type="spellEnd"/>
      <w:r w:rsidRPr="0081008E">
        <w:rPr>
          <w:rFonts w:cs="Arial"/>
          <w:lang w:val="es-ES"/>
        </w:rPr>
        <w:t xml:space="preserve"> y pueden no centrar los esfuerzos en las pesquerías que podrían afectar a la pardela </w:t>
      </w:r>
      <w:proofErr w:type="spellStart"/>
      <w:r w:rsidR="009C2A1D" w:rsidRPr="0081008E">
        <w:rPr>
          <w:rFonts w:cs="Arial"/>
          <w:lang w:val="es-ES"/>
        </w:rPr>
        <w:t>paticlara</w:t>
      </w:r>
      <w:proofErr w:type="spellEnd"/>
      <w:r w:rsidR="009C2A1D" w:rsidRPr="0081008E">
        <w:rPr>
          <w:rFonts w:cs="Arial"/>
          <w:lang w:val="es-ES"/>
        </w:rPr>
        <w:t>,</w:t>
      </w:r>
      <w:r w:rsidRPr="0081008E">
        <w:rPr>
          <w:rFonts w:cs="Arial"/>
          <w:lang w:val="es-ES"/>
        </w:rPr>
        <w:t xml:space="preserve"> pero no a las especies incluidas en el ACAP. Un beneficio adicional de incluir a la pardela </w:t>
      </w:r>
      <w:proofErr w:type="spellStart"/>
      <w:r w:rsidRPr="0081008E">
        <w:rPr>
          <w:rFonts w:cs="Arial"/>
          <w:lang w:val="es-ES"/>
        </w:rPr>
        <w:t>paticlara</w:t>
      </w:r>
      <w:proofErr w:type="spellEnd"/>
      <w:r w:rsidRPr="0081008E">
        <w:rPr>
          <w:rFonts w:cs="Arial"/>
          <w:lang w:val="es-ES"/>
        </w:rPr>
        <w:t xml:space="preserve"> en el Apéndice II de la CMS es que esto aumentará la puntuación de idoneidad de la pardela </w:t>
      </w:r>
      <w:proofErr w:type="spellStart"/>
      <w:r w:rsidRPr="0081008E">
        <w:rPr>
          <w:rFonts w:cs="Arial"/>
          <w:lang w:val="es-ES"/>
        </w:rPr>
        <w:t>paticlara</w:t>
      </w:r>
      <w:proofErr w:type="spellEnd"/>
      <w:r w:rsidRPr="0081008E">
        <w:rPr>
          <w:rFonts w:cs="Arial"/>
          <w:lang w:val="es-ES"/>
        </w:rPr>
        <w:t xml:space="preserve"> para su inclusión en el Anexo 1 del ACAP (</w:t>
      </w:r>
      <w:proofErr w:type="spellStart"/>
      <w:r w:rsidRPr="0081008E">
        <w:rPr>
          <w:rFonts w:cs="Arial"/>
          <w:lang w:val="es-ES"/>
        </w:rPr>
        <w:t>Tasker</w:t>
      </w:r>
      <w:proofErr w:type="spellEnd"/>
      <w:r w:rsidRPr="0081008E">
        <w:rPr>
          <w:rFonts w:cs="Arial"/>
          <w:lang w:val="es-ES"/>
        </w:rPr>
        <w:t xml:space="preserve"> et al. 2024). Dicha inclusión facilitaría además los beneficios previstos identificados aquí. Dado que la CMS cuenta con más Partes con jurisdicción a lo largo del área de distribución de la pardela </w:t>
      </w:r>
      <w:proofErr w:type="spellStart"/>
      <w:r w:rsidRPr="0081008E">
        <w:rPr>
          <w:rFonts w:cs="Arial"/>
          <w:lang w:val="es-ES"/>
        </w:rPr>
        <w:t>paticlara</w:t>
      </w:r>
      <w:proofErr w:type="spellEnd"/>
      <w:r w:rsidRPr="0081008E">
        <w:rPr>
          <w:rFonts w:cs="Arial"/>
          <w:lang w:val="es-ES"/>
        </w:rPr>
        <w:t xml:space="preserve"> que el ACAP, su inclusión tanto en la CMS como en el ACAP maximizaría la cooperación internacional para conservar la pardela </w:t>
      </w:r>
      <w:proofErr w:type="spellStart"/>
      <w:r w:rsidRPr="0081008E">
        <w:rPr>
          <w:rFonts w:cs="Arial"/>
          <w:lang w:val="es-ES"/>
        </w:rPr>
        <w:t>paticlara</w:t>
      </w:r>
      <w:proofErr w:type="spellEnd"/>
      <w:r w:rsidRPr="0081008E">
        <w:rPr>
          <w:rFonts w:cs="Arial"/>
          <w:lang w:val="es-ES"/>
        </w:rPr>
        <w:t>.</w:t>
      </w:r>
    </w:p>
    <w:p w14:paraId="03AB0259" w14:textId="77777777" w:rsidR="00EE7EF9" w:rsidRPr="0081008E" w:rsidRDefault="00EE7EF9" w:rsidP="00EE7EF9">
      <w:pPr>
        <w:pStyle w:val="ListParagraph"/>
        <w:suppressAutoHyphens/>
        <w:autoSpaceDN w:val="0"/>
        <w:spacing w:after="0" w:line="240" w:lineRule="auto"/>
        <w:ind w:left="0"/>
        <w:contextualSpacing w:val="0"/>
        <w:jc w:val="both"/>
        <w:textAlignment w:val="baseline"/>
        <w:rPr>
          <w:rFonts w:cs="Arial"/>
          <w:lang w:val="es-ES"/>
        </w:rPr>
      </w:pPr>
    </w:p>
    <w:p w14:paraId="5285B652"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lang w:val="es-ES"/>
        </w:rPr>
        <w:t>Preparación y viabilidad:</w:t>
      </w:r>
      <w:r w:rsidRPr="0081008E">
        <w:rPr>
          <w:rFonts w:cs="Arial"/>
          <w:lang w:val="es-ES"/>
        </w:rPr>
        <w:t xml:space="preserve"> Las actividades identificadas en esta Acción Concertada se centran en utilizar las estructuras existentes de conservación y gestión pesquera en las que muchas Partes ya participan. Las prácticas eficaces de mitigación de la captura incidental de aves marinas, como aquellas opciones recomendadas como buenas prácticas de mitigación por el ACAP, han demostrado su efectividad y son utilizadas por varias flotas. Los desafíos actuales en el tipo de actividades de gestión pesquera descritas en esta Acción Concertada </w:t>
      </w:r>
      <w:r w:rsidRPr="0081008E">
        <w:rPr>
          <w:rFonts w:cs="Arial"/>
          <w:lang w:val="es-ES"/>
        </w:rPr>
        <w:lastRenderedPageBreak/>
        <w:t>pueden incluir la cobertura de observadores, el seguimiento del uso de medidas de mitigación y la recopilación y el intercambio de datos. Se prevé que la adopción de esta Acción Concertada facilite la cooperación para superar estos desafíos. Como tal, las actividades están listas y son factibles, y requieren un liderazgo impulsado por esta Acción Concertada para lograr los resultados deseados.</w:t>
      </w:r>
    </w:p>
    <w:p w14:paraId="6EB04526" w14:textId="77777777" w:rsidR="00EE7EF9" w:rsidRPr="0081008E" w:rsidRDefault="00EE7EF9" w:rsidP="00EE7EF9">
      <w:pPr>
        <w:pStyle w:val="ListParagraph"/>
        <w:spacing w:after="0" w:line="240" w:lineRule="auto"/>
        <w:ind w:left="0"/>
        <w:jc w:val="both"/>
        <w:rPr>
          <w:rFonts w:cs="Arial"/>
          <w:lang w:val="es-ES"/>
        </w:rPr>
      </w:pPr>
    </w:p>
    <w:p w14:paraId="7B59A914" w14:textId="77777777" w:rsidR="00EE7EF9" w:rsidRPr="0081008E" w:rsidRDefault="00EE7EF9" w:rsidP="00EE7EF9">
      <w:pPr>
        <w:pStyle w:val="ListParagraph"/>
        <w:suppressAutoHyphens/>
        <w:autoSpaceDN w:val="0"/>
        <w:spacing w:after="0" w:line="240" w:lineRule="auto"/>
        <w:ind w:left="0"/>
        <w:jc w:val="both"/>
        <w:textAlignment w:val="baseline"/>
        <w:rPr>
          <w:rFonts w:cs="Arial"/>
          <w:lang w:val="es-ES"/>
        </w:rPr>
      </w:pPr>
      <w:r w:rsidRPr="0081008E">
        <w:rPr>
          <w:rFonts w:cs="Arial"/>
          <w:lang w:val="es-ES"/>
        </w:rPr>
        <w:t xml:space="preserve">Las actividades de investigación están en curso o se basan en protocolos estándar y, por lo tanto, están listas y son factibles. Se han desarrollado y utilizado métodos de evaluación de riesgos a diferentes escalas, y el principal desafío (como ya se ha señalado) será obtener datos adecuados sobre las operaciones pesqueras. La gestión de los sitios de reproducción y los controles de bioseguridad ya están implementados en la mayoría de las colonias a lo largo del área de distribución. </w:t>
      </w:r>
    </w:p>
    <w:p w14:paraId="39B86239"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 </w:t>
      </w:r>
    </w:p>
    <w:p w14:paraId="698F8F2E" w14:textId="77777777" w:rsidR="00EE7EF9" w:rsidRPr="0081008E" w:rsidRDefault="00EE7EF9" w:rsidP="00EE7EF9">
      <w:pPr>
        <w:pStyle w:val="ListParagraph"/>
        <w:suppressAutoHyphens/>
        <w:autoSpaceDN w:val="0"/>
        <w:spacing w:after="0" w:line="240" w:lineRule="auto"/>
        <w:ind w:left="0"/>
        <w:jc w:val="both"/>
        <w:textAlignment w:val="baseline"/>
        <w:rPr>
          <w:rFonts w:cs="Arial"/>
          <w:lang w:val="es-ES"/>
        </w:rPr>
      </w:pPr>
      <w:r w:rsidRPr="0081008E">
        <w:rPr>
          <w:rFonts w:cs="Arial"/>
          <w:b/>
          <w:lang w:val="es-ES"/>
        </w:rPr>
        <w:t>Probabilidad de éxito:</w:t>
      </w:r>
      <w:r w:rsidRPr="0081008E">
        <w:rPr>
          <w:rFonts w:cs="Arial"/>
          <w:lang w:val="es-ES"/>
        </w:rPr>
        <w:t xml:space="preserve"> </w:t>
      </w:r>
    </w:p>
    <w:p w14:paraId="74528043" w14:textId="77777777" w:rsidR="00EE7EF9" w:rsidRPr="0081008E" w:rsidRDefault="00EE7EF9" w:rsidP="00EE7EF9">
      <w:pPr>
        <w:pStyle w:val="ListParagraph"/>
        <w:suppressAutoHyphens/>
        <w:autoSpaceDN w:val="0"/>
        <w:spacing w:after="0" w:line="240" w:lineRule="auto"/>
        <w:ind w:left="0"/>
        <w:jc w:val="both"/>
        <w:textAlignment w:val="baseline"/>
        <w:rPr>
          <w:rFonts w:cs="Arial"/>
          <w:lang w:val="es-ES"/>
        </w:rPr>
      </w:pPr>
    </w:p>
    <w:p w14:paraId="719CE538" w14:textId="4374D66A" w:rsidR="00EE7EF9" w:rsidRPr="0081008E" w:rsidRDefault="00EE7EF9" w:rsidP="00EE7EF9">
      <w:pPr>
        <w:pStyle w:val="ListParagraph"/>
        <w:suppressAutoHyphens/>
        <w:autoSpaceDN w:val="0"/>
        <w:spacing w:after="0" w:line="240" w:lineRule="auto"/>
        <w:ind w:left="0"/>
        <w:jc w:val="both"/>
        <w:textAlignment w:val="baseline"/>
        <w:rPr>
          <w:rFonts w:cs="Arial"/>
          <w:lang w:val="es-ES"/>
        </w:rPr>
      </w:pPr>
      <w:r w:rsidRPr="0081008E">
        <w:rPr>
          <w:rFonts w:cs="Arial"/>
          <w:lang w:val="es-ES"/>
        </w:rPr>
        <w:t xml:space="preserve">Aún persiste cierta incertidumbre sobre el nivel de amenaza que representa la captura incidental en pesquerías para la pardela </w:t>
      </w:r>
      <w:proofErr w:type="spellStart"/>
      <w:r w:rsidRPr="0081008E">
        <w:rPr>
          <w:rFonts w:cs="Arial"/>
          <w:lang w:val="es-ES"/>
        </w:rPr>
        <w:t>paticlara</w:t>
      </w:r>
      <w:proofErr w:type="spellEnd"/>
      <w:r w:rsidRPr="0081008E">
        <w:rPr>
          <w:rFonts w:cs="Arial"/>
          <w:lang w:val="es-ES"/>
        </w:rPr>
        <w:t>. Como tal, persiste el riesgo de que la población aún pueda disminuir incluso con una captura incidental en pesquerías bien gestionada. Sin embargo, la gestión de todos los impactos de las pesquerías a lo largo del área de distribución de la especie constituye la amenaza más sustantiva y fácilmente gestionable para la especie y, por lo tanto, representa la intervención de gestión con el mayor beneficio potencial para la especie.</w:t>
      </w:r>
    </w:p>
    <w:p w14:paraId="2B127E3F" w14:textId="77777777" w:rsidR="00EE7EF9" w:rsidRPr="0081008E" w:rsidRDefault="00EE7EF9" w:rsidP="00EE7EF9">
      <w:pPr>
        <w:spacing w:after="0" w:line="240" w:lineRule="auto"/>
        <w:jc w:val="both"/>
        <w:rPr>
          <w:rFonts w:cs="Arial"/>
          <w:lang w:val="es-ES"/>
        </w:rPr>
      </w:pPr>
    </w:p>
    <w:p w14:paraId="1C0BFF31"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lang w:val="es-ES"/>
        </w:rPr>
        <w:t>Magnitud del posible impacto:</w:t>
      </w:r>
      <w:r w:rsidRPr="0081008E">
        <w:rPr>
          <w:rFonts w:cs="Arial"/>
          <w:lang w:val="es-ES"/>
        </w:rPr>
        <w:t xml:space="preserve"> </w:t>
      </w:r>
    </w:p>
    <w:p w14:paraId="106CE067" w14:textId="77777777" w:rsidR="00EE7EF9" w:rsidRPr="0081008E" w:rsidRDefault="00EE7EF9" w:rsidP="00EE7EF9">
      <w:pPr>
        <w:suppressAutoHyphens/>
        <w:autoSpaceDN w:val="0"/>
        <w:spacing w:after="0" w:line="240" w:lineRule="auto"/>
        <w:jc w:val="both"/>
        <w:textAlignment w:val="baseline"/>
        <w:rPr>
          <w:rFonts w:cs="Arial"/>
          <w:lang w:val="es-ES"/>
        </w:rPr>
      </w:pPr>
    </w:p>
    <w:p w14:paraId="7F81F5BF" w14:textId="1349C73B"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Las actividades descritas en esta Acción Concertada tienen como objetivo reducir la captura incidental de aves marinas en las pesquerías de los principales Estados del área de distribución y en alta mar de los océanos Índico Oriental y Pacífico Occidental, al norte de aproximadamente 40° Sur. Como se señaló en el párrafo (</w:t>
      </w:r>
      <w:proofErr w:type="spellStart"/>
      <w:r w:rsidRPr="0081008E">
        <w:rPr>
          <w:rFonts w:cs="Arial"/>
          <w:lang w:val="es-ES"/>
        </w:rPr>
        <w:t>viii</w:t>
      </w:r>
      <w:proofErr w:type="spellEnd"/>
      <w:r w:rsidRPr="0081008E">
        <w:rPr>
          <w:rFonts w:cs="Arial"/>
          <w:lang w:val="es-ES"/>
        </w:rPr>
        <w:t xml:space="preserve">), esta Acción Concertada se alinea estrechamente con la desarrollada para el albatros de las Antípodas. Otras especies de aves marinas que se sabe, o es probable, que sean capturadas incidentalmente en pesquerías que operan en estas áreas, y que por lo tanto también se verán afectadas por las actividades abordadas en este Plan de Acción Concertada, incluyen las siguientes especies incluidas en el Apéndice II de la CMS y en el ACAP: </w:t>
      </w:r>
      <w:proofErr w:type="spellStart"/>
      <w:r w:rsidRPr="0081008E">
        <w:rPr>
          <w:rFonts w:cs="Arial"/>
          <w:i/>
          <w:iCs/>
          <w:lang w:val="es-ES"/>
        </w:rPr>
        <w:t>Diomedea</w:t>
      </w:r>
      <w:proofErr w:type="spellEnd"/>
      <w:r w:rsidRPr="0081008E">
        <w:rPr>
          <w:rFonts w:cs="Arial"/>
          <w:i/>
          <w:iCs/>
          <w:lang w:val="es-ES"/>
        </w:rPr>
        <w:t xml:space="preserve"> </w:t>
      </w:r>
      <w:proofErr w:type="spellStart"/>
      <w:r w:rsidRPr="0081008E">
        <w:rPr>
          <w:rFonts w:cs="Arial"/>
          <w:i/>
          <w:iCs/>
          <w:lang w:val="es-ES"/>
        </w:rPr>
        <w:t>exulans</w:t>
      </w:r>
      <w:proofErr w:type="spellEnd"/>
      <w:r w:rsidRPr="0081008E">
        <w:rPr>
          <w:rFonts w:cs="Arial"/>
          <w:i/>
          <w:iCs/>
          <w:lang w:val="es-ES"/>
        </w:rPr>
        <w:t xml:space="preserve">, </w:t>
      </w:r>
      <w:proofErr w:type="spellStart"/>
      <w:r w:rsidRPr="0081008E">
        <w:rPr>
          <w:rFonts w:cs="Arial"/>
          <w:i/>
          <w:iCs/>
          <w:lang w:val="es-ES"/>
        </w:rPr>
        <w:t>Diomedea</w:t>
      </w:r>
      <w:proofErr w:type="spellEnd"/>
      <w:r w:rsidRPr="0081008E">
        <w:rPr>
          <w:rFonts w:cs="Arial"/>
          <w:i/>
          <w:iCs/>
          <w:lang w:val="es-ES"/>
        </w:rPr>
        <w:t xml:space="preserve"> </w:t>
      </w:r>
      <w:proofErr w:type="spellStart"/>
      <w:r w:rsidRPr="0081008E">
        <w:rPr>
          <w:rFonts w:cs="Arial"/>
          <w:i/>
          <w:iCs/>
          <w:lang w:val="es-ES"/>
        </w:rPr>
        <w:t>epomophora</w:t>
      </w:r>
      <w:proofErr w:type="spellEnd"/>
      <w:r w:rsidRPr="0081008E">
        <w:rPr>
          <w:rFonts w:cs="Arial"/>
          <w:i/>
          <w:iCs/>
          <w:lang w:val="es-ES"/>
        </w:rPr>
        <w:t xml:space="preserve">, </w:t>
      </w:r>
      <w:proofErr w:type="spellStart"/>
      <w:r w:rsidRPr="0081008E">
        <w:rPr>
          <w:rFonts w:cs="Arial"/>
          <w:i/>
          <w:iCs/>
          <w:lang w:val="es-ES"/>
        </w:rPr>
        <w:t>Diomedea</w:t>
      </w:r>
      <w:proofErr w:type="spellEnd"/>
      <w:r w:rsidRPr="0081008E">
        <w:rPr>
          <w:rFonts w:cs="Arial"/>
          <w:i/>
          <w:iCs/>
          <w:lang w:val="es-ES"/>
        </w:rPr>
        <w:t xml:space="preserve"> </w:t>
      </w:r>
      <w:proofErr w:type="spellStart"/>
      <w:r w:rsidRPr="0081008E">
        <w:rPr>
          <w:rFonts w:cs="Arial"/>
          <w:i/>
          <w:iCs/>
          <w:lang w:val="es-ES"/>
        </w:rPr>
        <w:t>sanfordi</w:t>
      </w:r>
      <w:proofErr w:type="spellEnd"/>
      <w:r w:rsidRPr="0081008E">
        <w:rPr>
          <w:rFonts w:cs="Arial"/>
          <w:i/>
          <w:iCs/>
          <w:lang w:val="es-ES"/>
        </w:rPr>
        <w:t xml:space="preserve">, </w:t>
      </w:r>
      <w:proofErr w:type="spellStart"/>
      <w:r w:rsidRPr="0081008E">
        <w:rPr>
          <w:rFonts w:cs="Arial"/>
          <w:i/>
          <w:iCs/>
          <w:lang w:val="es-ES"/>
        </w:rPr>
        <w:t>Diomedea</w:t>
      </w:r>
      <w:proofErr w:type="spellEnd"/>
      <w:r w:rsidRPr="0081008E">
        <w:rPr>
          <w:rFonts w:cs="Arial"/>
          <w:i/>
          <w:iCs/>
          <w:lang w:val="es-ES"/>
        </w:rPr>
        <w:t xml:space="preserve"> </w:t>
      </w:r>
      <w:proofErr w:type="spellStart"/>
      <w:r w:rsidRPr="0081008E">
        <w:rPr>
          <w:rFonts w:cs="Arial"/>
          <w:i/>
          <w:iCs/>
          <w:lang w:val="es-ES"/>
        </w:rPr>
        <w:t>amsterdamensis</w:t>
      </w:r>
      <w:proofErr w:type="spellEnd"/>
      <w:r w:rsidRPr="0081008E">
        <w:rPr>
          <w:rFonts w:cs="Arial"/>
          <w:i/>
          <w:iCs/>
          <w:lang w:val="es-ES"/>
        </w:rPr>
        <w:t xml:space="preserve">, </w:t>
      </w:r>
      <w:proofErr w:type="spellStart"/>
      <w:r w:rsidRPr="0081008E">
        <w:rPr>
          <w:rFonts w:cs="Arial"/>
          <w:i/>
          <w:iCs/>
          <w:lang w:val="es-ES"/>
        </w:rPr>
        <w:t>Phoebetria</w:t>
      </w:r>
      <w:proofErr w:type="spellEnd"/>
      <w:r w:rsidRPr="0081008E">
        <w:rPr>
          <w:rFonts w:cs="Arial"/>
          <w:i/>
          <w:iCs/>
          <w:lang w:val="es-ES"/>
        </w:rPr>
        <w:t xml:space="preserve"> fusca, </w:t>
      </w:r>
      <w:proofErr w:type="spellStart"/>
      <w:r w:rsidRPr="0081008E">
        <w:rPr>
          <w:rFonts w:cs="Arial"/>
          <w:i/>
          <w:iCs/>
          <w:lang w:val="es-ES"/>
        </w:rPr>
        <w:t>Phoebetria</w:t>
      </w:r>
      <w:proofErr w:type="spellEnd"/>
      <w:r w:rsidRPr="0081008E">
        <w:rPr>
          <w:rFonts w:cs="Arial"/>
          <w:i/>
          <w:iCs/>
          <w:lang w:val="es-ES"/>
        </w:rPr>
        <w:t xml:space="preserve"> </w:t>
      </w:r>
      <w:proofErr w:type="spellStart"/>
      <w:r w:rsidRPr="0081008E">
        <w:rPr>
          <w:rFonts w:cs="Arial"/>
          <w:i/>
          <w:iCs/>
          <w:lang w:val="es-ES"/>
        </w:rPr>
        <w:t>palpebrate</w:t>
      </w:r>
      <w:proofErr w:type="spellEnd"/>
      <w:r w:rsidRPr="0081008E">
        <w:rPr>
          <w:rFonts w:cs="Arial"/>
          <w:i/>
          <w:iCs/>
          <w:lang w:val="es-ES"/>
        </w:rPr>
        <w:t xml:space="preserve">, </w:t>
      </w:r>
      <w:proofErr w:type="spellStart"/>
      <w:r w:rsidRPr="0081008E">
        <w:rPr>
          <w:rFonts w:cs="Arial"/>
          <w:i/>
          <w:iCs/>
          <w:lang w:val="es-ES"/>
        </w:rPr>
        <w:t>Thalassarche</w:t>
      </w:r>
      <w:proofErr w:type="spellEnd"/>
      <w:r w:rsidRPr="0081008E">
        <w:rPr>
          <w:rFonts w:cs="Arial"/>
          <w:i/>
          <w:iCs/>
          <w:lang w:val="es-ES"/>
        </w:rPr>
        <w:t xml:space="preserve"> </w:t>
      </w:r>
      <w:proofErr w:type="spellStart"/>
      <w:r w:rsidRPr="0081008E">
        <w:rPr>
          <w:rFonts w:cs="Arial"/>
          <w:i/>
          <w:iCs/>
          <w:lang w:val="es-ES"/>
        </w:rPr>
        <w:t>carteri</w:t>
      </w:r>
      <w:proofErr w:type="spellEnd"/>
      <w:r w:rsidRPr="0081008E">
        <w:rPr>
          <w:rFonts w:cs="Arial"/>
          <w:i/>
          <w:iCs/>
          <w:lang w:val="es-ES"/>
        </w:rPr>
        <w:t xml:space="preserve">, </w:t>
      </w:r>
      <w:proofErr w:type="spellStart"/>
      <w:r w:rsidRPr="0081008E">
        <w:rPr>
          <w:rFonts w:cs="Arial"/>
          <w:i/>
          <w:iCs/>
          <w:lang w:val="es-ES"/>
        </w:rPr>
        <w:t>Thalassarche</w:t>
      </w:r>
      <w:proofErr w:type="spellEnd"/>
      <w:r w:rsidRPr="0081008E">
        <w:rPr>
          <w:rFonts w:cs="Arial"/>
          <w:i/>
          <w:iCs/>
          <w:lang w:val="es-ES"/>
        </w:rPr>
        <w:t xml:space="preserve"> </w:t>
      </w:r>
      <w:proofErr w:type="spellStart"/>
      <w:r w:rsidRPr="0081008E">
        <w:rPr>
          <w:rFonts w:cs="Arial"/>
          <w:i/>
          <w:iCs/>
          <w:lang w:val="es-ES"/>
        </w:rPr>
        <w:t>melanophris</w:t>
      </w:r>
      <w:proofErr w:type="spellEnd"/>
      <w:r w:rsidRPr="0081008E">
        <w:rPr>
          <w:rFonts w:cs="Arial"/>
          <w:i/>
          <w:iCs/>
          <w:lang w:val="es-ES"/>
        </w:rPr>
        <w:t xml:space="preserve">, </w:t>
      </w:r>
      <w:proofErr w:type="spellStart"/>
      <w:r w:rsidRPr="0081008E">
        <w:rPr>
          <w:rFonts w:cs="Arial"/>
          <w:i/>
          <w:iCs/>
          <w:lang w:val="es-ES"/>
        </w:rPr>
        <w:t>Thalassarche</w:t>
      </w:r>
      <w:proofErr w:type="spellEnd"/>
      <w:r w:rsidRPr="0081008E">
        <w:rPr>
          <w:rFonts w:cs="Arial"/>
          <w:i/>
          <w:iCs/>
          <w:lang w:val="es-ES"/>
        </w:rPr>
        <w:t xml:space="preserve"> </w:t>
      </w:r>
      <w:proofErr w:type="spellStart"/>
      <w:r w:rsidRPr="0081008E">
        <w:rPr>
          <w:rFonts w:cs="Arial"/>
          <w:i/>
          <w:iCs/>
          <w:lang w:val="es-ES"/>
        </w:rPr>
        <w:t>impavida</w:t>
      </w:r>
      <w:proofErr w:type="spellEnd"/>
      <w:r w:rsidRPr="0081008E">
        <w:rPr>
          <w:rFonts w:cs="Arial"/>
          <w:i/>
          <w:iCs/>
          <w:lang w:val="es-ES"/>
        </w:rPr>
        <w:t xml:space="preserve">, </w:t>
      </w:r>
      <w:proofErr w:type="spellStart"/>
      <w:r w:rsidRPr="0081008E">
        <w:rPr>
          <w:rFonts w:cs="Arial"/>
          <w:i/>
          <w:iCs/>
          <w:lang w:val="es-ES"/>
        </w:rPr>
        <w:t>Thalassarche</w:t>
      </w:r>
      <w:proofErr w:type="spellEnd"/>
      <w:r w:rsidRPr="0081008E">
        <w:rPr>
          <w:rFonts w:cs="Arial"/>
          <w:i/>
          <w:iCs/>
          <w:lang w:val="es-ES"/>
        </w:rPr>
        <w:t xml:space="preserve"> </w:t>
      </w:r>
      <w:proofErr w:type="spellStart"/>
      <w:r w:rsidRPr="0081008E">
        <w:rPr>
          <w:rFonts w:cs="Arial"/>
          <w:i/>
          <w:iCs/>
          <w:lang w:val="es-ES"/>
        </w:rPr>
        <w:t>chrysostoma</w:t>
      </w:r>
      <w:proofErr w:type="spellEnd"/>
      <w:r w:rsidRPr="0081008E">
        <w:rPr>
          <w:rFonts w:cs="Arial"/>
          <w:i/>
          <w:iCs/>
          <w:lang w:val="es-ES"/>
        </w:rPr>
        <w:t xml:space="preserve">, </w:t>
      </w:r>
      <w:proofErr w:type="spellStart"/>
      <w:r w:rsidRPr="0081008E">
        <w:rPr>
          <w:rFonts w:cs="Arial"/>
          <w:i/>
          <w:iCs/>
          <w:lang w:val="es-ES"/>
        </w:rPr>
        <w:t>Thalassarche</w:t>
      </w:r>
      <w:proofErr w:type="spellEnd"/>
      <w:r w:rsidRPr="0081008E">
        <w:rPr>
          <w:rFonts w:cs="Arial"/>
          <w:i/>
          <w:iCs/>
          <w:lang w:val="es-ES"/>
        </w:rPr>
        <w:t xml:space="preserve"> </w:t>
      </w:r>
      <w:proofErr w:type="spellStart"/>
      <w:r w:rsidRPr="0081008E">
        <w:rPr>
          <w:rFonts w:cs="Arial"/>
          <w:i/>
          <w:iCs/>
          <w:lang w:val="es-ES"/>
        </w:rPr>
        <w:t>bulleri</w:t>
      </w:r>
      <w:proofErr w:type="spellEnd"/>
      <w:r w:rsidRPr="0081008E">
        <w:rPr>
          <w:rFonts w:cs="Arial"/>
          <w:i/>
          <w:iCs/>
          <w:lang w:val="es-ES"/>
        </w:rPr>
        <w:t xml:space="preserve">, </w:t>
      </w:r>
      <w:proofErr w:type="spellStart"/>
      <w:r w:rsidRPr="0081008E">
        <w:rPr>
          <w:rFonts w:cs="Arial"/>
          <w:i/>
          <w:iCs/>
          <w:lang w:val="es-ES"/>
        </w:rPr>
        <w:t>Thalassarche</w:t>
      </w:r>
      <w:proofErr w:type="spellEnd"/>
      <w:r w:rsidRPr="0081008E">
        <w:rPr>
          <w:rFonts w:cs="Arial"/>
          <w:i/>
          <w:iCs/>
          <w:lang w:val="es-ES"/>
        </w:rPr>
        <w:t xml:space="preserve"> cauta, </w:t>
      </w:r>
      <w:proofErr w:type="spellStart"/>
      <w:r w:rsidRPr="0081008E">
        <w:rPr>
          <w:rFonts w:cs="Arial"/>
          <w:i/>
          <w:iCs/>
          <w:lang w:val="es-ES"/>
        </w:rPr>
        <w:t>Thalassarche</w:t>
      </w:r>
      <w:proofErr w:type="spellEnd"/>
      <w:r w:rsidRPr="0081008E">
        <w:rPr>
          <w:rFonts w:cs="Arial"/>
          <w:i/>
          <w:iCs/>
          <w:lang w:val="es-ES"/>
        </w:rPr>
        <w:t xml:space="preserve"> </w:t>
      </w:r>
      <w:proofErr w:type="spellStart"/>
      <w:r w:rsidRPr="0081008E">
        <w:rPr>
          <w:rFonts w:cs="Arial"/>
          <w:i/>
          <w:iCs/>
          <w:lang w:val="es-ES"/>
        </w:rPr>
        <w:t>steadi</w:t>
      </w:r>
      <w:proofErr w:type="spellEnd"/>
      <w:r w:rsidRPr="0081008E">
        <w:rPr>
          <w:rFonts w:cs="Arial"/>
          <w:i/>
          <w:iCs/>
          <w:lang w:val="es-ES"/>
        </w:rPr>
        <w:t xml:space="preserve">, </w:t>
      </w:r>
      <w:proofErr w:type="spellStart"/>
      <w:r w:rsidRPr="0081008E">
        <w:rPr>
          <w:rFonts w:cs="Arial"/>
          <w:i/>
          <w:iCs/>
          <w:lang w:val="es-ES"/>
        </w:rPr>
        <w:t>Thalassarche</w:t>
      </w:r>
      <w:proofErr w:type="spellEnd"/>
      <w:r w:rsidRPr="0081008E">
        <w:rPr>
          <w:rFonts w:cs="Arial"/>
          <w:i/>
          <w:iCs/>
          <w:lang w:val="es-ES"/>
        </w:rPr>
        <w:t xml:space="preserve"> eremita, </w:t>
      </w:r>
      <w:proofErr w:type="spellStart"/>
      <w:r w:rsidRPr="0081008E">
        <w:rPr>
          <w:rFonts w:cs="Arial"/>
          <w:i/>
          <w:iCs/>
          <w:lang w:val="es-ES"/>
        </w:rPr>
        <w:t>Thalassarche</w:t>
      </w:r>
      <w:proofErr w:type="spellEnd"/>
      <w:r w:rsidRPr="0081008E">
        <w:rPr>
          <w:rFonts w:cs="Arial"/>
          <w:i/>
          <w:iCs/>
          <w:lang w:val="es-ES"/>
        </w:rPr>
        <w:t xml:space="preserve"> </w:t>
      </w:r>
      <w:proofErr w:type="spellStart"/>
      <w:r w:rsidRPr="0081008E">
        <w:rPr>
          <w:rFonts w:cs="Arial"/>
          <w:i/>
          <w:iCs/>
          <w:lang w:val="es-ES"/>
        </w:rPr>
        <w:t>salvini</w:t>
      </w:r>
      <w:proofErr w:type="spellEnd"/>
      <w:r w:rsidRPr="0081008E">
        <w:rPr>
          <w:rFonts w:cs="Arial"/>
          <w:i/>
          <w:iCs/>
          <w:lang w:val="es-ES"/>
        </w:rPr>
        <w:t xml:space="preserve">, </w:t>
      </w:r>
      <w:proofErr w:type="spellStart"/>
      <w:r w:rsidRPr="0081008E">
        <w:rPr>
          <w:rFonts w:cs="Arial"/>
          <w:i/>
          <w:iCs/>
          <w:lang w:val="es-ES"/>
        </w:rPr>
        <w:t>Macronectes</w:t>
      </w:r>
      <w:proofErr w:type="spellEnd"/>
      <w:r w:rsidRPr="0081008E">
        <w:rPr>
          <w:rFonts w:cs="Arial"/>
          <w:i/>
          <w:iCs/>
          <w:lang w:val="es-ES"/>
        </w:rPr>
        <w:t xml:space="preserve"> </w:t>
      </w:r>
      <w:proofErr w:type="spellStart"/>
      <w:r w:rsidRPr="0081008E">
        <w:rPr>
          <w:rFonts w:cs="Arial"/>
          <w:i/>
          <w:iCs/>
          <w:lang w:val="es-ES"/>
        </w:rPr>
        <w:t>halli</w:t>
      </w:r>
      <w:proofErr w:type="spellEnd"/>
      <w:r w:rsidRPr="0081008E">
        <w:rPr>
          <w:rFonts w:cs="Arial"/>
          <w:i/>
          <w:iCs/>
          <w:lang w:val="es-ES"/>
        </w:rPr>
        <w:t xml:space="preserve">, </w:t>
      </w:r>
      <w:proofErr w:type="spellStart"/>
      <w:r w:rsidRPr="0081008E">
        <w:rPr>
          <w:rFonts w:cs="Arial"/>
          <w:i/>
          <w:iCs/>
          <w:lang w:val="es-ES"/>
        </w:rPr>
        <w:t>Procellaria</w:t>
      </w:r>
      <w:proofErr w:type="spellEnd"/>
      <w:r w:rsidRPr="0081008E">
        <w:rPr>
          <w:rFonts w:cs="Arial"/>
          <w:i/>
          <w:iCs/>
          <w:lang w:val="es-ES"/>
        </w:rPr>
        <w:t xml:space="preserve"> </w:t>
      </w:r>
      <w:proofErr w:type="spellStart"/>
      <w:r w:rsidRPr="0081008E">
        <w:rPr>
          <w:rFonts w:cs="Arial"/>
          <w:i/>
          <w:iCs/>
          <w:lang w:val="es-ES"/>
        </w:rPr>
        <w:t>aequinoctialis</w:t>
      </w:r>
      <w:proofErr w:type="spellEnd"/>
      <w:r w:rsidRPr="0081008E">
        <w:rPr>
          <w:rFonts w:cs="Arial"/>
          <w:i/>
          <w:iCs/>
          <w:lang w:val="es-ES"/>
        </w:rPr>
        <w:t xml:space="preserve">, </w:t>
      </w:r>
      <w:proofErr w:type="spellStart"/>
      <w:r w:rsidRPr="0081008E">
        <w:rPr>
          <w:rFonts w:cs="Arial"/>
          <w:i/>
          <w:iCs/>
          <w:lang w:val="es-ES"/>
        </w:rPr>
        <w:t>Procellaria</w:t>
      </w:r>
      <w:proofErr w:type="spellEnd"/>
      <w:r w:rsidRPr="0081008E">
        <w:rPr>
          <w:rFonts w:cs="Arial"/>
          <w:i/>
          <w:iCs/>
          <w:lang w:val="es-ES"/>
        </w:rPr>
        <w:t xml:space="preserve"> </w:t>
      </w:r>
      <w:proofErr w:type="spellStart"/>
      <w:r w:rsidRPr="0081008E">
        <w:rPr>
          <w:rFonts w:cs="Arial"/>
          <w:i/>
          <w:iCs/>
          <w:lang w:val="es-ES"/>
        </w:rPr>
        <w:t>westlandica</w:t>
      </w:r>
      <w:proofErr w:type="spellEnd"/>
      <w:r w:rsidRPr="0081008E">
        <w:rPr>
          <w:rFonts w:cs="Arial"/>
          <w:i/>
          <w:lang w:val="es-ES"/>
        </w:rPr>
        <w:t xml:space="preserve"> </w:t>
      </w:r>
      <w:r w:rsidRPr="0081008E">
        <w:rPr>
          <w:rFonts w:cs="Arial"/>
          <w:lang w:val="es-ES"/>
        </w:rPr>
        <w:t>y</w:t>
      </w:r>
      <w:r w:rsidRPr="0081008E">
        <w:rPr>
          <w:rFonts w:cs="Arial"/>
          <w:i/>
          <w:lang w:val="es-ES"/>
        </w:rPr>
        <w:t xml:space="preserve"> </w:t>
      </w:r>
      <w:proofErr w:type="spellStart"/>
      <w:r w:rsidRPr="0081008E">
        <w:rPr>
          <w:rFonts w:cs="Arial"/>
          <w:i/>
          <w:iCs/>
          <w:lang w:val="es-ES"/>
        </w:rPr>
        <w:t>Procellaria</w:t>
      </w:r>
      <w:proofErr w:type="spellEnd"/>
      <w:r w:rsidRPr="0081008E">
        <w:rPr>
          <w:rFonts w:cs="Arial"/>
          <w:i/>
          <w:iCs/>
          <w:lang w:val="es-ES"/>
        </w:rPr>
        <w:t xml:space="preserve"> </w:t>
      </w:r>
      <w:proofErr w:type="spellStart"/>
      <w:r w:rsidRPr="0081008E">
        <w:rPr>
          <w:rFonts w:cs="Arial"/>
          <w:i/>
          <w:iCs/>
          <w:lang w:val="es-ES"/>
        </w:rPr>
        <w:t>parkinsoni</w:t>
      </w:r>
      <w:proofErr w:type="spellEnd"/>
      <w:r w:rsidRPr="0081008E">
        <w:rPr>
          <w:rFonts w:cs="Arial"/>
          <w:lang w:val="es-ES"/>
        </w:rPr>
        <w:t xml:space="preserve">. </w:t>
      </w:r>
      <w:r w:rsidRPr="0081008E">
        <w:rPr>
          <w:rFonts w:cs="Arial"/>
          <w:color w:val="0000FF"/>
          <w:lang w:val="es-ES"/>
        </w:rPr>
        <w:t xml:space="preserve"> </w:t>
      </w:r>
    </w:p>
    <w:p w14:paraId="37BDAFCD" w14:textId="77777777" w:rsidR="00EE7EF9" w:rsidRPr="0081008E" w:rsidRDefault="00EE7EF9" w:rsidP="00EE7EF9">
      <w:pPr>
        <w:spacing w:after="0" w:line="240" w:lineRule="auto"/>
        <w:jc w:val="both"/>
        <w:rPr>
          <w:rFonts w:cs="Arial"/>
          <w:lang w:val="es-ES"/>
        </w:rPr>
      </w:pPr>
    </w:p>
    <w:p w14:paraId="098E6E83"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lang w:val="es-ES"/>
        </w:rPr>
        <w:t>Rentabilidad:</w:t>
      </w:r>
      <w:r w:rsidRPr="0081008E">
        <w:rPr>
          <w:rFonts w:cs="Arial"/>
          <w:lang w:val="es-ES"/>
        </w:rPr>
        <w:t xml:space="preserve"> </w:t>
      </w:r>
    </w:p>
    <w:p w14:paraId="7CD57894" w14:textId="77777777" w:rsidR="00EE7EF9" w:rsidRPr="0081008E" w:rsidRDefault="00EE7EF9" w:rsidP="00EE7EF9">
      <w:pPr>
        <w:suppressAutoHyphens/>
        <w:autoSpaceDN w:val="0"/>
        <w:spacing w:after="0" w:line="240" w:lineRule="auto"/>
        <w:jc w:val="both"/>
        <w:textAlignment w:val="baseline"/>
        <w:rPr>
          <w:rFonts w:cs="Arial"/>
          <w:lang w:val="es-ES"/>
        </w:rPr>
      </w:pPr>
    </w:p>
    <w:p w14:paraId="030E186E" w14:textId="38324D8A"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Las actividades identificadas en esta Acción Concertada se centran en utilizar las estructuras existentes de gestión pesquera. Como tal, cualquier coste adicional relacionado con la gestión de las pesquerías nacionales, o la participación con las OROP pertinentes, es bajo y consistirá en dotar de recursos capacidad suficiente, y/o priorizar la capacidad existente, para participar en los elementos de gestión de la captura incidental de estos procesos de gestión pesquera. Para las flotas pesqueras relevantes que actualmente no implementan medidas eficaces de mitigación de aves marinas y/o no recopilan datos sobre interacciones con aves marinas, puede haber costes asociados a la mejora de sus operaciones. Los costes adicionales estarían relacionados con el monitoreo del uso de las prácticas de mitigación y el registro de los datos. Sin embargo, debe señalarse que las acciones emprendidas por las flotas pesqueras para reducir el riesgo de captura incidental de la pardela </w:t>
      </w:r>
      <w:proofErr w:type="spellStart"/>
      <w:r w:rsidRPr="0081008E">
        <w:rPr>
          <w:rFonts w:cs="Arial"/>
          <w:lang w:val="es-ES"/>
        </w:rPr>
        <w:t>paticlara</w:t>
      </w:r>
      <w:proofErr w:type="spellEnd"/>
      <w:r w:rsidRPr="0081008E">
        <w:rPr>
          <w:rFonts w:cs="Arial"/>
          <w:lang w:val="es-ES"/>
        </w:rPr>
        <w:t xml:space="preserve"> también disminuirán el riesgo de captura incidental de otras especies de aves marinas y, por lo tanto, mejorarán los aspectos de sostenibilidad de su operación. </w:t>
      </w:r>
    </w:p>
    <w:p w14:paraId="4A80607C" w14:textId="77777777" w:rsidR="00EE7EF9" w:rsidRPr="0081008E" w:rsidRDefault="00EE7EF9" w:rsidP="00EE7EF9">
      <w:pPr>
        <w:suppressAutoHyphens/>
        <w:autoSpaceDN w:val="0"/>
        <w:spacing w:after="0" w:line="240" w:lineRule="auto"/>
        <w:jc w:val="both"/>
        <w:textAlignment w:val="baseline"/>
        <w:rPr>
          <w:rFonts w:cs="Arial"/>
          <w:lang w:val="es-ES"/>
        </w:rPr>
      </w:pPr>
    </w:p>
    <w:p w14:paraId="7CDCC37E" w14:textId="0B113A36"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Los costes para la investigación de referencia y el monitoreo de las poblaciones de Nueva Zelanda pueden ser cubiertos mediante los mecanismos de financiación actuales</w:t>
      </w:r>
      <w:r w:rsidR="003524B0" w:rsidRPr="0081008E">
        <w:rPr>
          <w:rFonts w:cs="Arial"/>
          <w:lang w:val="es-ES"/>
        </w:rPr>
        <w:t xml:space="preserve"> del Gobierno de Nueva Zelanda.</w:t>
      </w:r>
      <w:r w:rsidRPr="0081008E">
        <w:rPr>
          <w:rFonts w:cs="Arial"/>
          <w:lang w:val="es-ES"/>
        </w:rPr>
        <w:t xml:space="preserve"> La colaboración o fondos adicionales permitirían un programa de investigación ampliado (p. ej., seguimiento adicional en el mar, evaluación de la dieta).</w:t>
      </w:r>
    </w:p>
    <w:p w14:paraId="02DF97C2" w14:textId="77777777" w:rsidR="00EE7EF9" w:rsidRPr="0081008E" w:rsidRDefault="00EE7EF9" w:rsidP="00EE7EF9">
      <w:pPr>
        <w:suppressAutoHyphens/>
        <w:autoSpaceDN w:val="0"/>
        <w:spacing w:after="0" w:line="240" w:lineRule="auto"/>
        <w:jc w:val="both"/>
        <w:textAlignment w:val="baseline"/>
        <w:rPr>
          <w:rFonts w:cs="Arial"/>
          <w:lang w:val="es-ES"/>
        </w:rPr>
      </w:pPr>
    </w:p>
    <w:p w14:paraId="3145B9EB" w14:textId="0EF5B2F8"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Los costes para la protección continua y el control de bioseguridad de los sitios de reproducción ya han sido asignados por el Gobierno de Nueva Zelanda. </w:t>
      </w:r>
    </w:p>
    <w:p w14:paraId="5AFA2876" w14:textId="77777777" w:rsidR="00EE7EF9" w:rsidRPr="0081008E" w:rsidRDefault="00EE7EF9" w:rsidP="00EE7EF9">
      <w:pPr>
        <w:spacing w:after="0" w:line="240" w:lineRule="auto"/>
        <w:ind w:left="540" w:hanging="540"/>
        <w:jc w:val="both"/>
        <w:rPr>
          <w:rFonts w:cs="Arial"/>
          <w:lang w:val="es-ES"/>
        </w:rPr>
      </w:pPr>
    </w:p>
    <w:p w14:paraId="49EF2AA2" w14:textId="77777777"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b/>
          <w:lang w:val="es-ES"/>
        </w:rPr>
        <w:t>Consultas previstas/realizadas:</w:t>
      </w:r>
      <w:r w:rsidRPr="0081008E">
        <w:rPr>
          <w:rFonts w:cs="Arial"/>
          <w:lang w:val="es-ES"/>
        </w:rPr>
        <w:t xml:space="preserve"> </w:t>
      </w:r>
    </w:p>
    <w:p w14:paraId="4E86ED3A" w14:textId="77777777" w:rsidR="00EE7EF9" w:rsidRPr="0081008E" w:rsidRDefault="00EE7EF9" w:rsidP="00EE7EF9">
      <w:pPr>
        <w:suppressAutoHyphens/>
        <w:autoSpaceDN w:val="0"/>
        <w:spacing w:after="0" w:line="240" w:lineRule="auto"/>
        <w:jc w:val="both"/>
        <w:textAlignment w:val="baseline"/>
        <w:rPr>
          <w:rFonts w:cs="Arial"/>
          <w:lang w:val="es-ES"/>
        </w:rPr>
      </w:pPr>
    </w:p>
    <w:p w14:paraId="774354AD" w14:textId="656AD554" w:rsidR="00EE7EF9" w:rsidRPr="0081008E" w:rsidRDefault="00EE7EF9" w:rsidP="00EE7EF9">
      <w:pPr>
        <w:suppressAutoHyphens/>
        <w:autoSpaceDN w:val="0"/>
        <w:spacing w:after="0" w:line="240" w:lineRule="auto"/>
        <w:jc w:val="both"/>
        <w:textAlignment w:val="baseline"/>
        <w:rPr>
          <w:rFonts w:cs="Arial"/>
          <w:lang w:val="es-ES"/>
        </w:rPr>
      </w:pPr>
      <w:r w:rsidRPr="0081008E">
        <w:rPr>
          <w:rFonts w:cs="Arial"/>
          <w:lang w:val="es-ES"/>
        </w:rPr>
        <w:t xml:space="preserve">Nueva Zelanda y Australia trabajaron de manera colaborativa para desarrollar esta Acción Concertada. </w:t>
      </w:r>
    </w:p>
    <w:p w14:paraId="6D146A27" w14:textId="77777777" w:rsidR="00EE7EF9" w:rsidRPr="0081008E" w:rsidRDefault="00EE7EF9" w:rsidP="00EE7EF9">
      <w:pPr>
        <w:suppressAutoHyphens/>
        <w:autoSpaceDN w:val="0"/>
        <w:spacing w:after="0" w:line="240" w:lineRule="auto"/>
        <w:jc w:val="both"/>
        <w:textAlignment w:val="baseline"/>
        <w:rPr>
          <w:rFonts w:cs="Arial"/>
          <w:lang w:val="es-ES"/>
        </w:rPr>
      </w:pPr>
    </w:p>
    <w:p w14:paraId="1426886B" w14:textId="3271CBF5" w:rsidR="006A689A" w:rsidRPr="0081008E" w:rsidRDefault="00EE7EF9" w:rsidP="00EE7EF9">
      <w:pPr>
        <w:widowControl w:val="0"/>
        <w:suppressAutoHyphens/>
        <w:autoSpaceDE w:val="0"/>
        <w:autoSpaceDN w:val="0"/>
        <w:spacing w:after="0" w:line="240" w:lineRule="auto"/>
        <w:jc w:val="both"/>
        <w:textAlignment w:val="baseline"/>
        <w:rPr>
          <w:rFonts w:cs="Arial"/>
          <w:lang w:val="es-ES"/>
        </w:rPr>
      </w:pPr>
      <w:r w:rsidRPr="0081008E">
        <w:rPr>
          <w:rFonts w:cs="Arial"/>
          <w:lang w:val="es-ES"/>
        </w:rPr>
        <w:t>Se ha consultado a las siguientes Partes de la CMS sobre esta Acción Concertada: Chile, Islas Cook, Ecuador, Unión Europea, Fiyi, Francia, India, Irán (República Islámica de), Kenia, Maldivas, Mauricio, Nueva Zelanda, Perú, Portugal, Filipinas, Samoa, Seychelles, Sudáfrica, España y Sri Lanka. También se consultó a BirdLife International.</w:t>
      </w:r>
    </w:p>
    <w:p w14:paraId="67FBC494" w14:textId="77777777" w:rsidR="00EE7EF9" w:rsidRPr="0081008E" w:rsidRDefault="00EE7EF9" w:rsidP="00EE7EF9">
      <w:pPr>
        <w:widowControl w:val="0"/>
        <w:suppressAutoHyphens/>
        <w:autoSpaceDE w:val="0"/>
        <w:autoSpaceDN w:val="0"/>
        <w:spacing w:after="0" w:line="240" w:lineRule="auto"/>
        <w:jc w:val="both"/>
        <w:textAlignment w:val="baseline"/>
        <w:rPr>
          <w:rFonts w:cs="Arial"/>
          <w:lang w:val="es-ES"/>
        </w:rPr>
        <w:sectPr w:rsidR="00EE7EF9" w:rsidRPr="0081008E" w:rsidSect="00D93628">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0493BD6E" w14:textId="77777777" w:rsidR="00EE7EF9" w:rsidRPr="0081008E" w:rsidRDefault="00EE7EF9" w:rsidP="00AD5979">
      <w:pPr>
        <w:jc w:val="both"/>
        <w:rPr>
          <w:rFonts w:cs="Arial"/>
          <w:b/>
          <w:bCs/>
          <w:sz w:val="20"/>
          <w:szCs w:val="20"/>
          <w:lang w:val="es-ES"/>
        </w:rPr>
      </w:pPr>
      <w:r w:rsidRPr="0081008E">
        <w:rPr>
          <w:rFonts w:cs="Arial"/>
          <w:b/>
          <w:bCs/>
          <w:sz w:val="20"/>
          <w:szCs w:val="20"/>
          <w:lang w:val="es-ES"/>
        </w:rPr>
        <w:lastRenderedPageBreak/>
        <w:t xml:space="preserve">Anexo. Acciones Concertadas para la Conservación de la pardela </w:t>
      </w:r>
      <w:proofErr w:type="spellStart"/>
      <w:r w:rsidRPr="0081008E">
        <w:rPr>
          <w:rFonts w:cs="Arial"/>
          <w:b/>
          <w:bCs/>
          <w:sz w:val="20"/>
          <w:szCs w:val="20"/>
          <w:lang w:val="es-ES"/>
        </w:rPr>
        <w:t>paticlara</w:t>
      </w:r>
      <w:proofErr w:type="spellEnd"/>
      <w:r w:rsidRPr="0081008E">
        <w:rPr>
          <w:rFonts w:cs="Arial"/>
          <w:b/>
          <w:bCs/>
          <w:sz w:val="20"/>
          <w:szCs w:val="20"/>
          <w:lang w:val="es-ES"/>
        </w:rPr>
        <w:t xml:space="preserve"> (</w:t>
      </w:r>
      <w:proofErr w:type="spellStart"/>
      <w:r w:rsidRPr="0081008E">
        <w:rPr>
          <w:rFonts w:cs="Arial"/>
          <w:b/>
          <w:bCs/>
          <w:i/>
          <w:iCs/>
          <w:sz w:val="20"/>
          <w:szCs w:val="20"/>
          <w:lang w:val="es-ES"/>
        </w:rPr>
        <w:t>Ardenna</w:t>
      </w:r>
      <w:proofErr w:type="spellEnd"/>
      <w:r w:rsidRPr="0081008E">
        <w:rPr>
          <w:rFonts w:cs="Arial"/>
          <w:b/>
          <w:bCs/>
          <w:i/>
          <w:iCs/>
          <w:sz w:val="20"/>
          <w:szCs w:val="20"/>
          <w:lang w:val="es-ES"/>
        </w:rPr>
        <w:t xml:space="preserve"> </w:t>
      </w:r>
      <w:proofErr w:type="spellStart"/>
      <w:r w:rsidRPr="0081008E">
        <w:rPr>
          <w:rFonts w:cs="Arial"/>
          <w:b/>
          <w:bCs/>
          <w:i/>
          <w:iCs/>
          <w:sz w:val="20"/>
          <w:szCs w:val="20"/>
          <w:lang w:val="es-ES"/>
        </w:rPr>
        <w:t>carneipes</w:t>
      </w:r>
      <w:proofErr w:type="spellEnd"/>
      <w:r w:rsidRPr="0081008E">
        <w:rPr>
          <w:rFonts w:cs="Arial"/>
          <w:b/>
          <w:bCs/>
          <w:sz w:val="20"/>
          <w:szCs w:val="20"/>
          <w:lang w:val="es-ES"/>
        </w:rPr>
        <w:t>) en el marco de la Convención sobre la Conservación de las Especies Migratorias de Animales Silvestres (CMS)</w:t>
      </w:r>
    </w:p>
    <w:tbl>
      <w:tblPr>
        <w:tblStyle w:val="TableGrid"/>
        <w:tblW w:w="0" w:type="auto"/>
        <w:tblLook w:val="04A0" w:firstRow="1" w:lastRow="0" w:firstColumn="1" w:lastColumn="0" w:noHBand="0" w:noVBand="1"/>
      </w:tblPr>
      <w:tblGrid>
        <w:gridCol w:w="3823"/>
        <w:gridCol w:w="3260"/>
        <w:gridCol w:w="1701"/>
        <w:gridCol w:w="1984"/>
        <w:gridCol w:w="3180"/>
      </w:tblGrid>
      <w:tr w:rsidR="00EE7EF9" w:rsidRPr="0081008E" w14:paraId="76584E9B" w14:textId="77777777" w:rsidTr="007F119C">
        <w:trPr>
          <w:tblHeader/>
        </w:trPr>
        <w:tc>
          <w:tcPr>
            <w:tcW w:w="3823" w:type="dxa"/>
            <w:shd w:val="clear" w:color="auto" w:fill="BFBFBF" w:themeFill="background1" w:themeFillShade="BF"/>
          </w:tcPr>
          <w:p w14:paraId="32D6CF85" w14:textId="77777777" w:rsidR="00EE7EF9" w:rsidRPr="0081008E" w:rsidRDefault="00EE7EF9" w:rsidP="00922D4A">
            <w:pPr>
              <w:rPr>
                <w:rFonts w:cs="Arial"/>
                <w:b/>
                <w:bCs/>
                <w:sz w:val="20"/>
                <w:szCs w:val="20"/>
                <w:lang w:val="es-ES"/>
              </w:rPr>
            </w:pPr>
            <w:r w:rsidRPr="0081008E">
              <w:rPr>
                <w:rFonts w:cs="Arial"/>
                <w:b/>
                <w:bCs/>
                <w:sz w:val="20"/>
                <w:szCs w:val="20"/>
                <w:lang w:val="es-ES"/>
              </w:rPr>
              <w:t>Actividad</w:t>
            </w:r>
          </w:p>
        </w:tc>
        <w:tc>
          <w:tcPr>
            <w:tcW w:w="3260" w:type="dxa"/>
            <w:shd w:val="clear" w:color="auto" w:fill="BFBFBF" w:themeFill="background1" w:themeFillShade="BF"/>
          </w:tcPr>
          <w:p w14:paraId="75E401BF" w14:textId="77777777" w:rsidR="00EE7EF9" w:rsidRPr="0081008E" w:rsidRDefault="00EE7EF9" w:rsidP="00922D4A">
            <w:pPr>
              <w:rPr>
                <w:rFonts w:cs="Arial"/>
                <w:b/>
                <w:bCs/>
                <w:sz w:val="20"/>
                <w:szCs w:val="20"/>
                <w:lang w:val="es-ES"/>
              </w:rPr>
            </w:pPr>
            <w:r w:rsidRPr="0081008E">
              <w:rPr>
                <w:rFonts w:cs="Arial"/>
                <w:b/>
                <w:bCs/>
                <w:sz w:val="20"/>
                <w:szCs w:val="20"/>
                <w:lang w:val="es-ES"/>
              </w:rPr>
              <w:t>Realizaciones/Resultados</w:t>
            </w:r>
          </w:p>
        </w:tc>
        <w:tc>
          <w:tcPr>
            <w:tcW w:w="1701" w:type="dxa"/>
            <w:shd w:val="clear" w:color="auto" w:fill="BFBFBF" w:themeFill="background1" w:themeFillShade="BF"/>
          </w:tcPr>
          <w:p w14:paraId="4723F3D3" w14:textId="77777777" w:rsidR="00EE7EF9" w:rsidRPr="0081008E" w:rsidRDefault="00EE7EF9" w:rsidP="00922D4A">
            <w:pPr>
              <w:rPr>
                <w:rFonts w:cs="Arial"/>
                <w:b/>
                <w:bCs/>
                <w:sz w:val="20"/>
                <w:szCs w:val="20"/>
                <w:lang w:val="es-ES"/>
              </w:rPr>
            </w:pPr>
            <w:r w:rsidRPr="0081008E">
              <w:rPr>
                <w:rFonts w:cs="Arial"/>
                <w:b/>
                <w:bCs/>
                <w:sz w:val="20"/>
                <w:szCs w:val="20"/>
                <w:lang w:val="es-ES"/>
              </w:rPr>
              <w:t>Calendario</w:t>
            </w:r>
          </w:p>
        </w:tc>
        <w:tc>
          <w:tcPr>
            <w:tcW w:w="1984" w:type="dxa"/>
            <w:shd w:val="clear" w:color="auto" w:fill="BFBFBF" w:themeFill="background1" w:themeFillShade="BF"/>
          </w:tcPr>
          <w:p w14:paraId="494DADCF" w14:textId="77777777" w:rsidR="00EE7EF9" w:rsidRPr="0081008E" w:rsidRDefault="00EE7EF9" w:rsidP="00922D4A">
            <w:pPr>
              <w:rPr>
                <w:rFonts w:cs="Arial"/>
                <w:b/>
                <w:bCs/>
                <w:sz w:val="20"/>
                <w:szCs w:val="20"/>
                <w:lang w:val="es-ES"/>
              </w:rPr>
            </w:pPr>
            <w:r w:rsidRPr="0081008E">
              <w:rPr>
                <w:rFonts w:cs="Arial"/>
                <w:b/>
                <w:bCs/>
                <w:sz w:val="20"/>
                <w:szCs w:val="20"/>
                <w:lang w:val="es-ES"/>
              </w:rPr>
              <w:t>Responsabilidad</w:t>
            </w:r>
          </w:p>
        </w:tc>
        <w:tc>
          <w:tcPr>
            <w:tcW w:w="3180" w:type="dxa"/>
            <w:shd w:val="clear" w:color="auto" w:fill="BFBFBF" w:themeFill="background1" w:themeFillShade="BF"/>
          </w:tcPr>
          <w:p w14:paraId="4411B4F7" w14:textId="77777777" w:rsidR="00EE7EF9" w:rsidRPr="0081008E" w:rsidRDefault="00EE7EF9" w:rsidP="00922D4A">
            <w:pPr>
              <w:rPr>
                <w:rFonts w:cs="Arial"/>
                <w:b/>
                <w:bCs/>
                <w:sz w:val="20"/>
                <w:szCs w:val="20"/>
                <w:lang w:val="es-ES"/>
              </w:rPr>
            </w:pPr>
            <w:r w:rsidRPr="0081008E">
              <w:rPr>
                <w:rFonts w:cs="Arial"/>
                <w:b/>
                <w:bCs/>
                <w:sz w:val="20"/>
                <w:szCs w:val="20"/>
                <w:lang w:val="es-ES"/>
              </w:rPr>
              <w:t>Fondos</w:t>
            </w:r>
          </w:p>
        </w:tc>
      </w:tr>
      <w:tr w:rsidR="00EE7EF9" w:rsidRPr="00EF490C" w14:paraId="2352CB7C" w14:textId="77777777" w:rsidTr="007F119C">
        <w:tc>
          <w:tcPr>
            <w:tcW w:w="13948" w:type="dxa"/>
            <w:gridSpan w:val="5"/>
            <w:shd w:val="clear" w:color="auto" w:fill="D9D9D9" w:themeFill="background1" w:themeFillShade="D9"/>
            <w:vAlign w:val="center"/>
          </w:tcPr>
          <w:p w14:paraId="34CC7936" w14:textId="77777777" w:rsidR="00EE7EF9" w:rsidRPr="0081008E" w:rsidRDefault="00EE7EF9" w:rsidP="00EE7EF9">
            <w:pPr>
              <w:pStyle w:val="ListParagraph"/>
              <w:numPr>
                <w:ilvl w:val="0"/>
                <w:numId w:val="14"/>
              </w:numPr>
              <w:rPr>
                <w:rFonts w:cs="Arial"/>
                <w:b/>
                <w:bCs/>
                <w:sz w:val="20"/>
                <w:szCs w:val="20"/>
                <w:lang w:val="es-ES"/>
              </w:rPr>
            </w:pPr>
            <w:r w:rsidRPr="0081008E">
              <w:rPr>
                <w:rFonts w:cs="Arial"/>
                <w:b/>
                <w:bCs/>
                <w:sz w:val="20"/>
                <w:szCs w:val="20"/>
                <w:lang w:val="es-ES"/>
              </w:rPr>
              <w:t>Captura incidental a causa de la pesca en las jurisdicciones de los Estados del área de distribución</w:t>
            </w:r>
          </w:p>
        </w:tc>
      </w:tr>
      <w:tr w:rsidR="00EE7EF9" w:rsidRPr="00EF490C" w14:paraId="5BC56211" w14:textId="77777777" w:rsidTr="007F119C">
        <w:tc>
          <w:tcPr>
            <w:tcW w:w="3823" w:type="dxa"/>
          </w:tcPr>
          <w:p w14:paraId="3A5516BC" w14:textId="77777777" w:rsidR="00EE7EF9" w:rsidRPr="0081008E" w:rsidRDefault="00EE7EF9" w:rsidP="00EE7EF9">
            <w:pPr>
              <w:pStyle w:val="ListParagraph"/>
              <w:numPr>
                <w:ilvl w:val="1"/>
                <w:numId w:val="14"/>
              </w:numPr>
              <w:spacing w:before="60" w:after="60"/>
              <w:rPr>
                <w:rFonts w:cs="Arial"/>
                <w:b/>
                <w:bCs/>
                <w:sz w:val="20"/>
                <w:szCs w:val="20"/>
                <w:lang w:val="es-ES"/>
              </w:rPr>
            </w:pPr>
            <w:r w:rsidRPr="0081008E">
              <w:rPr>
                <w:rFonts w:cs="Arial"/>
                <w:sz w:val="20"/>
                <w:szCs w:val="20"/>
                <w:lang w:val="es-ES"/>
              </w:rPr>
              <w:t>Continuar la aplicación de medidas eficaces de mitigación de la captura incidental en las pesquerías de palangre de fondo, de arrastre y en cualquier otra pesquería pertinente, incluido el trabajo de sensibilización con los pescadores sobre la captura incidental de aves marinas</w:t>
            </w:r>
          </w:p>
        </w:tc>
        <w:tc>
          <w:tcPr>
            <w:tcW w:w="3260" w:type="dxa"/>
          </w:tcPr>
          <w:p w14:paraId="6D55F719" w14:textId="77777777" w:rsidR="00EE7EF9" w:rsidRPr="0081008E" w:rsidRDefault="00EE7EF9" w:rsidP="00922D4A">
            <w:pPr>
              <w:rPr>
                <w:rFonts w:cs="Arial"/>
                <w:b/>
                <w:bCs/>
                <w:sz w:val="20"/>
                <w:szCs w:val="20"/>
                <w:lang w:val="es-ES"/>
              </w:rPr>
            </w:pPr>
            <w:r w:rsidRPr="0081008E">
              <w:rPr>
                <w:rFonts w:cs="Arial"/>
                <w:sz w:val="20"/>
                <w:szCs w:val="20"/>
                <w:lang w:val="es-ES"/>
              </w:rPr>
              <w:t>Minimización del riesgo de captura incidental en las jurisdicciones de los Estados del área de distribución</w:t>
            </w:r>
          </w:p>
        </w:tc>
        <w:tc>
          <w:tcPr>
            <w:tcW w:w="1701" w:type="dxa"/>
          </w:tcPr>
          <w:p w14:paraId="15F55AE4" w14:textId="77777777" w:rsidR="00EE7EF9" w:rsidRPr="0081008E" w:rsidRDefault="00EE7EF9" w:rsidP="00922D4A">
            <w:pPr>
              <w:rPr>
                <w:rFonts w:cs="Arial"/>
                <w:b/>
                <w:bCs/>
                <w:sz w:val="20"/>
                <w:szCs w:val="20"/>
                <w:lang w:val="es-ES"/>
              </w:rPr>
            </w:pPr>
            <w:r w:rsidRPr="0081008E">
              <w:rPr>
                <w:rFonts w:cs="Arial"/>
                <w:sz w:val="20"/>
                <w:szCs w:val="20"/>
                <w:lang w:val="es-ES"/>
              </w:rPr>
              <w:t>En curso</w:t>
            </w:r>
          </w:p>
        </w:tc>
        <w:tc>
          <w:tcPr>
            <w:tcW w:w="1984" w:type="dxa"/>
          </w:tcPr>
          <w:p w14:paraId="00ACAA62" w14:textId="77777777" w:rsidR="00EE7EF9" w:rsidRPr="0081008E" w:rsidRDefault="00EE7EF9" w:rsidP="00922D4A">
            <w:pPr>
              <w:rPr>
                <w:rFonts w:cs="Arial"/>
                <w:b/>
                <w:bCs/>
                <w:sz w:val="20"/>
                <w:szCs w:val="20"/>
                <w:lang w:val="es-ES"/>
              </w:rPr>
            </w:pPr>
            <w:r w:rsidRPr="0081008E">
              <w:rPr>
                <w:rFonts w:cs="Arial"/>
                <w:sz w:val="20"/>
                <w:szCs w:val="20"/>
                <w:lang w:val="es-ES"/>
              </w:rPr>
              <w:t>Estados del área de distribución Parte de la CMS</w:t>
            </w:r>
          </w:p>
        </w:tc>
        <w:tc>
          <w:tcPr>
            <w:tcW w:w="3180" w:type="dxa"/>
          </w:tcPr>
          <w:p w14:paraId="7B112500" w14:textId="77777777" w:rsidR="00EE7EF9" w:rsidRPr="0081008E" w:rsidRDefault="00EE7EF9" w:rsidP="00922D4A">
            <w:pPr>
              <w:rPr>
                <w:rFonts w:cs="Arial"/>
                <w:sz w:val="20"/>
                <w:szCs w:val="20"/>
                <w:lang w:val="es-ES"/>
              </w:rPr>
            </w:pPr>
            <w:r w:rsidRPr="0081008E">
              <w:rPr>
                <w:rFonts w:cs="Arial"/>
                <w:sz w:val="20"/>
                <w:szCs w:val="20"/>
                <w:lang w:val="es-ES"/>
              </w:rPr>
              <w:t>Existen mecanismos para gestionar la captura incidental en las pesquerías. Cualquier nuevo requisito para los operadores pesqueros puede generarles costes</w:t>
            </w:r>
          </w:p>
        </w:tc>
      </w:tr>
      <w:tr w:rsidR="00EE7EF9" w:rsidRPr="00EF490C" w14:paraId="08436826" w14:textId="77777777" w:rsidTr="007F119C">
        <w:tc>
          <w:tcPr>
            <w:tcW w:w="3823" w:type="dxa"/>
          </w:tcPr>
          <w:p w14:paraId="3E500F4D" w14:textId="77777777" w:rsidR="00EE7EF9" w:rsidRPr="0081008E" w:rsidRDefault="00EE7EF9" w:rsidP="00EE7EF9">
            <w:pPr>
              <w:pStyle w:val="ListParagraph"/>
              <w:numPr>
                <w:ilvl w:val="1"/>
                <w:numId w:val="14"/>
              </w:numPr>
              <w:spacing w:before="60" w:after="60"/>
              <w:rPr>
                <w:rFonts w:cs="Arial"/>
                <w:sz w:val="20"/>
                <w:szCs w:val="20"/>
                <w:lang w:val="es-ES"/>
              </w:rPr>
            </w:pPr>
            <w:r w:rsidRPr="0081008E">
              <w:rPr>
                <w:rFonts w:cs="Arial"/>
                <w:sz w:val="20"/>
                <w:szCs w:val="20"/>
                <w:lang w:val="es-ES"/>
              </w:rPr>
              <w:t>Garantizar la existencia de una cobertura de observación adecuada para vigilar la mitigación e identificar cualquier captura incidental de aves marinas a nivel de especie</w:t>
            </w:r>
          </w:p>
          <w:p w14:paraId="2067D0BF" w14:textId="77777777" w:rsidR="00EE7EF9" w:rsidRPr="0081008E" w:rsidRDefault="00EE7EF9" w:rsidP="00922D4A">
            <w:pPr>
              <w:rPr>
                <w:rFonts w:cs="Arial"/>
                <w:b/>
                <w:bCs/>
                <w:sz w:val="20"/>
                <w:szCs w:val="20"/>
                <w:lang w:val="es-ES"/>
              </w:rPr>
            </w:pPr>
          </w:p>
        </w:tc>
        <w:tc>
          <w:tcPr>
            <w:tcW w:w="3260" w:type="dxa"/>
          </w:tcPr>
          <w:p w14:paraId="49BFE5B6" w14:textId="77777777" w:rsidR="00EE7EF9" w:rsidRPr="0081008E" w:rsidRDefault="00EE7EF9" w:rsidP="00922D4A">
            <w:pPr>
              <w:rPr>
                <w:rFonts w:cs="Arial"/>
                <w:b/>
                <w:bCs/>
                <w:sz w:val="20"/>
                <w:szCs w:val="20"/>
                <w:lang w:val="es-ES"/>
              </w:rPr>
            </w:pPr>
            <w:r w:rsidRPr="0081008E">
              <w:rPr>
                <w:rFonts w:cs="Arial"/>
                <w:sz w:val="20"/>
                <w:szCs w:val="20"/>
                <w:lang w:val="es-ES"/>
              </w:rPr>
              <w:t>Los niveles y el riesgo de captura incidental a causa de la pesca, a nivel de especie, se conocen y se puede informar sobre ellos</w:t>
            </w:r>
          </w:p>
        </w:tc>
        <w:tc>
          <w:tcPr>
            <w:tcW w:w="1701" w:type="dxa"/>
          </w:tcPr>
          <w:p w14:paraId="61DC450A" w14:textId="77777777" w:rsidR="00EE7EF9" w:rsidRPr="0081008E" w:rsidRDefault="00EE7EF9" w:rsidP="00922D4A">
            <w:pPr>
              <w:rPr>
                <w:rFonts w:cs="Arial"/>
                <w:b/>
                <w:bCs/>
                <w:sz w:val="20"/>
                <w:szCs w:val="20"/>
                <w:lang w:val="es-ES"/>
              </w:rPr>
            </w:pPr>
            <w:r w:rsidRPr="0081008E">
              <w:rPr>
                <w:rFonts w:cs="Arial"/>
                <w:sz w:val="20"/>
                <w:szCs w:val="20"/>
                <w:lang w:val="es-ES"/>
              </w:rPr>
              <w:t>En curso</w:t>
            </w:r>
          </w:p>
        </w:tc>
        <w:tc>
          <w:tcPr>
            <w:tcW w:w="1984" w:type="dxa"/>
          </w:tcPr>
          <w:p w14:paraId="5A518D3D" w14:textId="77777777" w:rsidR="00EE7EF9" w:rsidRPr="0081008E" w:rsidRDefault="00EE7EF9" w:rsidP="00922D4A">
            <w:pPr>
              <w:rPr>
                <w:rFonts w:cs="Arial"/>
                <w:b/>
                <w:bCs/>
                <w:sz w:val="20"/>
                <w:szCs w:val="20"/>
                <w:lang w:val="es-ES"/>
              </w:rPr>
            </w:pPr>
            <w:r w:rsidRPr="0081008E">
              <w:rPr>
                <w:rFonts w:cs="Arial"/>
                <w:sz w:val="20"/>
                <w:szCs w:val="20"/>
                <w:lang w:val="es-ES"/>
              </w:rPr>
              <w:t>Estados del área de distribución Parte de la CMS</w:t>
            </w:r>
          </w:p>
        </w:tc>
        <w:tc>
          <w:tcPr>
            <w:tcW w:w="3180" w:type="dxa"/>
          </w:tcPr>
          <w:p w14:paraId="05A439A0" w14:textId="77777777" w:rsidR="00EE7EF9" w:rsidRPr="0081008E" w:rsidRDefault="00EE7EF9" w:rsidP="00922D4A">
            <w:pPr>
              <w:rPr>
                <w:rFonts w:cs="Arial"/>
                <w:sz w:val="20"/>
                <w:szCs w:val="20"/>
                <w:lang w:val="es-ES"/>
              </w:rPr>
            </w:pPr>
            <w:r w:rsidRPr="0081008E">
              <w:rPr>
                <w:rFonts w:cs="Arial"/>
                <w:sz w:val="20"/>
                <w:szCs w:val="20"/>
                <w:lang w:val="es-ES"/>
              </w:rPr>
              <w:t>Los programas de observación ya están en marcha, y el aumento de los requisitos requerirá financiación por parte de las Partes pertinentes. Puede requerir mejoras en la identificación de aves marinas en algunas pesquerías</w:t>
            </w:r>
          </w:p>
        </w:tc>
      </w:tr>
      <w:tr w:rsidR="00EE7EF9" w:rsidRPr="00EF490C" w14:paraId="408654B7" w14:textId="77777777" w:rsidTr="007F119C">
        <w:tc>
          <w:tcPr>
            <w:tcW w:w="3823" w:type="dxa"/>
          </w:tcPr>
          <w:p w14:paraId="1CFF360D" w14:textId="77777777" w:rsidR="00EE7EF9" w:rsidRPr="0081008E" w:rsidRDefault="00EE7EF9" w:rsidP="00EE7EF9">
            <w:pPr>
              <w:pStyle w:val="ListParagraph"/>
              <w:numPr>
                <w:ilvl w:val="1"/>
                <w:numId w:val="14"/>
              </w:numPr>
              <w:spacing w:before="60" w:after="60"/>
              <w:rPr>
                <w:rFonts w:cs="Arial"/>
                <w:b/>
                <w:bCs/>
                <w:sz w:val="20"/>
                <w:szCs w:val="20"/>
                <w:lang w:val="es-ES"/>
              </w:rPr>
            </w:pPr>
            <w:r w:rsidRPr="0081008E">
              <w:rPr>
                <w:rFonts w:cs="Arial"/>
                <w:sz w:val="20"/>
                <w:szCs w:val="20"/>
                <w:lang w:val="es-ES"/>
              </w:rPr>
              <w:t>Desarrollar y mantener la colaboración bilateral/multilateral con Estados del área de distribución no Partes de la CMS para promover la sensibilización, el desarrollo de medidas de mitigación de la captura incidental, la recopilación y el intercambio de datos, y la evaluación del riesgo</w:t>
            </w:r>
          </w:p>
        </w:tc>
        <w:tc>
          <w:tcPr>
            <w:tcW w:w="3260" w:type="dxa"/>
          </w:tcPr>
          <w:p w14:paraId="05C945B3" w14:textId="77777777" w:rsidR="00EE7EF9" w:rsidRPr="0081008E" w:rsidRDefault="00EE7EF9" w:rsidP="00922D4A">
            <w:pPr>
              <w:rPr>
                <w:rFonts w:cs="Arial"/>
                <w:b/>
                <w:bCs/>
                <w:sz w:val="20"/>
                <w:szCs w:val="20"/>
                <w:lang w:val="es-ES"/>
              </w:rPr>
            </w:pPr>
            <w:r w:rsidRPr="0081008E">
              <w:rPr>
                <w:rFonts w:cs="Arial"/>
                <w:sz w:val="20"/>
                <w:szCs w:val="20"/>
                <w:lang w:val="es-ES"/>
              </w:rPr>
              <w:t>Instalaciones de colaboración para lograr las actividades 1.1 y 1.2</w:t>
            </w:r>
          </w:p>
        </w:tc>
        <w:tc>
          <w:tcPr>
            <w:tcW w:w="1701" w:type="dxa"/>
          </w:tcPr>
          <w:p w14:paraId="1583A79E" w14:textId="77777777" w:rsidR="00EE7EF9" w:rsidRPr="0081008E" w:rsidRDefault="00EE7EF9" w:rsidP="00922D4A">
            <w:pPr>
              <w:rPr>
                <w:rFonts w:cs="Arial"/>
                <w:b/>
                <w:bCs/>
                <w:sz w:val="20"/>
                <w:szCs w:val="20"/>
                <w:lang w:val="es-ES"/>
              </w:rPr>
            </w:pPr>
            <w:r w:rsidRPr="0081008E">
              <w:rPr>
                <w:rFonts w:cs="Arial"/>
                <w:sz w:val="20"/>
                <w:szCs w:val="20"/>
                <w:lang w:val="es-ES"/>
              </w:rPr>
              <w:t>En curso</w:t>
            </w:r>
          </w:p>
        </w:tc>
        <w:tc>
          <w:tcPr>
            <w:tcW w:w="1984" w:type="dxa"/>
          </w:tcPr>
          <w:p w14:paraId="76C205BA" w14:textId="77777777" w:rsidR="00EE7EF9" w:rsidRPr="0081008E" w:rsidRDefault="00EE7EF9" w:rsidP="00922D4A">
            <w:pPr>
              <w:rPr>
                <w:rFonts w:cs="Arial"/>
                <w:b/>
                <w:bCs/>
                <w:sz w:val="20"/>
                <w:szCs w:val="20"/>
                <w:lang w:val="es-ES"/>
              </w:rPr>
            </w:pPr>
            <w:r w:rsidRPr="0081008E">
              <w:rPr>
                <w:rFonts w:cs="Arial"/>
                <w:sz w:val="20"/>
                <w:szCs w:val="20"/>
                <w:lang w:val="es-ES"/>
              </w:rPr>
              <w:t>Estados del área de distribución Parte de la CMS</w:t>
            </w:r>
          </w:p>
        </w:tc>
        <w:tc>
          <w:tcPr>
            <w:tcW w:w="3180" w:type="dxa"/>
          </w:tcPr>
          <w:p w14:paraId="0C62ACA8" w14:textId="77777777" w:rsidR="00EE7EF9" w:rsidRPr="0081008E" w:rsidRDefault="00EE7EF9" w:rsidP="00922D4A">
            <w:pPr>
              <w:rPr>
                <w:rFonts w:cs="Arial"/>
                <w:sz w:val="20"/>
                <w:szCs w:val="20"/>
                <w:lang w:val="es-ES"/>
              </w:rPr>
            </w:pPr>
            <w:r w:rsidRPr="0081008E">
              <w:rPr>
                <w:rFonts w:cs="Arial"/>
                <w:sz w:val="20"/>
                <w:szCs w:val="20"/>
                <w:lang w:val="es-ES"/>
              </w:rPr>
              <w:t>Las acciones de colaboración pueden requerir nuevos fondos caso por caso, aunque muchas de las acciones se basarán en actividades existentes</w:t>
            </w:r>
          </w:p>
        </w:tc>
      </w:tr>
      <w:tr w:rsidR="00EE7EF9" w:rsidRPr="00EF490C" w14:paraId="74022450" w14:textId="77777777" w:rsidTr="007F119C">
        <w:tc>
          <w:tcPr>
            <w:tcW w:w="13948" w:type="dxa"/>
            <w:gridSpan w:val="5"/>
            <w:shd w:val="clear" w:color="auto" w:fill="D9D9D9" w:themeFill="background1" w:themeFillShade="D9"/>
          </w:tcPr>
          <w:p w14:paraId="7C6CC658" w14:textId="77777777" w:rsidR="00EE7EF9" w:rsidRPr="0081008E" w:rsidRDefault="00EE7EF9" w:rsidP="00EE7EF9">
            <w:pPr>
              <w:pStyle w:val="ListParagraph"/>
              <w:numPr>
                <w:ilvl w:val="0"/>
                <w:numId w:val="14"/>
              </w:numPr>
              <w:rPr>
                <w:rFonts w:cs="Arial"/>
                <w:b/>
                <w:bCs/>
                <w:sz w:val="20"/>
                <w:szCs w:val="20"/>
                <w:lang w:val="es-ES"/>
              </w:rPr>
            </w:pPr>
            <w:r w:rsidRPr="0081008E">
              <w:rPr>
                <w:rFonts w:cs="Arial"/>
                <w:b/>
                <w:bCs/>
                <w:sz w:val="20"/>
                <w:szCs w:val="20"/>
                <w:lang w:val="es-ES"/>
              </w:rPr>
              <w:t>Captura incidental a causa de la pesca en alta mar</w:t>
            </w:r>
          </w:p>
        </w:tc>
      </w:tr>
      <w:tr w:rsidR="00EE7EF9" w:rsidRPr="00EF490C" w14:paraId="2DC941F1" w14:textId="77777777" w:rsidTr="007F119C">
        <w:tc>
          <w:tcPr>
            <w:tcW w:w="3823" w:type="dxa"/>
          </w:tcPr>
          <w:p w14:paraId="11380521" w14:textId="77777777" w:rsidR="00EE7EF9" w:rsidRPr="0081008E" w:rsidRDefault="00EE7EF9" w:rsidP="007F119C">
            <w:pPr>
              <w:pStyle w:val="Default"/>
              <w:numPr>
                <w:ilvl w:val="1"/>
                <w:numId w:val="14"/>
              </w:numPr>
              <w:jc w:val="both"/>
              <w:rPr>
                <w:rFonts w:ascii="Arial" w:hAnsi="Arial" w:cs="Arial"/>
                <w:b/>
                <w:bCs/>
                <w:sz w:val="20"/>
                <w:szCs w:val="20"/>
                <w:lang w:val="es-ES"/>
              </w:rPr>
            </w:pPr>
            <w:r w:rsidRPr="0081008E">
              <w:rPr>
                <w:rFonts w:ascii="Arial" w:hAnsi="Arial" w:cs="Arial"/>
                <w:sz w:val="20"/>
                <w:szCs w:val="20"/>
                <w:lang w:val="es-ES"/>
              </w:rPr>
              <w:t xml:space="preserve">Apoyar la revisión periódica y, cuando sea necesario, la mejora de las medidas de conservación y ordenación relativas a la captura incidental de aves marinas, para garantizar que se exija el uso de medidas eficaces de mitigación de la </w:t>
            </w:r>
            <w:r w:rsidRPr="0081008E">
              <w:rPr>
                <w:rFonts w:ascii="Arial" w:hAnsi="Arial" w:cs="Arial"/>
                <w:sz w:val="20"/>
                <w:szCs w:val="20"/>
                <w:lang w:val="es-ES"/>
              </w:rPr>
              <w:lastRenderedPageBreak/>
              <w:t>captura incidental, en las Organizaciones Regionales de Ordenación Pesquera (OROP) pertinentes: Comisión de Pesca del Pacífico Occidental y Central (WCPFC), Comisión del Atún para el Océano Índico (IOTC), Comisión para la Conservación del Atún de Aleta Azul del Sur del Sur (CCSBT), Organización de Ordenación Pesquera Regional del Pacífico Sur (SPRFMO) y Acuerdo de Pesca para el Océano Índico Meridional (SIOFA)</w:t>
            </w:r>
            <w:r w:rsidRPr="0081008E">
              <w:rPr>
                <w:rFonts w:ascii="Arial" w:hAnsi="Arial" w:cs="Arial"/>
                <w:b/>
                <w:bCs/>
                <w:sz w:val="20"/>
                <w:szCs w:val="20"/>
                <w:lang w:val="es-ES"/>
              </w:rPr>
              <w:t xml:space="preserve"> </w:t>
            </w:r>
          </w:p>
        </w:tc>
        <w:tc>
          <w:tcPr>
            <w:tcW w:w="3260" w:type="dxa"/>
          </w:tcPr>
          <w:p w14:paraId="2D298467"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lastRenderedPageBreak/>
              <w:t>Minimización del riesgo de captura incidental a causa de la pesca en OROP relevantes mediante el uso de medidas de mitigación de captura incidental efectivas</w:t>
            </w:r>
          </w:p>
          <w:p w14:paraId="2CC92CD9" w14:textId="77777777" w:rsidR="00EE7EF9" w:rsidRPr="0081008E" w:rsidRDefault="00EE7EF9" w:rsidP="007F119C">
            <w:pPr>
              <w:pStyle w:val="Default"/>
              <w:jc w:val="both"/>
              <w:rPr>
                <w:rFonts w:ascii="Arial" w:hAnsi="Arial" w:cs="Arial"/>
                <w:b/>
                <w:bCs/>
                <w:sz w:val="20"/>
                <w:szCs w:val="20"/>
                <w:lang w:val="es-ES"/>
              </w:rPr>
            </w:pPr>
          </w:p>
        </w:tc>
        <w:tc>
          <w:tcPr>
            <w:tcW w:w="1701" w:type="dxa"/>
          </w:tcPr>
          <w:p w14:paraId="3CCA5AF9" w14:textId="77777777" w:rsidR="00EE7EF9" w:rsidRPr="0081008E" w:rsidRDefault="00EE7EF9" w:rsidP="00922D4A">
            <w:pPr>
              <w:pStyle w:val="Default"/>
              <w:rPr>
                <w:rFonts w:ascii="Arial" w:hAnsi="Arial" w:cs="Arial"/>
                <w:sz w:val="20"/>
                <w:szCs w:val="20"/>
                <w:lang w:val="es-ES"/>
              </w:rPr>
            </w:pPr>
            <w:r w:rsidRPr="0081008E">
              <w:rPr>
                <w:rFonts w:ascii="Arial" w:hAnsi="Arial" w:cs="Arial"/>
                <w:sz w:val="20"/>
                <w:szCs w:val="20"/>
                <w:lang w:val="es-ES"/>
              </w:rPr>
              <w:t>2026-2031 para la revisión inicial; más revisiones periódicas - en curso</w:t>
            </w:r>
          </w:p>
          <w:p w14:paraId="3A10C9A4" w14:textId="77777777" w:rsidR="00EE7EF9" w:rsidRPr="0081008E" w:rsidRDefault="00EE7EF9" w:rsidP="00922D4A">
            <w:pPr>
              <w:rPr>
                <w:rFonts w:cs="Arial"/>
                <w:b/>
                <w:bCs/>
                <w:sz w:val="20"/>
                <w:szCs w:val="20"/>
                <w:lang w:val="es-ES"/>
              </w:rPr>
            </w:pPr>
          </w:p>
        </w:tc>
        <w:tc>
          <w:tcPr>
            <w:tcW w:w="1984" w:type="dxa"/>
          </w:tcPr>
          <w:p w14:paraId="3114617C" w14:textId="77777777" w:rsidR="00EE7EF9" w:rsidRPr="0081008E" w:rsidRDefault="00EE7EF9" w:rsidP="00922D4A">
            <w:pPr>
              <w:pStyle w:val="Default"/>
              <w:rPr>
                <w:rFonts w:ascii="Arial" w:hAnsi="Arial" w:cs="Arial"/>
                <w:sz w:val="20"/>
                <w:szCs w:val="20"/>
                <w:lang w:val="es-ES"/>
              </w:rPr>
            </w:pPr>
            <w:r w:rsidRPr="0081008E">
              <w:rPr>
                <w:rFonts w:ascii="Arial" w:hAnsi="Arial" w:cs="Arial"/>
                <w:sz w:val="20"/>
                <w:szCs w:val="20"/>
                <w:lang w:val="es-ES"/>
              </w:rPr>
              <w:t>Partes de la CMS que son miembros o tienen compromisos con OROP clave</w:t>
            </w:r>
          </w:p>
          <w:p w14:paraId="75ECA1C5" w14:textId="77777777" w:rsidR="00EE7EF9" w:rsidRPr="0081008E" w:rsidRDefault="00EE7EF9" w:rsidP="00922D4A">
            <w:pPr>
              <w:rPr>
                <w:rFonts w:cs="Arial"/>
                <w:b/>
                <w:bCs/>
                <w:sz w:val="20"/>
                <w:szCs w:val="20"/>
                <w:lang w:val="es-ES"/>
              </w:rPr>
            </w:pPr>
          </w:p>
        </w:tc>
        <w:tc>
          <w:tcPr>
            <w:tcW w:w="3180" w:type="dxa"/>
          </w:tcPr>
          <w:p w14:paraId="1206E699" w14:textId="77777777" w:rsidR="00EE7EF9" w:rsidRPr="0081008E" w:rsidRDefault="00EE7EF9" w:rsidP="00922D4A">
            <w:pPr>
              <w:rPr>
                <w:rFonts w:cs="Arial"/>
                <w:sz w:val="20"/>
                <w:szCs w:val="20"/>
                <w:lang w:val="es-ES"/>
              </w:rPr>
            </w:pPr>
            <w:r w:rsidRPr="0081008E">
              <w:rPr>
                <w:rFonts w:cs="Arial"/>
                <w:sz w:val="20"/>
                <w:szCs w:val="20"/>
                <w:lang w:val="es-ES"/>
              </w:rPr>
              <w:t xml:space="preserve">Esto puede lograrse mediante la reasignación de la capacidad existente de las Partes que participan en las OROP, o mediante capacidad adicional que requerirá fondos para el </w:t>
            </w:r>
            <w:r w:rsidRPr="0081008E">
              <w:rPr>
                <w:rFonts w:cs="Arial"/>
                <w:sz w:val="20"/>
                <w:szCs w:val="20"/>
                <w:lang w:val="es-ES"/>
              </w:rPr>
              <w:lastRenderedPageBreak/>
              <w:t>tiempo y los desplazamientos a las reuniones</w:t>
            </w:r>
          </w:p>
        </w:tc>
      </w:tr>
      <w:tr w:rsidR="00EE7EF9" w:rsidRPr="00EF490C" w14:paraId="718D7ECE" w14:textId="77777777" w:rsidTr="007F119C">
        <w:tc>
          <w:tcPr>
            <w:tcW w:w="3823" w:type="dxa"/>
          </w:tcPr>
          <w:p w14:paraId="1CF38389" w14:textId="77777777" w:rsidR="00EE7EF9" w:rsidRPr="0081008E" w:rsidRDefault="00EE7EF9" w:rsidP="007F119C">
            <w:pPr>
              <w:pStyle w:val="Default"/>
              <w:numPr>
                <w:ilvl w:val="1"/>
                <w:numId w:val="15"/>
              </w:numPr>
              <w:jc w:val="both"/>
              <w:rPr>
                <w:rFonts w:ascii="Arial" w:hAnsi="Arial" w:cs="Arial"/>
                <w:sz w:val="20"/>
                <w:szCs w:val="20"/>
                <w:lang w:val="es-ES"/>
              </w:rPr>
            </w:pPr>
            <w:r w:rsidRPr="0081008E">
              <w:rPr>
                <w:rFonts w:ascii="Arial" w:hAnsi="Arial" w:cs="Arial"/>
                <w:sz w:val="20"/>
                <w:szCs w:val="20"/>
                <w:lang w:val="es-ES"/>
              </w:rPr>
              <w:lastRenderedPageBreak/>
              <w:t>Desarrollar, o aprovechar las relaciones existentes, con las principales no Partes de la CMS que sean miembros de las OROP pertinentes, para promover esta Acción Concertada y facilitar decisiones por consenso en las OROP con el fin de alcanzar los resultados previstos en este plan</w:t>
            </w:r>
          </w:p>
        </w:tc>
        <w:tc>
          <w:tcPr>
            <w:tcW w:w="3260" w:type="dxa"/>
          </w:tcPr>
          <w:p w14:paraId="4509CF19"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Riesgo de captura incidental en las pesquerías minimizado en las OROP pertinentes mediante el acuerdo sobre el uso de medidas eficaces de mitigación de la captura incidental</w:t>
            </w:r>
          </w:p>
          <w:p w14:paraId="245AD1FE" w14:textId="77777777" w:rsidR="00EE7EF9" w:rsidRPr="0081008E" w:rsidRDefault="00EE7EF9" w:rsidP="007F119C">
            <w:pPr>
              <w:pStyle w:val="Default"/>
              <w:jc w:val="both"/>
              <w:rPr>
                <w:rFonts w:ascii="Arial" w:hAnsi="Arial" w:cs="Arial"/>
                <w:sz w:val="20"/>
                <w:szCs w:val="20"/>
                <w:lang w:val="es-ES"/>
              </w:rPr>
            </w:pPr>
          </w:p>
        </w:tc>
        <w:tc>
          <w:tcPr>
            <w:tcW w:w="1701" w:type="dxa"/>
          </w:tcPr>
          <w:p w14:paraId="4B36C3EE"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2026-2028 para el desarrollo inicial y mantenimiento continuo</w:t>
            </w:r>
          </w:p>
          <w:p w14:paraId="0F076651" w14:textId="77777777" w:rsidR="00EE7EF9" w:rsidRPr="0081008E" w:rsidRDefault="00EE7EF9" w:rsidP="007F119C">
            <w:pPr>
              <w:jc w:val="both"/>
              <w:rPr>
                <w:rFonts w:cs="Arial"/>
                <w:sz w:val="20"/>
                <w:szCs w:val="20"/>
                <w:lang w:val="es-ES"/>
              </w:rPr>
            </w:pPr>
          </w:p>
        </w:tc>
        <w:tc>
          <w:tcPr>
            <w:tcW w:w="1984" w:type="dxa"/>
          </w:tcPr>
          <w:p w14:paraId="29ECF7A3"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Partes de la CMS que son miembros o tienen compromisos con OROP clave</w:t>
            </w:r>
          </w:p>
          <w:p w14:paraId="02E4E343" w14:textId="77777777" w:rsidR="00EE7EF9" w:rsidRPr="0081008E" w:rsidRDefault="00EE7EF9" w:rsidP="007F119C">
            <w:pPr>
              <w:pStyle w:val="Default"/>
              <w:jc w:val="both"/>
              <w:rPr>
                <w:rFonts w:ascii="Arial" w:hAnsi="Arial" w:cs="Arial"/>
                <w:sz w:val="20"/>
                <w:szCs w:val="20"/>
                <w:lang w:val="es-ES"/>
              </w:rPr>
            </w:pPr>
          </w:p>
        </w:tc>
        <w:tc>
          <w:tcPr>
            <w:tcW w:w="3180" w:type="dxa"/>
          </w:tcPr>
          <w:p w14:paraId="21EF39EA" w14:textId="77777777" w:rsidR="00EE7EF9" w:rsidRPr="0081008E" w:rsidRDefault="00EE7EF9" w:rsidP="007F119C">
            <w:pPr>
              <w:jc w:val="both"/>
              <w:rPr>
                <w:rFonts w:cs="Arial"/>
                <w:sz w:val="20"/>
                <w:szCs w:val="20"/>
                <w:lang w:val="es-ES"/>
              </w:rPr>
            </w:pPr>
            <w:r w:rsidRPr="0081008E">
              <w:rPr>
                <w:rFonts w:cs="Arial"/>
                <w:sz w:val="20"/>
                <w:szCs w:val="20"/>
                <w:lang w:val="es-ES"/>
              </w:rPr>
              <w:t>Esto puede lograrse mediante la reasignación de la capacidad existente de las Partes que colaboran con Miembros de OROP no Partes de la CMS, o mediante capacidad adicional que requerirá fondos para el tiempo y los desplazamientos a las reuniones</w:t>
            </w:r>
          </w:p>
        </w:tc>
      </w:tr>
      <w:tr w:rsidR="00EE7EF9" w:rsidRPr="00EF490C" w14:paraId="3C33C652" w14:textId="77777777" w:rsidTr="007F119C">
        <w:tc>
          <w:tcPr>
            <w:tcW w:w="3823" w:type="dxa"/>
          </w:tcPr>
          <w:p w14:paraId="5C46898A" w14:textId="77777777" w:rsidR="00EE7EF9" w:rsidRPr="0081008E" w:rsidRDefault="00EE7EF9" w:rsidP="007F119C">
            <w:pPr>
              <w:pStyle w:val="Default"/>
              <w:numPr>
                <w:ilvl w:val="1"/>
                <w:numId w:val="15"/>
              </w:numPr>
              <w:jc w:val="both"/>
              <w:rPr>
                <w:rFonts w:ascii="Arial" w:hAnsi="Arial" w:cs="Arial"/>
                <w:sz w:val="20"/>
                <w:szCs w:val="20"/>
                <w:lang w:val="es-ES"/>
              </w:rPr>
            </w:pPr>
            <w:r w:rsidRPr="0081008E">
              <w:rPr>
                <w:rFonts w:ascii="Arial" w:hAnsi="Arial" w:cs="Arial"/>
                <w:sz w:val="20"/>
                <w:szCs w:val="20"/>
                <w:lang w:val="es-ES"/>
              </w:rPr>
              <w:t>Apoyar el desarrollo y la distribución de materiales de sensibilización dirigidos a los pescadores sobre la captura incidental de aves marinas, incluidos guías de identificación de aves marinas, cuando sea necesario</w:t>
            </w:r>
          </w:p>
          <w:p w14:paraId="191751C5" w14:textId="77777777" w:rsidR="00EE7EF9" w:rsidRPr="0081008E" w:rsidRDefault="00EE7EF9" w:rsidP="007F119C">
            <w:pPr>
              <w:jc w:val="both"/>
              <w:rPr>
                <w:rFonts w:cs="Arial"/>
                <w:b/>
                <w:bCs/>
                <w:sz w:val="20"/>
                <w:szCs w:val="20"/>
                <w:lang w:val="es-ES"/>
              </w:rPr>
            </w:pPr>
          </w:p>
        </w:tc>
        <w:tc>
          <w:tcPr>
            <w:tcW w:w="3260" w:type="dxa"/>
          </w:tcPr>
          <w:p w14:paraId="2EA8B5DA" w14:textId="77777777" w:rsidR="00EE7EF9" w:rsidRPr="0081008E" w:rsidRDefault="00EE7EF9" w:rsidP="007F119C">
            <w:pPr>
              <w:pStyle w:val="Default"/>
              <w:jc w:val="both"/>
              <w:rPr>
                <w:rFonts w:ascii="Arial" w:hAnsi="Arial" w:cs="Arial"/>
                <w:b/>
                <w:bCs/>
                <w:sz w:val="20"/>
                <w:szCs w:val="20"/>
                <w:lang w:val="es-ES"/>
              </w:rPr>
            </w:pPr>
            <w:r w:rsidRPr="0081008E">
              <w:rPr>
                <w:rFonts w:ascii="Arial" w:hAnsi="Arial" w:cs="Arial"/>
                <w:sz w:val="20"/>
                <w:szCs w:val="20"/>
                <w:lang w:val="es-ES"/>
              </w:rPr>
              <w:t>Minimización del riesgo de captura incidental a causa de la pesca en las OROP relevantes mediante el aumento de la concienciación, la mejora en el uso de mitigación por parte de los pescadores y una información más precisa a nivel de especie</w:t>
            </w:r>
          </w:p>
        </w:tc>
        <w:tc>
          <w:tcPr>
            <w:tcW w:w="1701" w:type="dxa"/>
          </w:tcPr>
          <w:p w14:paraId="19554A62" w14:textId="77777777" w:rsidR="00EE7EF9" w:rsidRPr="0081008E" w:rsidRDefault="00EE7EF9" w:rsidP="007F119C">
            <w:pPr>
              <w:jc w:val="both"/>
              <w:rPr>
                <w:rFonts w:cs="Arial"/>
                <w:sz w:val="20"/>
                <w:szCs w:val="20"/>
                <w:lang w:val="es-ES"/>
              </w:rPr>
            </w:pPr>
            <w:r w:rsidRPr="0081008E">
              <w:rPr>
                <w:rFonts w:cs="Arial"/>
                <w:sz w:val="20"/>
                <w:szCs w:val="20"/>
                <w:lang w:val="es-ES"/>
              </w:rPr>
              <w:t>En curso</w:t>
            </w:r>
          </w:p>
        </w:tc>
        <w:tc>
          <w:tcPr>
            <w:tcW w:w="1984" w:type="dxa"/>
          </w:tcPr>
          <w:p w14:paraId="78135170"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Partes de la CMS que son miembros o tienen compromisos con OROP clave</w:t>
            </w:r>
          </w:p>
          <w:p w14:paraId="18282C9A" w14:textId="77777777" w:rsidR="00EE7EF9" w:rsidRPr="0081008E" w:rsidRDefault="00EE7EF9" w:rsidP="007F119C">
            <w:pPr>
              <w:jc w:val="both"/>
              <w:rPr>
                <w:rFonts w:cs="Arial"/>
                <w:b/>
                <w:bCs/>
                <w:sz w:val="20"/>
                <w:szCs w:val="20"/>
                <w:lang w:val="es-ES"/>
              </w:rPr>
            </w:pPr>
          </w:p>
        </w:tc>
        <w:tc>
          <w:tcPr>
            <w:tcW w:w="3180" w:type="dxa"/>
          </w:tcPr>
          <w:p w14:paraId="5843CD9C" w14:textId="77777777" w:rsidR="00EE7EF9" w:rsidRPr="0081008E" w:rsidRDefault="00EE7EF9" w:rsidP="007F119C">
            <w:pPr>
              <w:jc w:val="both"/>
              <w:rPr>
                <w:rFonts w:cs="Arial"/>
                <w:sz w:val="20"/>
                <w:szCs w:val="20"/>
                <w:lang w:val="es-ES"/>
              </w:rPr>
            </w:pPr>
            <w:r w:rsidRPr="0081008E">
              <w:rPr>
                <w:rFonts w:cs="Arial"/>
                <w:sz w:val="20"/>
                <w:szCs w:val="20"/>
                <w:lang w:val="es-ES"/>
              </w:rPr>
              <w:t>El desarrollo de cualquier material nuevo requerirá fondos caso por caso</w:t>
            </w:r>
          </w:p>
        </w:tc>
      </w:tr>
      <w:tr w:rsidR="00EE7EF9" w:rsidRPr="00EF490C" w14:paraId="72553EF7" w14:textId="77777777" w:rsidTr="007F119C">
        <w:tc>
          <w:tcPr>
            <w:tcW w:w="3823" w:type="dxa"/>
          </w:tcPr>
          <w:p w14:paraId="294BF9CD" w14:textId="77777777" w:rsidR="00EE7EF9" w:rsidRPr="0081008E" w:rsidRDefault="00EE7EF9" w:rsidP="007F119C">
            <w:pPr>
              <w:pStyle w:val="Default"/>
              <w:numPr>
                <w:ilvl w:val="1"/>
                <w:numId w:val="15"/>
              </w:numPr>
              <w:jc w:val="both"/>
              <w:rPr>
                <w:rFonts w:ascii="Arial" w:hAnsi="Arial" w:cs="Arial"/>
                <w:sz w:val="20"/>
                <w:szCs w:val="20"/>
                <w:lang w:val="es-ES"/>
              </w:rPr>
            </w:pPr>
            <w:r w:rsidRPr="0081008E">
              <w:rPr>
                <w:rFonts w:ascii="Arial" w:hAnsi="Arial" w:cs="Arial"/>
                <w:sz w:val="20"/>
                <w:szCs w:val="20"/>
                <w:lang w:val="es-ES"/>
              </w:rPr>
              <w:t>Apoyar la vigilancia del cumplimiento de las medidas de conservación y ordenación de la captura incidental de aves marinas en las OROP relevantes</w:t>
            </w:r>
          </w:p>
          <w:p w14:paraId="62BB0849" w14:textId="77777777" w:rsidR="00EE7EF9" w:rsidRPr="0081008E" w:rsidRDefault="00EE7EF9" w:rsidP="007F119C">
            <w:pPr>
              <w:jc w:val="both"/>
              <w:rPr>
                <w:rFonts w:cs="Arial"/>
                <w:b/>
                <w:bCs/>
                <w:sz w:val="20"/>
                <w:szCs w:val="20"/>
                <w:lang w:val="es-ES"/>
              </w:rPr>
            </w:pPr>
          </w:p>
        </w:tc>
        <w:tc>
          <w:tcPr>
            <w:tcW w:w="3260" w:type="dxa"/>
          </w:tcPr>
          <w:p w14:paraId="3C39B80E" w14:textId="77777777" w:rsidR="00EE7EF9" w:rsidRPr="0081008E" w:rsidRDefault="00EE7EF9" w:rsidP="007F119C">
            <w:pPr>
              <w:pStyle w:val="Default"/>
              <w:jc w:val="both"/>
              <w:rPr>
                <w:rFonts w:ascii="Arial" w:hAnsi="Arial" w:cs="Arial"/>
                <w:b/>
                <w:bCs/>
                <w:sz w:val="20"/>
                <w:szCs w:val="20"/>
                <w:lang w:val="es-ES"/>
              </w:rPr>
            </w:pPr>
            <w:r w:rsidRPr="0081008E">
              <w:rPr>
                <w:rFonts w:ascii="Arial" w:hAnsi="Arial" w:cs="Arial"/>
                <w:sz w:val="20"/>
                <w:szCs w:val="20"/>
                <w:lang w:val="es-ES"/>
              </w:rPr>
              <w:t xml:space="preserve">El seguimiento del cumplimiento y la presentación de informes sobre cada medida de conservación y ordenación relativa a la captura incidental de aves marinas de las OROP se demuestra en los informes de las OROP </w:t>
            </w:r>
          </w:p>
        </w:tc>
        <w:tc>
          <w:tcPr>
            <w:tcW w:w="1701" w:type="dxa"/>
          </w:tcPr>
          <w:p w14:paraId="0D56BB45"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2026-2031 (y se mantiene en curso)</w:t>
            </w:r>
          </w:p>
          <w:p w14:paraId="535AF2CC" w14:textId="77777777" w:rsidR="00EE7EF9" w:rsidRPr="0081008E" w:rsidRDefault="00EE7EF9" w:rsidP="007F119C">
            <w:pPr>
              <w:jc w:val="both"/>
              <w:rPr>
                <w:rFonts w:cs="Arial"/>
                <w:b/>
                <w:bCs/>
                <w:sz w:val="20"/>
                <w:szCs w:val="20"/>
                <w:lang w:val="es-ES"/>
              </w:rPr>
            </w:pPr>
          </w:p>
        </w:tc>
        <w:tc>
          <w:tcPr>
            <w:tcW w:w="1984" w:type="dxa"/>
          </w:tcPr>
          <w:p w14:paraId="632166CE"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Partes de la CMS que son miembros o tienen compromisos con OROP clave</w:t>
            </w:r>
          </w:p>
          <w:p w14:paraId="1371DFDB" w14:textId="77777777" w:rsidR="00EE7EF9" w:rsidRPr="0081008E" w:rsidRDefault="00EE7EF9" w:rsidP="007F119C">
            <w:pPr>
              <w:jc w:val="both"/>
              <w:rPr>
                <w:rFonts w:cs="Arial"/>
                <w:b/>
                <w:bCs/>
                <w:sz w:val="20"/>
                <w:szCs w:val="20"/>
                <w:lang w:val="es-ES"/>
              </w:rPr>
            </w:pPr>
          </w:p>
        </w:tc>
        <w:tc>
          <w:tcPr>
            <w:tcW w:w="3180" w:type="dxa"/>
          </w:tcPr>
          <w:p w14:paraId="12A58112" w14:textId="77777777" w:rsidR="00EE7EF9" w:rsidRPr="0081008E" w:rsidRDefault="00EE7EF9" w:rsidP="007F119C">
            <w:pPr>
              <w:jc w:val="both"/>
              <w:rPr>
                <w:rFonts w:cs="Arial"/>
                <w:sz w:val="20"/>
                <w:szCs w:val="20"/>
                <w:lang w:val="es-ES"/>
              </w:rPr>
            </w:pPr>
            <w:r w:rsidRPr="0081008E">
              <w:rPr>
                <w:rFonts w:cs="Arial"/>
                <w:sz w:val="20"/>
                <w:szCs w:val="20"/>
                <w:lang w:val="es-ES"/>
              </w:rPr>
              <w:t xml:space="preserve">Esto puede lograrse mediante la reasignación de la capacidad existente de las Partes que participan en las OROP, o mediante capacidad adicional que requerirá fondos para el </w:t>
            </w:r>
            <w:r w:rsidRPr="0081008E">
              <w:rPr>
                <w:rFonts w:cs="Arial"/>
                <w:sz w:val="20"/>
                <w:szCs w:val="20"/>
                <w:lang w:val="es-ES"/>
              </w:rPr>
              <w:lastRenderedPageBreak/>
              <w:t>tiempo y los desplazamientos a las reuniones</w:t>
            </w:r>
          </w:p>
        </w:tc>
      </w:tr>
      <w:tr w:rsidR="00EE7EF9" w:rsidRPr="00EF490C" w14:paraId="19594BF6" w14:textId="77777777" w:rsidTr="007F119C">
        <w:tc>
          <w:tcPr>
            <w:tcW w:w="3823" w:type="dxa"/>
          </w:tcPr>
          <w:p w14:paraId="4B5D891C" w14:textId="77777777" w:rsidR="00EE7EF9" w:rsidRPr="0081008E" w:rsidRDefault="00EE7EF9" w:rsidP="007F119C">
            <w:pPr>
              <w:pStyle w:val="Default"/>
              <w:numPr>
                <w:ilvl w:val="1"/>
                <w:numId w:val="15"/>
              </w:numPr>
              <w:jc w:val="both"/>
              <w:rPr>
                <w:rFonts w:ascii="Arial" w:hAnsi="Arial" w:cs="Arial"/>
                <w:sz w:val="20"/>
                <w:szCs w:val="20"/>
                <w:lang w:val="es-ES"/>
              </w:rPr>
            </w:pPr>
            <w:r w:rsidRPr="0081008E">
              <w:rPr>
                <w:rFonts w:ascii="Arial" w:hAnsi="Arial" w:cs="Arial"/>
                <w:sz w:val="20"/>
                <w:szCs w:val="20"/>
                <w:lang w:val="es-ES"/>
              </w:rPr>
              <w:lastRenderedPageBreak/>
              <w:t>Apoyar la comunicación de datos sólidos sobre la captura incidental y evaluaciones periódicas sobre la captura incidental en OROP relevantes</w:t>
            </w:r>
          </w:p>
          <w:p w14:paraId="5E61C8EB" w14:textId="77777777" w:rsidR="00EE7EF9" w:rsidRPr="0081008E" w:rsidRDefault="00EE7EF9" w:rsidP="007F119C">
            <w:pPr>
              <w:jc w:val="both"/>
              <w:rPr>
                <w:rFonts w:cs="Arial"/>
                <w:b/>
                <w:bCs/>
                <w:sz w:val="20"/>
                <w:szCs w:val="20"/>
                <w:lang w:val="es-ES"/>
              </w:rPr>
            </w:pPr>
          </w:p>
        </w:tc>
        <w:tc>
          <w:tcPr>
            <w:tcW w:w="3260" w:type="dxa"/>
          </w:tcPr>
          <w:p w14:paraId="6865BFBA"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El riesgo de captura incidental a causa de la pesca está documentado y es cuantificable a través de la comunicación de datos</w:t>
            </w:r>
          </w:p>
          <w:p w14:paraId="2279330A" w14:textId="77777777" w:rsidR="00EE7EF9" w:rsidRPr="0081008E" w:rsidRDefault="00EE7EF9" w:rsidP="007F119C">
            <w:pPr>
              <w:pStyle w:val="Default"/>
              <w:jc w:val="both"/>
              <w:rPr>
                <w:rFonts w:ascii="Arial" w:hAnsi="Arial" w:cs="Arial"/>
                <w:b/>
                <w:bCs/>
                <w:sz w:val="20"/>
                <w:szCs w:val="20"/>
                <w:lang w:val="es-ES"/>
              </w:rPr>
            </w:pPr>
          </w:p>
        </w:tc>
        <w:tc>
          <w:tcPr>
            <w:tcW w:w="1701" w:type="dxa"/>
          </w:tcPr>
          <w:p w14:paraId="1EA7D2C3" w14:textId="77777777" w:rsidR="00EE7EF9" w:rsidRPr="0081008E" w:rsidRDefault="00EE7EF9" w:rsidP="007F119C">
            <w:pPr>
              <w:jc w:val="both"/>
              <w:rPr>
                <w:rFonts w:cs="Arial"/>
                <w:sz w:val="20"/>
                <w:szCs w:val="20"/>
                <w:lang w:val="es-ES"/>
              </w:rPr>
            </w:pPr>
            <w:r w:rsidRPr="0081008E">
              <w:rPr>
                <w:rFonts w:cs="Arial"/>
                <w:sz w:val="20"/>
                <w:szCs w:val="20"/>
                <w:lang w:val="es-ES"/>
              </w:rPr>
              <w:t>En curso</w:t>
            </w:r>
          </w:p>
        </w:tc>
        <w:tc>
          <w:tcPr>
            <w:tcW w:w="1984" w:type="dxa"/>
          </w:tcPr>
          <w:p w14:paraId="274D4B4C"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Partes de la CMS que son miembros o tienen compromisos con OROP clave</w:t>
            </w:r>
          </w:p>
          <w:p w14:paraId="5B4E6EE3" w14:textId="77777777" w:rsidR="00EE7EF9" w:rsidRPr="0081008E" w:rsidRDefault="00EE7EF9" w:rsidP="007F119C">
            <w:pPr>
              <w:jc w:val="both"/>
              <w:rPr>
                <w:rFonts w:cs="Arial"/>
                <w:b/>
                <w:bCs/>
                <w:sz w:val="20"/>
                <w:szCs w:val="20"/>
                <w:lang w:val="es-ES"/>
              </w:rPr>
            </w:pPr>
          </w:p>
        </w:tc>
        <w:tc>
          <w:tcPr>
            <w:tcW w:w="3180" w:type="dxa"/>
          </w:tcPr>
          <w:p w14:paraId="6B00D0DB" w14:textId="77777777" w:rsidR="00EE7EF9" w:rsidRPr="0081008E" w:rsidRDefault="00EE7EF9" w:rsidP="007F119C">
            <w:pPr>
              <w:jc w:val="both"/>
              <w:rPr>
                <w:rFonts w:cs="Arial"/>
                <w:b/>
                <w:bCs/>
                <w:sz w:val="20"/>
                <w:szCs w:val="20"/>
                <w:lang w:val="es-ES"/>
              </w:rPr>
            </w:pPr>
            <w:r w:rsidRPr="0081008E">
              <w:rPr>
                <w:rFonts w:cs="Arial"/>
                <w:sz w:val="20"/>
                <w:szCs w:val="20"/>
                <w:lang w:val="es-ES"/>
              </w:rPr>
              <w:t>Esto puede lograrse mediante la reasignación de la capacidad existente de las Partes que participan en las OROP, o mediante capacidad adicional que requerirá fondos para el tiempo y los desplazamientos a las reuniones. Si se requieren niveles más altos de observación, esto exigirá fondos por parte de los Miembros pertinentes de las OROP</w:t>
            </w:r>
          </w:p>
        </w:tc>
      </w:tr>
      <w:tr w:rsidR="00EE7EF9" w:rsidRPr="00EF490C" w14:paraId="7B825007" w14:textId="77777777" w:rsidTr="007F119C">
        <w:tc>
          <w:tcPr>
            <w:tcW w:w="3823" w:type="dxa"/>
          </w:tcPr>
          <w:p w14:paraId="11C3CD26" w14:textId="77777777" w:rsidR="00EE7EF9" w:rsidRPr="0081008E" w:rsidRDefault="00EE7EF9" w:rsidP="007F119C">
            <w:pPr>
              <w:pStyle w:val="Default"/>
              <w:numPr>
                <w:ilvl w:val="1"/>
                <w:numId w:val="15"/>
              </w:numPr>
              <w:jc w:val="both"/>
              <w:rPr>
                <w:rFonts w:ascii="Arial" w:hAnsi="Arial" w:cs="Arial"/>
                <w:sz w:val="20"/>
                <w:szCs w:val="20"/>
                <w:lang w:val="es-ES"/>
              </w:rPr>
            </w:pPr>
            <w:r w:rsidRPr="0081008E">
              <w:rPr>
                <w:rFonts w:ascii="Arial" w:hAnsi="Arial" w:cs="Arial"/>
                <w:sz w:val="20"/>
                <w:szCs w:val="20"/>
                <w:lang w:val="es-ES"/>
              </w:rPr>
              <w:t>Apoyar la comunicación de datos sólidos sobre la captura incidental y evaluaciones periódicas sobre la captura incidental en OROP relevantes</w:t>
            </w:r>
          </w:p>
          <w:p w14:paraId="1FA1E7CC" w14:textId="77777777" w:rsidR="00EE7EF9" w:rsidRPr="0081008E" w:rsidRDefault="00EE7EF9" w:rsidP="007F119C">
            <w:pPr>
              <w:jc w:val="both"/>
              <w:rPr>
                <w:rFonts w:cs="Arial"/>
                <w:b/>
                <w:bCs/>
                <w:sz w:val="20"/>
                <w:szCs w:val="20"/>
                <w:lang w:val="es-ES"/>
              </w:rPr>
            </w:pPr>
          </w:p>
        </w:tc>
        <w:tc>
          <w:tcPr>
            <w:tcW w:w="3260" w:type="dxa"/>
          </w:tcPr>
          <w:p w14:paraId="21465168"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Estimación del riesgo de captura incidental de aves marinas a causa de la pesca a escala de OROP</w:t>
            </w:r>
          </w:p>
          <w:p w14:paraId="21ADC385" w14:textId="77777777" w:rsidR="00EE7EF9" w:rsidRPr="0081008E" w:rsidRDefault="00EE7EF9" w:rsidP="007F119C">
            <w:pPr>
              <w:pStyle w:val="Default"/>
              <w:jc w:val="both"/>
              <w:rPr>
                <w:rFonts w:ascii="Arial" w:hAnsi="Arial" w:cs="Arial"/>
                <w:sz w:val="20"/>
                <w:szCs w:val="20"/>
                <w:lang w:val="es-ES"/>
              </w:rPr>
            </w:pPr>
          </w:p>
          <w:p w14:paraId="22329CC3" w14:textId="77777777" w:rsidR="00EE7EF9" w:rsidRPr="0081008E" w:rsidRDefault="00EE7EF9" w:rsidP="007F119C">
            <w:pPr>
              <w:jc w:val="both"/>
              <w:rPr>
                <w:rFonts w:cs="Arial"/>
                <w:b/>
                <w:bCs/>
                <w:sz w:val="20"/>
                <w:szCs w:val="20"/>
                <w:lang w:val="es-ES"/>
              </w:rPr>
            </w:pPr>
          </w:p>
        </w:tc>
        <w:tc>
          <w:tcPr>
            <w:tcW w:w="1701" w:type="dxa"/>
          </w:tcPr>
          <w:p w14:paraId="0AB49758" w14:textId="77777777" w:rsidR="00EE7EF9" w:rsidRPr="0081008E" w:rsidRDefault="00EE7EF9" w:rsidP="007F119C">
            <w:pPr>
              <w:jc w:val="both"/>
              <w:rPr>
                <w:rFonts w:cs="Arial"/>
                <w:sz w:val="20"/>
                <w:szCs w:val="20"/>
                <w:lang w:val="es-ES"/>
              </w:rPr>
            </w:pPr>
            <w:r w:rsidRPr="0081008E">
              <w:rPr>
                <w:rFonts w:cs="Arial"/>
                <w:sz w:val="20"/>
                <w:szCs w:val="20"/>
                <w:lang w:val="es-ES"/>
              </w:rPr>
              <w:t>En curso</w:t>
            </w:r>
          </w:p>
        </w:tc>
        <w:tc>
          <w:tcPr>
            <w:tcW w:w="1984" w:type="dxa"/>
          </w:tcPr>
          <w:p w14:paraId="4D1ECEC7"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Partes de la CMS que son miembros o tienen compromisos con OROP clave</w:t>
            </w:r>
          </w:p>
          <w:p w14:paraId="31EF90E5" w14:textId="77777777" w:rsidR="00EE7EF9" w:rsidRPr="0081008E" w:rsidRDefault="00EE7EF9" w:rsidP="007F119C">
            <w:pPr>
              <w:jc w:val="both"/>
              <w:rPr>
                <w:rFonts w:cs="Arial"/>
                <w:b/>
                <w:bCs/>
                <w:sz w:val="20"/>
                <w:szCs w:val="20"/>
                <w:lang w:val="es-ES"/>
              </w:rPr>
            </w:pPr>
          </w:p>
        </w:tc>
        <w:tc>
          <w:tcPr>
            <w:tcW w:w="3180" w:type="dxa"/>
          </w:tcPr>
          <w:p w14:paraId="4E966A8C" w14:textId="77777777" w:rsidR="00EE7EF9" w:rsidRPr="0081008E" w:rsidRDefault="00EE7EF9" w:rsidP="007F119C">
            <w:pPr>
              <w:jc w:val="both"/>
              <w:rPr>
                <w:rFonts w:cs="Arial"/>
                <w:sz w:val="20"/>
                <w:szCs w:val="20"/>
                <w:lang w:val="es-ES"/>
              </w:rPr>
            </w:pPr>
            <w:r w:rsidRPr="0081008E">
              <w:rPr>
                <w:rFonts w:cs="Arial"/>
                <w:sz w:val="20"/>
                <w:szCs w:val="20"/>
                <w:lang w:val="es-ES"/>
              </w:rPr>
              <w:t>Las evaluaciones podrán financiarse mediante presupuestos de las OROP u otros, o podrán requerir fondos de las Partes que las apoyen caso por caso</w:t>
            </w:r>
          </w:p>
        </w:tc>
      </w:tr>
      <w:tr w:rsidR="00EE7EF9" w:rsidRPr="00EF490C" w14:paraId="44BB02ED" w14:textId="77777777" w:rsidTr="007F119C">
        <w:tc>
          <w:tcPr>
            <w:tcW w:w="3823" w:type="dxa"/>
          </w:tcPr>
          <w:p w14:paraId="51450E35" w14:textId="19B87321" w:rsidR="00EE7EF9" w:rsidRPr="0081008E" w:rsidRDefault="00EE7EF9" w:rsidP="007F119C">
            <w:pPr>
              <w:pStyle w:val="Default"/>
              <w:numPr>
                <w:ilvl w:val="1"/>
                <w:numId w:val="15"/>
              </w:numPr>
              <w:jc w:val="both"/>
              <w:rPr>
                <w:rFonts w:ascii="Arial" w:hAnsi="Arial" w:cs="Arial"/>
                <w:b/>
                <w:bCs/>
                <w:sz w:val="20"/>
                <w:szCs w:val="20"/>
                <w:lang w:val="es-ES"/>
              </w:rPr>
            </w:pPr>
            <w:r w:rsidRPr="0081008E">
              <w:rPr>
                <w:rFonts w:ascii="Arial" w:hAnsi="Arial" w:cs="Arial"/>
                <w:sz w:val="20"/>
                <w:szCs w:val="20"/>
                <w:lang w:val="es-ES"/>
              </w:rPr>
              <w:t xml:space="preserve">Apoyar la recopilación de datos en las pesquerías de alta mar donde otros tipos de interacciones con aves marinas, como colisiones con buques, desorientación por luz artificial o </w:t>
            </w:r>
            <w:proofErr w:type="spellStart"/>
            <w:r w:rsidRPr="0081008E">
              <w:rPr>
                <w:rFonts w:ascii="Arial" w:hAnsi="Arial" w:cs="Arial"/>
                <w:sz w:val="20"/>
                <w:szCs w:val="20"/>
                <w:lang w:val="es-ES"/>
              </w:rPr>
              <w:t>enmallamient</w:t>
            </w:r>
            <w:r w:rsidR="003524B0" w:rsidRPr="0081008E">
              <w:rPr>
                <w:rFonts w:ascii="Arial" w:hAnsi="Arial" w:cs="Arial"/>
                <w:sz w:val="20"/>
                <w:szCs w:val="20"/>
                <w:lang w:val="es-ES"/>
              </w:rPr>
              <w:t>o</w:t>
            </w:r>
            <w:proofErr w:type="spellEnd"/>
            <w:r w:rsidR="003524B0" w:rsidRPr="0081008E">
              <w:rPr>
                <w:rFonts w:ascii="Arial" w:hAnsi="Arial" w:cs="Arial"/>
                <w:sz w:val="20"/>
                <w:szCs w:val="20"/>
                <w:lang w:val="es-ES"/>
              </w:rPr>
              <w:t>, siguen siendo poco conocidos</w:t>
            </w:r>
            <w:r w:rsidRPr="0081008E">
              <w:rPr>
                <w:rFonts w:ascii="Arial" w:hAnsi="Arial" w:cs="Arial"/>
                <w:sz w:val="20"/>
                <w:szCs w:val="20"/>
                <w:lang w:val="es-ES"/>
              </w:rPr>
              <w:t xml:space="preserve"> </w:t>
            </w:r>
          </w:p>
        </w:tc>
        <w:tc>
          <w:tcPr>
            <w:tcW w:w="3260" w:type="dxa"/>
          </w:tcPr>
          <w:p w14:paraId="613EF639"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Se entienden los riesgos que suponen todos los métodos de pesca relevantes</w:t>
            </w:r>
          </w:p>
          <w:p w14:paraId="4778C2EC" w14:textId="77777777" w:rsidR="00EE7EF9" w:rsidRPr="0081008E" w:rsidRDefault="00EE7EF9" w:rsidP="007F119C">
            <w:pPr>
              <w:jc w:val="both"/>
              <w:rPr>
                <w:rFonts w:cs="Arial"/>
                <w:b/>
                <w:bCs/>
                <w:sz w:val="20"/>
                <w:szCs w:val="20"/>
                <w:lang w:val="es-ES"/>
              </w:rPr>
            </w:pPr>
          </w:p>
        </w:tc>
        <w:tc>
          <w:tcPr>
            <w:tcW w:w="1701" w:type="dxa"/>
          </w:tcPr>
          <w:p w14:paraId="7EDAA5E2" w14:textId="77777777" w:rsidR="00EE7EF9" w:rsidRPr="0081008E" w:rsidRDefault="00EE7EF9" w:rsidP="007F119C">
            <w:pPr>
              <w:jc w:val="both"/>
              <w:rPr>
                <w:rFonts w:cs="Arial"/>
                <w:sz w:val="20"/>
                <w:szCs w:val="20"/>
                <w:lang w:val="es-ES"/>
              </w:rPr>
            </w:pPr>
            <w:r w:rsidRPr="0081008E">
              <w:rPr>
                <w:rFonts w:cs="Arial"/>
                <w:sz w:val="20"/>
                <w:szCs w:val="20"/>
                <w:lang w:val="es-ES"/>
              </w:rPr>
              <w:t>2026-2031</w:t>
            </w:r>
          </w:p>
        </w:tc>
        <w:tc>
          <w:tcPr>
            <w:tcW w:w="1984" w:type="dxa"/>
          </w:tcPr>
          <w:p w14:paraId="251ABA40"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Partes de la CMS que son miembros o tienen compromisos con OROP clave</w:t>
            </w:r>
          </w:p>
          <w:p w14:paraId="0D67F980" w14:textId="77777777" w:rsidR="00EE7EF9" w:rsidRPr="0081008E" w:rsidRDefault="00EE7EF9" w:rsidP="007F119C">
            <w:pPr>
              <w:jc w:val="both"/>
              <w:rPr>
                <w:rFonts w:cs="Arial"/>
                <w:b/>
                <w:bCs/>
                <w:sz w:val="20"/>
                <w:szCs w:val="20"/>
                <w:lang w:val="es-ES"/>
              </w:rPr>
            </w:pPr>
          </w:p>
        </w:tc>
        <w:tc>
          <w:tcPr>
            <w:tcW w:w="3180" w:type="dxa"/>
          </w:tcPr>
          <w:p w14:paraId="68DB6B94" w14:textId="77777777" w:rsidR="00EE7EF9" w:rsidRPr="0081008E" w:rsidRDefault="00EE7EF9" w:rsidP="007F119C">
            <w:pPr>
              <w:jc w:val="both"/>
              <w:rPr>
                <w:rFonts w:cs="Arial"/>
                <w:sz w:val="20"/>
                <w:szCs w:val="20"/>
                <w:lang w:val="es-ES"/>
              </w:rPr>
            </w:pPr>
            <w:r w:rsidRPr="0081008E">
              <w:rPr>
                <w:rFonts w:cs="Arial"/>
                <w:sz w:val="20"/>
                <w:szCs w:val="20"/>
                <w:lang w:val="es-ES"/>
              </w:rPr>
              <w:t>Esto puede lograrse mediante la reasignación de la capacidad existente de las Partes que participan en las OROP, o mediante capacidad adicional que requerirá fondos para el tiempo y los desplazamientos a las reuniones. Si se requieren niveles más altos de observación, esto exigirá fondos por parte de los Miembros pertinentes de las OROP, como aquellos que operan flotas de pesca de calamar con potera</w:t>
            </w:r>
          </w:p>
        </w:tc>
      </w:tr>
      <w:tr w:rsidR="00EE7EF9" w:rsidRPr="0081008E" w14:paraId="3171663F" w14:textId="77777777" w:rsidTr="007F119C">
        <w:tc>
          <w:tcPr>
            <w:tcW w:w="13948" w:type="dxa"/>
            <w:gridSpan w:val="5"/>
            <w:shd w:val="clear" w:color="auto" w:fill="D9D9D9" w:themeFill="background1" w:themeFillShade="D9"/>
          </w:tcPr>
          <w:p w14:paraId="556C2918" w14:textId="77777777" w:rsidR="00EE7EF9" w:rsidRPr="0081008E" w:rsidRDefault="00EE7EF9" w:rsidP="007F119C">
            <w:pPr>
              <w:pStyle w:val="ListParagraph"/>
              <w:numPr>
                <w:ilvl w:val="0"/>
                <w:numId w:val="14"/>
              </w:numPr>
              <w:jc w:val="both"/>
              <w:rPr>
                <w:rFonts w:cs="Arial"/>
                <w:b/>
                <w:bCs/>
                <w:sz w:val="20"/>
                <w:szCs w:val="20"/>
                <w:lang w:val="es-ES"/>
              </w:rPr>
            </w:pPr>
            <w:r w:rsidRPr="0081008E">
              <w:rPr>
                <w:rFonts w:cs="Arial"/>
                <w:b/>
                <w:bCs/>
                <w:sz w:val="20"/>
                <w:szCs w:val="20"/>
                <w:lang w:val="es-ES"/>
              </w:rPr>
              <w:t>Investigación</w:t>
            </w:r>
          </w:p>
        </w:tc>
      </w:tr>
      <w:tr w:rsidR="00EE7EF9" w:rsidRPr="00EF490C" w14:paraId="110A6DBC" w14:textId="77777777" w:rsidTr="007F119C">
        <w:tc>
          <w:tcPr>
            <w:tcW w:w="3823" w:type="dxa"/>
          </w:tcPr>
          <w:p w14:paraId="666C4145" w14:textId="77777777" w:rsidR="00EE7EF9" w:rsidRPr="0081008E" w:rsidRDefault="00EE7EF9" w:rsidP="007F119C">
            <w:pPr>
              <w:pStyle w:val="Default"/>
              <w:numPr>
                <w:ilvl w:val="1"/>
                <w:numId w:val="14"/>
              </w:numPr>
              <w:jc w:val="both"/>
              <w:rPr>
                <w:rFonts w:ascii="Arial" w:hAnsi="Arial" w:cs="Arial"/>
                <w:b/>
                <w:bCs/>
                <w:sz w:val="20"/>
                <w:szCs w:val="20"/>
                <w:lang w:val="es-ES"/>
              </w:rPr>
            </w:pPr>
            <w:r w:rsidRPr="0081008E">
              <w:rPr>
                <w:rFonts w:ascii="Arial" w:hAnsi="Arial" w:cs="Arial"/>
                <w:sz w:val="20"/>
                <w:szCs w:val="20"/>
                <w:lang w:val="es-ES"/>
              </w:rPr>
              <w:t xml:space="preserve">Desarrollar e implementar un proyecto poblacional plurianual que </w:t>
            </w:r>
            <w:r w:rsidRPr="0081008E">
              <w:rPr>
                <w:rFonts w:ascii="Arial" w:hAnsi="Arial" w:cs="Arial"/>
                <w:sz w:val="20"/>
                <w:szCs w:val="20"/>
                <w:lang w:val="es-ES"/>
              </w:rPr>
              <w:lastRenderedPageBreak/>
              <w:t xml:space="preserve">sirva de plataforma para abordar cuestiones clave de investigación (por ejemplo, tamaño y tendencia poblacional, área de alimentación) </w:t>
            </w:r>
          </w:p>
        </w:tc>
        <w:tc>
          <w:tcPr>
            <w:tcW w:w="3260" w:type="dxa"/>
          </w:tcPr>
          <w:p w14:paraId="6210F1B8" w14:textId="77777777" w:rsidR="00EE7EF9" w:rsidRPr="0081008E" w:rsidRDefault="00EE7EF9" w:rsidP="007F119C">
            <w:pPr>
              <w:pStyle w:val="Default"/>
              <w:jc w:val="both"/>
              <w:rPr>
                <w:rFonts w:ascii="Arial" w:hAnsi="Arial" w:cs="Arial"/>
                <w:b/>
                <w:bCs/>
                <w:sz w:val="20"/>
                <w:szCs w:val="20"/>
                <w:lang w:val="es-ES"/>
              </w:rPr>
            </w:pPr>
            <w:r w:rsidRPr="0081008E">
              <w:rPr>
                <w:rFonts w:ascii="Arial" w:hAnsi="Arial" w:cs="Arial"/>
                <w:sz w:val="20"/>
                <w:szCs w:val="20"/>
                <w:lang w:val="es-ES"/>
              </w:rPr>
              <w:lastRenderedPageBreak/>
              <w:t xml:space="preserve">Evaluación en curso del estado actual de la población y un mejor </w:t>
            </w:r>
            <w:r w:rsidRPr="0081008E">
              <w:rPr>
                <w:rFonts w:ascii="Arial" w:hAnsi="Arial" w:cs="Arial"/>
                <w:sz w:val="20"/>
                <w:szCs w:val="20"/>
                <w:lang w:val="es-ES"/>
              </w:rPr>
              <w:lastRenderedPageBreak/>
              <w:t>conocimiento de los impulsores biológicos de los cambios</w:t>
            </w:r>
          </w:p>
        </w:tc>
        <w:tc>
          <w:tcPr>
            <w:tcW w:w="1701" w:type="dxa"/>
          </w:tcPr>
          <w:p w14:paraId="3F161123" w14:textId="77777777" w:rsidR="00EE7EF9" w:rsidRPr="0081008E" w:rsidRDefault="00EE7EF9" w:rsidP="007F119C">
            <w:pPr>
              <w:pStyle w:val="Default"/>
              <w:jc w:val="both"/>
              <w:rPr>
                <w:rFonts w:ascii="Arial" w:hAnsi="Arial" w:cs="Arial"/>
                <w:b/>
                <w:bCs/>
                <w:sz w:val="20"/>
                <w:szCs w:val="20"/>
                <w:lang w:val="es-ES"/>
              </w:rPr>
            </w:pPr>
            <w:r w:rsidRPr="0081008E">
              <w:rPr>
                <w:rFonts w:ascii="Arial" w:hAnsi="Arial" w:cs="Arial"/>
                <w:sz w:val="20"/>
                <w:szCs w:val="20"/>
                <w:lang w:val="es-ES"/>
              </w:rPr>
              <w:lastRenderedPageBreak/>
              <w:t xml:space="preserve">Desarrollar e implementar un </w:t>
            </w:r>
            <w:r w:rsidRPr="0081008E">
              <w:rPr>
                <w:rFonts w:ascii="Arial" w:hAnsi="Arial" w:cs="Arial"/>
                <w:sz w:val="20"/>
                <w:szCs w:val="20"/>
                <w:lang w:val="es-ES"/>
              </w:rPr>
              <w:lastRenderedPageBreak/>
              <w:t>plan inicial para 2026-2031 y, posteriormente, reevaluarlo</w:t>
            </w:r>
          </w:p>
        </w:tc>
        <w:tc>
          <w:tcPr>
            <w:tcW w:w="1984" w:type="dxa"/>
          </w:tcPr>
          <w:p w14:paraId="4C9C37C4"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lastRenderedPageBreak/>
              <w:t xml:space="preserve">Nueva Zelanda con la colaboración de </w:t>
            </w:r>
            <w:r w:rsidRPr="0081008E">
              <w:rPr>
                <w:rFonts w:ascii="Arial" w:hAnsi="Arial" w:cs="Arial"/>
                <w:sz w:val="20"/>
                <w:szCs w:val="20"/>
                <w:lang w:val="es-ES"/>
              </w:rPr>
              <w:lastRenderedPageBreak/>
              <w:t>otras Partes de la CMS interesadas</w:t>
            </w:r>
          </w:p>
          <w:p w14:paraId="2014420E" w14:textId="77777777" w:rsidR="00EE7EF9" w:rsidRPr="0081008E" w:rsidRDefault="00EE7EF9" w:rsidP="007F119C">
            <w:pPr>
              <w:jc w:val="both"/>
              <w:rPr>
                <w:rFonts w:cs="Arial"/>
                <w:b/>
                <w:bCs/>
                <w:sz w:val="20"/>
                <w:szCs w:val="20"/>
                <w:lang w:val="es-ES"/>
              </w:rPr>
            </w:pPr>
          </w:p>
        </w:tc>
        <w:tc>
          <w:tcPr>
            <w:tcW w:w="3180" w:type="dxa"/>
          </w:tcPr>
          <w:p w14:paraId="4436E37C" w14:textId="1B86A5E1" w:rsidR="00EE7EF9" w:rsidRPr="0081008E" w:rsidRDefault="00EE7EF9" w:rsidP="007F119C">
            <w:pPr>
              <w:jc w:val="both"/>
              <w:rPr>
                <w:rFonts w:cs="Arial"/>
                <w:sz w:val="20"/>
                <w:szCs w:val="20"/>
                <w:lang w:val="es-ES"/>
              </w:rPr>
            </w:pPr>
            <w:r w:rsidRPr="0081008E">
              <w:rPr>
                <w:rFonts w:cs="Arial"/>
                <w:sz w:val="20"/>
                <w:szCs w:val="20"/>
                <w:lang w:val="es-ES"/>
              </w:rPr>
              <w:lastRenderedPageBreak/>
              <w:t xml:space="preserve">Los fondos para el seguimiento de las poblaciones de Nueva </w:t>
            </w:r>
            <w:r w:rsidRPr="0081008E">
              <w:rPr>
                <w:rFonts w:cs="Arial"/>
                <w:sz w:val="20"/>
                <w:szCs w:val="20"/>
                <w:lang w:val="es-ES"/>
              </w:rPr>
              <w:lastRenderedPageBreak/>
              <w:t>Zelanda pueden obtenerse a través de los mecanismos de financiación actuales del Gobierno de Nueva Zelanda</w:t>
            </w:r>
            <w:r w:rsidR="003524B0" w:rsidRPr="0081008E">
              <w:rPr>
                <w:rFonts w:cs="Arial"/>
                <w:sz w:val="20"/>
                <w:szCs w:val="20"/>
                <w:lang w:val="es-ES"/>
              </w:rPr>
              <w:t>.</w:t>
            </w:r>
          </w:p>
          <w:p w14:paraId="08C1E211" w14:textId="0DBB7287" w:rsidR="00EE7EF9" w:rsidRPr="0081008E" w:rsidRDefault="00EE7EF9" w:rsidP="007F119C">
            <w:pPr>
              <w:jc w:val="both"/>
              <w:rPr>
                <w:rFonts w:cs="Arial"/>
                <w:sz w:val="20"/>
                <w:szCs w:val="20"/>
                <w:lang w:val="es-ES"/>
              </w:rPr>
            </w:pPr>
            <w:r w:rsidRPr="0081008E">
              <w:rPr>
                <w:rFonts w:cs="Arial"/>
                <w:sz w:val="20"/>
                <w:szCs w:val="20"/>
                <w:lang w:val="es-ES"/>
              </w:rPr>
              <w:t>Otros programas de seguimiento pue</w:t>
            </w:r>
            <w:r w:rsidR="003524B0" w:rsidRPr="0081008E">
              <w:rPr>
                <w:rFonts w:cs="Arial"/>
                <w:sz w:val="20"/>
                <w:szCs w:val="20"/>
                <w:lang w:val="es-ES"/>
              </w:rPr>
              <w:t>den requerir fondos adicionales</w:t>
            </w:r>
            <w:r w:rsidRPr="0081008E">
              <w:rPr>
                <w:rFonts w:cs="Arial"/>
                <w:sz w:val="20"/>
                <w:szCs w:val="20"/>
                <w:lang w:val="es-ES"/>
              </w:rPr>
              <w:t xml:space="preserve"> </w:t>
            </w:r>
          </w:p>
        </w:tc>
      </w:tr>
      <w:tr w:rsidR="00EE7EF9" w:rsidRPr="00EF490C" w14:paraId="7C8F29FF" w14:textId="77777777" w:rsidTr="007F119C">
        <w:tc>
          <w:tcPr>
            <w:tcW w:w="3823" w:type="dxa"/>
          </w:tcPr>
          <w:p w14:paraId="58208AAE" w14:textId="77777777" w:rsidR="00EE7EF9" w:rsidRPr="0081008E" w:rsidRDefault="00EE7EF9" w:rsidP="007F119C">
            <w:pPr>
              <w:pStyle w:val="Default"/>
              <w:numPr>
                <w:ilvl w:val="1"/>
                <w:numId w:val="16"/>
              </w:numPr>
              <w:jc w:val="both"/>
              <w:rPr>
                <w:rFonts w:ascii="Arial" w:hAnsi="Arial" w:cs="Arial"/>
                <w:sz w:val="20"/>
                <w:szCs w:val="20"/>
                <w:lang w:val="es-ES"/>
              </w:rPr>
            </w:pPr>
            <w:r w:rsidRPr="0081008E">
              <w:rPr>
                <w:rFonts w:ascii="Arial" w:hAnsi="Arial" w:cs="Arial"/>
                <w:sz w:val="20"/>
                <w:szCs w:val="20"/>
                <w:lang w:val="es-ES"/>
              </w:rPr>
              <w:lastRenderedPageBreak/>
              <w:t>Seguir desplegando dispositivos de rastreo para describir mejor las áreas de superposición de la pesca</w:t>
            </w:r>
          </w:p>
          <w:p w14:paraId="737516B1" w14:textId="77777777" w:rsidR="00EE7EF9" w:rsidRPr="0081008E" w:rsidRDefault="00EE7EF9" w:rsidP="007F119C">
            <w:pPr>
              <w:jc w:val="both"/>
              <w:rPr>
                <w:rFonts w:cs="Arial"/>
                <w:b/>
                <w:bCs/>
                <w:sz w:val="20"/>
                <w:szCs w:val="20"/>
                <w:lang w:val="es-ES"/>
              </w:rPr>
            </w:pPr>
          </w:p>
        </w:tc>
        <w:tc>
          <w:tcPr>
            <w:tcW w:w="3260" w:type="dxa"/>
          </w:tcPr>
          <w:p w14:paraId="6DF46A33" w14:textId="77777777" w:rsidR="00EE7EF9" w:rsidRPr="0081008E" w:rsidRDefault="00EE7EF9" w:rsidP="007F119C">
            <w:pPr>
              <w:pStyle w:val="Default"/>
              <w:jc w:val="both"/>
              <w:rPr>
                <w:rFonts w:ascii="Arial" w:hAnsi="Arial" w:cs="Arial"/>
                <w:b/>
                <w:bCs/>
                <w:sz w:val="20"/>
                <w:szCs w:val="20"/>
                <w:lang w:val="es-ES"/>
              </w:rPr>
            </w:pPr>
            <w:r w:rsidRPr="0081008E">
              <w:rPr>
                <w:rFonts w:ascii="Arial" w:hAnsi="Arial" w:cs="Arial"/>
                <w:sz w:val="20"/>
                <w:szCs w:val="20"/>
                <w:lang w:val="es-ES"/>
              </w:rPr>
              <w:t>Conocimiento detallado del área de alimentación, adecuado para informar análisis precisos de superposición con el esfuerzo pesquero y evaluaciones espaciales explícitas del riesgo pesquero, así como para orientar las actividades de reducción de la captura incidental en las pesquerías</w:t>
            </w:r>
          </w:p>
        </w:tc>
        <w:tc>
          <w:tcPr>
            <w:tcW w:w="1701" w:type="dxa"/>
          </w:tcPr>
          <w:p w14:paraId="549B27ED" w14:textId="77777777" w:rsidR="00EE7EF9" w:rsidRPr="0081008E" w:rsidRDefault="00EE7EF9" w:rsidP="007F119C">
            <w:pPr>
              <w:jc w:val="both"/>
              <w:rPr>
                <w:rFonts w:cs="Arial"/>
                <w:sz w:val="20"/>
                <w:szCs w:val="20"/>
                <w:lang w:val="es-ES"/>
              </w:rPr>
            </w:pPr>
            <w:r w:rsidRPr="0081008E">
              <w:rPr>
                <w:rFonts w:cs="Arial"/>
                <w:sz w:val="20"/>
                <w:szCs w:val="20"/>
                <w:lang w:val="es-ES"/>
              </w:rPr>
              <w:t>2026-2029</w:t>
            </w:r>
          </w:p>
        </w:tc>
        <w:tc>
          <w:tcPr>
            <w:tcW w:w="1984" w:type="dxa"/>
          </w:tcPr>
          <w:p w14:paraId="5F57A39C"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Nueva Zelanda con la colaboración de otras Partes de la CMS interesadas</w:t>
            </w:r>
          </w:p>
          <w:p w14:paraId="402C82D2" w14:textId="77777777" w:rsidR="00EE7EF9" w:rsidRPr="0081008E" w:rsidRDefault="00EE7EF9" w:rsidP="007F119C">
            <w:pPr>
              <w:jc w:val="both"/>
              <w:rPr>
                <w:rFonts w:cs="Arial"/>
                <w:b/>
                <w:bCs/>
                <w:sz w:val="20"/>
                <w:szCs w:val="20"/>
                <w:lang w:val="es-ES"/>
              </w:rPr>
            </w:pPr>
          </w:p>
        </w:tc>
        <w:tc>
          <w:tcPr>
            <w:tcW w:w="3180" w:type="dxa"/>
          </w:tcPr>
          <w:p w14:paraId="06A38264" w14:textId="591B4A8A" w:rsidR="00EE7EF9" w:rsidRPr="0081008E" w:rsidRDefault="00EE7EF9" w:rsidP="007F119C">
            <w:pPr>
              <w:jc w:val="both"/>
              <w:rPr>
                <w:rFonts w:cs="Arial"/>
                <w:sz w:val="20"/>
                <w:szCs w:val="20"/>
                <w:lang w:val="es-ES"/>
              </w:rPr>
            </w:pPr>
            <w:r w:rsidRPr="0081008E">
              <w:rPr>
                <w:rFonts w:cs="Arial"/>
                <w:sz w:val="20"/>
                <w:szCs w:val="20"/>
                <w:lang w:val="es-ES"/>
              </w:rPr>
              <w:t>Los fondos para el seguimiento adicional específico de las colonias de Nueva Zelanda pueden obtenerse a través de los mecanismos de financiación actuales del Gobierno de Nueva Zelanda</w:t>
            </w:r>
            <w:r w:rsidR="003524B0" w:rsidRPr="0081008E">
              <w:rPr>
                <w:rFonts w:cs="Arial"/>
                <w:sz w:val="20"/>
                <w:szCs w:val="20"/>
                <w:lang w:val="es-ES"/>
              </w:rPr>
              <w:t>.</w:t>
            </w:r>
          </w:p>
          <w:p w14:paraId="49CDF079" w14:textId="77777777" w:rsidR="00EE7EF9" w:rsidRPr="0081008E" w:rsidRDefault="00EE7EF9" w:rsidP="007F119C">
            <w:pPr>
              <w:jc w:val="both"/>
              <w:rPr>
                <w:rFonts w:cs="Arial"/>
                <w:sz w:val="20"/>
                <w:szCs w:val="20"/>
                <w:lang w:val="es-ES"/>
              </w:rPr>
            </w:pPr>
            <w:r w:rsidRPr="0081008E">
              <w:rPr>
                <w:rFonts w:cs="Arial"/>
                <w:sz w:val="20"/>
                <w:szCs w:val="20"/>
                <w:lang w:val="es-ES"/>
              </w:rPr>
              <w:t>La ampliación adicional de los programas de seguimiento requerirá fondos adicionales</w:t>
            </w:r>
          </w:p>
        </w:tc>
      </w:tr>
      <w:tr w:rsidR="00EE7EF9" w:rsidRPr="00EF490C" w14:paraId="68F3BCF6" w14:textId="77777777" w:rsidTr="007F119C">
        <w:tc>
          <w:tcPr>
            <w:tcW w:w="3823" w:type="dxa"/>
          </w:tcPr>
          <w:p w14:paraId="1B4B05E3" w14:textId="77777777" w:rsidR="00EE7EF9" w:rsidRPr="0081008E" w:rsidRDefault="00EE7EF9" w:rsidP="007F119C">
            <w:pPr>
              <w:pStyle w:val="Default"/>
              <w:numPr>
                <w:ilvl w:val="1"/>
                <w:numId w:val="16"/>
              </w:numPr>
              <w:jc w:val="both"/>
              <w:rPr>
                <w:rFonts w:ascii="Arial" w:hAnsi="Arial" w:cs="Arial"/>
                <w:sz w:val="20"/>
                <w:szCs w:val="20"/>
                <w:lang w:val="es-ES"/>
              </w:rPr>
            </w:pPr>
            <w:r w:rsidRPr="0081008E">
              <w:rPr>
                <w:rFonts w:ascii="Arial" w:hAnsi="Arial" w:cs="Arial"/>
                <w:sz w:val="20"/>
                <w:szCs w:val="20"/>
                <w:lang w:val="es-ES"/>
              </w:rPr>
              <w:t>Evaluar los niveles de ingestión de plástico</w:t>
            </w:r>
          </w:p>
          <w:p w14:paraId="282D9ED2" w14:textId="77777777" w:rsidR="00EE7EF9" w:rsidRPr="0081008E" w:rsidRDefault="00EE7EF9" w:rsidP="007F119C">
            <w:pPr>
              <w:jc w:val="both"/>
              <w:rPr>
                <w:rFonts w:cs="Arial"/>
                <w:b/>
                <w:bCs/>
                <w:sz w:val="20"/>
                <w:szCs w:val="20"/>
                <w:lang w:val="es-ES"/>
              </w:rPr>
            </w:pPr>
          </w:p>
        </w:tc>
        <w:tc>
          <w:tcPr>
            <w:tcW w:w="3260" w:type="dxa"/>
          </w:tcPr>
          <w:p w14:paraId="7932B175"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Mejor conocimiento de los riesgos potenciales que supone la contaminación por plástico</w:t>
            </w:r>
          </w:p>
          <w:p w14:paraId="28CEC72C" w14:textId="77777777" w:rsidR="00EE7EF9" w:rsidRPr="0081008E" w:rsidRDefault="00EE7EF9" w:rsidP="007F119C">
            <w:pPr>
              <w:jc w:val="both"/>
              <w:rPr>
                <w:rFonts w:cs="Arial"/>
                <w:b/>
                <w:bCs/>
                <w:sz w:val="20"/>
                <w:szCs w:val="20"/>
                <w:lang w:val="es-ES"/>
              </w:rPr>
            </w:pPr>
          </w:p>
        </w:tc>
        <w:tc>
          <w:tcPr>
            <w:tcW w:w="1701" w:type="dxa"/>
          </w:tcPr>
          <w:p w14:paraId="1FBBAB98" w14:textId="77777777" w:rsidR="00EE7EF9" w:rsidRPr="0081008E" w:rsidRDefault="00EE7EF9" w:rsidP="007F119C">
            <w:pPr>
              <w:jc w:val="both"/>
              <w:rPr>
                <w:rFonts w:cs="Arial"/>
                <w:b/>
                <w:bCs/>
                <w:sz w:val="20"/>
                <w:szCs w:val="20"/>
                <w:lang w:val="es-ES"/>
              </w:rPr>
            </w:pPr>
            <w:r w:rsidRPr="0081008E">
              <w:rPr>
                <w:rFonts w:cs="Arial"/>
                <w:sz w:val="20"/>
                <w:szCs w:val="20"/>
                <w:lang w:val="es-ES"/>
              </w:rPr>
              <w:t>2026-2031</w:t>
            </w:r>
          </w:p>
        </w:tc>
        <w:tc>
          <w:tcPr>
            <w:tcW w:w="1984" w:type="dxa"/>
          </w:tcPr>
          <w:p w14:paraId="7DB29A11"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Nueva Zelanda con la colaboración de otras Partes de la CMS interesadas</w:t>
            </w:r>
          </w:p>
          <w:p w14:paraId="47CD72B0" w14:textId="77777777" w:rsidR="00EE7EF9" w:rsidRPr="0081008E" w:rsidRDefault="00EE7EF9" w:rsidP="007F119C">
            <w:pPr>
              <w:jc w:val="both"/>
              <w:rPr>
                <w:rFonts w:cs="Arial"/>
                <w:b/>
                <w:bCs/>
                <w:sz w:val="20"/>
                <w:szCs w:val="20"/>
                <w:lang w:val="es-ES"/>
              </w:rPr>
            </w:pPr>
          </w:p>
        </w:tc>
        <w:tc>
          <w:tcPr>
            <w:tcW w:w="3180" w:type="dxa"/>
          </w:tcPr>
          <w:p w14:paraId="2FB5B529" w14:textId="77777777" w:rsidR="00EE7EF9" w:rsidRPr="0081008E" w:rsidRDefault="00EE7EF9" w:rsidP="007F119C">
            <w:pPr>
              <w:jc w:val="both"/>
              <w:rPr>
                <w:rFonts w:cs="Arial"/>
                <w:sz w:val="20"/>
                <w:szCs w:val="20"/>
                <w:lang w:val="es-ES"/>
              </w:rPr>
            </w:pPr>
            <w:r w:rsidRPr="0081008E">
              <w:rPr>
                <w:rFonts w:cs="Arial"/>
                <w:sz w:val="20"/>
                <w:szCs w:val="20"/>
                <w:lang w:val="es-ES"/>
              </w:rPr>
              <w:t>La recogida de muestras está financiada a través del programa descrito en el punto 3.1. Se requerirán fondos adicionales para la colaboración en análisis posteriores</w:t>
            </w:r>
          </w:p>
        </w:tc>
      </w:tr>
      <w:tr w:rsidR="00EE7EF9" w:rsidRPr="00EF490C" w14:paraId="1DB669B6" w14:textId="77777777" w:rsidTr="007F119C">
        <w:tc>
          <w:tcPr>
            <w:tcW w:w="3823" w:type="dxa"/>
          </w:tcPr>
          <w:p w14:paraId="7ADA9587" w14:textId="77777777" w:rsidR="00EE7EF9" w:rsidRPr="0081008E" w:rsidRDefault="00EE7EF9" w:rsidP="007F119C">
            <w:pPr>
              <w:pStyle w:val="Default"/>
              <w:numPr>
                <w:ilvl w:val="1"/>
                <w:numId w:val="16"/>
              </w:numPr>
              <w:jc w:val="both"/>
              <w:rPr>
                <w:rFonts w:ascii="Arial" w:hAnsi="Arial" w:cs="Arial"/>
                <w:sz w:val="20"/>
                <w:szCs w:val="20"/>
                <w:lang w:val="es-ES"/>
              </w:rPr>
            </w:pPr>
            <w:r w:rsidRPr="0081008E">
              <w:rPr>
                <w:rFonts w:ascii="Arial" w:hAnsi="Arial" w:cs="Arial"/>
                <w:sz w:val="20"/>
                <w:szCs w:val="20"/>
                <w:lang w:val="es-ES"/>
              </w:rPr>
              <w:t>Investigar la naturaleza, el alcance y los factores que provocan deslizamientos de tierra y otros impactos relacionados con el clima en las colonias reproductoras</w:t>
            </w:r>
          </w:p>
          <w:p w14:paraId="2EA742C5" w14:textId="77777777" w:rsidR="00EE7EF9" w:rsidRPr="0081008E" w:rsidRDefault="00EE7EF9" w:rsidP="007F119C">
            <w:pPr>
              <w:jc w:val="both"/>
              <w:rPr>
                <w:rFonts w:cs="Arial"/>
                <w:b/>
                <w:bCs/>
                <w:sz w:val="20"/>
                <w:szCs w:val="20"/>
                <w:lang w:val="es-ES"/>
              </w:rPr>
            </w:pPr>
          </w:p>
        </w:tc>
        <w:tc>
          <w:tcPr>
            <w:tcW w:w="3260" w:type="dxa"/>
          </w:tcPr>
          <w:p w14:paraId="61B95A9A"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Mejor conocimiento de los riesgos potenciales de los deslizamientos de tierra</w:t>
            </w:r>
          </w:p>
          <w:p w14:paraId="1ED5BA63" w14:textId="77777777" w:rsidR="00EE7EF9" w:rsidRPr="0081008E" w:rsidRDefault="00EE7EF9" w:rsidP="007F119C">
            <w:pPr>
              <w:jc w:val="both"/>
              <w:rPr>
                <w:rFonts w:cs="Arial"/>
                <w:b/>
                <w:bCs/>
                <w:sz w:val="20"/>
                <w:szCs w:val="20"/>
                <w:lang w:val="es-ES"/>
              </w:rPr>
            </w:pPr>
          </w:p>
        </w:tc>
        <w:tc>
          <w:tcPr>
            <w:tcW w:w="1701" w:type="dxa"/>
          </w:tcPr>
          <w:p w14:paraId="085C25C9" w14:textId="77777777" w:rsidR="00EE7EF9" w:rsidRPr="0081008E" w:rsidRDefault="00EE7EF9" w:rsidP="007F119C">
            <w:pPr>
              <w:jc w:val="both"/>
              <w:rPr>
                <w:rFonts w:cs="Arial"/>
                <w:b/>
                <w:bCs/>
                <w:sz w:val="20"/>
                <w:szCs w:val="20"/>
                <w:lang w:val="es-ES"/>
              </w:rPr>
            </w:pPr>
            <w:r w:rsidRPr="0081008E">
              <w:rPr>
                <w:rFonts w:cs="Arial"/>
                <w:sz w:val="20"/>
                <w:szCs w:val="20"/>
                <w:lang w:val="es-ES"/>
              </w:rPr>
              <w:t>2029-2031</w:t>
            </w:r>
          </w:p>
        </w:tc>
        <w:tc>
          <w:tcPr>
            <w:tcW w:w="1984" w:type="dxa"/>
          </w:tcPr>
          <w:p w14:paraId="52223DE0"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Nueva Zelanda con la colaboración de otras Partes de la CMS interesadas.</w:t>
            </w:r>
          </w:p>
          <w:p w14:paraId="06AC9A83" w14:textId="77777777" w:rsidR="00EE7EF9" w:rsidRPr="0081008E" w:rsidRDefault="00EE7EF9" w:rsidP="007F119C">
            <w:pPr>
              <w:jc w:val="both"/>
              <w:rPr>
                <w:rFonts w:cs="Arial"/>
                <w:b/>
                <w:bCs/>
                <w:sz w:val="20"/>
                <w:szCs w:val="20"/>
                <w:lang w:val="es-ES"/>
              </w:rPr>
            </w:pPr>
          </w:p>
        </w:tc>
        <w:tc>
          <w:tcPr>
            <w:tcW w:w="3180" w:type="dxa"/>
          </w:tcPr>
          <w:p w14:paraId="26B048CA" w14:textId="75CC0794" w:rsidR="00EE7EF9" w:rsidRPr="0081008E" w:rsidRDefault="00EE7EF9" w:rsidP="007F119C">
            <w:pPr>
              <w:jc w:val="both"/>
              <w:rPr>
                <w:rFonts w:cs="Arial"/>
                <w:sz w:val="20"/>
                <w:szCs w:val="20"/>
                <w:lang w:val="es-ES"/>
              </w:rPr>
            </w:pPr>
            <w:r w:rsidRPr="0081008E">
              <w:rPr>
                <w:rFonts w:cs="Arial"/>
                <w:sz w:val="20"/>
                <w:szCs w:val="20"/>
                <w:lang w:val="es-ES"/>
              </w:rPr>
              <w:t>La recopilación de datos está financiada a través del prog</w:t>
            </w:r>
            <w:r w:rsidR="003524B0" w:rsidRPr="0081008E">
              <w:rPr>
                <w:rFonts w:cs="Arial"/>
                <w:sz w:val="20"/>
                <w:szCs w:val="20"/>
                <w:lang w:val="es-ES"/>
              </w:rPr>
              <w:t xml:space="preserve">rama descrito en el punto 3.1. </w:t>
            </w:r>
          </w:p>
          <w:p w14:paraId="53E545DF" w14:textId="77777777" w:rsidR="00EE7EF9" w:rsidRPr="0081008E" w:rsidRDefault="00EE7EF9" w:rsidP="007F119C">
            <w:pPr>
              <w:jc w:val="both"/>
              <w:rPr>
                <w:rFonts w:cs="Arial"/>
                <w:sz w:val="20"/>
                <w:szCs w:val="20"/>
                <w:lang w:val="es-ES"/>
              </w:rPr>
            </w:pPr>
            <w:r w:rsidRPr="0081008E">
              <w:rPr>
                <w:rFonts w:cs="Arial"/>
                <w:sz w:val="20"/>
                <w:szCs w:val="20"/>
                <w:lang w:val="es-ES"/>
              </w:rPr>
              <w:t>Se requerirán fondos adicionales o colaboración para realizar análisis ampliados</w:t>
            </w:r>
          </w:p>
        </w:tc>
      </w:tr>
      <w:tr w:rsidR="00EE7EF9" w:rsidRPr="00EF490C" w14:paraId="7DE718D6" w14:textId="77777777" w:rsidTr="007F119C">
        <w:tc>
          <w:tcPr>
            <w:tcW w:w="3823" w:type="dxa"/>
          </w:tcPr>
          <w:p w14:paraId="7A021B98" w14:textId="77777777" w:rsidR="00EE7EF9" w:rsidRPr="0081008E" w:rsidRDefault="00EE7EF9" w:rsidP="007F119C">
            <w:pPr>
              <w:pStyle w:val="Default"/>
              <w:numPr>
                <w:ilvl w:val="1"/>
                <w:numId w:val="16"/>
              </w:numPr>
              <w:jc w:val="both"/>
              <w:rPr>
                <w:rFonts w:ascii="Arial" w:hAnsi="Arial" w:cs="Arial"/>
                <w:b/>
                <w:bCs/>
                <w:sz w:val="20"/>
                <w:szCs w:val="20"/>
                <w:lang w:val="es-ES"/>
              </w:rPr>
            </w:pPr>
            <w:r w:rsidRPr="0081008E">
              <w:rPr>
                <w:rFonts w:ascii="Arial" w:hAnsi="Arial" w:cs="Arial"/>
                <w:sz w:val="20"/>
                <w:szCs w:val="20"/>
                <w:lang w:val="es-ES"/>
              </w:rPr>
              <w:t xml:space="preserve">Desarrollar oportunidades basadas en el </w:t>
            </w:r>
            <w:proofErr w:type="spellStart"/>
            <w:r w:rsidRPr="0081008E">
              <w:rPr>
                <w:rFonts w:ascii="Arial" w:hAnsi="Arial" w:cs="Arial"/>
                <w:sz w:val="20"/>
                <w:szCs w:val="20"/>
                <w:lang w:val="es-ES"/>
              </w:rPr>
              <w:t>mātauranga</w:t>
            </w:r>
            <w:proofErr w:type="spellEnd"/>
            <w:r w:rsidRPr="0081008E">
              <w:rPr>
                <w:rFonts w:ascii="Arial" w:hAnsi="Arial" w:cs="Arial"/>
                <w:sz w:val="20"/>
                <w:szCs w:val="20"/>
                <w:lang w:val="es-ES"/>
              </w:rPr>
              <w:t xml:space="preserve"> </w:t>
            </w:r>
            <w:proofErr w:type="spellStart"/>
            <w:r w:rsidRPr="0081008E">
              <w:rPr>
                <w:rFonts w:ascii="Arial" w:hAnsi="Arial" w:cs="Arial"/>
                <w:sz w:val="20"/>
                <w:szCs w:val="20"/>
                <w:lang w:val="es-ES"/>
              </w:rPr>
              <w:t>Māori</w:t>
            </w:r>
            <w:proofErr w:type="spellEnd"/>
            <w:r w:rsidRPr="0081008E">
              <w:rPr>
                <w:rFonts w:ascii="Arial" w:hAnsi="Arial" w:cs="Arial"/>
                <w:sz w:val="20"/>
                <w:szCs w:val="20"/>
                <w:lang w:val="es-ES"/>
              </w:rPr>
              <w:t xml:space="preserve"> (conocimiento indígena de Nueva Zelanda) para orientar la gestión de la especie y ayudar a fomentar oportunidades que fortalezcan la conexión con las aves</w:t>
            </w:r>
            <w:r w:rsidRPr="0081008E">
              <w:rPr>
                <w:rFonts w:ascii="Arial" w:hAnsi="Arial" w:cs="Arial"/>
                <w:b/>
                <w:bCs/>
                <w:sz w:val="20"/>
                <w:szCs w:val="20"/>
                <w:lang w:val="es-ES"/>
              </w:rPr>
              <w:t xml:space="preserve"> </w:t>
            </w:r>
          </w:p>
        </w:tc>
        <w:tc>
          <w:tcPr>
            <w:tcW w:w="3260" w:type="dxa"/>
          </w:tcPr>
          <w:p w14:paraId="3DE98410"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 xml:space="preserve">El </w:t>
            </w:r>
            <w:proofErr w:type="spellStart"/>
            <w:r w:rsidRPr="0081008E">
              <w:rPr>
                <w:rFonts w:ascii="Arial" w:hAnsi="Arial" w:cs="Arial"/>
                <w:sz w:val="20"/>
                <w:szCs w:val="20"/>
                <w:lang w:val="es-ES"/>
              </w:rPr>
              <w:t>Mātauranga</w:t>
            </w:r>
            <w:proofErr w:type="spellEnd"/>
            <w:r w:rsidRPr="0081008E">
              <w:rPr>
                <w:rFonts w:ascii="Arial" w:hAnsi="Arial" w:cs="Arial"/>
                <w:sz w:val="20"/>
                <w:szCs w:val="20"/>
                <w:lang w:val="es-ES"/>
              </w:rPr>
              <w:t xml:space="preserve"> </w:t>
            </w:r>
            <w:proofErr w:type="spellStart"/>
            <w:r w:rsidRPr="0081008E">
              <w:rPr>
                <w:rFonts w:ascii="Arial" w:hAnsi="Arial" w:cs="Arial"/>
                <w:sz w:val="20"/>
                <w:szCs w:val="20"/>
                <w:lang w:val="es-ES"/>
              </w:rPr>
              <w:t>Māori</w:t>
            </w:r>
            <w:proofErr w:type="spellEnd"/>
            <w:r w:rsidRPr="0081008E">
              <w:rPr>
                <w:rFonts w:ascii="Arial" w:hAnsi="Arial" w:cs="Arial"/>
                <w:sz w:val="20"/>
                <w:szCs w:val="20"/>
                <w:lang w:val="es-ES"/>
              </w:rPr>
              <w:t xml:space="preserve"> disponible para reforzar futuras acciones de ordenación y conservación</w:t>
            </w:r>
          </w:p>
          <w:p w14:paraId="427C3EBE" w14:textId="77777777" w:rsidR="00EE7EF9" w:rsidRPr="0081008E" w:rsidRDefault="00EE7EF9" w:rsidP="007F119C">
            <w:pPr>
              <w:jc w:val="both"/>
              <w:rPr>
                <w:rFonts w:cs="Arial"/>
                <w:b/>
                <w:bCs/>
                <w:sz w:val="20"/>
                <w:szCs w:val="20"/>
                <w:lang w:val="es-ES"/>
              </w:rPr>
            </w:pPr>
          </w:p>
        </w:tc>
        <w:tc>
          <w:tcPr>
            <w:tcW w:w="1701" w:type="dxa"/>
          </w:tcPr>
          <w:p w14:paraId="337FCC33" w14:textId="77777777" w:rsidR="00EE7EF9" w:rsidRPr="0081008E" w:rsidRDefault="00EE7EF9" w:rsidP="007F119C">
            <w:pPr>
              <w:jc w:val="both"/>
              <w:rPr>
                <w:rFonts w:cs="Arial"/>
                <w:sz w:val="20"/>
                <w:szCs w:val="20"/>
                <w:lang w:val="es-ES"/>
              </w:rPr>
            </w:pPr>
            <w:r w:rsidRPr="0081008E">
              <w:rPr>
                <w:rFonts w:cs="Arial"/>
                <w:sz w:val="20"/>
                <w:szCs w:val="20"/>
                <w:lang w:val="es-ES"/>
              </w:rPr>
              <w:t>En curso</w:t>
            </w:r>
          </w:p>
        </w:tc>
        <w:tc>
          <w:tcPr>
            <w:tcW w:w="1984" w:type="dxa"/>
          </w:tcPr>
          <w:p w14:paraId="48C99DD0" w14:textId="77777777" w:rsidR="00EE7EF9" w:rsidRPr="0081008E" w:rsidRDefault="00EE7EF9" w:rsidP="007F119C">
            <w:pPr>
              <w:pStyle w:val="Default"/>
              <w:jc w:val="both"/>
              <w:rPr>
                <w:rFonts w:ascii="Arial" w:hAnsi="Arial" w:cs="Arial"/>
                <w:sz w:val="20"/>
                <w:szCs w:val="20"/>
                <w:lang w:val="es-ES"/>
              </w:rPr>
            </w:pPr>
            <w:r w:rsidRPr="0081008E">
              <w:rPr>
                <w:rFonts w:ascii="Arial" w:hAnsi="Arial" w:cs="Arial"/>
                <w:sz w:val="20"/>
                <w:szCs w:val="20"/>
                <w:lang w:val="es-ES"/>
              </w:rPr>
              <w:t xml:space="preserve">Nueva Zelanda </w:t>
            </w:r>
          </w:p>
          <w:p w14:paraId="79B813DE" w14:textId="77777777" w:rsidR="00EE7EF9" w:rsidRPr="0081008E" w:rsidRDefault="00EE7EF9" w:rsidP="007F119C">
            <w:pPr>
              <w:jc w:val="both"/>
              <w:rPr>
                <w:rFonts w:cs="Arial"/>
                <w:b/>
                <w:bCs/>
                <w:sz w:val="20"/>
                <w:szCs w:val="20"/>
                <w:lang w:val="es-ES"/>
              </w:rPr>
            </w:pPr>
          </w:p>
        </w:tc>
        <w:tc>
          <w:tcPr>
            <w:tcW w:w="3180" w:type="dxa"/>
          </w:tcPr>
          <w:p w14:paraId="25DF2DA7" w14:textId="77777777" w:rsidR="00EE7EF9" w:rsidRPr="0081008E" w:rsidRDefault="00EE7EF9" w:rsidP="007F119C">
            <w:pPr>
              <w:jc w:val="both"/>
              <w:rPr>
                <w:rFonts w:cs="Arial"/>
                <w:sz w:val="20"/>
                <w:szCs w:val="20"/>
                <w:lang w:val="es-ES"/>
              </w:rPr>
            </w:pPr>
            <w:r w:rsidRPr="0081008E">
              <w:rPr>
                <w:rFonts w:cs="Arial"/>
                <w:sz w:val="20"/>
                <w:szCs w:val="20"/>
                <w:lang w:val="es-ES"/>
              </w:rPr>
              <w:t>Se requerirán fondos adicionales caso por caso</w:t>
            </w:r>
          </w:p>
        </w:tc>
      </w:tr>
      <w:tr w:rsidR="00EE7EF9" w:rsidRPr="00EF490C" w14:paraId="3C95B156" w14:textId="77777777" w:rsidTr="007F119C">
        <w:tc>
          <w:tcPr>
            <w:tcW w:w="3823" w:type="dxa"/>
          </w:tcPr>
          <w:p w14:paraId="25B0BA49" w14:textId="77777777" w:rsidR="00EE7EF9" w:rsidRPr="0081008E" w:rsidRDefault="00EE7EF9" w:rsidP="007F119C">
            <w:pPr>
              <w:pStyle w:val="ListParagraph"/>
              <w:numPr>
                <w:ilvl w:val="1"/>
                <w:numId w:val="18"/>
              </w:numPr>
              <w:spacing w:before="60" w:after="60"/>
              <w:jc w:val="both"/>
              <w:rPr>
                <w:rFonts w:cs="Arial"/>
                <w:sz w:val="20"/>
                <w:szCs w:val="20"/>
                <w:lang w:val="es-ES"/>
              </w:rPr>
            </w:pPr>
            <w:r w:rsidRPr="0081008E">
              <w:rPr>
                <w:rFonts w:cs="Arial"/>
                <w:sz w:val="20"/>
                <w:szCs w:val="20"/>
                <w:lang w:val="es-ES"/>
              </w:rPr>
              <w:lastRenderedPageBreak/>
              <w:t>Evaluar el impacto de la contaminación lumínica en el mar</w:t>
            </w:r>
          </w:p>
        </w:tc>
        <w:tc>
          <w:tcPr>
            <w:tcW w:w="3260" w:type="dxa"/>
          </w:tcPr>
          <w:p w14:paraId="07E755C5" w14:textId="77777777" w:rsidR="00EE7EF9" w:rsidRPr="0081008E" w:rsidRDefault="00EE7EF9" w:rsidP="007F119C">
            <w:pPr>
              <w:jc w:val="both"/>
              <w:rPr>
                <w:rFonts w:cs="Arial"/>
                <w:sz w:val="20"/>
                <w:szCs w:val="20"/>
                <w:lang w:val="es-ES"/>
              </w:rPr>
            </w:pPr>
            <w:r w:rsidRPr="0081008E">
              <w:rPr>
                <w:rFonts w:cs="Arial"/>
                <w:sz w:val="20"/>
                <w:szCs w:val="20"/>
                <w:lang w:val="es-ES"/>
              </w:rPr>
              <w:t>Mejor comprensión de la naturaleza y el alcance de las colisiones de buques en el mar debidas a la atracción por la luz</w:t>
            </w:r>
          </w:p>
        </w:tc>
        <w:tc>
          <w:tcPr>
            <w:tcW w:w="1701" w:type="dxa"/>
          </w:tcPr>
          <w:p w14:paraId="50D21279" w14:textId="77777777" w:rsidR="00EE7EF9" w:rsidRPr="0081008E" w:rsidRDefault="00EE7EF9" w:rsidP="007F119C">
            <w:pPr>
              <w:jc w:val="both"/>
              <w:rPr>
                <w:rFonts w:cs="Arial"/>
                <w:sz w:val="20"/>
                <w:szCs w:val="20"/>
                <w:lang w:val="es-ES"/>
              </w:rPr>
            </w:pPr>
            <w:r w:rsidRPr="0081008E">
              <w:rPr>
                <w:rFonts w:cs="Arial"/>
                <w:sz w:val="20"/>
                <w:szCs w:val="20"/>
                <w:lang w:val="es-ES"/>
              </w:rPr>
              <w:t>2029-2031</w:t>
            </w:r>
          </w:p>
        </w:tc>
        <w:tc>
          <w:tcPr>
            <w:tcW w:w="1984" w:type="dxa"/>
          </w:tcPr>
          <w:p w14:paraId="261B96BB" w14:textId="77777777" w:rsidR="00EE7EF9" w:rsidRPr="0081008E" w:rsidRDefault="00EE7EF9" w:rsidP="007F119C">
            <w:pPr>
              <w:jc w:val="both"/>
              <w:rPr>
                <w:rFonts w:cs="Arial"/>
                <w:sz w:val="20"/>
                <w:szCs w:val="20"/>
                <w:lang w:val="es-ES"/>
              </w:rPr>
            </w:pPr>
            <w:r w:rsidRPr="0081008E">
              <w:rPr>
                <w:rFonts w:cs="Arial"/>
                <w:sz w:val="20"/>
                <w:szCs w:val="20"/>
                <w:lang w:val="es-ES"/>
              </w:rPr>
              <w:t>Partes interesadas de la CMS</w:t>
            </w:r>
          </w:p>
        </w:tc>
        <w:tc>
          <w:tcPr>
            <w:tcW w:w="3180" w:type="dxa"/>
          </w:tcPr>
          <w:p w14:paraId="0B72578F" w14:textId="77777777" w:rsidR="00EE7EF9" w:rsidRPr="0081008E" w:rsidRDefault="00EE7EF9" w:rsidP="007F119C">
            <w:pPr>
              <w:jc w:val="both"/>
              <w:rPr>
                <w:rFonts w:cs="Arial"/>
                <w:sz w:val="20"/>
                <w:szCs w:val="20"/>
                <w:lang w:val="es-ES"/>
              </w:rPr>
            </w:pPr>
            <w:r w:rsidRPr="0081008E">
              <w:rPr>
                <w:rFonts w:cs="Arial"/>
                <w:sz w:val="20"/>
                <w:szCs w:val="20"/>
                <w:lang w:val="es-ES"/>
              </w:rPr>
              <w:t>Cualquier nuevo programa de investigación requerirá financiación adicional</w:t>
            </w:r>
          </w:p>
        </w:tc>
      </w:tr>
      <w:tr w:rsidR="00EE7EF9" w:rsidRPr="00EF490C" w14:paraId="582CFF1B" w14:textId="77777777" w:rsidTr="007F119C">
        <w:tc>
          <w:tcPr>
            <w:tcW w:w="3823" w:type="dxa"/>
          </w:tcPr>
          <w:p w14:paraId="55C10669" w14:textId="77777777" w:rsidR="00EE7EF9" w:rsidRPr="0081008E" w:rsidDel="00687824" w:rsidRDefault="00EE7EF9" w:rsidP="007F119C">
            <w:pPr>
              <w:pStyle w:val="ListParagraph"/>
              <w:numPr>
                <w:ilvl w:val="1"/>
                <w:numId w:val="18"/>
              </w:numPr>
              <w:spacing w:before="60" w:after="60"/>
              <w:jc w:val="both"/>
              <w:rPr>
                <w:rFonts w:cs="Arial"/>
                <w:sz w:val="20"/>
                <w:szCs w:val="20"/>
                <w:lang w:val="es-ES"/>
              </w:rPr>
            </w:pPr>
            <w:r w:rsidRPr="0081008E">
              <w:rPr>
                <w:rFonts w:cs="Arial"/>
                <w:sz w:val="20"/>
                <w:szCs w:val="20"/>
                <w:lang w:val="es-ES"/>
              </w:rPr>
              <w:t>Evaluar el impacto de los parques eólicos marinos</w:t>
            </w:r>
          </w:p>
        </w:tc>
        <w:tc>
          <w:tcPr>
            <w:tcW w:w="3260" w:type="dxa"/>
          </w:tcPr>
          <w:p w14:paraId="691FBFA3" w14:textId="77777777" w:rsidR="00EE7EF9" w:rsidRPr="0081008E" w:rsidRDefault="00EE7EF9" w:rsidP="007F119C">
            <w:pPr>
              <w:jc w:val="both"/>
              <w:rPr>
                <w:rFonts w:cs="Arial"/>
                <w:sz w:val="20"/>
                <w:szCs w:val="20"/>
                <w:lang w:val="es-ES"/>
              </w:rPr>
            </w:pPr>
            <w:r w:rsidRPr="0081008E">
              <w:rPr>
                <w:rFonts w:cs="Arial"/>
                <w:sz w:val="20"/>
                <w:szCs w:val="20"/>
                <w:lang w:val="es-ES"/>
              </w:rPr>
              <w:t>Mejor comprensión de la altura de vuelo y otros parámetros relevantes para evaluar el impacto de los parques eólicos marinos</w:t>
            </w:r>
          </w:p>
        </w:tc>
        <w:tc>
          <w:tcPr>
            <w:tcW w:w="1701" w:type="dxa"/>
          </w:tcPr>
          <w:p w14:paraId="0207B3B9" w14:textId="77777777" w:rsidR="00EE7EF9" w:rsidRPr="0081008E" w:rsidRDefault="00EE7EF9" w:rsidP="007F119C">
            <w:pPr>
              <w:jc w:val="both"/>
              <w:rPr>
                <w:rFonts w:cs="Arial"/>
                <w:sz w:val="20"/>
                <w:szCs w:val="20"/>
                <w:lang w:val="es-ES"/>
              </w:rPr>
            </w:pPr>
            <w:r w:rsidRPr="0081008E">
              <w:rPr>
                <w:rFonts w:cs="Arial"/>
                <w:sz w:val="20"/>
                <w:szCs w:val="20"/>
                <w:lang w:val="es-ES"/>
              </w:rPr>
              <w:t>2026-2031</w:t>
            </w:r>
          </w:p>
        </w:tc>
        <w:tc>
          <w:tcPr>
            <w:tcW w:w="1984" w:type="dxa"/>
          </w:tcPr>
          <w:p w14:paraId="7C867C12" w14:textId="77777777" w:rsidR="00EE7EF9" w:rsidRPr="0081008E" w:rsidRDefault="00EE7EF9" w:rsidP="007F119C">
            <w:pPr>
              <w:jc w:val="both"/>
              <w:rPr>
                <w:rFonts w:cs="Arial"/>
                <w:sz w:val="20"/>
                <w:szCs w:val="20"/>
                <w:lang w:val="es-ES"/>
              </w:rPr>
            </w:pPr>
            <w:r w:rsidRPr="0081008E">
              <w:rPr>
                <w:rFonts w:cs="Arial"/>
                <w:sz w:val="20"/>
                <w:szCs w:val="20"/>
                <w:lang w:val="es-ES"/>
              </w:rPr>
              <w:t>Partes interesadas de la CMS</w:t>
            </w:r>
          </w:p>
        </w:tc>
        <w:tc>
          <w:tcPr>
            <w:tcW w:w="3180" w:type="dxa"/>
          </w:tcPr>
          <w:p w14:paraId="4E52C3C3" w14:textId="77777777" w:rsidR="00EE7EF9" w:rsidRPr="0081008E" w:rsidRDefault="00EE7EF9" w:rsidP="007F119C">
            <w:pPr>
              <w:jc w:val="both"/>
              <w:rPr>
                <w:rFonts w:cs="Arial"/>
                <w:sz w:val="20"/>
                <w:szCs w:val="20"/>
                <w:lang w:val="es-ES"/>
              </w:rPr>
            </w:pPr>
            <w:r w:rsidRPr="0081008E">
              <w:rPr>
                <w:rFonts w:cs="Arial"/>
                <w:sz w:val="20"/>
                <w:szCs w:val="20"/>
                <w:lang w:val="es-ES"/>
              </w:rPr>
              <w:t>Cualquier ampliación de los programas de investigación actuales o previstos requerirá financiación adicional</w:t>
            </w:r>
          </w:p>
        </w:tc>
      </w:tr>
      <w:tr w:rsidR="00EE7EF9" w:rsidRPr="00EF490C" w14:paraId="2B19C939" w14:textId="77777777" w:rsidTr="007F119C">
        <w:tc>
          <w:tcPr>
            <w:tcW w:w="13948" w:type="dxa"/>
            <w:gridSpan w:val="5"/>
            <w:shd w:val="clear" w:color="auto" w:fill="D9D9D9" w:themeFill="background1" w:themeFillShade="D9"/>
          </w:tcPr>
          <w:p w14:paraId="5143A4E5" w14:textId="77777777" w:rsidR="00EE7EF9" w:rsidRPr="0081008E" w:rsidRDefault="00EE7EF9" w:rsidP="007F119C">
            <w:pPr>
              <w:pStyle w:val="ListParagraph"/>
              <w:numPr>
                <w:ilvl w:val="0"/>
                <w:numId w:val="18"/>
              </w:numPr>
              <w:jc w:val="both"/>
              <w:rPr>
                <w:rFonts w:cs="Arial"/>
                <w:b/>
                <w:bCs/>
                <w:sz w:val="20"/>
                <w:szCs w:val="20"/>
                <w:lang w:val="es-ES"/>
              </w:rPr>
            </w:pPr>
            <w:r w:rsidRPr="0081008E">
              <w:rPr>
                <w:rFonts w:cs="Arial"/>
                <w:b/>
                <w:bCs/>
                <w:sz w:val="20"/>
                <w:szCs w:val="20"/>
                <w:lang w:val="es-ES"/>
              </w:rPr>
              <w:t>Gestión de lugares de cría</w:t>
            </w:r>
          </w:p>
        </w:tc>
      </w:tr>
      <w:tr w:rsidR="00EE7EF9" w:rsidRPr="00EF490C" w14:paraId="158CD3F7" w14:textId="77777777" w:rsidTr="007F119C">
        <w:tc>
          <w:tcPr>
            <w:tcW w:w="3823" w:type="dxa"/>
          </w:tcPr>
          <w:p w14:paraId="174955FE" w14:textId="77777777" w:rsidR="00EE7EF9" w:rsidRPr="0081008E" w:rsidRDefault="00EE7EF9" w:rsidP="007F119C">
            <w:pPr>
              <w:pStyle w:val="Default"/>
              <w:numPr>
                <w:ilvl w:val="1"/>
                <w:numId w:val="17"/>
              </w:numPr>
              <w:jc w:val="both"/>
              <w:rPr>
                <w:rFonts w:ascii="Arial" w:hAnsi="Arial" w:cs="Arial"/>
                <w:sz w:val="20"/>
                <w:szCs w:val="20"/>
                <w:lang w:val="es-ES"/>
              </w:rPr>
            </w:pPr>
            <w:r w:rsidRPr="0081008E">
              <w:rPr>
                <w:rFonts w:ascii="Arial" w:hAnsi="Arial" w:cs="Arial"/>
                <w:sz w:val="20"/>
                <w:szCs w:val="20"/>
                <w:lang w:val="es-ES"/>
              </w:rPr>
              <w:t>Continuación de la protección y el control de bioseguridad de las islas que albergan los principales lugares de cría</w:t>
            </w:r>
          </w:p>
          <w:p w14:paraId="7374B348" w14:textId="77777777" w:rsidR="00EE7EF9" w:rsidRPr="0081008E" w:rsidRDefault="00EE7EF9" w:rsidP="007F119C">
            <w:pPr>
              <w:jc w:val="both"/>
              <w:rPr>
                <w:rFonts w:cs="Arial"/>
                <w:b/>
                <w:bCs/>
                <w:sz w:val="20"/>
                <w:szCs w:val="20"/>
                <w:lang w:val="es-ES"/>
              </w:rPr>
            </w:pPr>
          </w:p>
        </w:tc>
        <w:tc>
          <w:tcPr>
            <w:tcW w:w="3260" w:type="dxa"/>
          </w:tcPr>
          <w:p w14:paraId="5F0ED255" w14:textId="77777777" w:rsidR="00EE7EF9" w:rsidRPr="0081008E" w:rsidRDefault="00EE7EF9" w:rsidP="007F119C">
            <w:pPr>
              <w:jc w:val="both"/>
              <w:rPr>
                <w:rFonts w:cs="Arial"/>
                <w:b/>
                <w:bCs/>
                <w:sz w:val="20"/>
                <w:szCs w:val="20"/>
                <w:lang w:val="es-ES"/>
              </w:rPr>
            </w:pPr>
            <w:r w:rsidRPr="0081008E">
              <w:rPr>
                <w:rFonts w:cs="Arial"/>
                <w:sz w:val="20"/>
                <w:szCs w:val="20"/>
                <w:lang w:val="es-ES"/>
              </w:rPr>
              <w:t>Prevenir la introducción accidental de depredadores para garantizar lugares de reproducción seguros y protegidos, sin amenazas inducidas por actividades humanas</w:t>
            </w:r>
          </w:p>
        </w:tc>
        <w:tc>
          <w:tcPr>
            <w:tcW w:w="1701" w:type="dxa"/>
          </w:tcPr>
          <w:p w14:paraId="56A7E669" w14:textId="77777777" w:rsidR="00EE7EF9" w:rsidRPr="0081008E" w:rsidRDefault="00EE7EF9" w:rsidP="007F119C">
            <w:pPr>
              <w:jc w:val="both"/>
              <w:rPr>
                <w:rFonts w:cs="Arial"/>
                <w:sz w:val="20"/>
                <w:szCs w:val="20"/>
                <w:lang w:val="es-ES"/>
              </w:rPr>
            </w:pPr>
            <w:r w:rsidRPr="0081008E">
              <w:rPr>
                <w:rFonts w:cs="Arial"/>
                <w:sz w:val="20"/>
                <w:szCs w:val="20"/>
                <w:lang w:val="es-ES"/>
              </w:rPr>
              <w:t>En curso</w:t>
            </w:r>
          </w:p>
        </w:tc>
        <w:tc>
          <w:tcPr>
            <w:tcW w:w="1984" w:type="dxa"/>
          </w:tcPr>
          <w:p w14:paraId="023F3AB1" w14:textId="77777777" w:rsidR="00EE7EF9" w:rsidRPr="0081008E" w:rsidRDefault="00EE7EF9" w:rsidP="007F119C">
            <w:pPr>
              <w:jc w:val="both"/>
              <w:rPr>
                <w:rFonts w:cs="Arial"/>
                <w:sz w:val="20"/>
                <w:szCs w:val="20"/>
                <w:lang w:val="es-ES"/>
              </w:rPr>
            </w:pPr>
            <w:r w:rsidRPr="0081008E">
              <w:rPr>
                <w:rFonts w:cs="Arial"/>
                <w:sz w:val="20"/>
                <w:szCs w:val="20"/>
                <w:lang w:val="es-ES"/>
              </w:rPr>
              <w:t>Nueva Zelanda</w:t>
            </w:r>
            <w:r w:rsidRPr="0081008E">
              <w:rPr>
                <w:rFonts w:cs="Arial"/>
                <w:b/>
                <w:bCs/>
                <w:sz w:val="20"/>
                <w:szCs w:val="20"/>
                <w:lang w:val="es-ES"/>
              </w:rPr>
              <w:t xml:space="preserve"> </w:t>
            </w:r>
            <w:r w:rsidRPr="0081008E">
              <w:rPr>
                <w:rFonts w:cs="Arial"/>
                <w:sz w:val="20"/>
                <w:szCs w:val="20"/>
                <w:lang w:val="es-ES"/>
              </w:rPr>
              <w:t xml:space="preserve">Australia </w:t>
            </w:r>
          </w:p>
        </w:tc>
        <w:tc>
          <w:tcPr>
            <w:tcW w:w="3180" w:type="dxa"/>
          </w:tcPr>
          <w:p w14:paraId="4EBB4508" w14:textId="26209B16" w:rsidR="00EE7EF9" w:rsidRPr="0081008E" w:rsidRDefault="00EE7EF9" w:rsidP="007F119C">
            <w:pPr>
              <w:jc w:val="both"/>
              <w:rPr>
                <w:rFonts w:cs="Arial"/>
                <w:sz w:val="20"/>
                <w:szCs w:val="20"/>
                <w:lang w:val="es-ES"/>
              </w:rPr>
            </w:pPr>
            <w:r w:rsidRPr="0081008E">
              <w:rPr>
                <w:rFonts w:cs="Arial"/>
                <w:sz w:val="20"/>
                <w:szCs w:val="20"/>
                <w:lang w:val="es-ES"/>
              </w:rPr>
              <w:t>El Gobierno de Nueva Zelanda ha comprometido fondos para la gestión continua de los lugares de reproducción de las colonias de Nueva Zelanda</w:t>
            </w:r>
            <w:r w:rsidR="003524B0" w:rsidRPr="0081008E">
              <w:rPr>
                <w:rFonts w:cs="Arial"/>
                <w:sz w:val="20"/>
                <w:szCs w:val="20"/>
                <w:lang w:val="es-ES"/>
              </w:rPr>
              <w:t>.</w:t>
            </w:r>
          </w:p>
          <w:p w14:paraId="01542E9C" w14:textId="77777777" w:rsidR="00EE7EF9" w:rsidRPr="0081008E" w:rsidRDefault="00EE7EF9" w:rsidP="007F119C">
            <w:pPr>
              <w:jc w:val="both"/>
              <w:rPr>
                <w:rFonts w:cs="Arial"/>
                <w:sz w:val="20"/>
                <w:szCs w:val="20"/>
                <w:lang w:val="es-ES"/>
              </w:rPr>
            </w:pPr>
            <w:r w:rsidRPr="0081008E">
              <w:rPr>
                <w:rFonts w:cs="Arial"/>
                <w:sz w:val="20"/>
                <w:szCs w:val="20"/>
                <w:lang w:val="es-ES"/>
              </w:rPr>
              <w:t>Las medidas de bioseguridad se mantienen de forma continua en las principales colonias australianas</w:t>
            </w:r>
          </w:p>
        </w:tc>
      </w:tr>
    </w:tbl>
    <w:p w14:paraId="6B7AFAFE" w14:textId="77777777" w:rsidR="00EE7EF9" w:rsidRPr="00550B29" w:rsidRDefault="00EE7EF9" w:rsidP="007F119C">
      <w:pPr>
        <w:jc w:val="both"/>
        <w:rPr>
          <w:rFonts w:cs="Arial"/>
          <w:lang w:val="es-ES"/>
        </w:rPr>
      </w:pPr>
    </w:p>
    <w:sectPr w:rsidR="00EE7EF9" w:rsidRPr="00550B29" w:rsidSect="00EE7EF9">
      <w:headerReference w:type="even" r:id="rId17"/>
      <w:head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F692" w14:textId="77777777" w:rsidR="00860E7C" w:rsidRDefault="00860E7C" w:rsidP="002E0DE9">
      <w:pPr>
        <w:spacing w:after="0" w:line="240" w:lineRule="auto"/>
      </w:pPr>
      <w:r>
        <w:separator/>
      </w:r>
    </w:p>
  </w:endnote>
  <w:endnote w:type="continuationSeparator" w:id="0">
    <w:p w14:paraId="07D8CA65" w14:textId="77777777" w:rsidR="00860E7C" w:rsidRDefault="00860E7C" w:rsidP="002E0DE9">
      <w:pPr>
        <w:spacing w:after="0" w:line="240" w:lineRule="auto"/>
      </w:pPr>
      <w:r>
        <w:continuationSeparator/>
      </w:r>
    </w:p>
  </w:endnote>
  <w:endnote w:type="continuationNotice" w:id="1">
    <w:p w14:paraId="04A84023" w14:textId="77777777" w:rsidR="00860E7C" w:rsidRDefault="00860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282A9631" w:rsidR="002E0DE9" w:rsidRPr="0081008E" w:rsidRDefault="002E0DE9">
        <w:pPr>
          <w:pStyle w:val="Footer"/>
          <w:jc w:val="center"/>
          <w:rPr>
            <w:sz w:val="18"/>
            <w:szCs w:val="18"/>
          </w:rPr>
        </w:pPr>
        <w:r w:rsidRPr="0081008E">
          <w:rPr>
            <w:sz w:val="18"/>
            <w:szCs w:val="18"/>
          </w:rPr>
          <w:fldChar w:fldCharType="begin"/>
        </w:r>
        <w:r w:rsidRPr="0081008E">
          <w:rPr>
            <w:sz w:val="18"/>
            <w:szCs w:val="18"/>
          </w:rPr>
          <w:instrText xml:space="preserve"> PAGE   \* MERGEFORMAT </w:instrText>
        </w:r>
        <w:r w:rsidRPr="0081008E">
          <w:rPr>
            <w:sz w:val="18"/>
            <w:szCs w:val="18"/>
          </w:rPr>
          <w:fldChar w:fldCharType="separate"/>
        </w:r>
        <w:r w:rsidR="00550B29" w:rsidRPr="0081008E">
          <w:rPr>
            <w:noProof/>
            <w:sz w:val="18"/>
            <w:szCs w:val="18"/>
          </w:rPr>
          <w:t>6</w:t>
        </w:r>
        <w:r w:rsidRPr="0081008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549E7BDF" w:rsidR="0035024E" w:rsidRPr="0081008E" w:rsidRDefault="0035024E" w:rsidP="0035024E">
        <w:pPr>
          <w:pStyle w:val="Footer"/>
          <w:jc w:val="center"/>
          <w:rPr>
            <w:sz w:val="18"/>
            <w:szCs w:val="18"/>
          </w:rPr>
        </w:pPr>
        <w:r w:rsidRPr="0081008E">
          <w:rPr>
            <w:sz w:val="18"/>
            <w:szCs w:val="18"/>
          </w:rPr>
          <w:fldChar w:fldCharType="begin"/>
        </w:r>
        <w:r w:rsidRPr="0081008E">
          <w:rPr>
            <w:sz w:val="18"/>
            <w:szCs w:val="18"/>
          </w:rPr>
          <w:instrText xml:space="preserve"> PAGE   \* MERGEFORMAT </w:instrText>
        </w:r>
        <w:r w:rsidRPr="0081008E">
          <w:rPr>
            <w:sz w:val="18"/>
            <w:szCs w:val="18"/>
          </w:rPr>
          <w:fldChar w:fldCharType="separate"/>
        </w:r>
        <w:r w:rsidR="00550B29" w:rsidRPr="0081008E">
          <w:rPr>
            <w:noProof/>
            <w:sz w:val="18"/>
            <w:szCs w:val="18"/>
          </w:rPr>
          <w:t>7</w:t>
        </w:r>
        <w:r w:rsidRPr="0081008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A607" w14:textId="77777777" w:rsidR="00860E7C" w:rsidRDefault="00860E7C" w:rsidP="002E0DE9">
      <w:pPr>
        <w:spacing w:after="0" w:line="240" w:lineRule="auto"/>
      </w:pPr>
      <w:r>
        <w:separator/>
      </w:r>
    </w:p>
  </w:footnote>
  <w:footnote w:type="continuationSeparator" w:id="0">
    <w:p w14:paraId="49660B26" w14:textId="77777777" w:rsidR="00860E7C" w:rsidRDefault="00860E7C" w:rsidP="002E0DE9">
      <w:pPr>
        <w:spacing w:after="0" w:line="240" w:lineRule="auto"/>
      </w:pPr>
      <w:r>
        <w:continuationSeparator/>
      </w:r>
    </w:p>
  </w:footnote>
  <w:footnote w:type="continuationNotice" w:id="1">
    <w:p w14:paraId="5F6B1A79" w14:textId="77777777" w:rsidR="00860E7C" w:rsidRDefault="00860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2121704" w:rsidR="002E0DE9" w:rsidRPr="0081008E" w:rsidRDefault="002E0DE9" w:rsidP="002E0DE9">
    <w:pPr>
      <w:pStyle w:val="Header"/>
      <w:pBdr>
        <w:bottom w:val="single" w:sz="4" w:space="1" w:color="auto"/>
      </w:pBdr>
      <w:rPr>
        <w:i/>
        <w:sz w:val="18"/>
        <w:szCs w:val="18"/>
      </w:rPr>
    </w:pPr>
    <w:r w:rsidRPr="0081008E">
      <w:rPr>
        <w:rFonts w:eastAsia="Times New Roman" w:cs="Arial"/>
        <w:i/>
        <w:sz w:val="18"/>
        <w:szCs w:val="18"/>
        <w:lang w:val="es-ES"/>
      </w:rPr>
      <w:t>UNEP/CMS/COP15/Doc.31.3.10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E668F1C" w:rsidR="002E0DE9" w:rsidRPr="0081008E" w:rsidRDefault="002E0DE9" w:rsidP="00842B75">
    <w:pPr>
      <w:pStyle w:val="Header"/>
      <w:pBdr>
        <w:bottom w:val="single" w:sz="4" w:space="1" w:color="auto"/>
      </w:pBdr>
      <w:jc w:val="right"/>
      <w:rPr>
        <w:i/>
        <w:sz w:val="18"/>
        <w:szCs w:val="18"/>
      </w:rPr>
    </w:pPr>
    <w:r w:rsidRPr="0081008E">
      <w:rPr>
        <w:rFonts w:eastAsia="Times New Roman" w:cs="Arial"/>
        <w:i/>
        <w:sz w:val="18"/>
        <w:szCs w:val="18"/>
        <w:lang w:val="es-ES"/>
      </w:rPr>
      <w:t>UNEP/CMS/COP15/Doc.31.3.10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6FED" w14:textId="77777777" w:rsidR="00EF490C" w:rsidRPr="00002A97" w:rsidRDefault="00EF490C" w:rsidP="00EF490C">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bookmarkStart w:id="1" w:name="_Hlk213850681"/>
    <w:r>
      <w:rPr>
        <w:rFonts w:eastAsia="Times New Roman" w:cs="Times New Roman"/>
        <w:noProof/>
        <w:sz w:val="18"/>
        <w:szCs w:val="20"/>
        <w:lang w:val="es-ES" w:eastAsia="es-ES"/>
      </w:rPr>
      <w:drawing>
        <wp:anchor distT="0" distB="0" distL="114300" distR="114300" simplePos="0" relativeHeight="251661312" behindDoc="1" locked="0" layoutInCell="1" allowOverlap="1" wp14:anchorId="65E6C431" wp14:editId="127F9523">
          <wp:simplePos x="0" y="0"/>
          <wp:positionH relativeFrom="column">
            <wp:posOffset>-11430</wp:posOffset>
          </wp:positionH>
          <wp:positionV relativeFrom="paragraph">
            <wp:posOffset>-188163</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1056F737" wp14:editId="7356B465">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60538877" wp14:editId="4542882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bookmarkEnd w:id="1"/>
  <w:p w14:paraId="42FE75F5" w14:textId="77777777" w:rsidR="00063EBB" w:rsidRDefault="00063E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9B17" w14:textId="2068FB7F" w:rsidR="00EE7EF9" w:rsidRPr="0081008E" w:rsidRDefault="00EE7EF9" w:rsidP="002E0DE9">
    <w:pPr>
      <w:pStyle w:val="Header"/>
      <w:pBdr>
        <w:bottom w:val="single" w:sz="4" w:space="1" w:color="auto"/>
      </w:pBdr>
      <w:rPr>
        <w:i/>
        <w:sz w:val="18"/>
        <w:szCs w:val="18"/>
      </w:rPr>
    </w:pPr>
    <w:r w:rsidRPr="0081008E">
      <w:rPr>
        <w:rFonts w:eastAsia="Times New Roman" w:cs="Arial"/>
        <w:i/>
        <w:sz w:val="18"/>
        <w:szCs w:val="18"/>
        <w:lang w:val="es-ES"/>
      </w:rPr>
      <w:t>UNEP/CMS/COP15/Doc.31.3.10/Anexo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5AEC" w14:textId="2F2BB347" w:rsidR="00EE7EF9" w:rsidRPr="0081008E" w:rsidRDefault="00EE7EF9" w:rsidP="00842B75">
    <w:pPr>
      <w:pStyle w:val="Header"/>
      <w:pBdr>
        <w:bottom w:val="single" w:sz="4" w:space="1" w:color="auto"/>
      </w:pBdr>
      <w:jc w:val="right"/>
      <w:rPr>
        <w:i/>
        <w:sz w:val="18"/>
        <w:szCs w:val="18"/>
      </w:rPr>
    </w:pPr>
    <w:r w:rsidRPr="0081008E">
      <w:rPr>
        <w:rFonts w:eastAsia="Times New Roman" w:cs="Arial"/>
        <w:i/>
        <w:sz w:val="18"/>
        <w:szCs w:val="18"/>
        <w:lang w:val="es-ES"/>
      </w:rPr>
      <w:t>UNEP/CMS/COP15/Doc.31.3.10/Anexo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00494"/>
    <w:multiLevelType w:val="multilevel"/>
    <w:tmpl w:val="286065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4F795A"/>
    <w:multiLevelType w:val="multilevel"/>
    <w:tmpl w:val="0CA46C8A"/>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B5E28"/>
    <w:multiLevelType w:val="multilevel"/>
    <w:tmpl w:val="3CB20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DF40F4"/>
    <w:multiLevelType w:val="multilevel"/>
    <w:tmpl w:val="C0AC3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1608A"/>
    <w:multiLevelType w:val="multilevel"/>
    <w:tmpl w:val="9D206A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96538"/>
    <w:multiLevelType w:val="multilevel"/>
    <w:tmpl w:val="A73C3C0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21494"/>
    <w:multiLevelType w:val="multilevel"/>
    <w:tmpl w:val="678AA0F8"/>
    <w:lvl w:ilvl="0">
      <w:start w:val="1"/>
      <w:numFmt w:val="decimal"/>
      <w:lvlText w:val="%1."/>
      <w:lvlJc w:val="left"/>
      <w:pPr>
        <w:ind w:left="900" w:hanging="360"/>
      </w:pPr>
      <w:rPr>
        <w:rFonts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3204">
    <w:abstractNumId w:val="10"/>
  </w:num>
  <w:num w:numId="2" w16cid:durableId="1413166223">
    <w:abstractNumId w:val="15"/>
  </w:num>
  <w:num w:numId="3" w16cid:durableId="1374770598">
    <w:abstractNumId w:val="0"/>
  </w:num>
  <w:num w:numId="4" w16cid:durableId="1394040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8912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33950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561885">
    <w:abstractNumId w:val="7"/>
  </w:num>
  <w:num w:numId="8" w16cid:durableId="450976332">
    <w:abstractNumId w:val="17"/>
  </w:num>
  <w:num w:numId="9" w16cid:durableId="1338387104">
    <w:abstractNumId w:val="12"/>
  </w:num>
  <w:num w:numId="10" w16cid:durableId="1356619939">
    <w:abstractNumId w:val="1"/>
  </w:num>
  <w:num w:numId="11" w16cid:durableId="1052734701">
    <w:abstractNumId w:val="4"/>
  </w:num>
  <w:num w:numId="12" w16cid:durableId="1206218619">
    <w:abstractNumId w:val="11"/>
  </w:num>
  <w:num w:numId="13" w16cid:durableId="848328871">
    <w:abstractNumId w:val="13"/>
  </w:num>
  <w:num w:numId="14" w16cid:durableId="1078864174">
    <w:abstractNumId w:val="8"/>
  </w:num>
  <w:num w:numId="15" w16cid:durableId="450637061">
    <w:abstractNumId w:val="6"/>
  </w:num>
  <w:num w:numId="16" w16cid:durableId="2089762383">
    <w:abstractNumId w:val="2"/>
  </w:num>
  <w:num w:numId="17" w16cid:durableId="582959841">
    <w:abstractNumId w:val="5"/>
  </w:num>
  <w:num w:numId="18" w16cid:durableId="1533877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3EBB"/>
    <w:rsid w:val="000661B2"/>
    <w:rsid w:val="00081045"/>
    <w:rsid w:val="0009245E"/>
    <w:rsid w:val="000F13BB"/>
    <w:rsid w:val="00103C7C"/>
    <w:rsid w:val="00137609"/>
    <w:rsid w:val="0015088C"/>
    <w:rsid w:val="00177179"/>
    <w:rsid w:val="00184004"/>
    <w:rsid w:val="00184287"/>
    <w:rsid w:val="00190ADA"/>
    <w:rsid w:val="001C6C56"/>
    <w:rsid w:val="002326AB"/>
    <w:rsid w:val="00235010"/>
    <w:rsid w:val="00237692"/>
    <w:rsid w:val="00284272"/>
    <w:rsid w:val="00284880"/>
    <w:rsid w:val="002B2806"/>
    <w:rsid w:val="002E0DE9"/>
    <w:rsid w:val="002E6A7D"/>
    <w:rsid w:val="00327666"/>
    <w:rsid w:val="00331D38"/>
    <w:rsid w:val="00337B70"/>
    <w:rsid w:val="0035024E"/>
    <w:rsid w:val="003524B0"/>
    <w:rsid w:val="003669FF"/>
    <w:rsid w:val="003C569E"/>
    <w:rsid w:val="003C7C2C"/>
    <w:rsid w:val="003E78F2"/>
    <w:rsid w:val="0040663F"/>
    <w:rsid w:val="00431FE3"/>
    <w:rsid w:val="00434BDA"/>
    <w:rsid w:val="00443325"/>
    <w:rsid w:val="004531F1"/>
    <w:rsid w:val="00457A20"/>
    <w:rsid w:val="004608C4"/>
    <w:rsid w:val="004639CE"/>
    <w:rsid w:val="004714F5"/>
    <w:rsid w:val="00472BCE"/>
    <w:rsid w:val="00495B71"/>
    <w:rsid w:val="004C015B"/>
    <w:rsid w:val="004C1FDD"/>
    <w:rsid w:val="00500665"/>
    <w:rsid w:val="00516A25"/>
    <w:rsid w:val="00531BD1"/>
    <w:rsid w:val="005330F7"/>
    <w:rsid w:val="00550B29"/>
    <w:rsid w:val="0055344C"/>
    <w:rsid w:val="00563598"/>
    <w:rsid w:val="0056796A"/>
    <w:rsid w:val="0059075E"/>
    <w:rsid w:val="00591E2A"/>
    <w:rsid w:val="00594151"/>
    <w:rsid w:val="00597EB1"/>
    <w:rsid w:val="005A2A3E"/>
    <w:rsid w:val="005B23A6"/>
    <w:rsid w:val="005C28E8"/>
    <w:rsid w:val="005C5625"/>
    <w:rsid w:val="005C5C48"/>
    <w:rsid w:val="005C75A7"/>
    <w:rsid w:val="005D3D4E"/>
    <w:rsid w:val="005E031D"/>
    <w:rsid w:val="005E6D3C"/>
    <w:rsid w:val="005F738C"/>
    <w:rsid w:val="00610891"/>
    <w:rsid w:val="00616823"/>
    <w:rsid w:val="006704FB"/>
    <w:rsid w:val="00682891"/>
    <w:rsid w:val="006867A3"/>
    <w:rsid w:val="006A689A"/>
    <w:rsid w:val="006A7DC4"/>
    <w:rsid w:val="006C0316"/>
    <w:rsid w:val="006D2054"/>
    <w:rsid w:val="00704E4A"/>
    <w:rsid w:val="0071181A"/>
    <w:rsid w:val="007259EC"/>
    <w:rsid w:val="0073233F"/>
    <w:rsid w:val="00786961"/>
    <w:rsid w:val="007F119C"/>
    <w:rsid w:val="0081008E"/>
    <w:rsid w:val="008165EC"/>
    <w:rsid w:val="00816618"/>
    <w:rsid w:val="00820572"/>
    <w:rsid w:val="00837BC1"/>
    <w:rsid w:val="00842B75"/>
    <w:rsid w:val="00860E7C"/>
    <w:rsid w:val="008619CA"/>
    <w:rsid w:val="008664D5"/>
    <w:rsid w:val="00871567"/>
    <w:rsid w:val="00871E2C"/>
    <w:rsid w:val="00872FF8"/>
    <w:rsid w:val="008852CE"/>
    <w:rsid w:val="008940E0"/>
    <w:rsid w:val="008B0AC3"/>
    <w:rsid w:val="008C3A4A"/>
    <w:rsid w:val="008D7F9C"/>
    <w:rsid w:val="008E399F"/>
    <w:rsid w:val="008E6292"/>
    <w:rsid w:val="008E7441"/>
    <w:rsid w:val="0092141A"/>
    <w:rsid w:val="00933B90"/>
    <w:rsid w:val="0093713A"/>
    <w:rsid w:val="00993216"/>
    <w:rsid w:val="009A08AE"/>
    <w:rsid w:val="009A2337"/>
    <w:rsid w:val="009A4FCA"/>
    <w:rsid w:val="009B248C"/>
    <w:rsid w:val="009B28A1"/>
    <w:rsid w:val="009B3CF3"/>
    <w:rsid w:val="009C2A1D"/>
    <w:rsid w:val="009F6C60"/>
    <w:rsid w:val="00A350E8"/>
    <w:rsid w:val="00A44ED2"/>
    <w:rsid w:val="00A45996"/>
    <w:rsid w:val="00A5442D"/>
    <w:rsid w:val="00A56F6E"/>
    <w:rsid w:val="00A93363"/>
    <w:rsid w:val="00A957D4"/>
    <w:rsid w:val="00AD4F4C"/>
    <w:rsid w:val="00AD5979"/>
    <w:rsid w:val="00AF63ED"/>
    <w:rsid w:val="00AF77F6"/>
    <w:rsid w:val="00B07460"/>
    <w:rsid w:val="00B2055E"/>
    <w:rsid w:val="00B33183"/>
    <w:rsid w:val="00B4546D"/>
    <w:rsid w:val="00B51A11"/>
    <w:rsid w:val="00B609A5"/>
    <w:rsid w:val="00B665AB"/>
    <w:rsid w:val="00B716CD"/>
    <w:rsid w:val="00B81CB2"/>
    <w:rsid w:val="00B86FD6"/>
    <w:rsid w:val="00B93B28"/>
    <w:rsid w:val="00BB7FAE"/>
    <w:rsid w:val="00BC60DB"/>
    <w:rsid w:val="00BD1994"/>
    <w:rsid w:val="00BE54DD"/>
    <w:rsid w:val="00C01ED7"/>
    <w:rsid w:val="00C108C1"/>
    <w:rsid w:val="00C22028"/>
    <w:rsid w:val="00C235F9"/>
    <w:rsid w:val="00C32E9F"/>
    <w:rsid w:val="00C34F42"/>
    <w:rsid w:val="00C7409D"/>
    <w:rsid w:val="00C974A1"/>
    <w:rsid w:val="00CC20D1"/>
    <w:rsid w:val="00CD27A9"/>
    <w:rsid w:val="00CF5D3B"/>
    <w:rsid w:val="00D1567A"/>
    <w:rsid w:val="00D40160"/>
    <w:rsid w:val="00D418E6"/>
    <w:rsid w:val="00D4691A"/>
    <w:rsid w:val="00D61BE5"/>
    <w:rsid w:val="00D62FDB"/>
    <w:rsid w:val="00D66DB0"/>
    <w:rsid w:val="00D80590"/>
    <w:rsid w:val="00D8210B"/>
    <w:rsid w:val="00D93628"/>
    <w:rsid w:val="00DA5C69"/>
    <w:rsid w:val="00DC417B"/>
    <w:rsid w:val="00DD4314"/>
    <w:rsid w:val="00DD57DD"/>
    <w:rsid w:val="00DE481B"/>
    <w:rsid w:val="00E309BE"/>
    <w:rsid w:val="00E4182C"/>
    <w:rsid w:val="00E56C45"/>
    <w:rsid w:val="00E77D51"/>
    <w:rsid w:val="00EA566A"/>
    <w:rsid w:val="00EB3205"/>
    <w:rsid w:val="00EB5FA1"/>
    <w:rsid w:val="00EE7EF9"/>
    <w:rsid w:val="00EF490C"/>
    <w:rsid w:val="00F071CF"/>
    <w:rsid w:val="00F166B9"/>
    <w:rsid w:val="00F231E8"/>
    <w:rsid w:val="00F26BA0"/>
    <w:rsid w:val="00F53636"/>
    <w:rsid w:val="00F6604C"/>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5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A7AE4D63-B70A-4357-A92D-4ED891730ED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3DF67B35-D182-4D5B-A599-6D67E4FA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3914</Words>
  <Characters>22314</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2025-11-08T16:16:00Z</dcterms:created>
  <dcterms:modified xsi:type="dcterms:W3CDTF">2025-11-12T14:23:00Z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