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8E76D1" w:rsidRPr="00BE6C85" w14:paraId="395487FC"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C4F904A" w14:textId="77777777" w:rsidR="008E76D1" w:rsidRPr="00002A97" w:rsidRDefault="008E76D1"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noProof/>
                <w:szCs w:val="24"/>
              </w:rPr>
              <w:drawing>
                <wp:inline distT="0" distB="0" distL="0" distR="0" wp14:anchorId="7AF1ABFB" wp14:editId="245FA96E">
                  <wp:extent cx="742950" cy="771525"/>
                  <wp:effectExtent l="0" t="0" r="0" b="9525"/>
                  <wp:docPr id="79963519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735F60A3" w14:textId="77777777" w:rsidR="008E76D1" w:rsidRPr="00002A97" w:rsidRDefault="008E76D1" w:rsidP="00B25E23">
            <w:pPr>
              <w:keepNext/>
              <w:widowControl w:val="0"/>
              <w:suppressAutoHyphens/>
              <w:autoSpaceDE w:val="0"/>
              <w:autoSpaceDN w:val="0"/>
              <w:spacing w:after="0" w:line="240" w:lineRule="auto"/>
              <w:ind w:left="-108"/>
              <w:textAlignment w:val="baseline"/>
              <w:outlineLvl w:val="1"/>
              <w:rPr>
                <w:rFonts w:eastAsia="Times New Roman"/>
                <w:sz w:val="12"/>
                <w:szCs w:val="12"/>
                <w:lang w:val="es-ES" w:eastAsia="es-ES"/>
              </w:rPr>
            </w:pPr>
          </w:p>
          <w:p w14:paraId="2D0B53CA" w14:textId="77777777" w:rsidR="008E76D1" w:rsidRPr="00002A97" w:rsidRDefault="008E76D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CONVENCIÓN SOBRE</w:t>
            </w:r>
          </w:p>
          <w:p w14:paraId="269A288D" w14:textId="77777777" w:rsidR="008E76D1" w:rsidRPr="00002A97" w:rsidRDefault="008E76D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LAS ESPECIES</w:t>
            </w:r>
          </w:p>
          <w:p w14:paraId="03127D99" w14:textId="77777777" w:rsidR="008E76D1" w:rsidRPr="00002A97" w:rsidRDefault="008E76D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768F7EC" w14:textId="79F14E7E" w:rsidR="008E76D1" w:rsidRPr="00457C8A" w:rsidRDefault="008E76D1"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szCs w:val="24"/>
                <w:lang w:val="fr-FR" w:eastAsia="es-ES"/>
              </w:rPr>
              <w:t>UNEP/CMS/COP1</w:t>
            </w:r>
            <w:r>
              <w:rPr>
                <w:rFonts w:eastAsia="Times New Roman"/>
                <w:szCs w:val="24"/>
                <w:lang w:val="fr-FR" w:eastAsia="es-ES"/>
              </w:rPr>
              <w:t>5</w:t>
            </w:r>
            <w:r w:rsidRPr="00457C8A">
              <w:rPr>
                <w:rFonts w:eastAsia="Times New Roman"/>
                <w:szCs w:val="24"/>
                <w:lang w:val="fr-FR" w:eastAsia="es-ES"/>
              </w:rPr>
              <w:t>/</w:t>
            </w:r>
            <w:r>
              <w:rPr>
                <w:rFonts w:eastAsia="Times New Roman"/>
                <w:szCs w:val="24"/>
                <w:lang w:val="fr-FR" w:eastAsia="es-ES"/>
              </w:rPr>
              <w:t>Doc</w:t>
            </w:r>
            <w:r w:rsidRPr="00457C8A">
              <w:rPr>
                <w:rFonts w:eastAsia="Times New Roman"/>
                <w:szCs w:val="24"/>
                <w:lang w:val="fr-FR" w:eastAsia="es-ES"/>
              </w:rPr>
              <w:t>.</w:t>
            </w:r>
            <w:r w:rsidR="006E03F6">
              <w:rPr>
                <w:rFonts w:eastAsia="Times New Roman"/>
                <w:szCs w:val="24"/>
                <w:lang w:val="fr-FR" w:eastAsia="es-ES"/>
              </w:rPr>
              <w:t>31.2.7</w:t>
            </w:r>
          </w:p>
          <w:p w14:paraId="10FC126C" w14:textId="79CBF706" w:rsidR="008E76D1" w:rsidRPr="002C395A" w:rsidRDefault="006E03F6"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szCs w:val="24"/>
                <w:lang w:val="fr-FR" w:eastAsia="es-ES"/>
              </w:rPr>
              <w:t xml:space="preserve">24 de </w:t>
            </w:r>
            <w:proofErr w:type="spellStart"/>
            <w:r>
              <w:rPr>
                <w:rFonts w:eastAsia="Times New Roman"/>
                <w:szCs w:val="24"/>
                <w:lang w:val="fr-FR" w:eastAsia="es-ES"/>
              </w:rPr>
              <w:t>octubre</w:t>
            </w:r>
            <w:proofErr w:type="spellEnd"/>
            <w:r w:rsidR="008E76D1" w:rsidRPr="002C395A">
              <w:rPr>
                <w:rFonts w:eastAsia="Times New Roman"/>
                <w:szCs w:val="24"/>
                <w:lang w:val="fr-FR" w:eastAsia="es-ES"/>
              </w:rPr>
              <w:t xml:space="preserve"> 2025</w:t>
            </w:r>
          </w:p>
          <w:p w14:paraId="315B8331" w14:textId="77777777" w:rsidR="008E76D1" w:rsidRPr="00002A97" w:rsidRDefault="008E76D1" w:rsidP="00B25E23">
            <w:pPr>
              <w:widowControl w:val="0"/>
              <w:suppressAutoHyphens/>
              <w:autoSpaceDE w:val="0"/>
              <w:autoSpaceDN w:val="0"/>
              <w:spacing w:after="0" w:line="240" w:lineRule="auto"/>
              <w:textAlignment w:val="baseline"/>
              <w:rPr>
                <w:rFonts w:eastAsia="Times New Roman"/>
                <w:szCs w:val="24"/>
                <w:lang w:val="es-ES_tradnl" w:eastAsia="es-ES"/>
              </w:rPr>
            </w:pPr>
            <w:r w:rsidRPr="00002A97">
              <w:rPr>
                <w:rFonts w:eastAsia="Times New Roman"/>
                <w:szCs w:val="24"/>
                <w:lang w:val="es-ES_tradnl" w:eastAsia="es-ES"/>
              </w:rPr>
              <w:t>Español</w:t>
            </w:r>
          </w:p>
          <w:p w14:paraId="1EC4ACFE" w14:textId="77777777" w:rsidR="008E76D1" w:rsidRPr="000F4BDA" w:rsidRDefault="008E76D1"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szCs w:val="24"/>
                <w:lang w:val="es-ES" w:eastAsia="es-ES"/>
              </w:rPr>
              <w:t xml:space="preserve">Original: </w:t>
            </w:r>
            <w:proofErr w:type="gramStart"/>
            <w:r w:rsidRPr="00002A97">
              <w:rPr>
                <w:rFonts w:eastAsia="Times New Roman"/>
                <w:szCs w:val="24"/>
                <w:lang w:val="es-ES" w:eastAsia="es-ES"/>
              </w:rPr>
              <w:t>Inglés</w:t>
            </w:r>
            <w:proofErr w:type="gramEnd"/>
          </w:p>
          <w:p w14:paraId="7A2D5CF8" w14:textId="77777777" w:rsidR="008E76D1" w:rsidRPr="00002A97" w:rsidRDefault="008E76D1" w:rsidP="00B25E23">
            <w:pPr>
              <w:widowControl w:val="0"/>
              <w:suppressAutoHyphens/>
              <w:autoSpaceDE w:val="0"/>
              <w:autoSpaceDN w:val="0"/>
              <w:spacing w:after="0" w:line="240" w:lineRule="auto"/>
              <w:textAlignment w:val="baseline"/>
              <w:rPr>
                <w:rFonts w:eastAsia="Times New Roman"/>
                <w:sz w:val="12"/>
                <w:szCs w:val="12"/>
                <w:lang w:val="es-ES" w:eastAsia="es-ES"/>
              </w:rPr>
            </w:pPr>
          </w:p>
        </w:tc>
      </w:tr>
    </w:tbl>
    <w:p w14:paraId="063BEAD3" w14:textId="77777777" w:rsidR="0052337D" w:rsidRPr="00002A97" w:rsidRDefault="0052337D" w:rsidP="0052337D">
      <w:pPr>
        <w:widowControl w:val="0"/>
        <w:tabs>
          <w:tab w:val="left" w:pos="-1057"/>
          <w:tab w:val="left" w:pos="-720"/>
        </w:tabs>
        <w:suppressAutoHyphens/>
        <w:autoSpaceDE w:val="0"/>
        <w:autoSpaceDN w:val="0"/>
        <w:spacing w:after="0" w:line="240" w:lineRule="auto"/>
        <w:textAlignment w:val="baseline"/>
        <w:rPr>
          <w:rFonts w:eastAsia="Times New Roman"/>
          <w:sz w:val="8"/>
          <w:szCs w:val="8"/>
          <w:lang w:val="es-ES" w:eastAsia="es-ES"/>
        </w:rPr>
      </w:pPr>
    </w:p>
    <w:p w14:paraId="43AC4811" w14:textId="77777777" w:rsidR="0052337D" w:rsidRPr="00002A97" w:rsidRDefault="0052337D" w:rsidP="0052337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szCs w:val="24"/>
          <w:lang w:val="es-ES" w:eastAsia="es-ES"/>
        </w:rPr>
        <w:t>1</w:t>
      </w:r>
      <w:r>
        <w:rPr>
          <w:rFonts w:eastAsia="Times New Roman"/>
          <w:szCs w:val="24"/>
          <w:lang w:val="es-ES" w:eastAsia="es-ES"/>
        </w:rPr>
        <w:t>5</w:t>
      </w:r>
      <w:r w:rsidRPr="00002A97">
        <w:rPr>
          <w:rFonts w:eastAsia="Times New Roman"/>
          <w:szCs w:val="24"/>
          <w:lang w:val="es-ES" w:eastAsia="es-ES"/>
        </w:rPr>
        <w:t>ª REUNIÓN DE LA CONFERENCIA DE LAS PARTES</w:t>
      </w:r>
    </w:p>
    <w:p w14:paraId="43557C7B" w14:textId="77777777" w:rsidR="0052337D" w:rsidRPr="00002A97" w:rsidRDefault="0052337D" w:rsidP="0052337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bCs/>
          <w:szCs w:val="24"/>
          <w:lang w:val="es-ES" w:eastAsia="es-ES"/>
        </w:rPr>
        <w:t>Campo Grande, Brasil, 23 al 29 marzo</w:t>
      </w:r>
      <w:r w:rsidRPr="00002A97">
        <w:rPr>
          <w:rFonts w:eastAsia="Times New Roman"/>
          <w:bCs/>
          <w:szCs w:val="24"/>
          <w:lang w:val="es-ES" w:eastAsia="es-ES"/>
        </w:rPr>
        <w:t xml:space="preserve"> 202</w:t>
      </w:r>
      <w:r>
        <w:rPr>
          <w:rFonts w:eastAsia="Times New Roman"/>
          <w:bCs/>
          <w:szCs w:val="24"/>
          <w:lang w:val="es-ES" w:eastAsia="es-ES"/>
        </w:rPr>
        <w:t>6</w:t>
      </w:r>
    </w:p>
    <w:p w14:paraId="41955F63" w14:textId="4029A3D6" w:rsidR="0052337D" w:rsidRPr="00002A97" w:rsidRDefault="0052337D" w:rsidP="0052337D">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szCs w:val="24"/>
          <w:lang w:val="es-ES" w:eastAsia="es-ES"/>
        </w:rPr>
        <w:t xml:space="preserve">Punto </w:t>
      </w:r>
      <w:r w:rsidR="006E03F6">
        <w:rPr>
          <w:rFonts w:eastAsia="Times New Roman"/>
          <w:szCs w:val="24"/>
          <w:lang w:val="es-ES" w:eastAsia="es-ES"/>
        </w:rPr>
        <w:t>31.2.7</w:t>
      </w:r>
      <w:r w:rsidRPr="00002A97">
        <w:rPr>
          <w:rFonts w:eastAsia="Times New Roman"/>
          <w:szCs w:val="24"/>
          <w:lang w:val="es-ES" w:eastAsia="es-ES"/>
        </w:rPr>
        <w:t xml:space="preserve"> del orden del día</w:t>
      </w:r>
    </w:p>
    <w:p w14:paraId="469F0600" w14:textId="77777777" w:rsidR="009D1E95" w:rsidRPr="0016650E" w:rsidRDefault="009D1E95" w:rsidP="005F2497">
      <w:pPr>
        <w:widowControl w:val="0"/>
        <w:spacing w:after="0" w:line="240" w:lineRule="auto"/>
        <w:rPr>
          <w:lang w:val="es-ES"/>
        </w:rPr>
      </w:pPr>
    </w:p>
    <w:p w14:paraId="5DB5FAF3" w14:textId="77777777" w:rsidR="009D1E95" w:rsidRPr="0016650E" w:rsidRDefault="009D1E95" w:rsidP="005F2497">
      <w:pPr>
        <w:widowControl w:val="0"/>
        <w:spacing w:after="0" w:line="240" w:lineRule="auto"/>
        <w:rPr>
          <w:lang w:val="es-ES"/>
        </w:rPr>
      </w:pPr>
    </w:p>
    <w:p w14:paraId="29692B06" w14:textId="77777777" w:rsidR="009D1E95" w:rsidRPr="0016650E" w:rsidRDefault="007B0970" w:rsidP="005F2497">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es-ES"/>
        </w:rPr>
      </w:pPr>
      <w:r w:rsidRPr="0016650E">
        <w:rPr>
          <w:b/>
          <w:lang w:val="es-ES"/>
        </w:rPr>
        <w:t xml:space="preserve">INFORME SOBRE LA APLICACIÓN DE LA ACCIÓN CONCERTADA </w:t>
      </w:r>
    </w:p>
    <w:p w14:paraId="339C57F4" w14:textId="77777777" w:rsidR="00676CD6" w:rsidRPr="0016650E" w:rsidRDefault="007B0970" w:rsidP="005F2497">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es-ES"/>
        </w:rPr>
      </w:pPr>
      <w:r w:rsidRPr="0016650E">
        <w:rPr>
          <w:b/>
          <w:lang w:val="es-ES"/>
        </w:rPr>
        <w:t>PARA EL CACHALOTE (</w:t>
      </w:r>
      <w:proofErr w:type="spellStart"/>
      <w:r w:rsidRPr="0016650E">
        <w:rPr>
          <w:b/>
          <w:i/>
          <w:lang w:val="es-ES"/>
        </w:rPr>
        <w:t>Physeter</w:t>
      </w:r>
      <w:proofErr w:type="spellEnd"/>
      <w:r w:rsidRPr="0016650E">
        <w:rPr>
          <w:b/>
          <w:i/>
          <w:lang w:val="es-ES"/>
        </w:rPr>
        <w:t xml:space="preserve"> </w:t>
      </w:r>
      <w:proofErr w:type="spellStart"/>
      <w:r w:rsidRPr="0016650E">
        <w:rPr>
          <w:b/>
          <w:i/>
          <w:lang w:val="es-ES"/>
        </w:rPr>
        <w:t>macrocephalus</w:t>
      </w:r>
      <w:proofErr w:type="spellEnd"/>
      <w:r w:rsidRPr="0016650E">
        <w:rPr>
          <w:b/>
          <w:lang w:val="es-ES"/>
        </w:rPr>
        <w:t xml:space="preserve">) </w:t>
      </w:r>
    </w:p>
    <w:p w14:paraId="33CA77ED" w14:textId="246579A1" w:rsidR="009D1E95" w:rsidRPr="0016650E" w:rsidRDefault="00E956D9" w:rsidP="005F2497">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lang w:val="es-ES"/>
        </w:rPr>
      </w:pPr>
      <w:r w:rsidRPr="0016650E">
        <w:rPr>
          <w:b/>
          <w:lang w:val="es-ES"/>
        </w:rPr>
        <w:t>DEL PACÍFICO TROPICAL ESTE</w:t>
      </w:r>
      <w:r w:rsidR="007B0970" w:rsidRPr="0016650E">
        <w:rPr>
          <w:lang w:val="es-ES"/>
        </w:rPr>
        <w:t>*</w:t>
      </w:r>
    </w:p>
    <w:p w14:paraId="796782C1" w14:textId="77777777" w:rsidR="009D1E95" w:rsidRPr="0016650E" w:rsidRDefault="009D1E95" w:rsidP="005F2497">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es-ES"/>
        </w:rPr>
      </w:pPr>
    </w:p>
    <w:p w14:paraId="13102725" w14:textId="77777777" w:rsidR="009D1E95" w:rsidRPr="0016650E" w:rsidRDefault="009D1E95" w:rsidP="005F2497">
      <w:pPr>
        <w:widowControl w:val="0"/>
        <w:spacing w:after="0" w:line="240" w:lineRule="auto"/>
        <w:jc w:val="both"/>
        <w:rPr>
          <w:lang w:val="es-ES"/>
        </w:rPr>
      </w:pPr>
    </w:p>
    <w:p w14:paraId="6DBA61D3" w14:textId="49B2BAE0" w:rsidR="009D1E95" w:rsidRPr="0016650E" w:rsidRDefault="0017113B" w:rsidP="005F2497">
      <w:pPr>
        <w:widowControl w:val="0"/>
        <w:tabs>
          <w:tab w:val="left" w:pos="8295"/>
        </w:tabs>
        <w:spacing w:after="0" w:line="240" w:lineRule="auto"/>
        <w:jc w:val="both"/>
        <w:rPr>
          <w:lang w:val="es-ES"/>
        </w:rPr>
      </w:pPr>
      <w:r w:rsidRPr="0016650E">
        <w:rPr>
          <w:noProof/>
          <w:lang w:val="es-ES" w:eastAsia="es-ES"/>
        </w:rPr>
        <mc:AlternateContent>
          <mc:Choice Requires="wps">
            <w:drawing>
              <wp:anchor distT="0" distB="0" distL="114300" distR="114300" simplePos="0" relativeHeight="251658240" behindDoc="0" locked="0" layoutInCell="1" hidden="0" allowOverlap="1" wp14:anchorId="14CA274D" wp14:editId="5F9A1750">
                <wp:simplePos x="0" y="0"/>
                <wp:positionH relativeFrom="margin">
                  <wp:posOffset>922020</wp:posOffset>
                </wp:positionH>
                <wp:positionV relativeFrom="margin">
                  <wp:posOffset>2877820</wp:posOffset>
                </wp:positionV>
                <wp:extent cx="4323715" cy="1176655"/>
                <wp:effectExtent l="0" t="0" r="19685" b="23495"/>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323715" cy="1176655"/>
                        </a:xfrm>
                        <a:prstGeom prst="rect">
                          <a:avLst/>
                        </a:prstGeom>
                        <a:solidFill>
                          <a:srgbClr val="FFFFFF"/>
                        </a:solidFill>
                        <a:ln w="9525" cap="flat" cmpd="sng">
                          <a:solidFill>
                            <a:srgbClr val="000000"/>
                          </a:solidFill>
                          <a:prstDash val="solid"/>
                          <a:round/>
                          <a:headEnd type="none" w="sm" len="sm"/>
                          <a:tailEnd type="none" w="sm" len="sm"/>
                        </a:ln>
                      </wps:spPr>
                      <wps:txbx>
                        <w:txbxContent>
                          <w:p w14:paraId="54D5E522" w14:textId="77777777" w:rsidR="009D1E95" w:rsidRPr="00976C41" w:rsidRDefault="007B0970" w:rsidP="0017113B">
                            <w:pPr>
                              <w:spacing w:after="0" w:line="240" w:lineRule="auto"/>
                              <w:jc w:val="both"/>
                              <w:textDirection w:val="btLr"/>
                              <w:rPr>
                                <w:lang w:val="es-ES"/>
                              </w:rPr>
                            </w:pPr>
                            <w:r w:rsidRPr="00976C41">
                              <w:rPr>
                                <w:color w:val="000000"/>
                                <w:lang w:val="es-ES"/>
                              </w:rPr>
                              <w:t>Resumen:</w:t>
                            </w:r>
                          </w:p>
                          <w:p w14:paraId="2CC429DC" w14:textId="77777777" w:rsidR="009D1E95" w:rsidRPr="00976C41" w:rsidRDefault="009D1E95" w:rsidP="0017113B">
                            <w:pPr>
                              <w:spacing w:after="0" w:line="240" w:lineRule="auto"/>
                              <w:jc w:val="both"/>
                              <w:textDirection w:val="btLr"/>
                              <w:rPr>
                                <w:lang w:val="es-ES"/>
                              </w:rPr>
                            </w:pPr>
                          </w:p>
                          <w:p w14:paraId="7C86B4F6" w14:textId="64337C12" w:rsidR="009D1E95" w:rsidRPr="00976C41" w:rsidRDefault="007B0970" w:rsidP="0017113B">
                            <w:pPr>
                              <w:spacing w:after="0" w:line="240" w:lineRule="auto"/>
                              <w:jc w:val="both"/>
                              <w:textDirection w:val="btLr"/>
                              <w:rPr>
                                <w:lang w:val="es-ES"/>
                              </w:rPr>
                            </w:pPr>
                            <w:r w:rsidRPr="00976C41">
                              <w:rPr>
                                <w:color w:val="000000"/>
                                <w:lang w:val="es-ES"/>
                              </w:rPr>
                              <w:t>La Red Cachalotes del Pacífico ha presentado el informe adjunto relativo a la Acción Concertada para el cachalote (</w:t>
                            </w:r>
                            <w:proofErr w:type="spellStart"/>
                            <w:r w:rsidRPr="00976C41">
                              <w:rPr>
                                <w:i/>
                                <w:color w:val="000000"/>
                                <w:lang w:val="es-ES"/>
                              </w:rPr>
                              <w:t>Physeter</w:t>
                            </w:r>
                            <w:proofErr w:type="spellEnd"/>
                            <w:r w:rsidRPr="00976C41">
                              <w:rPr>
                                <w:i/>
                                <w:color w:val="000000"/>
                                <w:lang w:val="es-ES"/>
                              </w:rPr>
                              <w:t xml:space="preserve"> </w:t>
                            </w:r>
                            <w:proofErr w:type="spellStart"/>
                            <w:r w:rsidRPr="00976C41">
                              <w:rPr>
                                <w:i/>
                                <w:color w:val="000000"/>
                                <w:lang w:val="es-ES"/>
                              </w:rPr>
                              <w:t>macrocephalus</w:t>
                            </w:r>
                            <w:proofErr w:type="spellEnd"/>
                            <w:r w:rsidR="00E956D9">
                              <w:rPr>
                                <w:color w:val="000000"/>
                                <w:lang w:val="es-ES"/>
                              </w:rPr>
                              <w:t>) del Pacífico tropical este</w:t>
                            </w:r>
                            <w:r w:rsidRPr="00976C41">
                              <w:rPr>
                                <w:color w:val="000000"/>
                                <w:lang w:val="es-ES"/>
                              </w:rPr>
                              <w:t>*, de conformidad con el proceso descrito en la Resolución 12.28 (Rev. COP14).</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4CA274D" id="Rectangle 1" o:spid="_x0000_s1026" style="position:absolute;left:0;text-align:left;margin-left:72.6pt;margin-top:226.6pt;width:340.45pt;height:92.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">
                <v:stroke startarrowwidth="narrow" startarrowlength="short" endarrowwidth="narrow" endarrowlength="short" joinstyle="round"/>
                <v:textbox inset="2.53958mm,1.2694mm,2.53958mm,1.2694mm">
                  <w:txbxContent>
                    <w:p w14:paraId="54D5E522" w14:textId="77777777" w:rsidR="009D1E95" w:rsidRPr="00976C41" w:rsidRDefault="007B0970" w:rsidP="0017113B">
                      <w:pPr>
                        <w:spacing w:after="0" w:line="240" w:lineRule="auto"/>
                        <w:jc w:val="both"/>
                        <w:textDirection w:val="btLr"/>
                        <w:rPr>
                          <w:lang w:val="es-ES"/>
                        </w:rPr>
                      </w:pPr>
                      <w:r w:rsidRPr="00976C41">
                        <w:rPr>
                          <w:color w:val="000000"/>
                          <w:lang w:val="es-ES"/>
                        </w:rPr>
                        <w:t>Resumen:</w:t>
                      </w:r>
                    </w:p>
                    <w:p w14:paraId="2CC429DC" w14:textId="77777777" w:rsidR="009D1E95" w:rsidRPr="00976C41" w:rsidRDefault="009D1E95" w:rsidP="0017113B">
                      <w:pPr>
                        <w:spacing w:after="0" w:line="240" w:lineRule="auto"/>
                        <w:jc w:val="both"/>
                        <w:textDirection w:val="btLr"/>
                        <w:rPr>
                          <w:lang w:val="es-ES"/>
                        </w:rPr>
                      </w:pPr>
                    </w:p>
                    <w:p w14:paraId="7C86B4F6" w14:textId="64337C12" w:rsidR="009D1E95" w:rsidRPr="00976C41" w:rsidRDefault="007B0970" w:rsidP="0017113B">
                      <w:pPr>
                        <w:spacing w:after="0" w:line="240" w:lineRule="auto"/>
                        <w:jc w:val="both"/>
                        <w:textDirection w:val="btLr"/>
                        <w:rPr>
                          <w:lang w:val="es-ES"/>
                        </w:rPr>
                      </w:pPr>
                      <w:r w:rsidRPr="00976C41">
                        <w:rPr>
                          <w:color w:val="000000"/>
                          <w:lang w:val="es-ES"/>
                        </w:rPr>
                        <w:t>La Red Cachalotes del Pacífico ha presentado el informe adjunto relativo a la Acción Concertada para el cachalote (</w:t>
                      </w:r>
                      <w:proofErr w:type="spellStart"/>
                      <w:r w:rsidRPr="00976C41">
                        <w:rPr>
                          <w:i/>
                          <w:color w:val="000000"/>
                          <w:lang w:val="es-ES"/>
                        </w:rPr>
                        <w:t>Physeter</w:t>
                      </w:r>
                      <w:proofErr w:type="spellEnd"/>
                      <w:r w:rsidRPr="00976C41">
                        <w:rPr>
                          <w:i/>
                          <w:color w:val="000000"/>
                          <w:lang w:val="es-ES"/>
                        </w:rPr>
                        <w:t xml:space="preserve"> </w:t>
                      </w:r>
                      <w:proofErr w:type="spellStart"/>
                      <w:r w:rsidRPr="00976C41">
                        <w:rPr>
                          <w:i/>
                          <w:color w:val="000000"/>
                          <w:lang w:val="es-ES"/>
                        </w:rPr>
                        <w:t>macrocephalus</w:t>
                      </w:r>
                      <w:proofErr w:type="spellEnd"/>
                      <w:r w:rsidR="00E956D9">
                        <w:rPr>
                          <w:color w:val="000000"/>
                          <w:lang w:val="es-ES"/>
                        </w:rPr>
                        <w:t>) del Pacífico tropical este</w:t>
                      </w:r>
                      <w:r w:rsidRPr="00976C41">
                        <w:rPr>
                          <w:color w:val="000000"/>
                          <w:lang w:val="es-ES"/>
                        </w:rPr>
                        <w:t>*, de conformidad con el proceso descrito en la Resolución 12.28 (Rev. COP14).</w:t>
                      </w:r>
                    </w:p>
                  </w:txbxContent>
                </v:textbox>
                <w10:wrap type="square" anchorx="margin" anchory="margin"/>
              </v:rect>
            </w:pict>
          </mc:Fallback>
        </mc:AlternateContent>
      </w:r>
    </w:p>
    <w:p w14:paraId="2247BC03" w14:textId="3A362192" w:rsidR="009D1E95" w:rsidRPr="0016650E" w:rsidRDefault="009D1E95" w:rsidP="005F2497">
      <w:pPr>
        <w:widowControl w:val="0"/>
        <w:spacing w:after="0" w:line="240" w:lineRule="auto"/>
        <w:rPr>
          <w:rFonts w:eastAsia="Calibri"/>
          <w:lang w:val="es-ES"/>
        </w:rPr>
      </w:pPr>
    </w:p>
    <w:p w14:paraId="35048958" w14:textId="5EF72D14" w:rsidR="009D1E95" w:rsidRPr="0016650E" w:rsidRDefault="009D1E95" w:rsidP="005F2497">
      <w:pPr>
        <w:widowControl w:val="0"/>
        <w:spacing w:after="0" w:line="240" w:lineRule="auto"/>
        <w:rPr>
          <w:lang w:val="es-ES"/>
        </w:rPr>
      </w:pPr>
    </w:p>
    <w:p w14:paraId="0A15CF09" w14:textId="4A3EFC35" w:rsidR="009D1E95" w:rsidRPr="0016650E" w:rsidRDefault="009D1E95" w:rsidP="005F2497">
      <w:pPr>
        <w:widowControl w:val="0"/>
        <w:spacing w:after="0" w:line="240" w:lineRule="auto"/>
        <w:rPr>
          <w:lang w:val="es-ES"/>
        </w:rPr>
      </w:pPr>
    </w:p>
    <w:p w14:paraId="01B44C7D" w14:textId="777C2A7E" w:rsidR="009D1E95" w:rsidRPr="0016650E" w:rsidRDefault="009D1E95" w:rsidP="005F2497">
      <w:pPr>
        <w:widowControl w:val="0"/>
        <w:spacing w:after="0" w:line="240" w:lineRule="auto"/>
        <w:rPr>
          <w:lang w:val="es-ES"/>
        </w:rPr>
      </w:pPr>
    </w:p>
    <w:p w14:paraId="7CE6FE12" w14:textId="77777777" w:rsidR="009D1E95" w:rsidRPr="0016650E" w:rsidRDefault="009D1E95" w:rsidP="005F2497">
      <w:pPr>
        <w:widowControl w:val="0"/>
        <w:spacing w:after="0" w:line="240" w:lineRule="auto"/>
        <w:rPr>
          <w:lang w:val="es-ES"/>
        </w:rPr>
      </w:pPr>
    </w:p>
    <w:p w14:paraId="44ADEE41" w14:textId="77777777" w:rsidR="009D1E95" w:rsidRPr="0016650E" w:rsidRDefault="009D1E95" w:rsidP="005F2497">
      <w:pPr>
        <w:widowControl w:val="0"/>
        <w:spacing w:after="0" w:line="240" w:lineRule="auto"/>
        <w:rPr>
          <w:lang w:val="es-ES"/>
        </w:rPr>
      </w:pPr>
    </w:p>
    <w:p w14:paraId="5F9A0BCD" w14:textId="77777777" w:rsidR="009D1E95" w:rsidRPr="0016650E" w:rsidRDefault="009D1E95" w:rsidP="005F2497">
      <w:pPr>
        <w:widowControl w:val="0"/>
        <w:spacing w:after="0" w:line="240" w:lineRule="auto"/>
        <w:rPr>
          <w:lang w:val="es-ES"/>
        </w:rPr>
      </w:pPr>
    </w:p>
    <w:p w14:paraId="33C3AFA9" w14:textId="77777777" w:rsidR="009D1E95" w:rsidRPr="0016650E" w:rsidRDefault="009D1E95" w:rsidP="005F2497">
      <w:pPr>
        <w:widowControl w:val="0"/>
        <w:spacing w:after="0" w:line="240" w:lineRule="auto"/>
        <w:rPr>
          <w:lang w:val="es-ES"/>
        </w:rPr>
      </w:pPr>
    </w:p>
    <w:p w14:paraId="7536A75B" w14:textId="77777777" w:rsidR="009D1E95" w:rsidRPr="0016650E" w:rsidRDefault="009D1E95" w:rsidP="005F2497">
      <w:pPr>
        <w:widowControl w:val="0"/>
        <w:spacing w:after="0" w:line="240" w:lineRule="auto"/>
        <w:rPr>
          <w:lang w:val="es-ES"/>
        </w:rPr>
      </w:pPr>
    </w:p>
    <w:p w14:paraId="4CBF3A68" w14:textId="77777777" w:rsidR="009D1E95" w:rsidRPr="0016650E" w:rsidRDefault="009D1E95" w:rsidP="005F2497">
      <w:pPr>
        <w:widowControl w:val="0"/>
        <w:spacing w:after="0" w:line="240" w:lineRule="auto"/>
        <w:rPr>
          <w:lang w:val="es-ES"/>
        </w:rPr>
      </w:pPr>
    </w:p>
    <w:p w14:paraId="5F30746E" w14:textId="77777777" w:rsidR="009D1E95" w:rsidRPr="0016650E" w:rsidRDefault="009D1E95" w:rsidP="005F2497">
      <w:pPr>
        <w:widowControl w:val="0"/>
        <w:spacing w:after="0" w:line="240" w:lineRule="auto"/>
        <w:rPr>
          <w:lang w:val="es-ES"/>
        </w:rPr>
      </w:pPr>
    </w:p>
    <w:p w14:paraId="60EF9931" w14:textId="77777777" w:rsidR="009D1E95" w:rsidRPr="0016650E" w:rsidRDefault="009D1E95" w:rsidP="005F2497">
      <w:pPr>
        <w:widowControl w:val="0"/>
        <w:spacing w:after="0" w:line="240" w:lineRule="auto"/>
        <w:rPr>
          <w:lang w:val="es-ES"/>
        </w:rPr>
      </w:pPr>
    </w:p>
    <w:p w14:paraId="62D4E8F5" w14:textId="77777777" w:rsidR="009D1E95" w:rsidRPr="0016650E" w:rsidRDefault="009D1E95" w:rsidP="005F2497">
      <w:pPr>
        <w:widowControl w:val="0"/>
        <w:spacing w:after="0" w:line="240" w:lineRule="auto"/>
        <w:rPr>
          <w:lang w:val="es-ES"/>
        </w:rPr>
      </w:pPr>
    </w:p>
    <w:p w14:paraId="1CF9D805" w14:textId="77777777" w:rsidR="009D1E95" w:rsidRPr="0016650E" w:rsidRDefault="009D1E95" w:rsidP="005F2497">
      <w:pPr>
        <w:widowControl w:val="0"/>
        <w:spacing w:after="0" w:line="240" w:lineRule="auto"/>
        <w:rPr>
          <w:lang w:val="es-ES"/>
        </w:rPr>
      </w:pPr>
    </w:p>
    <w:p w14:paraId="37E10990" w14:textId="77777777" w:rsidR="009D1E95" w:rsidRPr="0016650E" w:rsidRDefault="009D1E95" w:rsidP="005F2497">
      <w:pPr>
        <w:widowControl w:val="0"/>
        <w:spacing w:after="0" w:line="240" w:lineRule="auto"/>
        <w:rPr>
          <w:lang w:val="es-ES"/>
        </w:rPr>
      </w:pPr>
    </w:p>
    <w:p w14:paraId="4F38B9AB" w14:textId="77777777" w:rsidR="009D1E95" w:rsidRPr="0016650E" w:rsidRDefault="009D1E95" w:rsidP="005F2497">
      <w:pPr>
        <w:widowControl w:val="0"/>
        <w:spacing w:after="0" w:line="240" w:lineRule="auto"/>
        <w:rPr>
          <w:lang w:val="es-ES"/>
        </w:rPr>
      </w:pPr>
    </w:p>
    <w:p w14:paraId="4E37C597" w14:textId="77777777" w:rsidR="009D1E95" w:rsidRPr="0016650E" w:rsidRDefault="009D1E95" w:rsidP="005F2497">
      <w:pPr>
        <w:widowControl w:val="0"/>
        <w:spacing w:after="0" w:line="240" w:lineRule="auto"/>
        <w:rPr>
          <w:lang w:val="es-ES"/>
        </w:rPr>
      </w:pPr>
    </w:p>
    <w:p w14:paraId="4CA3FDFB" w14:textId="77777777" w:rsidR="009D1E95" w:rsidRPr="0016650E" w:rsidRDefault="009D1E95" w:rsidP="005F2497">
      <w:pPr>
        <w:widowControl w:val="0"/>
        <w:spacing w:after="0" w:line="240" w:lineRule="auto"/>
        <w:rPr>
          <w:lang w:val="es-ES"/>
        </w:rPr>
      </w:pPr>
    </w:p>
    <w:p w14:paraId="4A537501" w14:textId="77777777" w:rsidR="009D1E95" w:rsidRPr="0016650E" w:rsidRDefault="009D1E95" w:rsidP="005F2497">
      <w:pPr>
        <w:widowControl w:val="0"/>
        <w:tabs>
          <w:tab w:val="left" w:pos="7245"/>
        </w:tabs>
        <w:spacing w:after="0" w:line="240" w:lineRule="auto"/>
        <w:rPr>
          <w:lang w:val="es-ES"/>
        </w:rPr>
      </w:pPr>
    </w:p>
    <w:p w14:paraId="7EBC73A3" w14:textId="77777777" w:rsidR="009D1E95" w:rsidRPr="0016650E" w:rsidRDefault="009D1E95" w:rsidP="005F2497">
      <w:pPr>
        <w:widowControl w:val="0"/>
        <w:spacing w:after="0" w:line="240" w:lineRule="auto"/>
        <w:rPr>
          <w:lang w:val="es-ES"/>
        </w:rPr>
      </w:pPr>
    </w:p>
    <w:p w14:paraId="1EAD30F9" w14:textId="77777777" w:rsidR="009D1E95" w:rsidRPr="0016650E" w:rsidRDefault="009D1E95" w:rsidP="005F2497">
      <w:pPr>
        <w:spacing w:after="0" w:line="240" w:lineRule="auto"/>
        <w:rPr>
          <w:lang w:val="es-ES"/>
        </w:rPr>
      </w:pPr>
    </w:p>
    <w:p w14:paraId="753C8490" w14:textId="77777777" w:rsidR="009D1E95" w:rsidRPr="0016650E" w:rsidRDefault="009D1E95" w:rsidP="005F2497">
      <w:pPr>
        <w:spacing w:after="0" w:line="240" w:lineRule="auto"/>
        <w:rPr>
          <w:lang w:val="es-ES"/>
        </w:rPr>
      </w:pPr>
    </w:p>
    <w:p w14:paraId="2DB68CCA" w14:textId="77777777" w:rsidR="009D1E95" w:rsidRPr="0016650E" w:rsidRDefault="009D1E95" w:rsidP="005F2497">
      <w:pPr>
        <w:spacing w:after="0" w:line="240" w:lineRule="auto"/>
        <w:rPr>
          <w:lang w:val="es-ES"/>
        </w:rPr>
      </w:pPr>
    </w:p>
    <w:p w14:paraId="4F43DA41" w14:textId="77777777" w:rsidR="009D1E95" w:rsidRPr="0016650E" w:rsidRDefault="009D1E95" w:rsidP="005F2497">
      <w:pPr>
        <w:spacing w:after="0" w:line="240" w:lineRule="auto"/>
        <w:rPr>
          <w:lang w:val="es-ES"/>
        </w:rPr>
      </w:pPr>
    </w:p>
    <w:p w14:paraId="7918C447" w14:textId="77777777" w:rsidR="009D1E95" w:rsidRPr="0016650E" w:rsidRDefault="009D1E95" w:rsidP="005F2497">
      <w:pPr>
        <w:spacing w:after="0" w:line="240" w:lineRule="auto"/>
        <w:rPr>
          <w:lang w:val="es-ES"/>
        </w:rPr>
      </w:pPr>
    </w:p>
    <w:p w14:paraId="462EE1BC" w14:textId="77777777" w:rsidR="009D1E95" w:rsidRPr="0016650E" w:rsidRDefault="009D1E95" w:rsidP="005F2497">
      <w:pPr>
        <w:spacing w:after="0" w:line="240" w:lineRule="auto"/>
        <w:rPr>
          <w:lang w:val="es-ES"/>
        </w:rPr>
      </w:pPr>
    </w:p>
    <w:p w14:paraId="0F96D293" w14:textId="77777777" w:rsidR="009D1E95" w:rsidRPr="0016650E" w:rsidRDefault="009D1E95" w:rsidP="005F2497">
      <w:pPr>
        <w:spacing w:after="0" w:line="240" w:lineRule="auto"/>
        <w:rPr>
          <w:lang w:val="es-ES"/>
        </w:rPr>
      </w:pPr>
    </w:p>
    <w:p w14:paraId="28190CBF" w14:textId="77777777" w:rsidR="009D1E95" w:rsidRPr="0016650E" w:rsidRDefault="009D1E95" w:rsidP="005F2497">
      <w:pPr>
        <w:spacing w:after="0" w:line="240" w:lineRule="auto"/>
        <w:rPr>
          <w:lang w:val="es-ES"/>
        </w:rPr>
      </w:pPr>
    </w:p>
    <w:p w14:paraId="216E5FE2" w14:textId="77777777" w:rsidR="0017113B" w:rsidRPr="0016650E" w:rsidRDefault="0017113B" w:rsidP="005F2497">
      <w:pPr>
        <w:spacing w:after="0" w:line="240" w:lineRule="auto"/>
        <w:rPr>
          <w:lang w:val="es-ES"/>
        </w:rPr>
      </w:pPr>
    </w:p>
    <w:p w14:paraId="022E3A21" w14:textId="77777777" w:rsidR="0017113B" w:rsidRPr="0016650E" w:rsidRDefault="0017113B" w:rsidP="005F2497">
      <w:pPr>
        <w:spacing w:after="0" w:line="240" w:lineRule="auto"/>
        <w:rPr>
          <w:lang w:val="es-ES"/>
        </w:rPr>
      </w:pPr>
    </w:p>
    <w:p w14:paraId="2D98D118" w14:textId="77777777" w:rsidR="0017113B" w:rsidRPr="0016650E" w:rsidRDefault="0017113B" w:rsidP="005F2497">
      <w:pPr>
        <w:spacing w:after="0" w:line="240" w:lineRule="auto"/>
        <w:rPr>
          <w:lang w:val="es-ES"/>
        </w:rPr>
      </w:pPr>
    </w:p>
    <w:p w14:paraId="498CFF73" w14:textId="77777777" w:rsidR="0017113B" w:rsidRDefault="0017113B" w:rsidP="005F2497">
      <w:pPr>
        <w:spacing w:after="0" w:line="240" w:lineRule="auto"/>
        <w:rPr>
          <w:lang w:val="es-ES"/>
        </w:rPr>
      </w:pPr>
    </w:p>
    <w:p w14:paraId="4317A1C3" w14:textId="77777777" w:rsidR="0024088F" w:rsidRPr="0016650E" w:rsidRDefault="0024088F" w:rsidP="005F2497">
      <w:pPr>
        <w:spacing w:after="0" w:line="240" w:lineRule="auto"/>
        <w:rPr>
          <w:lang w:val="es-ES"/>
        </w:rPr>
      </w:pPr>
    </w:p>
    <w:p w14:paraId="640ACFD4" w14:textId="57878BC2" w:rsidR="009D1E95" w:rsidRPr="0024088F" w:rsidRDefault="0024088F" w:rsidP="005F2497">
      <w:pPr>
        <w:widowControl w:val="0"/>
        <w:spacing w:after="0" w:line="240" w:lineRule="auto"/>
        <w:jc w:val="both"/>
        <w:rPr>
          <w:sz w:val="20"/>
          <w:szCs w:val="20"/>
          <w:lang w:val="es-ES"/>
        </w:rPr>
        <w:sectPr w:rsidR="009D1E95" w:rsidRPr="0024088F" w:rsidSect="006836B3">
          <w:headerReference w:type="default" r:id="rId11"/>
          <w:footerReference w:type="default" r:id="rId12"/>
          <w:headerReference w:type="first" r:id="rId13"/>
          <w:footerReference w:type="first" r:id="rId14"/>
          <w:type w:val="continuous"/>
          <w:pgSz w:w="11905" w:h="16837"/>
          <w:pgMar w:top="1440" w:right="1440" w:bottom="1440" w:left="1440" w:header="720" w:footer="432" w:gutter="0"/>
          <w:pgNumType w:start="1"/>
          <w:cols w:space="720"/>
          <w:titlePg/>
          <w:docGrid w:linePitch="299"/>
        </w:sectPr>
      </w:pPr>
      <w:r w:rsidRPr="00074B50">
        <w:rPr>
          <w:rFonts w:eastAsia="Times New Roman"/>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sz w:val="18"/>
          <w:szCs w:val="18"/>
          <w:lang w:val="es-ES"/>
        </w:rPr>
        <w:t>.</w:t>
      </w:r>
    </w:p>
    <w:p w14:paraId="0DD3ED0F" w14:textId="05BE147C" w:rsidR="009D1E95" w:rsidRPr="0016650E" w:rsidRDefault="007B0970" w:rsidP="005F2497">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rPr>
          <w:b/>
          <w:lang w:val="es-ES"/>
        </w:rPr>
      </w:pPr>
      <w:r w:rsidRPr="0016650E">
        <w:rPr>
          <w:b/>
          <w:lang w:val="es-ES"/>
        </w:rPr>
        <w:lastRenderedPageBreak/>
        <w:t xml:space="preserve">INFORME SOBRE LA APLICACIÓN DE LA ACCIÓN CONCERTADA </w:t>
      </w:r>
    </w:p>
    <w:p w14:paraId="163A014A" w14:textId="124BB774" w:rsidR="009D1E95" w:rsidRPr="0016650E" w:rsidRDefault="007B0970" w:rsidP="005F2497">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rPr>
          <w:b/>
          <w:lang w:val="es-ES"/>
        </w:rPr>
      </w:pPr>
      <w:r w:rsidRPr="0016650E">
        <w:rPr>
          <w:b/>
          <w:lang w:val="es-ES"/>
        </w:rPr>
        <w:t>PARA EL CACHALOTE (</w:t>
      </w:r>
      <w:proofErr w:type="spellStart"/>
      <w:r w:rsidRPr="0016650E">
        <w:rPr>
          <w:b/>
          <w:i/>
          <w:lang w:val="es-ES"/>
        </w:rPr>
        <w:t>Physeter</w:t>
      </w:r>
      <w:proofErr w:type="spellEnd"/>
      <w:r w:rsidRPr="0016650E">
        <w:rPr>
          <w:b/>
          <w:i/>
          <w:lang w:val="es-ES"/>
        </w:rPr>
        <w:t xml:space="preserve"> </w:t>
      </w:r>
      <w:proofErr w:type="spellStart"/>
      <w:r w:rsidRPr="0016650E">
        <w:rPr>
          <w:b/>
          <w:i/>
          <w:lang w:val="es-ES"/>
        </w:rPr>
        <w:t>macrocephalus</w:t>
      </w:r>
      <w:proofErr w:type="spellEnd"/>
      <w:r w:rsidRPr="0016650E">
        <w:rPr>
          <w:b/>
          <w:lang w:val="es-ES"/>
        </w:rPr>
        <w:t>)</w:t>
      </w:r>
      <w:r w:rsidR="00E956D9" w:rsidRPr="0016650E">
        <w:rPr>
          <w:b/>
          <w:lang w:val="es-ES"/>
        </w:rPr>
        <w:t xml:space="preserve"> </w:t>
      </w:r>
      <w:r w:rsidR="00E956D9" w:rsidRPr="0016650E">
        <w:rPr>
          <w:b/>
          <w:lang w:val="es-ES"/>
        </w:rPr>
        <w:br/>
        <w:t>DEL PACÍFICO TROPICAL ESTE</w:t>
      </w:r>
    </w:p>
    <w:p w14:paraId="4A502722" w14:textId="73A05B09" w:rsidR="009D1E95" w:rsidRPr="0016650E" w:rsidRDefault="007B0970" w:rsidP="005F2497">
      <w:pPr>
        <w:spacing w:after="0" w:line="240" w:lineRule="auto"/>
        <w:jc w:val="center"/>
        <w:rPr>
          <w:lang w:val="es-ES"/>
        </w:rPr>
      </w:pPr>
      <w:r w:rsidRPr="0016650E">
        <w:rPr>
          <w:lang w:val="es-ES"/>
        </w:rPr>
        <w:t>UNEP/CMS/ACCIÓN CONCERTADA 12.2 (Rev.COP14)</w:t>
      </w:r>
    </w:p>
    <w:p w14:paraId="7FFA267A" w14:textId="77777777" w:rsidR="009D1E95" w:rsidRPr="0016650E" w:rsidRDefault="009D1E95" w:rsidP="005F2497">
      <w:pPr>
        <w:spacing w:after="0" w:line="240" w:lineRule="auto"/>
        <w:rPr>
          <w:lang w:val="es-ES"/>
        </w:rPr>
      </w:pPr>
    </w:p>
    <w:p w14:paraId="3AA32270" w14:textId="77777777" w:rsidR="009D1E95" w:rsidRPr="0016650E" w:rsidRDefault="009D1E95" w:rsidP="00812411">
      <w:pPr>
        <w:spacing w:after="0" w:line="240" w:lineRule="auto"/>
        <w:jc w:val="both"/>
        <w:rPr>
          <w:lang w:val="es-ES"/>
        </w:rPr>
      </w:pPr>
    </w:p>
    <w:p w14:paraId="1F6CEFF1" w14:textId="77777777" w:rsidR="009D1E95" w:rsidRPr="0016650E" w:rsidRDefault="007B0970" w:rsidP="006E03F6">
      <w:pPr>
        <w:spacing w:after="0" w:line="240" w:lineRule="auto"/>
        <w:jc w:val="both"/>
        <w:rPr>
          <w:b/>
          <w:bCs/>
          <w:lang w:val="es-ES"/>
        </w:rPr>
      </w:pPr>
      <w:r w:rsidRPr="0016650E">
        <w:rPr>
          <w:b/>
          <w:bCs/>
          <w:lang w:val="es-ES"/>
        </w:rPr>
        <w:t>ACCIÓN CONCERTADA</w:t>
      </w:r>
    </w:p>
    <w:p w14:paraId="313DAE71" w14:textId="77777777" w:rsidR="009D1E95" w:rsidRPr="0016650E" w:rsidRDefault="009D1E95" w:rsidP="00812411">
      <w:pPr>
        <w:spacing w:after="0" w:line="240" w:lineRule="auto"/>
        <w:jc w:val="both"/>
        <w:rPr>
          <w:lang w:val="es-ES"/>
        </w:rPr>
      </w:pPr>
    </w:p>
    <w:p w14:paraId="265A003E" w14:textId="4D613E79" w:rsidR="009D1E95" w:rsidRPr="0016650E" w:rsidRDefault="007B0970" w:rsidP="00812411">
      <w:pPr>
        <w:spacing w:after="0" w:line="240" w:lineRule="auto"/>
        <w:jc w:val="both"/>
        <w:rPr>
          <w:lang w:val="es-ES"/>
        </w:rPr>
      </w:pPr>
      <w:r w:rsidRPr="0016650E">
        <w:rPr>
          <w:lang w:val="es-ES"/>
        </w:rPr>
        <w:t>Título: Acción Concertada para el cachalote (</w:t>
      </w:r>
      <w:proofErr w:type="spellStart"/>
      <w:r w:rsidRPr="0016650E">
        <w:rPr>
          <w:i/>
          <w:lang w:val="es-ES"/>
        </w:rPr>
        <w:t>Physeter</w:t>
      </w:r>
      <w:proofErr w:type="spellEnd"/>
      <w:r w:rsidRPr="0016650E">
        <w:rPr>
          <w:i/>
          <w:lang w:val="es-ES"/>
        </w:rPr>
        <w:t xml:space="preserve"> </w:t>
      </w:r>
      <w:proofErr w:type="spellStart"/>
      <w:r w:rsidRPr="0016650E">
        <w:rPr>
          <w:i/>
          <w:lang w:val="es-ES"/>
        </w:rPr>
        <w:t>macrocephalus</w:t>
      </w:r>
      <w:proofErr w:type="spellEnd"/>
      <w:r w:rsidRPr="0016650E">
        <w:rPr>
          <w:lang w:val="es-ES"/>
        </w:rPr>
        <w:t xml:space="preserve">) del Pacífico tropical </w:t>
      </w:r>
      <w:r w:rsidR="00E956D9" w:rsidRPr="0016650E">
        <w:rPr>
          <w:lang w:val="es-ES"/>
        </w:rPr>
        <w:t>este</w:t>
      </w:r>
    </w:p>
    <w:p w14:paraId="65C8002C" w14:textId="77777777" w:rsidR="009D1E95" w:rsidRPr="0016650E" w:rsidRDefault="009D1E95" w:rsidP="00812411">
      <w:pPr>
        <w:spacing w:after="0" w:line="240" w:lineRule="auto"/>
        <w:jc w:val="both"/>
        <w:rPr>
          <w:lang w:val="es-ES"/>
        </w:rPr>
      </w:pPr>
    </w:p>
    <w:p w14:paraId="44BB73EC" w14:textId="13FAFE80" w:rsidR="009D1E95" w:rsidRPr="0016650E" w:rsidRDefault="007B0970" w:rsidP="00812411">
      <w:pPr>
        <w:spacing w:after="0" w:line="240" w:lineRule="auto"/>
        <w:jc w:val="both"/>
        <w:rPr>
          <w:u w:val="single"/>
          <w:lang w:val="es-ES"/>
        </w:rPr>
      </w:pPr>
      <w:r w:rsidRPr="0016650E">
        <w:rPr>
          <w:lang w:val="es-ES"/>
        </w:rPr>
        <w:t>Número de documento:</w:t>
      </w:r>
      <w:r w:rsidRPr="0016650E">
        <w:rPr>
          <w:i/>
          <w:lang w:val="es-ES"/>
        </w:rPr>
        <w:t xml:space="preserve"> </w:t>
      </w:r>
      <w:hyperlink r:id="rId15">
        <w:r w:rsidR="009D1E95" w:rsidRPr="0016650E">
          <w:rPr>
            <w:color w:val="1155CC"/>
            <w:u w:val="single"/>
            <w:lang w:val="es-ES"/>
          </w:rPr>
          <w:t>UNEP/CMS/Acción Concertada 12.2 (Rev.COP14)</w:t>
        </w:r>
      </w:hyperlink>
    </w:p>
    <w:p w14:paraId="73A1ED47" w14:textId="77777777" w:rsidR="00A41484" w:rsidRPr="0016650E" w:rsidRDefault="00A41484" w:rsidP="00812411">
      <w:pPr>
        <w:tabs>
          <w:tab w:val="left" w:pos="5040"/>
          <w:tab w:val="left" w:pos="5760"/>
          <w:tab w:val="left" w:pos="6008"/>
          <w:tab w:val="left" w:pos="6480"/>
          <w:tab w:val="left" w:pos="7200"/>
          <w:tab w:val="left" w:pos="7920"/>
          <w:tab w:val="left" w:pos="8640"/>
        </w:tabs>
        <w:spacing w:after="0" w:line="240" w:lineRule="auto"/>
        <w:jc w:val="both"/>
        <w:rPr>
          <w:lang w:val="es-ES"/>
        </w:rPr>
      </w:pPr>
    </w:p>
    <w:p w14:paraId="4B2A477B" w14:textId="213A8B22" w:rsidR="009D1E95" w:rsidRPr="0016650E" w:rsidRDefault="007B0970" w:rsidP="006E03F6">
      <w:pPr>
        <w:spacing w:after="0" w:line="240" w:lineRule="auto"/>
        <w:jc w:val="both"/>
        <w:rPr>
          <w:b/>
          <w:bCs/>
          <w:lang w:val="es-ES"/>
        </w:rPr>
      </w:pPr>
      <w:r w:rsidRPr="0016650E">
        <w:rPr>
          <w:b/>
          <w:bCs/>
          <w:lang w:val="es-ES"/>
        </w:rPr>
        <w:t>GOBIERNO u ORGANIZACIÓN QUE PRESENTA EL INFORME</w:t>
      </w:r>
    </w:p>
    <w:p w14:paraId="30051266" w14:textId="77777777" w:rsidR="009D1E95" w:rsidRPr="0016650E" w:rsidRDefault="009D1E95" w:rsidP="00812411">
      <w:pPr>
        <w:spacing w:after="0" w:line="240" w:lineRule="auto"/>
        <w:jc w:val="both"/>
        <w:rPr>
          <w:lang w:val="es-ES"/>
        </w:rPr>
      </w:pPr>
    </w:p>
    <w:p w14:paraId="4D9FAF4A" w14:textId="77777777" w:rsidR="009D1E95" w:rsidRPr="0016650E" w:rsidRDefault="007B0970" w:rsidP="00812411">
      <w:pPr>
        <w:tabs>
          <w:tab w:val="left" w:pos="5040"/>
          <w:tab w:val="left" w:pos="5760"/>
          <w:tab w:val="left" w:pos="6008"/>
          <w:tab w:val="left" w:pos="6480"/>
          <w:tab w:val="left" w:pos="7200"/>
          <w:tab w:val="left" w:pos="7920"/>
          <w:tab w:val="left" w:pos="8640"/>
        </w:tabs>
        <w:spacing w:after="0" w:line="240" w:lineRule="auto"/>
        <w:jc w:val="both"/>
        <w:rPr>
          <w:lang w:val="es-ES"/>
        </w:rPr>
      </w:pPr>
      <w:r w:rsidRPr="0016650E">
        <w:rPr>
          <w:lang w:val="es-ES"/>
        </w:rPr>
        <w:t>Red Cachalotes del Pacífico:</w:t>
      </w:r>
    </w:p>
    <w:p w14:paraId="51DD4DC3" w14:textId="77777777" w:rsidR="009D1E95" w:rsidRPr="0016650E" w:rsidRDefault="009D1E95" w:rsidP="00812411">
      <w:pPr>
        <w:spacing w:after="0" w:line="240" w:lineRule="auto"/>
        <w:jc w:val="both"/>
        <w:rPr>
          <w:lang w:val="es-ES"/>
        </w:rPr>
      </w:pPr>
    </w:p>
    <w:p w14:paraId="01618433" w14:textId="77777777" w:rsidR="002411D7" w:rsidRPr="0016650E" w:rsidRDefault="002411D7" w:rsidP="00812411">
      <w:pPr>
        <w:spacing w:after="0" w:line="240" w:lineRule="auto"/>
        <w:jc w:val="both"/>
        <w:rPr>
          <w:lang w:val="es-ES"/>
        </w:rPr>
      </w:pPr>
      <w:r w:rsidRPr="006E03F6">
        <w:rPr>
          <w:lang w:val="es-ES"/>
        </w:rPr>
        <w:t>Eguiguren A</w:t>
      </w:r>
      <w:r w:rsidRPr="006E03F6">
        <w:rPr>
          <w:rStyle w:val="FootnoteReference"/>
          <w:lang w:val="es-ES"/>
        </w:rPr>
        <w:footnoteReference w:id="1"/>
      </w:r>
      <w:r w:rsidRPr="006E03F6">
        <w:rPr>
          <w:lang w:val="es-ES"/>
        </w:rPr>
        <w:t xml:space="preserve">*, </w:t>
      </w:r>
      <w:proofErr w:type="spellStart"/>
      <w:r w:rsidRPr="006E03F6">
        <w:rPr>
          <w:lang w:val="es-ES"/>
        </w:rPr>
        <w:t>Avila</w:t>
      </w:r>
      <w:proofErr w:type="spellEnd"/>
      <w:r w:rsidRPr="006E03F6">
        <w:rPr>
          <w:lang w:val="es-ES"/>
        </w:rPr>
        <w:t xml:space="preserve"> IC</w:t>
      </w:r>
      <w:r w:rsidRPr="006E03F6">
        <w:rPr>
          <w:rStyle w:val="FootnoteReference"/>
          <w:lang w:val="es-ES"/>
        </w:rPr>
        <w:footnoteReference w:id="2"/>
      </w:r>
      <w:r w:rsidRPr="006E03F6">
        <w:rPr>
          <w:rStyle w:val="FootnoteReference"/>
          <w:lang w:val="es-ES"/>
        </w:rPr>
        <w:footnoteReference w:id="3"/>
      </w:r>
      <w:r w:rsidRPr="006E03F6">
        <w:rPr>
          <w:lang w:val="es-ES"/>
        </w:rPr>
        <w:t>, Oliver M, Rosero P</w:t>
      </w:r>
      <w:r w:rsidRPr="006E03F6">
        <w:rPr>
          <w:rStyle w:val="FootnoteReference"/>
          <w:lang w:val="es-ES"/>
        </w:rPr>
        <w:footnoteReference w:id="4"/>
      </w:r>
      <w:r w:rsidRPr="006E03F6">
        <w:rPr>
          <w:lang w:val="es-ES"/>
        </w:rPr>
        <w:t>, Pérez-Puig H</w:t>
      </w:r>
      <w:r w:rsidRPr="00046495">
        <w:rPr>
          <w:rStyle w:val="FootnoteReference"/>
          <w:lang w:val="es-ES"/>
        </w:rPr>
        <w:footnoteReference w:id="5"/>
      </w:r>
      <w:r w:rsidRPr="006E03F6">
        <w:rPr>
          <w:lang w:val="es-ES"/>
        </w:rPr>
        <w:t>, Toro F</w:t>
      </w:r>
      <w:r w:rsidRPr="00046495">
        <w:rPr>
          <w:rStyle w:val="FootnoteReference"/>
          <w:lang w:val="es-ES"/>
        </w:rPr>
        <w:footnoteReference w:id="6"/>
      </w:r>
      <w:r w:rsidRPr="00046495">
        <w:rPr>
          <w:rStyle w:val="FootnoteReference"/>
          <w:lang w:val="es-ES"/>
        </w:rPr>
        <w:footnoteReference w:id="7"/>
      </w:r>
      <w:r w:rsidRPr="006E03F6">
        <w:rPr>
          <w:lang w:val="es-ES"/>
        </w:rPr>
        <w:t>, Hersh TA</w:t>
      </w:r>
      <w:r w:rsidRPr="00046495">
        <w:rPr>
          <w:rStyle w:val="FootnoteReference"/>
          <w:lang w:val="es-ES"/>
        </w:rPr>
        <w:footnoteReference w:id="8"/>
      </w:r>
      <w:r w:rsidRPr="00046495">
        <w:rPr>
          <w:rStyle w:val="FootnoteReference"/>
          <w:lang w:val="es-ES"/>
        </w:rPr>
        <w:footnoteReference w:id="9"/>
      </w:r>
      <w:r w:rsidRPr="006E03F6">
        <w:rPr>
          <w:lang w:val="es-ES"/>
        </w:rPr>
        <w:t>, Rojas-Cerda C</w:t>
      </w:r>
      <w:r w:rsidRPr="00046495">
        <w:rPr>
          <w:rStyle w:val="FootnoteReference"/>
          <w:lang w:val="es-ES"/>
        </w:rPr>
        <w:footnoteReference w:id="10"/>
      </w:r>
      <w:r w:rsidRPr="00046495">
        <w:rPr>
          <w:rStyle w:val="FootnoteReference"/>
          <w:lang w:val="es-ES"/>
        </w:rPr>
        <w:footnoteReference w:id="11"/>
      </w:r>
      <w:r w:rsidRPr="006E03F6">
        <w:rPr>
          <w:lang w:val="es-ES"/>
        </w:rPr>
        <w:t xml:space="preserve">, </w:t>
      </w:r>
      <w:proofErr w:type="spellStart"/>
      <w:r w:rsidRPr="006E03F6">
        <w:rPr>
          <w:lang w:val="es-ES"/>
        </w:rPr>
        <w:t>Mesnick</w:t>
      </w:r>
      <w:proofErr w:type="spellEnd"/>
      <w:r w:rsidRPr="006E03F6">
        <w:rPr>
          <w:lang w:val="es-ES"/>
        </w:rPr>
        <w:t xml:space="preserve"> S</w:t>
      </w:r>
      <w:r w:rsidRPr="00046495">
        <w:rPr>
          <w:rStyle w:val="FootnoteReference"/>
          <w:lang w:val="es-ES"/>
        </w:rPr>
        <w:footnoteReference w:id="12"/>
      </w:r>
      <w:r w:rsidRPr="006E03F6">
        <w:rPr>
          <w:lang w:val="es-ES"/>
        </w:rPr>
        <w:t xml:space="preserve">, Clarke CMK1, Whitehead H, Cantor M, </w:t>
      </w:r>
      <w:proofErr w:type="spellStart"/>
      <w:r w:rsidRPr="006E03F6">
        <w:rPr>
          <w:lang w:val="es-ES"/>
        </w:rPr>
        <w:t>Alava</w:t>
      </w:r>
      <w:proofErr w:type="spellEnd"/>
      <w:r w:rsidRPr="006E03F6">
        <w:rPr>
          <w:lang w:val="es-ES"/>
        </w:rPr>
        <w:t xml:space="preserve"> JJ</w:t>
      </w:r>
      <w:r w:rsidRPr="00046495">
        <w:rPr>
          <w:rStyle w:val="FootnoteReference"/>
          <w:lang w:val="es-ES"/>
        </w:rPr>
        <w:footnoteReference w:id="13"/>
      </w:r>
      <w:r w:rsidRPr="00046495">
        <w:rPr>
          <w:rStyle w:val="FootnoteReference"/>
          <w:lang w:val="es-ES"/>
        </w:rPr>
        <w:footnoteReference w:id="14"/>
      </w:r>
    </w:p>
    <w:p w14:paraId="31FD2348" w14:textId="77777777" w:rsidR="009D1E95" w:rsidRPr="0016650E" w:rsidRDefault="009D1E95" w:rsidP="00812411">
      <w:pPr>
        <w:spacing w:after="0" w:line="240" w:lineRule="auto"/>
        <w:jc w:val="both"/>
        <w:rPr>
          <w:lang w:val="es-ES"/>
        </w:rPr>
      </w:pPr>
    </w:p>
    <w:p w14:paraId="573F5B25" w14:textId="69D160E7" w:rsidR="009D1E95" w:rsidRPr="0016650E" w:rsidRDefault="007B0970" w:rsidP="00812411">
      <w:pPr>
        <w:numPr>
          <w:ilvl w:val="0"/>
          <w:numId w:val="3"/>
        </w:numPr>
        <w:spacing w:after="0" w:line="240" w:lineRule="auto"/>
        <w:ind w:left="540" w:hanging="540"/>
        <w:jc w:val="both"/>
        <w:rPr>
          <w:b/>
          <w:bCs/>
          <w:lang w:val="es-ES"/>
        </w:rPr>
      </w:pPr>
      <w:r w:rsidRPr="0016650E">
        <w:rPr>
          <w:b/>
          <w:bCs/>
          <w:lang w:val="es-ES"/>
        </w:rPr>
        <w:t>ESPECIE/POBLACIÓN OBJETIVO</w:t>
      </w:r>
    </w:p>
    <w:p w14:paraId="34987A0D" w14:textId="77777777" w:rsidR="009D1E95" w:rsidRPr="0016650E" w:rsidRDefault="009D1E95" w:rsidP="00812411">
      <w:pPr>
        <w:spacing w:after="0" w:line="240" w:lineRule="auto"/>
        <w:jc w:val="both"/>
        <w:rPr>
          <w:lang w:val="es-ES"/>
        </w:rPr>
      </w:pPr>
    </w:p>
    <w:p w14:paraId="588F15DE" w14:textId="77777777" w:rsidR="009D1E95" w:rsidRPr="0016650E" w:rsidRDefault="007B0970" w:rsidP="00812411">
      <w:pPr>
        <w:spacing w:after="80" w:line="240" w:lineRule="auto"/>
        <w:jc w:val="both"/>
        <w:rPr>
          <w:lang w:val="es-ES"/>
        </w:rPr>
      </w:pPr>
      <w:r w:rsidRPr="0016650E">
        <w:rPr>
          <w:lang w:val="es-ES"/>
        </w:rPr>
        <w:t xml:space="preserve">Clase: </w:t>
      </w:r>
      <w:proofErr w:type="spellStart"/>
      <w:r w:rsidRPr="0016650E">
        <w:rPr>
          <w:lang w:val="es-ES"/>
        </w:rPr>
        <w:t>Mammalia</w:t>
      </w:r>
      <w:proofErr w:type="spellEnd"/>
    </w:p>
    <w:p w14:paraId="0446DAFD" w14:textId="77777777" w:rsidR="009D1E95" w:rsidRPr="0016650E" w:rsidRDefault="007B0970" w:rsidP="00812411">
      <w:pPr>
        <w:spacing w:after="80" w:line="240" w:lineRule="auto"/>
        <w:jc w:val="both"/>
        <w:rPr>
          <w:lang w:val="es-ES"/>
        </w:rPr>
      </w:pPr>
      <w:r w:rsidRPr="0016650E">
        <w:rPr>
          <w:lang w:val="es-ES"/>
        </w:rPr>
        <w:t xml:space="preserve">Orden: </w:t>
      </w:r>
      <w:proofErr w:type="spellStart"/>
      <w:r w:rsidRPr="0016650E">
        <w:rPr>
          <w:lang w:val="es-ES"/>
        </w:rPr>
        <w:t>Artiodactyla</w:t>
      </w:r>
      <w:proofErr w:type="spellEnd"/>
    </w:p>
    <w:p w14:paraId="2D4BE09F" w14:textId="77777777" w:rsidR="009D1E95" w:rsidRPr="0016650E" w:rsidRDefault="007B0970" w:rsidP="00812411">
      <w:pPr>
        <w:spacing w:after="80" w:line="240" w:lineRule="auto"/>
        <w:jc w:val="both"/>
        <w:rPr>
          <w:lang w:val="es-ES"/>
        </w:rPr>
      </w:pPr>
      <w:r w:rsidRPr="0016650E">
        <w:rPr>
          <w:lang w:val="es-ES"/>
        </w:rPr>
        <w:t xml:space="preserve">Familia: </w:t>
      </w:r>
      <w:proofErr w:type="spellStart"/>
      <w:r w:rsidRPr="0016650E">
        <w:rPr>
          <w:lang w:val="es-ES"/>
        </w:rPr>
        <w:t>Physeteridae</w:t>
      </w:r>
      <w:proofErr w:type="spellEnd"/>
    </w:p>
    <w:p w14:paraId="52F4FCE4" w14:textId="77777777" w:rsidR="009D1E95" w:rsidRPr="0016650E" w:rsidRDefault="007B0970" w:rsidP="00812411">
      <w:pPr>
        <w:spacing w:after="80" w:line="240" w:lineRule="auto"/>
        <w:jc w:val="both"/>
        <w:rPr>
          <w:i/>
          <w:lang w:val="es-ES"/>
        </w:rPr>
      </w:pPr>
      <w:r w:rsidRPr="0016650E">
        <w:rPr>
          <w:lang w:val="es-ES"/>
        </w:rPr>
        <w:t xml:space="preserve">Género: </w:t>
      </w:r>
      <w:proofErr w:type="spellStart"/>
      <w:r w:rsidRPr="0016650E">
        <w:rPr>
          <w:i/>
          <w:lang w:val="es-ES"/>
        </w:rPr>
        <w:t>Physeter</w:t>
      </w:r>
      <w:proofErr w:type="spellEnd"/>
    </w:p>
    <w:p w14:paraId="1B969B76" w14:textId="77777777" w:rsidR="009D1E95" w:rsidRPr="0016650E" w:rsidRDefault="007B0970" w:rsidP="00812411">
      <w:pPr>
        <w:spacing w:after="80" w:line="240" w:lineRule="auto"/>
        <w:jc w:val="both"/>
        <w:rPr>
          <w:i/>
          <w:lang w:val="es-ES"/>
        </w:rPr>
      </w:pPr>
      <w:r w:rsidRPr="0016650E">
        <w:rPr>
          <w:lang w:val="es-ES"/>
        </w:rPr>
        <w:t xml:space="preserve">Especie: </w:t>
      </w:r>
      <w:proofErr w:type="spellStart"/>
      <w:r w:rsidRPr="0016650E">
        <w:rPr>
          <w:i/>
          <w:lang w:val="es-ES"/>
        </w:rPr>
        <w:t>Physeter</w:t>
      </w:r>
      <w:proofErr w:type="spellEnd"/>
      <w:r w:rsidRPr="0016650E">
        <w:rPr>
          <w:i/>
          <w:lang w:val="es-ES"/>
        </w:rPr>
        <w:t xml:space="preserve"> </w:t>
      </w:r>
      <w:proofErr w:type="spellStart"/>
      <w:r w:rsidRPr="0016650E">
        <w:rPr>
          <w:i/>
          <w:lang w:val="es-ES"/>
        </w:rPr>
        <w:t>macrocephalus</w:t>
      </w:r>
      <w:proofErr w:type="spellEnd"/>
    </w:p>
    <w:p w14:paraId="7BD6AF2B" w14:textId="77777777" w:rsidR="009D1E95" w:rsidRPr="0016650E" w:rsidRDefault="007B0970" w:rsidP="00812411">
      <w:pPr>
        <w:spacing w:after="0" w:line="240" w:lineRule="auto"/>
        <w:jc w:val="both"/>
        <w:rPr>
          <w:lang w:val="es-ES"/>
        </w:rPr>
      </w:pPr>
      <w:r w:rsidRPr="0016650E">
        <w:rPr>
          <w:lang w:val="es-ES"/>
        </w:rPr>
        <w:t>Población: clanes de cachalotes del Pacífico tropical oriental (PTO)</w:t>
      </w:r>
    </w:p>
    <w:p w14:paraId="760AF263" w14:textId="77777777" w:rsidR="009D1E95" w:rsidRPr="0016650E" w:rsidRDefault="009D1E95" w:rsidP="005F2497">
      <w:pPr>
        <w:tabs>
          <w:tab w:val="left" w:pos="5040"/>
          <w:tab w:val="left" w:pos="5760"/>
          <w:tab w:val="left" w:pos="6008"/>
          <w:tab w:val="left" w:pos="6480"/>
          <w:tab w:val="left" w:pos="7200"/>
          <w:tab w:val="left" w:pos="7920"/>
          <w:tab w:val="left" w:pos="8640"/>
        </w:tabs>
        <w:spacing w:after="0" w:line="240" w:lineRule="auto"/>
        <w:rPr>
          <w:lang w:val="es-ES"/>
        </w:rPr>
      </w:pPr>
    </w:p>
    <w:p w14:paraId="67D13C62" w14:textId="1EA93261" w:rsidR="009D1E95" w:rsidRPr="0016650E" w:rsidRDefault="007B0970" w:rsidP="005F2497">
      <w:pPr>
        <w:numPr>
          <w:ilvl w:val="0"/>
          <w:numId w:val="3"/>
        </w:numPr>
        <w:spacing w:after="0" w:line="240" w:lineRule="auto"/>
        <w:ind w:left="540" w:hanging="540"/>
        <w:rPr>
          <w:b/>
          <w:bCs/>
          <w:lang w:val="es-ES"/>
        </w:rPr>
      </w:pPr>
      <w:r w:rsidRPr="0016650E">
        <w:rPr>
          <w:b/>
          <w:bCs/>
          <w:lang w:val="es-ES"/>
        </w:rPr>
        <w:t xml:space="preserve">PROGRESO DE LAS ACTIVIDADES </w:t>
      </w:r>
    </w:p>
    <w:p w14:paraId="5340E8C2" w14:textId="77777777" w:rsidR="007F5C17" w:rsidRPr="0016650E" w:rsidRDefault="007F5C17" w:rsidP="005F2497">
      <w:pPr>
        <w:spacing w:after="0" w:line="240" w:lineRule="auto"/>
        <w:rPr>
          <w:lang w:val="es-ES"/>
        </w:rPr>
      </w:pPr>
    </w:p>
    <w:p w14:paraId="6106639A" w14:textId="22D151EE" w:rsidR="009D1E95" w:rsidRPr="0016650E" w:rsidRDefault="007B0970" w:rsidP="005F2497">
      <w:pPr>
        <w:spacing w:after="0" w:line="240" w:lineRule="auto"/>
        <w:jc w:val="both"/>
        <w:rPr>
          <w:lang w:val="es-ES"/>
        </w:rPr>
      </w:pPr>
      <w:r w:rsidRPr="0016650E">
        <w:rPr>
          <w:lang w:val="es-ES"/>
        </w:rPr>
        <w:t>Desde la adopción de la Acción Concertada en 2017 en la COP12 (UNEP/CMS/Acción Concertada 12.2) y su renovación posterior en 2024 en la COP14 (UNEP/CMS/Acción Concertada 12.2 [Rev.COP14]), se ha seguido avanzando en el establecimiento de una Red de Investigación —</w:t>
      </w:r>
      <w:r w:rsidRPr="0016650E">
        <w:rPr>
          <w:b/>
          <w:lang w:val="es-ES"/>
        </w:rPr>
        <w:t>Red Cachalotes del Pacífico</w:t>
      </w:r>
      <w:r w:rsidRPr="0016650E">
        <w:rPr>
          <w:lang w:val="es-ES"/>
        </w:rPr>
        <w:t xml:space="preserve">— destinada a promover la investigación colaborativa y la conservación de los cachalotes en todo el PTO y el sudeste del Pacífico en general (incluido el golfo de California, donde se han confirmado </w:t>
      </w:r>
      <w:proofErr w:type="spellStart"/>
      <w:r w:rsidRPr="0016650E">
        <w:rPr>
          <w:lang w:val="es-ES"/>
        </w:rPr>
        <w:t>reavistamientos</w:t>
      </w:r>
      <w:proofErr w:type="spellEnd"/>
      <w:r w:rsidRPr="0016650E">
        <w:rPr>
          <w:lang w:val="es-ES"/>
        </w:rPr>
        <w:t xml:space="preserve"> de </w:t>
      </w:r>
      <w:r w:rsidRPr="0016650E">
        <w:rPr>
          <w:lang w:val="es-ES"/>
        </w:rPr>
        <w:lastRenderedPageBreak/>
        <w:t>cachalotes del PTO) desde una perspectiva cultural transversal. Gracias a esta colaboración, se han logrado los siguientes hitos:</w:t>
      </w:r>
    </w:p>
    <w:p w14:paraId="4D27E948" w14:textId="77777777" w:rsidR="009D1E95" w:rsidRPr="0016650E" w:rsidRDefault="009D1E95" w:rsidP="005F2497">
      <w:pPr>
        <w:spacing w:after="0" w:line="240" w:lineRule="auto"/>
        <w:jc w:val="both"/>
        <w:rPr>
          <w:lang w:val="es-ES"/>
        </w:rPr>
      </w:pPr>
    </w:p>
    <w:p w14:paraId="0F2D3CEF" w14:textId="77777777" w:rsidR="009D1E95" w:rsidRPr="0016650E" w:rsidRDefault="007B0970" w:rsidP="005F2497">
      <w:pPr>
        <w:spacing w:after="0" w:line="240" w:lineRule="auto"/>
        <w:jc w:val="both"/>
        <w:rPr>
          <w:b/>
          <w:lang w:val="es-ES"/>
        </w:rPr>
      </w:pPr>
      <w:r w:rsidRPr="0016650E">
        <w:rPr>
          <w:b/>
          <w:lang w:val="es-ES"/>
        </w:rPr>
        <w:t>1. Publicación de una revisión sobre la relación entre la cultura y la conservación de los clanes de cachalotes</w:t>
      </w:r>
    </w:p>
    <w:p w14:paraId="2F63E8E6" w14:textId="77777777" w:rsidR="00812411" w:rsidRPr="0016650E" w:rsidRDefault="00812411" w:rsidP="005F2497">
      <w:pPr>
        <w:spacing w:after="0" w:line="240" w:lineRule="auto"/>
        <w:jc w:val="both"/>
        <w:rPr>
          <w:b/>
          <w:lang w:val="es-ES"/>
        </w:rPr>
      </w:pPr>
    </w:p>
    <w:p w14:paraId="55876521" w14:textId="2A9A788E" w:rsidR="009D1E95" w:rsidRPr="0016650E" w:rsidRDefault="007B0970" w:rsidP="00812411">
      <w:pPr>
        <w:spacing w:after="80" w:line="240" w:lineRule="auto"/>
        <w:jc w:val="both"/>
        <w:rPr>
          <w:lang w:val="es-ES"/>
        </w:rPr>
      </w:pPr>
      <w:r w:rsidRPr="0016650E">
        <w:rPr>
          <w:lang w:val="es-ES"/>
        </w:rPr>
        <w:t xml:space="preserve">En mayo de 2025, los miembros de la </w:t>
      </w:r>
      <w:r w:rsidRPr="0016650E">
        <w:rPr>
          <w:b/>
          <w:lang w:val="es-ES"/>
        </w:rPr>
        <w:t>Red Cachalotes del Pacífico</w:t>
      </w:r>
      <w:r w:rsidRPr="0016650E">
        <w:rPr>
          <w:lang w:val="es-ES"/>
        </w:rPr>
        <w:t xml:space="preserve"> publicaron el artículo de revisión «</w:t>
      </w:r>
      <w:proofErr w:type="spellStart"/>
      <w:r w:rsidRPr="0016650E">
        <w:rPr>
          <w:lang w:val="es-ES"/>
        </w:rPr>
        <w:t>Integrating</w:t>
      </w:r>
      <w:proofErr w:type="spellEnd"/>
      <w:r w:rsidRPr="0016650E">
        <w:rPr>
          <w:lang w:val="es-ES"/>
        </w:rPr>
        <w:t xml:space="preserve"> cultural </w:t>
      </w:r>
      <w:proofErr w:type="spellStart"/>
      <w:r w:rsidRPr="0016650E">
        <w:rPr>
          <w:lang w:val="es-ES"/>
        </w:rPr>
        <w:t>dimensions</w:t>
      </w:r>
      <w:proofErr w:type="spellEnd"/>
      <w:r w:rsidRPr="0016650E">
        <w:rPr>
          <w:lang w:val="es-ES"/>
        </w:rPr>
        <w:t xml:space="preserve"> in </w:t>
      </w:r>
      <w:proofErr w:type="spellStart"/>
      <w:r w:rsidRPr="0016650E">
        <w:rPr>
          <w:lang w:val="es-ES"/>
        </w:rPr>
        <w:t>sperm</w:t>
      </w:r>
      <w:proofErr w:type="spellEnd"/>
      <w:r w:rsidRPr="0016650E">
        <w:rPr>
          <w:lang w:val="es-ES"/>
        </w:rPr>
        <w:t xml:space="preserve"> </w:t>
      </w:r>
      <w:proofErr w:type="spellStart"/>
      <w:r w:rsidRPr="0016650E">
        <w:rPr>
          <w:lang w:val="es-ES"/>
        </w:rPr>
        <w:t>whale</w:t>
      </w:r>
      <w:proofErr w:type="spellEnd"/>
      <w:r w:rsidRPr="0016650E">
        <w:rPr>
          <w:lang w:val="es-ES"/>
        </w:rPr>
        <w:t xml:space="preserve"> (</w:t>
      </w:r>
      <w:proofErr w:type="spellStart"/>
      <w:r w:rsidRPr="0016650E">
        <w:rPr>
          <w:i/>
          <w:lang w:val="es-ES"/>
        </w:rPr>
        <w:t>Physeter</w:t>
      </w:r>
      <w:proofErr w:type="spellEnd"/>
      <w:r w:rsidRPr="0016650E">
        <w:rPr>
          <w:i/>
          <w:lang w:val="es-ES"/>
        </w:rPr>
        <w:t xml:space="preserve"> </w:t>
      </w:r>
      <w:proofErr w:type="spellStart"/>
      <w:r w:rsidRPr="0016650E">
        <w:rPr>
          <w:i/>
          <w:lang w:val="es-ES"/>
        </w:rPr>
        <w:t>macrocephalus</w:t>
      </w:r>
      <w:proofErr w:type="spellEnd"/>
      <w:r w:rsidRPr="0016650E">
        <w:rPr>
          <w:lang w:val="es-ES"/>
        </w:rPr>
        <w:t xml:space="preserve">) </w:t>
      </w:r>
      <w:proofErr w:type="spellStart"/>
      <w:r w:rsidRPr="0016650E">
        <w:rPr>
          <w:lang w:val="es-ES"/>
        </w:rPr>
        <w:t>conservation</w:t>
      </w:r>
      <w:proofErr w:type="spellEnd"/>
      <w:r w:rsidRPr="0016650E">
        <w:rPr>
          <w:lang w:val="es-ES"/>
        </w:rPr>
        <w:t xml:space="preserve">: </w:t>
      </w:r>
      <w:proofErr w:type="spellStart"/>
      <w:r w:rsidRPr="0016650E">
        <w:rPr>
          <w:lang w:val="es-ES"/>
        </w:rPr>
        <w:t>threats</w:t>
      </w:r>
      <w:proofErr w:type="spellEnd"/>
      <w:r w:rsidRPr="0016650E">
        <w:rPr>
          <w:lang w:val="es-ES"/>
        </w:rPr>
        <w:t xml:space="preserve">, </w:t>
      </w:r>
      <w:proofErr w:type="spellStart"/>
      <w:r w:rsidRPr="0016650E">
        <w:rPr>
          <w:lang w:val="es-ES"/>
        </w:rPr>
        <w:t>challenges</w:t>
      </w:r>
      <w:proofErr w:type="spellEnd"/>
      <w:r w:rsidRPr="0016650E">
        <w:rPr>
          <w:lang w:val="es-ES"/>
        </w:rPr>
        <w:t xml:space="preserve"> and solutions» (Integración de las dimensiones culturales en la conservación del cachalote [</w:t>
      </w:r>
      <w:proofErr w:type="spellStart"/>
      <w:r w:rsidRPr="0016650E">
        <w:rPr>
          <w:i/>
          <w:lang w:val="es-ES"/>
        </w:rPr>
        <w:t>Physeter</w:t>
      </w:r>
      <w:proofErr w:type="spellEnd"/>
      <w:r w:rsidRPr="0016650E">
        <w:rPr>
          <w:i/>
          <w:lang w:val="es-ES"/>
        </w:rPr>
        <w:t xml:space="preserve"> </w:t>
      </w:r>
      <w:proofErr w:type="spellStart"/>
      <w:r w:rsidRPr="0016650E">
        <w:rPr>
          <w:i/>
          <w:lang w:val="es-ES"/>
        </w:rPr>
        <w:t>macrocephalus</w:t>
      </w:r>
      <w:proofErr w:type="spellEnd"/>
      <w:r w:rsidRPr="0016650E">
        <w:rPr>
          <w:lang w:val="es-ES"/>
        </w:rPr>
        <w:t xml:space="preserve">]: amenazas, retos y soluciones) </w:t>
      </w:r>
      <w:hyperlink r:id="rId16">
        <w:r w:rsidR="009D1E95" w:rsidRPr="0016650E">
          <w:rPr>
            <w:lang w:val="es-ES"/>
          </w:rPr>
          <w:t>(Eguiguren et al. 2025)</w:t>
        </w:r>
      </w:hyperlink>
      <w:r w:rsidRPr="0016650E">
        <w:rPr>
          <w:lang w:val="es-ES"/>
        </w:rPr>
        <w:t xml:space="preserve">. En esta revisión se identificó la distribución geográfica de las amenazas existentes y emergentes para los cachalotes en la región, que incluyen amenazas globales (es decir, el cambio climático inducido por el ser humano y sus efectos sobre la distribución de las presas de los cachalotes) y amenazas localizadas (interacciones con pesquerías, colisiones con embarcaciones, contaminación oceánica, contaminación acústica y minería en aguas profundas; </w:t>
      </w:r>
      <w:hyperlink r:id="rId17">
        <w:proofErr w:type="spellStart"/>
        <w:r w:rsidR="009D1E95" w:rsidRPr="0016650E">
          <w:rPr>
            <w:lang w:val="es-ES"/>
          </w:rPr>
          <w:t>Alava</w:t>
        </w:r>
        <w:proofErr w:type="spellEnd"/>
        <w:r w:rsidR="009D1E95" w:rsidRPr="0016650E">
          <w:rPr>
            <w:lang w:val="es-ES"/>
          </w:rPr>
          <w:t xml:space="preserve"> et al. 2014, 2022, </w:t>
        </w:r>
        <w:proofErr w:type="spellStart"/>
        <w:r w:rsidR="009D1E95" w:rsidRPr="0016650E">
          <w:rPr>
            <w:lang w:val="es-ES"/>
          </w:rPr>
          <w:t>Avila</w:t>
        </w:r>
        <w:proofErr w:type="spellEnd"/>
        <w:r w:rsidR="009D1E95" w:rsidRPr="0016650E">
          <w:rPr>
            <w:lang w:val="es-ES"/>
          </w:rPr>
          <w:t xml:space="preserve"> et al. 2018</w:t>
        </w:r>
      </w:hyperlink>
      <w:hyperlink r:id="rId18">
        <w:r w:rsidR="00E956D9" w:rsidRPr="0016650E">
          <w:rPr>
            <w:lang w:val="es-ES"/>
          </w:rPr>
          <w:t>; Figura </w:t>
        </w:r>
        <w:r w:rsidR="009D1E95" w:rsidRPr="0016650E">
          <w:rPr>
            <w:lang w:val="es-ES"/>
          </w:rPr>
          <w:t>1</w:t>
        </w:r>
      </w:hyperlink>
      <w:r w:rsidRPr="0016650E">
        <w:rPr>
          <w:lang w:val="es-ES"/>
        </w:rPr>
        <w:t>). También se recopiló la evidencia existente sobre la interacción entre el aprendizaje social y la cultura en los cachalotes, su estructura poblacional y su vulnerabilidad frente a amenazas antropogénicas en la región. Se destacaron las lagunas de conocimiento y los retos actuales para una conservación eficaz de los cachalotes desde una perspectiva cultural en el PTO, que incluyen:</w:t>
      </w:r>
    </w:p>
    <w:p w14:paraId="463F87B1" w14:textId="77777777" w:rsidR="009D1E95" w:rsidRPr="0016650E" w:rsidRDefault="007B0970" w:rsidP="00812411">
      <w:pPr>
        <w:numPr>
          <w:ilvl w:val="0"/>
          <w:numId w:val="2"/>
        </w:numPr>
        <w:spacing w:after="80" w:line="240" w:lineRule="auto"/>
        <w:jc w:val="both"/>
        <w:rPr>
          <w:lang w:val="es-ES"/>
        </w:rPr>
      </w:pPr>
      <w:r w:rsidRPr="0016650E">
        <w:rPr>
          <w:lang w:val="es-ES"/>
        </w:rPr>
        <w:t xml:space="preserve">Falta de conocimiento fundamental sobre la distribución, los patrones de desplazamiento y la ecología de los cachalotes en general, y de los clanes en particular, en sus áreas de distribución. </w:t>
      </w:r>
    </w:p>
    <w:p w14:paraId="0E456FF0" w14:textId="77777777" w:rsidR="009D1E95" w:rsidRPr="0016650E" w:rsidRDefault="007B0970" w:rsidP="00812411">
      <w:pPr>
        <w:numPr>
          <w:ilvl w:val="0"/>
          <w:numId w:val="2"/>
        </w:numPr>
        <w:spacing w:after="80" w:line="240" w:lineRule="auto"/>
        <w:jc w:val="both"/>
        <w:rPr>
          <w:lang w:val="es-ES"/>
        </w:rPr>
      </w:pPr>
      <w:r w:rsidRPr="0016650E">
        <w:rPr>
          <w:lang w:val="es-ES"/>
        </w:rPr>
        <w:t>Prácticamente ninguna comprensión de los desplazamientos, la ecología y la distribución de los machos adultos de cachalote, que son clave para el potencial reproductivo de las poblaciones.</w:t>
      </w:r>
    </w:p>
    <w:p w14:paraId="18E40D7A" w14:textId="77777777" w:rsidR="009D1E95" w:rsidRPr="0016650E" w:rsidRDefault="007B0970" w:rsidP="00812411">
      <w:pPr>
        <w:numPr>
          <w:ilvl w:val="0"/>
          <w:numId w:val="2"/>
        </w:numPr>
        <w:spacing w:after="80" w:line="240" w:lineRule="auto"/>
        <w:jc w:val="both"/>
        <w:rPr>
          <w:lang w:val="es-ES"/>
        </w:rPr>
      </w:pPr>
      <w:r w:rsidRPr="0016650E">
        <w:rPr>
          <w:lang w:val="es-ES"/>
        </w:rPr>
        <w:t>Falta de información sobre el grado en que las amenazas antropogénicas específicas afectan a las poblaciones y clanes concretos de cachalotes en toda la región.</w:t>
      </w:r>
    </w:p>
    <w:p w14:paraId="7FE5B923" w14:textId="77777777" w:rsidR="009D1E95" w:rsidRPr="0016650E" w:rsidRDefault="007B0970" w:rsidP="00812411">
      <w:pPr>
        <w:numPr>
          <w:ilvl w:val="0"/>
          <w:numId w:val="2"/>
        </w:numPr>
        <w:spacing w:after="80" w:line="240" w:lineRule="auto"/>
        <w:jc w:val="both"/>
        <w:rPr>
          <w:lang w:val="es-ES"/>
        </w:rPr>
      </w:pPr>
      <w:r w:rsidRPr="0016650E">
        <w:rPr>
          <w:lang w:val="es-ES"/>
        </w:rPr>
        <w:t>Marcos insuficientes en los instrumentos de conservación locales e internacionales para proteger grupos culturalmente distintos de individuos.</w:t>
      </w:r>
    </w:p>
    <w:p w14:paraId="2AFC8048" w14:textId="77777777" w:rsidR="009D1E95" w:rsidRPr="0016650E" w:rsidRDefault="007B0970" w:rsidP="005F2497">
      <w:pPr>
        <w:numPr>
          <w:ilvl w:val="0"/>
          <w:numId w:val="2"/>
        </w:numPr>
        <w:spacing w:after="0" w:line="240" w:lineRule="auto"/>
        <w:jc w:val="both"/>
        <w:rPr>
          <w:lang w:val="es-ES"/>
        </w:rPr>
      </w:pPr>
      <w:r w:rsidRPr="0016650E">
        <w:rPr>
          <w:lang w:val="es-ES"/>
        </w:rPr>
        <w:t>Políticas de conservación y capacidades de aplicación inadecuadas para proteger a los cachalotes (y otras especies) cuyas áreas de distribución abarcan las aguas de varios Estados y se extienden hacia alta mar.</w:t>
      </w:r>
    </w:p>
    <w:p w14:paraId="5016CEF4" w14:textId="77777777" w:rsidR="000A0D59" w:rsidRPr="0016650E" w:rsidRDefault="000A0D59" w:rsidP="005F2497">
      <w:pPr>
        <w:spacing w:after="0" w:line="240" w:lineRule="auto"/>
        <w:jc w:val="both"/>
        <w:rPr>
          <w:lang w:val="es-ES"/>
        </w:rPr>
      </w:pPr>
    </w:p>
    <w:p w14:paraId="33D21AB5" w14:textId="1B1A03F7" w:rsidR="009D1E95" w:rsidRPr="0016650E" w:rsidRDefault="007B0970" w:rsidP="00812411">
      <w:pPr>
        <w:spacing w:after="80" w:line="240" w:lineRule="auto"/>
        <w:jc w:val="both"/>
        <w:rPr>
          <w:lang w:val="es-ES"/>
        </w:rPr>
      </w:pPr>
      <w:r w:rsidRPr="0016650E">
        <w:rPr>
          <w:lang w:val="es-ES"/>
        </w:rPr>
        <w:t>Finalmente, se propusieron acciones concretas que pueden contribuir a superar algunos de estos retos, en consonancia con los objetivos de la Acción Concertada para el cachalote del PTO (UNEP/CMS/Acción Concertada 12.2 Rev.COP14). Estas incluyen:</w:t>
      </w:r>
    </w:p>
    <w:p w14:paraId="1E574F59" w14:textId="77777777" w:rsidR="009D1E95" w:rsidRPr="0016650E" w:rsidRDefault="007B0970" w:rsidP="00812411">
      <w:pPr>
        <w:numPr>
          <w:ilvl w:val="0"/>
          <w:numId w:val="4"/>
        </w:numPr>
        <w:spacing w:after="80" w:line="240" w:lineRule="auto"/>
        <w:jc w:val="both"/>
        <w:rPr>
          <w:lang w:val="es-ES"/>
        </w:rPr>
      </w:pPr>
      <w:r w:rsidRPr="0016650E">
        <w:rPr>
          <w:lang w:val="es-ES"/>
        </w:rPr>
        <w:t>Reforzar la colaboración transnacional entre Estados miembros y no miembros de la región, prestando especial atención a garantizar apoyo institucional y movilización de recursos hacia los esfuerzos locales en países con economías emergentes.</w:t>
      </w:r>
    </w:p>
    <w:p w14:paraId="168BC8A6" w14:textId="77777777" w:rsidR="009D1E95" w:rsidRPr="0016650E" w:rsidRDefault="007B0970" w:rsidP="005F2497">
      <w:pPr>
        <w:numPr>
          <w:ilvl w:val="0"/>
          <w:numId w:val="4"/>
        </w:numPr>
        <w:spacing w:after="0" w:line="240" w:lineRule="auto"/>
        <w:jc w:val="both"/>
        <w:rPr>
          <w:lang w:val="es-ES"/>
        </w:rPr>
      </w:pPr>
      <w:r w:rsidRPr="0016650E">
        <w:rPr>
          <w:lang w:val="es-ES"/>
        </w:rPr>
        <w:t xml:space="preserve">Incorporar nuevas tecnologías (p. ej., programas de identificación fotográfica y detectores acústicos asistidos por aprendizaje automático) para optimizar el procesamiento y el intercambio de datos. </w:t>
      </w:r>
    </w:p>
    <w:p w14:paraId="54B411C1" w14:textId="77777777" w:rsidR="000A0D59" w:rsidRPr="0016650E" w:rsidRDefault="000A0D59" w:rsidP="005F2497">
      <w:pPr>
        <w:spacing w:after="0" w:line="240" w:lineRule="auto"/>
        <w:jc w:val="both"/>
        <w:rPr>
          <w:b/>
          <w:lang w:val="es-ES"/>
        </w:rPr>
      </w:pPr>
    </w:p>
    <w:p w14:paraId="0B9D4E71" w14:textId="3203BE9B" w:rsidR="009D1E95" w:rsidRPr="0016650E" w:rsidRDefault="007B0970" w:rsidP="005F2497">
      <w:pPr>
        <w:spacing w:after="0" w:line="240" w:lineRule="auto"/>
        <w:jc w:val="both"/>
        <w:rPr>
          <w:b/>
          <w:lang w:val="es-ES"/>
        </w:rPr>
      </w:pPr>
      <w:r w:rsidRPr="0016650E">
        <w:rPr>
          <w:b/>
          <w:lang w:val="es-ES"/>
        </w:rPr>
        <w:t>2. Actualización sobre el estado de los clanes de cachalotes frente a las Islas Galápagos</w:t>
      </w:r>
    </w:p>
    <w:p w14:paraId="087B6440" w14:textId="77777777" w:rsidR="00812411" w:rsidRPr="0016650E" w:rsidRDefault="00812411" w:rsidP="005F2497">
      <w:pPr>
        <w:spacing w:after="0" w:line="240" w:lineRule="auto"/>
        <w:jc w:val="both"/>
        <w:rPr>
          <w:b/>
          <w:lang w:val="es-ES"/>
        </w:rPr>
      </w:pPr>
    </w:p>
    <w:p w14:paraId="2CD6F921" w14:textId="77777777" w:rsidR="009D1E95" w:rsidRPr="0016650E" w:rsidRDefault="007B0970" w:rsidP="005F2497">
      <w:pPr>
        <w:spacing w:after="0" w:line="240" w:lineRule="auto"/>
        <w:jc w:val="both"/>
        <w:rPr>
          <w:lang w:val="es-ES"/>
        </w:rPr>
      </w:pPr>
      <w:r w:rsidRPr="0016650E">
        <w:rPr>
          <w:lang w:val="es-ES"/>
        </w:rPr>
        <w:t xml:space="preserve">La última evaluación de los clanes de cachalotes frente a las Islas Galápagos se llevó a cabo con ejemplares registrados en 2013 y 2014 </w:t>
      </w:r>
      <w:hyperlink r:id="rId19">
        <w:r w:rsidR="009D1E95" w:rsidRPr="0016650E">
          <w:rPr>
            <w:lang w:val="es-ES"/>
          </w:rPr>
          <w:t>(Cantor et al. 2016)</w:t>
        </w:r>
      </w:hyperlink>
      <w:r w:rsidRPr="0016650E">
        <w:rPr>
          <w:lang w:val="es-ES"/>
        </w:rPr>
        <w:t>. Este análisis mostró que los clanes observados con frecuencia en los años 80 y 90 del siglo pasado (</w:t>
      </w:r>
      <w:r w:rsidRPr="0016650E">
        <w:rPr>
          <w:i/>
          <w:lang w:val="es-ES"/>
        </w:rPr>
        <w:t>Regular</w:t>
      </w:r>
      <w:r w:rsidRPr="0016650E">
        <w:rPr>
          <w:lang w:val="es-ES"/>
        </w:rPr>
        <w:t xml:space="preserve"> y </w:t>
      </w:r>
      <w:r w:rsidRPr="0016650E">
        <w:rPr>
          <w:i/>
          <w:lang w:val="es-ES"/>
        </w:rPr>
        <w:t>Plus-One</w:t>
      </w:r>
      <w:r w:rsidRPr="0016650E">
        <w:rPr>
          <w:lang w:val="es-ES"/>
        </w:rPr>
        <w:t xml:space="preserve">) fueron totalmente reemplazados por los clanes </w:t>
      </w:r>
      <w:r w:rsidRPr="0016650E">
        <w:rPr>
          <w:i/>
          <w:lang w:val="es-ES"/>
        </w:rPr>
        <w:t xml:space="preserve">Short </w:t>
      </w:r>
      <w:r w:rsidRPr="0016650E">
        <w:rPr>
          <w:lang w:val="es-ES"/>
        </w:rPr>
        <w:t xml:space="preserve">y </w:t>
      </w:r>
      <w:proofErr w:type="spellStart"/>
      <w:r w:rsidRPr="0016650E">
        <w:rPr>
          <w:i/>
          <w:lang w:val="es-ES"/>
        </w:rPr>
        <w:t>Four</w:t>
      </w:r>
      <w:proofErr w:type="spellEnd"/>
      <w:r w:rsidRPr="0016650E">
        <w:rPr>
          <w:i/>
          <w:lang w:val="es-ES"/>
        </w:rPr>
        <w:t>-Plus</w:t>
      </w:r>
      <w:r w:rsidRPr="0016650E">
        <w:rPr>
          <w:lang w:val="es-ES"/>
        </w:rPr>
        <w:t xml:space="preserve"> en los años 2010. Esto </w:t>
      </w:r>
      <w:r w:rsidRPr="0016650E">
        <w:rPr>
          <w:lang w:val="es-ES"/>
        </w:rPr>
        <w:lastRenderedPageBreak/>
        <w:t xml:space="preserve">refleja probablemente el desplazamiento de clanes desde las Galápagos hacia otras áreas del PTO, y viceversa, a lo largo de varias décadas. </w:t>
      </w:r>
    </w:p>
    <w:p w14:paraId="3F44B865" w14:textId="77777777" w:rsidR="000A0D59" w:rsidRPr="0016650E" w:rsidRDefault="000A0D59" w:rsidP="005F2497">
      <w:pPr>
        <w:spacing w:after="0" w:line="240" w:lineRule="auto"/>
        <w:jc w:val="both"/>
        <w:rPr>
          <w:lang w:val="es-ES"/>
        </w:rPr>
      </w:pPr>
    </w:p>
    <w:p w14:paraId="4E2023AE" w14:textId="160E57A3" w:rsidR="009D1E95" w:rsidRPr="0016650E" w:rsidRDefault="007B0970" w:rsidP="005F2497">
      <w:pPr>
        <w:spacing w:after="0" w:line="240" w:lineRule="auto"/>
        <w:jc w:val="both"/>
        <w:rPr>
          <w:lang w:val="es-ES"/>
        </w:rPr>
      </w:pPr>
      <w:r w:rsidRPr="0016650E">
        <w:rPr>
          <w:lang w:val="es-ES"/>
        </w:rPr>
        <w:t xml:space="preserve">Desde entonces, se han completado análisis de grabaciones de cachalotes obtenidas frente a las Islas Galápagos casi una década después (2022-2023) para identificar la identidad cultural de los ejemplares de la región. Se pudo confirmar la presencia de cuatro de los clanes previamente identificados (Tabla 1). El clan </w:t>
      </w:r>
      <w:r w:rsidRPr="0016650E">
        <w:rPr>
          <w:i/>
          <w:lang w:val="es-ES"/>
        </w:rPr>
        <w:t xml:space="preserve">Short </w:t>
      </w:r>
      <w:r w:rsidRPr="0016650E">
        <w:rPr>
          <w:lang w:val="es-ES"/>
        </w:rPr>
        <w:t>se registró</w:t>
      </w:r>
      <w:r w:rsidRPr="0016650E">
        <w:rPr>
          <w:i/>
          <w:lang w:val="es-ES"/>
        </w:rPr>
        <w:t xml:space="preserve"> </w:t>
      </w:r>
      <w:r w:rsidRPr="0016650E">
        <w:rPr>
          <w:lang w:val="es-ES"/>
        </w:rPr>
        <w:t xml:space="preserve">en ambos años, mientras que los clanes </w:t>
      </w:r>
      <w:proofErr w:type="spellStart"/>
      <w:r w:rsidRPr="0016650E">
        <w:rPr>
          <w:i/>
          <w:lang w:val="es-ES"/>
        </w:rPr>
        <w:t>Four</w:t>
      </w:r>
      <w:proofErr w:type="spellEnd"/>
      <w:r w:rsidRPr="0016650E">
        <w:rPr>
          <w:i/>
          <w:lang w:val="es-ES"/>
        </w:rPr>
        <w:t xml:space="preserve">-Plus, </w:t>
      </w:r>
      <w:proofErr w:type="spellStart"/>
      <w:r w:rsidRPr="0016650E">
        <w:rPr>
          <w:i/>
          <w:lang w:val="es-ES"/>
        </w:rPr>
        <w:t>Slow</w:t>
      </w:r>
      <w:proofErr w:type="spellEnd"/>
      <w:r w:rsidRPr="0016650E">
        <w:rPr>
          <w:i/>
          <w:lang w:val="es-ES"/>
        </w:rPr>
        <w:t xml:space="preserve"> </w:t>
      </w:r>
      <w:proofErr w:type="spellStart"/>
      <w:r w:rsidRPr="0016650E">
        <w:rPr>
          <w:i/>
          <w:lang w:val="es-ES"/>
        </w:rPr>
        <w:t>Increasing</w:t>
      </w:r>
      <w:proofErr w:type="spellEnd"/>
      <w:r w:rsidRPr="0016650E">
        <w:rPr>
          <w:i/>
          <w:lang w:val="es-ES"/>
        </w:rPr>
        <w:t xml:space="preserve"> </w:t>
      </w:r>
      <w:r w:rsidRPr="0016650E">
        <w:rPr>
          <w:lang w:val="es-ES"/>
        </w:rPr>
        <w:t>y</w:t>
      </w:r>
      <w:r w:rsidRPr="0016650E">
        <w:rPr>
          <w:i/>
          <w:lang w:val="es-ES"/>
        </w:rPr>
        <w:t xml:space="preserve"> </w:t>
      </w:r>
      <w:proofErr w:type="spellStart"/>
      <w:r w:rsidRPr="0016650E">
        <w:rPr>
          <w:i/>
          <w:lang w:val="es-ES"/>
        </w:rPr>
        <w:t>Palindrome</w:t>
      </w:r>
      <w:proofErr w:type="spellEnd"/>
      <w:r w:rsidRPr="0016650E">
        <w:rPr>
          <w:lang w:val="es-ES"/>
        </w:rPr>
        <w:t xml:space="preserve"> estuvieron presentes en 2023 </w:t>
      </w:r>
      <w:hyperlink r:id="rId20">
        <w:r w:rsidR="009D1E95" w:rsidRPr="0016650E">
          <w:rPr>
            <w:lang w:val="es-ES"/>
          </w:rPr>
          <w:t>(</w:t>
        </w:r>
      </w:hyperlink>
      <w:hyperlink r:id="rId21">
        <w:r w:rsidR="009D1E95" w:rsidRPr="0016650E">
          <w:rPr>
            <w:lang w:val="es-ES"/>
          </w:rPr>
          <w:t>Oliver</w:t>
        </w:r>
      </w:hyperlink>
      <w:hyperlink r:id="rId22">
        <w:r w:rsidR="009D1E95" w:rsidRPr="0016650E">
          <w:rPr>
            <w:lang w:val="es-ES"/>
          </w:rPr>
          <w:t xml:space="preserve"> 2025)</w:t>
        </w:r>
      </w:hyperlink>
      <w:r w:rsidRPr="0016650E">
        <w:rPr>
          <w:lang w:val="es-ES"/>
        </w:rPr>
        <w:t xml:space="preserve">. Estos resultados respaldan la delimitación de los clanes </w:t>
      </w:r>
      <w:proofErr w:type="spellStart"/>
      <w:r w:rsidRPr="0016650E">
        <w:rPr>
          <w:i/>
          <w:lang w:val="es-ES"/>
        </w:rPr>
        <w:t>Palindrome</w:t>
      </w:r>
      <w:proofErr w:type="spellEnd"/>
      <w:r w:rsidRPr="0016650E">
        <w:rPr>
          <w:lang w:val="es-ES"/>
        </w:rPr>
        <w:t xml:space="preserve"> y </w:t>
      </w:r>
      <w:proofErr w:type="spellStart"/>
      <w:r w:rsidRPr="0016650E">
        <w:rPr>
          <w:i/>
          <w:lang w:val="es-ES"/>
        </w:rPr>
        <w:t>Slow</w:t>
      </w:r>
      <w:proofErr w:type="spellEnd"/>
      <w:r w:rsidRPr="0016650E">
        <w:rPr>
          <w:i/>
          <w:lang w:val="es-ES"/>
        </w:rPr>
        <w:t xml:space="preserve"> </w:t>
      </w:r>
      <w:proofErr w:type="spellStart"/>
      <w:r w:rsidRPr="0016650E">
        <w:rPr>
          <w:i/>
          <w:lang w:val="es-ES"/>
        </w:rPr>
        <w:t>Increasing</w:t>
      </w:r>
      <w:proofErr w:type="spellEnd"/>
      <w:r w:rsidRPr="0016650E">
        <w:rPr>
          <w:lang w:val="es-ES"/>
        </w:rPr>
        <w:t xml:space="preserve"> recientemente identificados como repertorios distintos. También indican continuidad con las distribuciones de clanes durante los años 2000-2010, pero un cambio marcado respecto de las de los años 80 y 90 del siglo pasado. Una excepción es el clan </w:t>
      </w:r>
      <w:proofErr w:type="spellStart"/>
      <w:r w:rsidRPr="0016650E">
        <w:rPr>
          <w:i/>
          <w:lang w:val="es-ES"/>
        </w:rPr>
        <w:t>Slow</w:t>
      </w:r>
      <w:proofErr w:type="spellEnd"/>
      <w:r w:rsidRPr="0016650E">
        <w:rPr>
          <w:i/>
          <w:lang w:val="es-ES"/>
        </w:rPr>
        <w:t xml:space="preserve"> </w:t>
      </w:r>
      <w:proofErr w:type="spellStart"/>
      <w:r w:rsidRPr="0016650E">
        <w:rPr>
          <w:i/>
          <w:lang w:val="es-ES"/>
        </w:rPr>
        <w:t>Increasing</w:t>
      </w:r>
      <w:proofErr w:type="spellEnd"/>
      <w:r w:rsidRPr="0016650E">
        <w:rPr>
          <w:lang w:val="es-ES"/>
        </w:rPr>
        <w:t xml:space="preserve">, que estuvo presente tanto en los 80 y 90 del pasado siglo como en 2023. </w:t>
      </w:r>
    </w:p>
    <w:p w14:paraId="4B5264A8" w14:textId="77777777" w:rsidR="000A0D59" w:rsidRPr="0016650E" w:rsidRDefault="000A0D59" w:rsidP="005F2497">
      <w:pPr>
        <w:spacing w:after="0" w:line="240" w:lineRule="auto"/>
        <w:jc w:val="both"/>
        <w:rPr>
          <w:b/>
          <w:lang w:val="es-ES"/>
        </w:rPr>
      </w:pPr>
    </w:p>
    <w:p w14:paraId="4205A8FF" w14:textId="4A62CCAA" w:rsidR="009D1E95" w:rsidRPr="0016650E" w:rsidRDefault="007B0970" w:rsidP="005F2497">
      <w:pPr>
        <w:spacing w:after="0" w:line="240" w:lineRule="auto"/>
        <w:jc w:val="both"/>
        <w:rPr>
          <w:b/>
          <w:lang w:val="es-ES"/>
        </w:rPr>
      </w:pPr>
      <w:r w:rsidRPr="0016650E">
        <w:rPr>
          <w:b/>
          <w:lang w:val="es-ES"/>
        </w:rPr>
        <w:t>3. Avances hacia una supervisión transnacional de identificación fotográfica (</w:t>
      </w:r>
      <w:proofErr w:type="spellStart"/>
      <w:r w:rsidRPr="0016650E">
        <w:rPr>
          <w:b/>
          <w:i/>
          <w:lang w:val="es-ES"/>
        </w:rPr>
        <w:t>Photo</w:t>
      </w:r>
      <w:proofErr w:type="spellEnd"/>
      <w:r w:rsidRPr="0016650E">
        <w:rPr>
          <w:b/>
          <w:i/>
          <w:lang w:val="es-ES"/>
        </w:rPr>
        <w:t>-ID</w:t>
      </w:r>
      <w:r w:rsidRPr="0016650E">
        <w:rPr>
          <w:b/>
          <w:lang w:val="es-ES"/>
        </w:rPr>
        <w:t>)</w:t>
      </w:r>
    </w:p>
    <w:p w14:paraId="0C3600B1" w14:textId="77777777" w:rsidR="00812411" w:rsidRPr="0016650E" w:rsidRDefault="00812411" w:rsidP="005F2497">
      <w:pPr>
        <w:spacing w:after="0" w:line="240" w:lineRule="auto"/>
        <w:jc w:val="both"/>
        <w:rPr>
          <w:lang w:val="es-ES"/>
        </w:rPr>
      </w:pPr>
    </w:p>
    <w:p w14:paraId="6E310FDB" w14:textId="5827DC29" w:rsidR="009D1E95" w:rsidRPr="0016650E" w:rsidRDefault="007B0970" w:rsidP="005F2497">
      <w:pPr>
        <w:spacing w:after="0" w:line="240" w:lineRule="auto"/>
        <w:jc w:val="both"/>
        <w:rPr>
          <w:lang w:val="es-ES"/>
        </w:rPr>
      </w:pPr>
      <w:r w:rsidRPr="0016650E">
        <w:rPr>
          <w:lang w:val="es-ES"/>
        </w:rPr>
        <w:t xml:space="preserve">Desde 2022, los investigadores de la </w:t>
      </w:r>
      <w:r w:rsidRPr="0016650E">
        <w:rPr>
          <w:b/>
          <w:lang w:val="es-ES"/>
        </w:rPr>
        <w:t xml:space="preserve">Red Cachalotes del Pacífico </w:t>
      </w:r>
      <w:r w:rsidRPr="0016650E">
        <w:rPr>
          <w:lang w:val="es-ES"/>
        </w:rPr>
        <w:t xml:space="preserve">han empezado a utilizar plataformas de identificación fotográfica basadas en la web y asistidas por IA (como </w:t>
      </w:r>
      <w:proofErr w:type="spellStart"/>
      <w:r w:rsidRPr="0016650E">
        <w:rPr>
          <w:lang w:val="es-ES"/>
        </w:rPr>
        <w:t>Flukebook</w:t>
      </w:r>
      <w:proofErr w:type="spellEnd"/>
      <w:r w:rsidRPr="0016650E">
        <w:rPr>
          <w:lang w:val="es-ES"/>
        </w:rPr>
        <w:t xml:space="preserve"> y </w:t>
      </w:r>
      <w:proofErr w:type="spellStart"/>
      <w:r w:rsidRPr="0016650E">
        <w:rPr>
          <w:lang w:val="es-ES"/>
        </w:rPr>
        <w:t>Happywhale</w:t>
      </w:r>
      <w:proofErr w:type="spellEnd"/>
      <w:r w:rsidRPr="0016650E">
        <w:rPr>
          <w:lang w:val="es-ES"/>
        </w:rPr>
        <w:t xml:space="preserve">). Estas plataformas permiten agilizar el proceso de comparación fotográfica e impulsar la colaboración entre investigadores de todo el mundo, lo que facilita la supervisión de los desplazamientos a gran escala de los cachalotes en toda la cuenca del océano Pacífico. El catálogo del Laboratorio Whitehead, que comprende más de 9000 individuos de las Islas Galápagos, Ecuador continental, Chile central y el Pacífico oriental, se ha incorporado a </w:t>
      </w:r>
      <w:proofErr w:type="spellStart"/>
      <w:r w:rsidRPr="0016650E">
        <w:rPr>
          <w:lang w:val="es-ES"/>
        </w:rPr>
        <w:t>Flukebook</w:t>
      </w:r>
      <w:proofErr w:type="spellEnd"/>
      <w:r w:rsidRPr="0016650E">
        <w:rPr>
          <w:lang w:val="es-ES"/>
        </w:rPr>
        <w:t>.</w:t>
      </w:r>
    </w:p>
    <w:p w14:paraId="31F0BCF8" w14:textId="77777777" w:rsidR="000A0D59" w:rsidRPr="0016650E" w:rsidRDefault="000A0D59" w:rsidP="005F2497">
      <w:pPr>
        <w:spacing w:after="0" w:line="240" w:lineRule="auto"/>
        <w:jc w:val="both"/>
        <w:rPr>
          <w:lang w:val="es-ES"/>
        </w:rPr>
      </w:pPr>
    </w:p>
    <w:p w14:paraId="6B3A40DD" w14:textId="32EC6523" w:rsidR="009D1E95" w:rsidRPr="0016650E" w:rsidRDefault="007B0970" w:rsidP="005F2497">
      <w:pPr>
        <w:spacing w:after="0" w:line="240" w:lineRule="auto"/>
        <w:jc w:val="both"/>
        <w:rPr>
          <w:lang w:val="es-ES"/>
        </w:rPr>
      </w:pPr>
      <w:r w:rsidRPr="0016650E">
        <w:rPr>
          <w:lang w:val="es-ES"/>
        </w:rPr>
        <w:t xml:space="preserve">Asimismo, un catálogo regional actualizado de identificación fotográfica del golfo de California, que abarca aproximadamente 200 cachalotes (incluidas fotografías de archivo desde 1997), se integró recientemente en </w:t>
      </w:r>
      <w:proofErr w:type="spellStart"/>
      <w:r w:rsidRPr="0016650E">
        <w:rPr>
          <w:lang w:val="es-ES"/>
        </w:rPr>
        <w:t>Flukebook</w:t>
      </w:r>
      <w:proofErr w:type="spellEnd"/>
      <w:r w:rsidRPr="0016650E">
        <w:rPr>
          <w:lang w:val="es-ES"/>
        </w:rPr>
        <w:t>. Una coincidencia preliminar con un cachalote fotografiado en las Islas Galápagos destaca la importancia de las iniciativas de investigación colaborativa para comprender los patrones de desplazamiento, las áreas de distribución y la conectividad entre poblaciones.</w:t>
      </w:r>
    </w:p>
    <w:p w14:paraId="196D25BD" w14:textId="77777777" w:rsidR="000A0D59" w:rsidRPr="0016650E" w:rsidRDefault="000A0D59" w:rsidP="005F2497">
      <w:pPr>
        <w:spacing w:after="0" w:line="240" w:lineRule="auto"/>
        <w:jc w:val="both"/>
        <w:rPr>
          <w:lang w:val="es-ES"/>
        </w:rPr>
      </w:pPr>
    </w:p>
    <w:p w14:paraId="34D74550" w14:textId="7B8E33FB" w:rsidR="009D1E95" w:rsidRPr="0016650E" w:rsidRDefault="007B0970" w:rsidP="005F2497">
      <w:pPr>
        <w:spacing w:after="0" w:line="240" w:lineRule="auto"/>
        <w:jc w:val="both"/>
        <w:rPr>
          <w:lang w:val="es-ES"/>
        </w:rPr>
      </w:pPr>
      <w:r w:rsidRPr="0016650E">
        <w:rPr>
          <w:lang w:val="es-ES"/>
        </w:rPr>
        <w:t xml:space="preserve">Sin embargo, actualmente no existe conectividad entre los catálogos cargados en </w:t>
      </w:r>
      <w:proofErr w:type="spellStart"/>
      <w:r w:rsidRPr="0016650E">
        <w:rPr>
          <w:lang w:val="es-ES"/>
        </w:rPr>
        <w:t>Flukebook</w:t>
      </w:r>
      <w:proofErr w:type="spellEnd"/>
      <w:r w:rsidRPr="0016650E">
        <w:rPr>
          <w:lang w:val="es-ES"/>
        </w:rPr>
        <w:t xml:space="preserve"> y </w:t>
      </w:r>
      <w:proofErr w:type="spellStart"/>
      <w:r w:rsidRPr="0016650E">
        <w:rPr>
          <w:lang w:val="es-ES"/>
        </w:rPr>
        <w:t>Happywhale</w:t>
      </w:r>
      <w:proofErr w:type="spellEnd"/>
      <w:r w:rsidRPr="0016650E">
        <w:rPr>
          <w:lang w:val="es-ES"/>
        </w:rPr>
        <w:t xml:space="preserve">, lo que limita considerablemente la capacidad de consolidar los esfuerzos de investigación tradicionales (a menudo cargados en </w:t>
      </w:r>
      <w:proofErr w:type="spellStart"/>
      <w:r w:rsidRPr="0016650E">
        <w:rPr>
          <w:lang w:val="es-ES"/>
        </w:rPr>
        <w:t>Flukebook</w:t>
      </w:r>
      <w:proofErr w:type="spellEnd"/>
      <w:r w:rsidRPr="0016650E">
        <w:rPr>
          <w:lang w:val="es-ES"/>
        </w:rPr>
        <w:t xml:space="preserve">) con las aportaciones de ciencia ciudadana (habitualmente cargadas en </w:t>
      </w:r>
      <w:proofErr w:type="spellStart"/>
      <w:r w:rsidRPr="0016650E">
        <w:rPr>
          <w:lang w:val="es-ES"/>
        </w:rPr>
        <w:t>Happywhale</w:t>
      </w:r>
      <w:proofErr w:type="spellEnd"/>
      <w:r w:rsidRPr="0016650E">
        <w:rPr>
          <w:lang w:val="es-ES"/>
        </w:rPr>
        <w:t xml:space="preserve">). </w:t>
      </w:r>
    </w:p>
    <w:p w14:paraId="36368782" w14:textId="77777777" w:rsidR="000A0D59" w:rsidRPr="0016650E" w:rsidRDefault="000A0D59" w:rsidP="005F2497">
      <w:pPr>
        <w:spacing w:after="0" w:line="240" w:lineRule="auto"/>
        <w:jc w:val="both"/>
        <w:rPr>
          <w:b/>
          <w:lang w:val="es-ES"/>
        </w:rPr>
      </w:pPr>
    </w:p>
    <w:p w14:paraId="418ADE9C" w14:textId="0B4D7963" w:rsidR="009D1E95" w:rsidRPr="0016650E" w:rsidRDefault="007B0970" w:rsidP="005F2497">
      <w:pPr>
        <w:spacing w:after="0" w:line="240" w:lineRule="auto"/>
        <w:jc w:val="both"/>
        <w:rPr>
          <w:b/>
          <w:lang w:val="es-ES"/>
        </w:rPr>
      </w:pPr>
      <w:r w:rsidRPr="0016650E">
        <w:rPr>
          <w:b/>
          <w:lang w:val="es-ES"/>
        </w:rPr>
        <w:t>4. Desplazamiento documentado en la distribución de cachalotes desde el mar de Cortés</w:t>
      </w:r>
    </w:p>
    <w:p w14:paraId="3F51D873" w14:textId="77777777" w:rsidR="00812411" w:rsidRPr="0016650E" w:rsidRDefault="00812411" w:rsidP="005F2497">
      <w:pPr>
        <w:spacing w:after="0" w:line="240" w:lineRule="auto"/>
        <w:jc w:val="both"/>
        <w:rPr>
          <w:lang w:val="es-ES"/>
        </w:rPr>
      </w:pPr>
    </w:p>
    <w:p w14:paraId="078AEAA1" w14:textId="0EC53A14" w:rsidR="009D1E95" w:rsidRPr="0016650E" w:rsidRDefault="007B0970" w:rsidP="005F2497">
      <w:pPr>
        <w:spacing w:after="0" w:line="240" w:lineRule="auto"/>
        <w:jc w:val="both"/>
        <w:rPr>
          <w:lang w:val="es-ES"/>
        </w:rPr>
      </w:pPr>
      <w:r w:rsidRPr="0016650E">
        <w:rPr>
          <w:lang w:val="es-ES"/>
        </w:rPr>
        <w:t>Entre 2009 y 2018 se llevó a cabo un estudio en la región oriental del archipiélago de las Grandes Islas del golfo de California para evaluar la dinámica poblacional de los cachalotes (</w:t>
      </w:r>
      <w:proofErr w:type="spellStart"/>
      <w:r w:rsidRPr="0016650E">
        <w:rPr>
          <w:i/>
          <w:lang w:val="es-ES"/>
        </w:rPr>
        <w:t>Physeter</w:t>
      </w:r>
      <w:proofErr w:type="spellEnd"/>
      <w:r w:rsidRPr="0016650E">
        <w:rPr>
          <w:i/>
          <w:lang w:val="es-ES"/>
        </w:rPr>
        <w:t xml:space="preserve"> </w:t>
      </w:r>
      <w:proofErr w:type="spellStart"/>
      <w:r w:rsidRPr="0016650E">
        <w:rPr>
          <w:i/>
          <w:lang w:val="es-ES"/>
        </w:rPr>
        <w:t>macrocephalus</w:t>
      </w:r>
      <w:proofErr w:type="spellEnd"/>
      <w:r w:rsidRPr="0016650E">
        <w:rPr>
          <w:lang w:val="es-ES"/>
        </w:rPr>
        <w:t xml:space="preserve">; Pérez-Puig et al., 2024). Se registró un total de 648 individuos en 67 avistamientos, con 207 cachalotes identificados mediante </w:t>
      </w:r>
      <w:proofErr w:type="spellStart"/>
      <w:r w:rsidRPr="0016650E">
        <w:rPr>
          <w:lang w:val="es-ES"/>
        </w:rPr>
        <w:t>fotoidentificación</w:t>
      </w:r>
      <w:proofErr w:type="spellEnd"/>
      <w:r w:rsidRPr="0016650E">
        <w:rPr>
          <w:lang w:val="es-ES"/>
        </w:rPr>
        <w:t xml:space="preserve">; de estos, 167 fueron confirmados como individuos únicos. Las estimaciones de abundancia derivadas de un modelo de población abierta </w:t>
      </w:r>
      <w:proofErr w:type="spellStart"/>
      <w:r w:rsidRPr="0016650E">
        <w:rPr>
          <w:lang w:val="es-ES"/>
        </w:rPr>
        <w:t>Jolly-Seber</w:t>
      </w:r>
      <w:proofErr w:type="spellEnd"/>
      <w:r w:rsidRPr="0016650E">
        <w:rPr>
          <w:lang w:val="es-ES"/>
        </w:rPr>
        <w:t xml:space="preserve"> POPAN indicaron que aproximadamente 354 cachalotes transitaron por el área de estudio entre 2009 y 2015. Las estimaciones anuales mostraron una variabilidad considerable, con un máximo de 167 individuos en 2010-2011 y un mínimo de 20 individuos en 2014-2015, seguido de una ausencia total de avistamientos entre 2016 y 2018, pese a los sostenidos esfuerzos de prospección. Esta salida abrupta coincide con el colapso documentado de la pesquería del calamar de Humboldt (</w:t>
      </w:r>
      <w:proofErr w:type="spellStart"/>
      <w:r w:rsidRPr="0016650E">
        <w:rPr>
          <w:i/>
          <w:lang w:val="es-ES"/>
        </w:rPr>
        <w:t>Dosidicus</w:t>
      </w:r>
      <w:proofErr w:type="spellEnd"/>
      <w:r w:rsidRPr="0016650E">
        <w:rPr>
          <w:i/>
          <w:lang w:val="es-ES"/>
        </w:rPr>
        <w:t xml:space="preserve"> gigas</w:t>
      </w:r>
      <w:r w:rsidRPr="0016650E">
        <w:rPr>
          <w:lang w:val="es-ES"/>
        </w:rPr>
        <w:t xml:space="preserve">) y un cambio fenotípico hacia tallas corporales menores, posiblemente asociado al aumento de las temperaturas superficiales del mar y a las tendencias de calentamiento prolongadas en la región. Si bien esta asociación es de tipo correlativo, se requieren análisis </w:t>
      </w:r>
      <w:r w:rsidRPr="0016650E">
        <w:rPr>
          <w:lang w:val="es-ES"/>
        </w:rPr>
        <w:lastRenderedPageBreak/>
        <w:t>adicionales para probar los mecanismos causales (p. ej., dinámica de las presas frente a anomalías térmicas).</w:t>
      </w:r>
    </w:p>
    <w:p w14:paraId="4C8E4D5E" w14:textId="77777777" w:rsidR="000A0D59" w:rsidRPr="0016650E" w:rsidRDefault="000A0D59" w:rsidP="005F2497">
      <w:pPr>
        <w:spacing w:after="0" w:line="240" w:lineRule="auto"/>
        <w:jc w:val="both"/>
        <w:rPr>
          <w:b/>
          <w:lang w:val="es-ES"/>
        </w:rPr>
      </w:pPr>
    </w:p>
    <w:p w14:paraId="7757E1CD" w14:textId="64F95712" w:rsidR="009D1E95" w:rsidRPr="0016650E" w:rsidRDefault="007B0970" w:rsidP="005F2497">
      <w:pPr>
        <w:spacing w:after="0" w:line="240" w:lineRule="auto"/>
        <w:jc w:val="both"/>
        <w:rPr>
          <w:b/>
          <w:lang w:val="es-ES"/>
        </w:rPr>
      </w:pPr>
      <w:r w:rsidRPr="0016650E">
        <w:rPr>
          <w:b/>
          <w:lang w:val="es-ES"/>
        </w:rPr>
        <w:t>5. Surgimiento de la supervisión acústica pasiva de cachalotes y red de ciencia ciudadana en Chile</w:t>
      </w:r>
    </w:p>
    <w:p w14:paraId="3561154D" w14:textId="77777777" w:rsidR="00812411" w:rsidRPr="0016650E" w:rsidRDefault="00812411" w:rsidP="005F2497">
      <w:pPr>
        <w:spacing w:after="0" w:line="240" w:lineRule="auto"/>
        <w:jc w:val="both"/>
        <w:rPr>
          <w:lang w:val="es-ES"/>
        </w:rPr>
      </w:pPr>
    </w:p>
    <w:p w14:paraId="017E61F9" w14:textId="41E97CAF" w:rsidR="009D1E95" w:rsidRPr="0016650E" w:rsidRDefault="007B0970" w:rsidP="005F2497">
      <w:pPr>
        <w:spacing w:after="0" w:line="240" w:lineRule="auto"/>
        <w:jc w:val="both"/>
        <w:rPr>
          <w:lang w:val="es-ES"/>
        </w:rPr>
      </w:pPr>
      <w:r w:rsidRPr="0016650E">
        <w:rPr>
          <w:lang w:val="es-ES"/>
        </w:rPr>
        <w:t>Desde 2023, las iniciativas de investigación colaborativa han permitido realizar la primera supervisión acústica pasiva de cachalotes en aguas chilenas. Si bien estas instalaciones se diseñaron originalmente para estudios oceanográficos y de cetáceos más amplios, la coordinación entre instituciones nacionales e internacionales ha posibilitado la detección y el análisis de la actividad acústica de cachalotes tanto en regiones continentales como oceánicas.</w:t>
      </w:r>
    </w:p>
    <w:p w14:paraId="1056CB9A" w14:textId="77777777" w:rsidR="000A0D59" w:rsidRPr="0016650E" w:rsidRDefault="000A0D59" w:rsidP="005F2497">
      <w:pPr>
        <w:spacing w:after="0" w:line="240" w:lineRule="auto"/>
        <w:jc w:val="both"/>
        <w:rPr>
          <w:lang w:val="es-ES"/>
        </w:rPr>
      </w:pPr>
    </w:p>
    <w:p w14:paraId="68814188" w14:textId="0A3AE458" w:rsidR="009D1E95" w:rsidRPr="0016650E" w:rsidRDefault="007B0970" w:rsidP="005F2497">
      <w:pPr>
        <w:spacing w:after="0" w:line="240" w:lineRule="auto"/>
        <w:jc w:val="both"/>
        <w:rPr>
          <w:lang w:val="es-ES"/>
        </w:rPr>
      </w:pPr>
      <w:r w:rsidRPr="0016650E">
        <w:rPr>
          <w:lang w:val="es-ES"/>
        </w:rPr>
        <w:t xml:space="preserve">En octubre de 2023, el Instituto Milenio de Oceanografía de Chile (IMO, https://www.imo-chile.cl/) y el Centro COPAS </w:t>
      </w:r>
      <w:proofErr w:type="spellStart"/>
      <w:r w:rsidRPr="0016650E">
        <w:rPr>
          <w:lang w:val="es-ES"/>
        </w:rPr>
        <w:t>Coastal</w:t>
      </w:r>
      <w:proofErr w:type="spellEnd"/>
      <w:r w:rsidRPr="0016650E">
        <w:rPr>
          <w:lang w:val="es-ES"/>
        </w:rPr>
        <w:t xml:space="preserve"> instalaron una línea de fondeo profundo frente a Antofagasta para investigación oceanográfica y geológica en la plataforma continental. Mediante un esfuerzo colaborativo con la ONG Centro Ballena Azul</w:t>
      </w:r>
      <w:r w:rsidRPr="0016650E">
        <w:rPr>
          <w:i/>
          <w:lang w:val="es-ES"/>
        </w:rPr>
        <w:t xml:space="preserve">, </w:t>
      </w:r>
      <w:r w:rsidRPr="0016650E">
        <w:rPr>
          <w:lang w:val="es-ES"/>
        </w:rPr>
        <w:t xml:space="preserve">se acopló un hidrófono al fondeo, programado para realizar registros durante más de un año. Los resultados preliminares confirman la presencia acústica de cachalotes a través de clics, codas y golpes periódicos, lo que sugiere la presencia de unidades sociales de hembras y machos solitarios durante ese período. Estas grabaciones se están analizando para determinar la composición por tallas de los individuos y la identidad de los clanes vocales; y futuras instalaciones de la línea de fondeo están pendientes, según la disponibilidad de fondos. </w:t>
      </w:r>
    </w:p>
    <w:p w14:paraId="276503F9" w14:textId="77777777" w:rsidR="000A0D59" w:rsidRPr="0016650E" w:rsidRDefault="000A0D59" w:rsidP="005F2497">
      <w:pPr>
        <w:spacing w:after="0" w:line="240" w:lineRule="auto"/>
        <w:jc w:val="both"/>
        <w:rPr>
          <w:lang w:val="es-ES"/>
        </w:rPr>
      </w:pPr>
    </w:p>
    <w:p w14:paraId="41BBE176" w14:textId="6CCD9F4B" w:rsidR="009D1E95" w:rsidRPr="0016650E" w:rsidRDefault="007B0970" w:rsidP="005F2497">
      <w:pPr>
        <w:spacing w:after="0" w:line="240" w:lineRule="auto"/>
        <w:jc w:val="both"/>
        <w:rPr>
          <w:lang w:val="es-ES"/>
        </w:rPr>
      </w:pPr>
      <w:r w:rsidRPr="0016650E">
        <w:rPr>
          <w:lang w:val="es-ES"/>
        </w:rPr>
        <w:t xml:space="preserve">En paralelo, la Universidad Cornell, en colaboración con el Centro de Estudios Avanzados en Zonas Áridas (CEAZA), inició en abril de 2024 un proyecto de supervisión acústica pasiva en el Parque Nacional Marino Motu </w:t>
      </w:r>
      <w:proofErr w:type="spellStart"/>
      <w:r w:rsidRPr="0016650E">
        <w:rPr>
          <w:lang w:val="es-ES"/>
        </w:rPr>
        <w:t>Motiro</w:t>
      </w:r>
      <w:proofErr w:type="spellEnd"/>
      <w:r w:rsidRPr="0016650E">
        <w:rPr>
          <w:lang w:val="es-ES"/>
        </w:rPr>
        <w:t xml:space="preserve"> Hiva, en las islas Salas y Gómez de la ecorregión de Isla de Pascua. Los datos acústicos se están analizando para el seguimiento de diversas especies de cetáceos, incluidos los cachalotes, con el fin de determinar su presencia estacional, composición demográfica e identidad de clan vocal en este hábitat oceánico remoto.</w:t>
      </w:r>
    </w:p>
    <w:p w14:paraId="2936FEC5" w14:textId="77777777" w:rsidR="000A0D59" w:rsidRPr="0016650E" w:rsidRDefault="000A0D59" w:rsidP="005F2497">
      <w:pPr>
        <w:spacing w:after="0" w:line="240" w:lineRule="auto"/>
        <w:jc w:val="both"/>
        <w:rPr>
          <w:lang w:val="es-ES"/>
        </w:rPr>
      </w:pPr>
    </w:p>
    <w:p w14:paraId="5FC5561D" w14:textId="69562785" w:rsidR="009D1E95" w:rsidRPr="0016650E" w:rsidRDefault="007B0970" w:rsidP="005F2497">
      <w:pPr>
        <w:spacing w:after="0" w:line="240" w:lineRule="auto"/>
        <w:jc w:val="both"/>
        <w:rPr>
          <w:lang w:val="es-ES"/>
        </w:rPr>
      </w:pPr>
      <w:r w:rsidRPr="0016650E">
        <w:rPr>
          <w:lang w:val="es-ES"/>
        </w:rPr>
        <w:t xml:space="preserve">Como complemento a estos esfuerzos impulsados por la investigación, están surgiendo iniciativas locales de ciencia ciudadana como fuente de información sobre la presencia de cachalotes a lo largo de la costa chilena. En Caleta Chañaral de Aceituno, adyacente a la Reserva Marina Isla Chañaral, los operadores de ecoturismo han documentado de forma ocasional cachalotes detrás de la isla, notificando su regreso por tercer septiembre consecutivo (CR, com. </w:t>
      </w:r>
      <w:proofErr w:type="spellStart"/>
      <w:r w:rsidRPr="0016650E">
        <w:rPr>
          <w:lang w:val="es-ES"/>
        </w:rPr>
        <w:t>pers</w:t>
      </w:r>
      <w:proofErr w:type="spellEnd"/>
      <w:r w:rsidRPr="0016650E">
        <w:rPr>
          <w:lang w:val="es-ES"/>
        </w:rPr>
        <w:t xml:space="preserve">.). Los machos observados durante estos eventos han permanecido en la zona en períodos prolongados de alimentación, de entre diez y más de veinte días en 2025. Los esfuerzos de </w:t>
      </w:r>
      <w:proofErr w:type="spellStart"/>
      <w:r w:rsidRPr="0016650E">
        <w:rPr>
          <w:lang w:val="es-ES"/>
        </w:rPr>
        <w:t>fotoidentificación</w:t>
      </w:r>
      <w:proofErr w:type="spellEnd"/>
      <w:r w:rsidRPr="0016650E">
        <w:rPr>
          <w:lang w:val="es-ES"/>
        </w:rPr>
        <w:t xml:space="preserve"> oportunista han permitido detectar coincidencias interanuales de individuos. Además, en dos años distintos se han observado grupos de cachalotes —probablemente unidades sociales de hembras— desplazándose de norte a sur durante enero y febrero, con grabaciones acústicas ocasionales que captan codas características de los clanes vocales. La futura colaboración con la comunidad local tiene por objeto consolidar estos registros y continuar la supervisión a largo plazo para detectar posibles patrones estacionales y evaluar la fidelidad de algunos machos al área protegida marina. Este sitio constituye una de las prioridades para futuros esfuerzos de supervisión acústica pasiva en la región.</w:t>
      </w:r>
    </w:p>
    <w:p w14:paraId="3AF81C55" w14:textId="77777777" w:rsidR="000A0D59" w:rsidRPr="0016650E" w:rsidRDefault="000A0D59" w:rsidP="005F2497">
      <w:pPr>
        <w:spacing w:after="0" w:line="240" w:lineRule="auto"/>
        <w:rPr>
          <w:b/>
          <w:lang w:val="es-ES"/>
        </w:rPr>
      </w:pPr>
    </w:p>
    <w:p w14:paraId="3085861B" w14:textId="3DD8A328" w:rsidR="009D1E95" w:rsidRPr="0016650E" w:rsidRDefault="007B0970" w:rsidP="005F2497">
      <w:pPr>
        <w:spacing w:after="0" w:line="240" w:lineRule="auto"/>
        <w:rPr>
          <w:b/>
          <w:lang w:val="es-ES"/>
        </w:rPr>
      </w:pPr>
      <w:r w:rsidRPr="0016650E">
        <w:rPr>
          <w:b/>
          <w:lang w:val="es-ES"/>
        </w:rPr>
        <w:t>6. Avances del proyecto mundial de codas</w:t>
      </w:r>
    </w:p>
    <w:p w14:paraId="4E3BA1DC" w14:textId="77777777" w:rsidR="00812411" w:rsidRPr="0016650E" w:rsidRDefault="00812411" w:rsidP="005F2497">
      <w:pPr>
        <w:spacing w:after="0" w:line="240" w:lineRule="auto"/>
        <w:jc w:val="both"/>
        <w:rPr>
          <w:lang w:val="es-ES"/>
        </w:rPr>
      </w:pPr>
    </w:p>
    <w:p w14:paraId="0D767F0C" w14:textId="687AE8A3" w:rsidR="009D1E95" w:rsidRPr="0016650E" w:rsidRDefault="007B0970" w:rsidP="005F2497">
      <w:pPr>
        <w:spacing w:after="0" w:line="240" w:lineRule="auto"/>
        <w:jc w:val="both"/>
        <w:rPr>
          <w:lang w:val="es-ES"/>
        </w:rPr>
      </w:pPr>
      <w:r w:rsidRPr="0016650E">
        <w:rPr>
          <w:lang w:val="es-ES"/>
        </w:rPr>
        <w:t xml:space="preserve">Las actualizaciones más recientes sobre nuestra comprensión de la presencia de clanes de cachalotes en el PTO derivan de los análisis de Hersh et al. (2022) y Oliver (2025). En conjunto, se han extraído unas 20 000 secuencias de codas de grabaciones de cachalotes en aguas del PTO. Durante los próximos seis meses, dichas codas serán analizadas como </w:t>
      </w:r>
      <w:r w:rsidRPr="0016650E">
        <w:rPr>
          <w:lang w:val="es-ES"/>
        </w:rPr>
        <w:lastRenderedPageBreak/>
        <w:t xml:space="preserve">parte de conjuntos de datos regionales (~26 000 codas del océano Pacífico) y mundiales (~81 000 codas de los océanos Pacífico, Atlántico e Índico). Estos análisis, realizados en el marco del Proyecto Mundial de Dialectos del Cachalote (al que varios miembros de la </w:t>
      </w:r>
      <w:r w:rsidRPr="0016650E">
        <w:rPr>
          <w:b/>
          <w:lang w:val="es-ES"/>
        </w:rPr>
        <w:t>Red Cachalotes del Pacífico</w:t>
      </w:r>
      <w:r w:rsidRPr="0016650E">
        <w:rPr>
          <w:lang w:val="es-ES"/>
        </w:rPr>
        <w:t xml:space="preserve"> han contribuido), nos ayudarán a contextualizar la diversidad dialectal de los cachalotes del PTO respecto al resto del océano Pacífico, y también nos permitirán comprender cómo la comunicación de los cachalotes del PTO difiere y se asemeja a la comunicación de los cachalotes en los océanos Atlántico e Índico.</w:t>
      </w:r>
    </w:p>
    <w:p w14:paraId="1E68508D" w14:textId="77777777" w:rsidR="000A0D59" w:rsidRPr="0016650E" w:rsidRDefault="000A0D59" w:rsidP="005F2497">
      <w:pPr>
        <w:spacing w:after="0" w:line="240" w:lineRule="auto"/>
        <w:jc w:val="both"/>
        <w:rPr>
          <w:b/>
          <w:lang w:val="es-ES"/>
        </w:rPr>
      </w:pPr>
    </w:p>
    <w:p w14:paraId="15F49C8B" w14:textId="5B63CACF" w:rsidR="009D1E95" w:rsidRPr="0016650E" w:rsidRDefault="007B0970" w:rsidP="005F2497">
      <w:pPr>
        <w:spacing w:after="0" w:line="240" w:lineRule="auto"/>
        <w:jc w:val="both"/>
        <w:rPr>
          <w:b/>
          <w:lang w:val="es-ES"/>
        </w:rPr>
      </w:pPr>
      <w:r w:rsidRPr="0016650E">
        <w:rPr>
          <w:b/>
          <w:lang w:val="es-ES"/>
        </w:rPr>
        <w:t>7. Creación de una red de investigadores para avanzar en la comprensión de los cachalotes machos</w:t>
      </w:r>
    </w:p>
    <w:p w14:paraId="5BB1076C" w14:textId="77777777" w:rsidR="00812411" w:rsidRPr="0016650E" w:rsidRDefault="00812411" w:rsidP="005F2497">
      <w:pPr>
        <w:spacing w:after="0" w:line="240" w:lineRule="auto"/>
        <w:jc w:val="both"/>
        <w:rPr>
          <w:lang w:val="es-ES"/>
        </w:rPr>
      </w:pPr>
    </w:p>
    <w:p w14:paraId="64264847" w14:textId="60BD5D4C" w:rsidR="009D1E95" w:rsidRPr="0016650E" w:rsidRDefault="007B0970" w:rsidP="005F2497">
      <w:pPr>
        <w:spacing w:after="0" w:line="240" w:lineRule="auto"/>
        <w:jc w:val="both"/>
        <w:rPr>
          <w:lang w:val="es-ES"/>
        </w:rPr>
      </w:pPr>
      <w:r w:rsidRPr="0016650E">
        <w:rPr>
          <w:lang w:val="es-ES"/>
        </w:rPr>
        <w:t xml:space="preserve">A partir de la reunión del Consorcio Cachalote de noviembre de 2024 (asociada al congreso bianual de la Sociedad de Mastozoología Marina), que reúne a la comunidad mundial de investigadores interesados en los cachalotes, un nuevo miembro de la </w:t>
      </w:r>
      <w:r w:rsidRPr="0016650E">
        <w:rPr>
          <w:b/>
          <w:lang w:val="es-ES"/>
        </w:rPr>
        <w:t>Red Cachalotes del Pacífico</w:t>
      </w:r>
      <w:r w:rsidRPr="0016650E">
        <w:rPr>
          <w:lang w:val="es-ES"/>
        </w:rPr>
        <w:t xml:space="preserve"> ha estado trabajando para establecer una red de investigadores colaboradores a fin de avanzar en la comprensión de los cachalotes machos. Este esfuerzo tiene como objetivo mejorar el conocimiento sobre su desplazamiento, cultura vocal y los factores que influyen en el éxito reproductivo en toda la cuenca del Pacífico y a escala mundial.</w:t>
      </w:r>
    </w:p>
    <w:p w14:paraId="11199F19" w14:textId="77777777" w:rsidR="000A0D59" w:rsidRPr="0016650E" w:rsidRDefault="000A0D59" w:rsidP="005F2497">
      <w:pPr>
        <w:spacing w:after="0" w:line="240" w:lineRule="auto"/>
        <w:jc w:val="both"/>
        <w:rPr>
          <w:b/>
          <w:lang w:val="es-ES"/>
        </w:rPr>
      </w:pPr>
    </w:p>
    <w:p w14:paraId="2BAFA615" w14:textId="22E6F389" w:rsidR="009D1E95" w:rsidRPr="0016650E" w:rsidRDefault="007B0970" w:rsidP="005F2497">
      <w:pPr>
        <w:spacing w:after="0" w:line="240" w:lineRule="auto"/>
        <w:jc w:val="both"/>
        <w:rPr>
          <w:b/>
          <w:lang w:val="es-ES"/>
        </w:rPr>
      </w:pPr>
      <w:r w:rsidRPr="0016650E">
        <w:rPr>
          <w:b/>
          <w:lang w:val="es-ES"/>
        </w:rPr>
        <w:t>8. Cuestiones y actividades pendientes</w:t>
      </w:r>
    </w:p>
    <w:p w14:paraId="2DF5E4BF" w14:textId="77777777" w:rsidR="00812411" w:rsidRPr="0016650E" w:rsidRDefault="00812411" w:rsidP="005F2497">
      <w:pPr>
        <w:spacing w:after="0" w:line="240" w:lineRule="auto"/>
        <w:jc w:val="both"/>
        <w:rPr>
          <w:lang w:val="es-ES"/>
        </w:rPr>
      </w:pPr>
    </w:p>
    <w:p w14:paraId="0C8348C0" w14:textId="317699C5" w:rsidR="009D1E95" w:rsidRPr="0016650E" w:rsidRDefault="007B0970" w:rsidP="005F2497">
      <w:pPr>
        <w:spacing w:after="0" w:line="240" w:lineRule="auto"/>
        <w:jc w:val="both"/>
        <w:rPr>
          <w:lang w:val="es-ES"/>
        </w:rPr>
      </w:pPr>
      <w:r w:rsidRPr="0016650E">
        <w:rPr>
          <w:lang w:val="es-ES"/>
        </w:rPr>
        <w:t xml:space="preserve">Si bien hemos avanzado en el establecimiento de la colaboración transnacional para desarrollar programas de supervisión en la región, queda mucho por hacer para comprender plenamente cómo la cultura influye en la vulnerabilidad de los clanes de cachalotes y aplicar este conocimiento a la adopción de medidas de conservación fundamentadas. Esta carencia se debe en parte a la amplia distribución de los cachalotes en el PTO, lo que hace que la supervisión y la conservación eficaces sean costosos y logísticamente complejos. Consideramos prioritario identificar el impacto de las amenazas emergentes —como la expansión del turismo de observación de ballenas en determinadas zonas, la superposición progresiva entre la Gran mancha de basura en el Pacífico y la distribución de los cachalotes, y el aumento de la exploración sísmica para la extracción de recursos en toda la región. Sin embargo, seguimos enfrentándonos a la falta de apoyo financiero entre los Estados del área de distribución para mantener el trabajo de campo y el análisis posterior necesarios con el fin de estudiar los cachalotes a nivel de clan. </w:t>
      </w:r>
    </w:p>
    <w:p w14:paraId="57EA933E" w14:textId="77777777" w:rsidR="000A0D59" w:rsidRPr="0016650E" w:rsidRDefault="000A0D59" w:rsidP="005F2497">
      <w:pPr>
        <w:spacing w:after="0" w:line="240" w:lineRule="auto"/>
        <w:jc w:val="both"/>
        <w:rPr>
          <w:lang w:val="es-ES"/>
        </w:rPr>
      </w:pPr>
    </w:p>
    <w:p w14:paraId="1A51E8FC" w14:textId="553C6C4F" w:rsidR="009D1E95" w:rsidRPr="0016650E" w:rsidRDefault="007B0970" w:rsidP="005F2497">
      <w:pPr>
        <w:spacing w:after="0" w:line="240" w:lineRule="auto"/>
        <w:jc w:val="both"/>
        <w:rPr>
          <w:lang w:val="es-ES"/>
        </w:rPr>
      </w:pPr>
      <w:r w:rsidRPr="0016650E">
        <w:rPr>
          <w:lang w:val="es-ES"/>
        </w:rPr>
        <w:t xml:space="preserve">Así pues, como se expone en nuestra Propuesta de Renovación, los próximos pasos clave para garantizar el éxito consisten en identificar y asegurar fuentes de financiación que puedan sostener una supervisión eficaz. Se requiere especialmente apoyo para los científicos y las comunidades locales en la recopilación de datos y la respuesta a los varamientos de cachalotes (y otra megafauna marina). Los varamientos ofrecen oportunidades clave para evaluar la contribución humana a la mortalidad de cetáceos, pero prácticamente no existe apoyo institucional para consolidar los esfuerzos dentro y entre los países del PTO </w:t>
      </w:r>
      <w:hyperlink r:id="rId23">
        <w:r w:rsidR="009D1E95" w:rsidRPr="0016650E">
          <w:rPr>
            <w:lang w:val="es-ES"/>
          </w:rPr>
          <w:t>(Rosero 2019)</w:t>
        </w:r>
      </w:hyperlink>
      <w:r w:rsidRPr="0016650E">
        <w:rPr>
          <w:lang w:val="es-ES"/>
        </w:rPr>
        <w:t>.</w:t>
      </w:r>
    </w:p>
    <w:p w14:paraId="73210627" w14:textId="77777777" w:rsidR="00CF6B6E" w:rsidRPr="0016650E" w:rsidRDefault="00CF6B6E" w:rsidP="005F2497">
      <w:pPr>
        <w:spacing w:after="0" w:line="240" w:lineRule="auto"/>
        <w:rPr>
          <w:lang w:val="es-ES"/>
        </w:rPr>
      </w:pPr>
    </w:p>
    <w:p w14:paraId="5363C22B" w14:textId="77777777" w:rsidR="009D1E95" w:rsidRPr="0016650E" w:rsidRDefault="007B0970" w:rsidP="00046495">
      <w:pPr>
        <w:spacing w:after="0" w:line="240" w:lineRule="auto"/>
        <w:rPr>
          <w:b/>
          <w:bCs/>
          <w:lang w:val="es-ES"/>
        </w:rPr>
      </w:pPr>
      <w:r w:rsidRPr="0016650E">
        <w:rPr>
          <w:b/>
          <w:bCs/>
          <w:lang w:val="es-ES"/>
        </w:rPr>
        <w:t>CAMBIOS REALIZADOS EN LA ACCIÓN CONCERTADA (SI LOS HUBIERA)</w:t>
      </w:r>
    </w:p>
    <w:p w14:paraId="79AD86E1" w14:textId="77777777" w:rsidR="00CF6B6E" w:rsidRPr="0016650E" w:rsidRDefault="00CF6B6E" w:rsidP="005F2497">
      <w:pPr>
        <w:spacing w:after="0" w:line="240" w:lineRule="auto"/>
        <w:rPr>
          <w:lang w:val="es-ES"/>
        </w:rPr>
      </w:pPr>
    </w:p>
    <w:p w14:paraId="351CD56C" w14:textId="54F5EDB8" w:rsidR="009D1E95" w:rsidRPr="0016650E" w:rsidRDefault="007B0970" w:rsidP="00812411">
      <w:pPr>
        <w:spacing w:after="80" w:line="240" w:lineRule="auto"/>
        <w:jc w:val="both"/>
        <w:rPr>
          <w:lang w:val="es-ES"/>
        </w:rPr>
      </w:pPr>
      <w:r w:rsidRPr="0016650E">
        <w:rPr>
          <w:lang w:val="es-ES"/>
        </w:rPr>
        <w:t>Consideramos que una Acción Concertada renovada debería incorporar:</w:t>
      </w:r>
    </w:p>
    <w:p w14:paraId="2E3455FE" w14:textId="77777777" w:rsidR="009D1E95" w:rsidRPr="0016650E" w:rsidRDefault="007B0970" w:rsidP="00812411">
      <w:pPr>
        <w:numPr>
          <w:ilvl w:val="0"/>
          <w:numId w:val="1"/>
        </w:numPr>
        <w:spacing w:after="80" w:line="240" w:lineRule="auto"/>
        <w:jc w:val="both"/>
        <w:rPr>
          <w:lang w:val="es-ES"/>
        </w:rPr>
      </w:pPr>
      <w:r w:rsidRPr="0016650E">
        <w:rPr>
          <w:lang w:val="es-ES"/>
        </w:rPr>
        <w:t>Una mayor atención al comportamiento, los desplazamientos, la distribución y las amenazas a las que se enfrentan los machos que contribuyen al potencial reproductivo de los cachalotes en el PTO.</w:t>
      </w:r>
    </w:p>
    <w:p w14:paraId="28D3CF3C" w14:textId="77777777" w:rsidR="009D1E95" w:rsidRPr="0016650E" w:rsidRDefault="007B0970" w:rsidP="00812411">
      <w:pPr>
        <w:numPr>
          <w:ilvl w:val="0"/>
          <w:numId w:val="1"/>
        </w:numPr>
        <w:spacing w:after="0" w:line="240" w:lineRule="auto"/>
        <w:jc w:val="both"/>
        <w:rPr>
          <w:lang w:val="es-ES"/>
        </w:rPr>
      </w:pPr>
      <w:r w:rsidRPr="0016650E">
        <w:rPr>
          <w:lang w:val="es-ES"/>
        </w:rPr>
        <w:t xml:space="preserve">Esfuerzos dedicados a promover la ciencia ciudadana y comunitaria. Actualmente existe una oportunidad no aprovechada en las zonas donde pueden avistarse cachalotes (por ejemplo, México, Costa Rica, Perú y Chile) para implicar a los turistas que realizan observación de ballenas en plataformas de </w:t>
      </w:r>
      <w:proofErr w:type="spellStart"/>
      <w:r w:rsidRPr="0016650E">
        <w:rPr>
          <w:lang w:val="es-ES"/>
        </w:rPr>
        <w:t>fotoidentificación</w:t>
      </w:r>
      <w:proofErr w:type="spellEnd"/>
      <w:r w:rsidRPr="0016650E">
        <w:rPr>
          <w:lang w:val="es-ES"/>
        </w:rPr>
        <w:t xml:space="preserve"> (como </w:t>
      </w:r>
      <w:proofErr w:type="spellStart"/>
      <w:r w:rsidRPr="0016650E">
        <w:rPr>
          <w:lang w:val="es-ES"/>
        </w:rPr>
        <w:lastRenderedPageBreak/>
        <w:t>iNaturalist</w:t>
      </w:r>
      <w:proofErr w:type="spellEnd"/>
      <w:r w:rsidRPr="0016650E">
        <w:rPr>
          <w:lang w:val="es-ES"/>
        </w:rPr>
        <w:t xml:space="preserve"> [Figura 2], </w:t>
      </w:r>
      <w:proofErr w:type="spellStart"/>
      <w:r w:rsidRPr="0016650E">
        <w:rPr>
          <w:lang w:val="es-ES"/>
        </w:rPr>
        <w:t>Happywhale</w:t>
      </w:r>
      <w:proofErr w:type="spellEnd"/>
      <w:r w:rsidRPr="0016650E">
        <w:rPr>
          <w:lang w:val="es-ES"/>
        </w:rPr>
        <w:t xml:space="preserve"> [https://happywhale.com/home] y </w:t>
      </w:r>
      <w:proofErr w:type="spellStart"/>
      <w:r w:rsidRPr="0016650E">
        <w:rPr>
          <w:lang w:val="es-ES"/>
        </w:rPr>
        <w:t>Flukebook</w:t>
      </w:r>
      <w:proofErr w:type="spellEnd"/>
      <w:r w:rsidRPr="0016650E">
        <w:rPr>
          <w:lang w:val="es-ES"/>
        </w:rPr>
        <w:t xml:space="preserve"> [https://www.flukebook.org/]). Para que estos esfuerzos resulten fructíferos y aporten información sobre los desplazamientos de cachalotes en toda la región, es necesario compilar un catálogo de </w:t>
      </w:r>
      <w:proofErr w:type="spellStart"/>
      <w:r w:rsidRPr="0016650E">
        <w:rPr>
          <w:lang w:val="es-ES"/>
        </w:rPr>
        <w:t>fotoidentificación</w:t>
      </w:r>
      <w:proofErr w:type="spellEnd"/>
      <w:r w:rsidRPr="0016650E">
        <w:rPr>
          <w:lang w:val="es-ES"/>
        </w:rPr>
        <w:t xml:space="preserve"> unificado del océano Pacífico en plataformas accesibles para los científicos ciudadanos. Esto también requerirá actividades de sensibilización para motivar la participación del público.</w:t>
      </w:r>
    </w:p>
    <w:p w14:paraId="03C22542" w14:textId="50D0EBD6" w:rsidR="00812411" w:rsidRPr="0016650E" w:rsidRDefault="00812411">
      <w:pPr>
        <w:rPr>
          <w:lang w:val="es-ES"/>
        </w:rPr>
      </w:pPr>
      <w:r w:rsidRPr="0016650E">
        <w:rPr>
          <w:lang w:val="es-ES"/>
        </w:rPr>
        <w:br w:type="page"/>
      </w:r>
    </w:p>
    <w:p w14:paraId="0DD72FA2" w14:textId="74613C9A" w:rsidR="009D1E95" w:rsidRPr="00046495" w:rsidRDefault="007B0970" w:rsidP="00046495">
      <w:pPr>
        <w:spacing w:after="0" w:line="240" w:lineRule="auto"/>
        <w:rPr>
          <w:b/>
          <w:bCs/>
          <w:lang w:val="es-ES"/>
        </w:rPr>
      </w:pPr>
      <w:r w:rsidRPr="00046495">
        <w:rPr>
          <w:b/>
          <w:bCs/>
          <w:lang w:val="es-ES"/>
        </w:rPr>
        <w:lastRenderedPageBreak/>
        <w:t>REFERENC</w:t>
      </w:r>
      <w:r w:rsidR="00046495" w:rsidRPr="00046495">
        <w:rPr>
          <w:b/>
          <w:bCs/>
          <w:lang w:val="es-ES"/>
        </w:rPr>
        <w:t>IA</w:t>
      </w:r>
      <w:r w:rsidRPr="00046495">
        <w:rPr>
          <w:b/>
          <w:bCs/>
          <w:lang w:val="es-ES"/>
        </w:rPr>
        <w:t>S</w:t>
      </w:r>
    </w:p>
    <w:p w14:paraId="42A411AB" w14:textId="77777777" w:rsidR="009D1E95" w:rsidRPr="00046495" w:rsidRDefault="009D1E95" w:rsidP="005F2497">
      <w:pPr>
        <w:spacing w:after="0" w:line="240" w:lineRule="auto"/>
        <w:rPr>
          <w:lang w:val="es-ES"/>
        </w:rPr>
      </w:pPr>
    </w:p>
    <w:p w14:paraId="2B46AAB5" w14:textId="00D5C122" w:rsidR="009D1E95" w:rsidRPr="00046495" w:rsidRDefault="009D1E95" w:rsidP="002E2630">
      <w:pPr>
        <w:tabs>
          <w:tab w:val="left" w:pos="380"/>
        </w:tabs>
        <w:spacing w:after="80" w:line="240" w:lineRule="auto"/>
        <w:ind w:left="540" w:hanging="540"/>
        <w:jc w:val="both"/>
        <w:rPr>
          <w:sz w:val="20"/>
          <w:szCs w:val="20"/>
          <w:lang w:val="en-US"/>
        </w:rPr>
      </w:pPr>
      <w:hyperlink r:id="rId24">
        <w:r w:rsidRPr="00046495">
          <w:rPr>
            <w:sz w:val="20"/>
            <w:szCs w:val="20"/>
            <w:lang w:val="es-ES"/>
          </w:rPr>
          <w:t>Alava JJ, McMullen K, Jones J, Barragán</w:t>
        </w:r>
        <w:r w:rsidRPr="00046495">
          <w:rPr>
            <w:rFonts w:ascii="Cambria Math" w:hAnsi="Cambria Math" w:cs="Cambria Math"/>
            <w:sz w:val="20"/>
            <w:szCs w:val="20"/>
            <w:lang w:val="es-ES"/>
          </w:rPr>
          <w:t>‐</w:t>
        </w:r>
        <w:r w:rsidRPr="00046495">
          <w:rPr>
            <w:sz w:val="20"/>
            <w:szCs w:val="20"/>
            <w:lang w:val="es-ES"/>
          </w:rPr>
          <w:t>Paladines MJ, Hobbs C, Tirapé A, Calle P, Alarcón D, Muñoz</w:t>
        </w:r>
        <w:r w:rsidRPr="00046495">
          <w:rPr>
            <w:rFonts w:ascii="Cambria Math" w:hAnsi="Cambria Math" w:cs="Cambria Math"/>
            <w:sz w:val="20"/>
            <w:szCs w:val="20"/>
            <w:lang w:val="es-ES"/>
          </w:rPr>
          <w:t>‐</w:t>
        </w:r>
        <w:r w:rsidRPr="00046495">
          <w:rPr>
            <w:sz w:val="20"/>
            <w:szCs w:val="20"/>
            <w:lang w:val="es-ES"/>
          </w:rPr>
          <w:t>Pérez JP, Muñoz</w:t>
        </w:r>
        <w:r w:rsidRPr="00046495">
          <w:rPr>
            <w:rFonts w:ascii="Cambria Math" w:hAnsi="Cambria Math" w:cs="Cambria Math"/>
            <w:sz w:val="20"/>
            <w:szCs w:val="20"/>
            <w:lang w:val="es-ES"/>
          </w:rPr>
          <w:t>‐</w:t>
        </w:r>
        <w:r w:rsidRPr="00046495">
          <w:rPr>
            <w:sz w:val="20"/>
            <w:szCs w:val="20"/>
            <w:lang w:val="es-ES"/>
          </w:rPr>
          <w:t xml:space="preserve">Abril L, Townsend KA, Denkinger J, Uyaguari M, Domínguez GA, Espinoza E, Reyes H, Piedrahita P, Fair P, Galloway T, Grove JS, Lewis C, Schofield J (2022) Multiple anthropogenic stressors in the Galápagos Islands’ complex social–ecological system: Interactions of marine pollution, fishing pressure, and climate change with management recommendations. </w:t>
        </w:r>
        <w:r w:rsidRPr="00046495">
          <w:rPr>
            <w:sz w:val="20"/>
            <w:szCs w:val="20"/>
            <w:lang w:val="en-US"/>
          </w:rPr>
          <w:t xml:space="preserve">Integr Environ Assess Manag 19:870–895. </w:t>
        </w:r>
      </w:hyperlink>
      <w:r w:rsidR="00FE7B04" w:rsidRPr="00046495">
        <w:rPr>
          <w:sz w:val="20"/>
          <w:szCs w:val="20"/>
          <w:lang w:val="en-US"/>
        </w:rPr>
        <w:t xml:space="preserve">https://doi.org/10.1002/ieam.4661  </w:t>
      </w:r>
    </w:p>
    <w:p w14:paraId="510FB692" w14:textId="6ECB6ABB" w:rsidR="009D1E95" w:rsidRPr="00046495" w:rsidRDefault="009D1E95" w:rsidP="002E2630">
      <w:pPr>
        <w:tabs>
          <w:tab w:val="left" w:pos="380"/>
        </w:tabs>
        <w:spacing w:after="80" w:line="240" w:lineRule="auto"/>
        <w:ind w:left="540" w:hanging="540"/>
        <w:jc w:val="both"/>
        <w:rPr>
          <w:sz w:val="20"/>
          <w:szCs w:val="20"/>
          <w:lang w:val="en-US"/>
        </w:rPr>
      </w:pPr>
      <w:hyperlink r:id="rId25">
        <w:r w:rsidRPr="00046495">
          <w:rPr>
            <w:sz w:val="20"/>
            <w:szCs w:val="20"/>
            <w:lang w:val="en-US"/>
          </w:rPr>
          <w:t xml:space="preserve">Alava JJ, Palomera C, Bendell L, Ross PS (2014) Pollution as an emerging threat for the conservation of the Galapagos Marine Reserve: Environmental impacts and Management Perspectives. In: </w:t>
        </w:r>
      </w:hyperlink>
      <w:hyperlink r:id="rId26">
        <w:r w:rsidRPr="00046495">
          <w:rPr>
            <w:i/>
            <w:sz w:val="20"/>
            <w:szCs w:val="20"/>
            <w:lang w:val="en-US"/>
          </w:rPr>
          <w:t>The Galapagos Marine Reserve</w:t>
        </w:r>
      </w:hyperlink>
      <w:hyperlink r:id="rId27">
        <w:r w:rsidRPr="00046495">
          <w:rPr>
            <w:sz w:val="20"/>
            <w:szCs w:val="20"/>
            <w:lang w:val="en-US"/>
          </w:rPr>
          <w:t xml:space="preserve">. Social and ecological interactions in the Galapagos Islands, Denkinger J, Vinueza L (eds) Springer International Publishing, Cham, p 247–283. https://doi.org/10.1007/978-3-319-02769-2_12  </w:t>
        </w:r>
      </w:hyperlink>
    </w:p>
    <w:p w14:paraId="62DBF08E" w14:textId="0CC8EB2A" w:rsidR="009D1E95" w:rsidRPr="00046495" w:rsidRDefault="009D1E95" w:rsidP="002E2630">
      <w:pPr>
        <w:tabs>
          <w:tab w:val="left" w:pos="380"/>
        </w:tabs>
        <w:spacing w:after="80" w:line="240" w:lineRule="auto"/>
        <w:ind w:left="540" w:hanging="540"/>
        <w:jc w:val="both"/>
        <w:rPr>
          <w:sz w:val="20"/>
          <w:szCs w:val="20"/>
          <w:lang w:val="en-US"/>
        </w:rPr>
      </w:pPr>
      <w:hyperlink r:id="rId28">
        <w:r w:rsidRPr="00046495">
          <w:rPr>
            <w:sz w:val="20"/>
            <w:szCs w:val="20"/>
            <w:lang w:val="en-US"/>
          </w:rPr>
          <w:t xml:space="preserve">Avila IC, Kaschner K, Dormann CF (2018) Current global risks to marine mammals: taking stock of the threats. Biol Conserv 221:44–58. </w:t>
        </w:r>
      </w:hyperlink>
      <w:r w:rsidR="00FE7B04" w:rsidRPr="00046495">
        <w:rPr>
          <w:sz w:val="20"/>
          <w:szCs w:val="20"/>
          <w:lang w:val="en-US"/>
        </w:rPr>
        <w:t xml:space="preserve">https://doi.org/10.1016/j.biocon.2018.02.021 </w:t>
      </w:r>
    </w:p>
    <w:p w14:paraId="2AA8588B" w14:textId="0002FB9A" w:rsidR="009D1E95" w:rsidRPr="00046495" w:rsidRDefault="009D1E95" w:rsidP="002E2630">
      <w:pPr>
        <w:tabs>
          <w:tab w:val="left" w:pos="380"/>
        </w:tabs>
        <w:spacing w:after="80" w:line="240" w:lineRule="auto"/>
        <w:ind w:left="540" w:hanging="540"/>
        <w:jc w:val="both"/>
        <w:rPr>
          <w:sz w:val="20"/>
          <w:szCs w:val="20"/>
          <w:lang w:val="en-US"/>
        </w:rPr>
      </w:pPr>
      <w:hyperlink r:id="rId29">
        <w:r w:rsidRPr="00046495">
          <w:rPr>
            <w:sz w:val="20"/>
            <w:szCs w:val="20"/>
            <w:lang w:val="en-US"/>
          </w:rPr>
          <w:t xml:space="preserve">Cantor M, Whitehead H, Gero S, Rendell L (2016) Cultural turnover among Galápagos sperm whales. R Soc Open Sci 3:160615. https://doi.org/10.1098/rsos.160615   </w:t>
        </w:r>
      </w:hyperlink>
    </w:p>
    <w:p w14:paraId="1759A7FD" w14:textId="3441BFE9" w:rsidR="009D1E95" w:rsidRPr="00046495" w:rsidRDefault="007B0970" w:rsidP="002E2630">
      <w:pPr>
        <w:tabs>
          <w:tab w:val="left" w:pos="380"/>
        </w:tabs>
        <w:spacing w:after="80" w:line="240" w:lineRule="auto"/>
        <w:ind w:left="540" w:hanging="540"/>
        <w:jc w:val="both"/>
        <w:rPr>
          <w:sz w:val="20"/>
          <w:szCs w:val="20"/>
          <w:lang w:val="es-ES"/>
        </w:rPr>
      </w:pPr>
      <w:r w:rsidRPr="00046495">
        <w:rPr>
          <w:sz w:val="20"/>
          <w:szCs w:val="20"/>
          <w:lang w:val="en-US"/>
        </w:rPr>
        <w:t xml:space="preserve">Hersh TA, Gero S, Rendell L, Cantor M, </w:t>
      </w:r>
      <w:proofErr w:type="spellStart"/>
      <w:r w:rsidRPr="00046495">
        <w:rPr>
          <w:sz w:val="20"/>
          <w:szCs w:val="20"/>
          <w:lang w:val="en-US"/>
        </w:rPr>
        <w:t>Weilgart</w:t>
      </w:r>
      <w:proofErr w:type="spellEnd"/>
      <w:r w:rsidRPr="00046495">
        <w:rPr>
          <w:sz w:val="20"/>
          <w:szCs w:val="20"/>
          <w:lang w:val="en-US"/>
        </w:rPr>
        <w:t xml:space="preserve"> L, et al. (2022). Evidence from sperm whale clans of symbolic marking in non-human cultures. </w:t>
      </w:r>
      <w:proofErr w:type="spellStart"/>
      <w:r w:rsidRPr="00046495">
        <w:rPr>
          <w:sz w:val="20"/>
          <w:szCs w:val="20"/>
          <w:lang w:val="es-ES"/>
        </w:rPr>
        <w:t>Proc</w:t>
      </w:r>
      <w:proofErr w:type="spellEnd"/>
      <w:r w:rsidRPr="00046495">
        <w:rPr>
          <w:sz w:val="20"/>
          <w:szCs w:val="20"/>
          <w:lang w:val="es-ES"/>
        </w:rPr>
        <w:t xml:space="preserve"> </w:t>
      </w:r>
      <w:proofErr w:type="spellStart"/>
      <w:r w:rsidRPr="00046495">
        <w:rPr>
          <w:sz w:val="20"/>
          <w:szCs w:val="20"/>
          <w:lang w:val="es-ES"/>
        </w:rPr>
        <w:t>Natl</w:t>
      </w:r>
      <w:proofErr w:type="spellEnd"/>
      <w:r w:rsidRPr="00046495">
        <w:rPr>
          <w:sz w:val="20"/>
          <w:szCs w:val="20"/>
          <w:lang w:val="es-ES"/>
        </w:rPr>
        <w:t xml:space="preserve"> Acad </w:t>
      </w:r>
      <w:proofErr w:type="spellStart"/>
      <w:r w:rsidRPr="00046495">
        <w:rPr>
          <w:sz w:val="20"/>
          <w:szCs w:val="20"/>
          <w:lang w:val="es-ES"/>
        </w:rPr>
        <w:t>Sci</w:t>
      </w:r>
      <w:proofErr w:type="spellEnd"/>
      <w:r w:rsidRPr="00046495">
        <w:rPr>
          <w:sz w:val="20"/>
          <w:szCs w:val="20"/>
          <w:lang w:val="es-ES"/>
        </w:rPr>
        <w:t xml:space="preserve"> USA 119: e2201692119. </w:t>
      </w:r>
      <w:r w:rsidR="00FE7B04" w:rsidRPr="00046495">
        <w:rPr>
          <w:sz w:val="20"/>
          <w:szCs w:val="20"/>
          <w:lang w:val="es-ES"/>
        </w:rPr>
        <w:t>https://doi.org/10.1073/pnas.2201692119</w:t>
      </w:r>
    </w:p>
    <w:p w14:paraId="658E4011" w14:textId="00CFE51F" w:rsidR="009D1E95" w:rsidRPr="00046495" w:rsidRDefault="009D1E95" w:rsidP="002E2630">
      <w:pPr>
        <w:tabs>
          <w:tab w:val="left" w:pos="380"/>
        </w:tabs>
        <w:spacing w:after="80" w:line="240" w:lineRule="auto"/>
        <w:ind w:left="540" w:hanging="540"/>
        <w:jc w:val="both"/>
        <w:rPr>
          <w:sz w:val="20"/>
          <w:szCs w:val="20"/>
          <w:lang w:val="en-US"/>
        </w:rPr>
      </w:pPr>
      <w:hyperlink r:id="rId30">
        <w:r w:rsidRPr="00046495">
          <w:rPr>
            <w:sz w:val="20"/>
            <w:szCs w:val="20"/>
            <w:lang w:val="en-US"/>
          </w:rPr>
          <w:t xml:space="preserve">Eguiguren A, Avila I, Mesnick S, Cantor M, Hersh T, Pérez-Puig H, Rosero P, Rendell L, Whitehead H, Rojas C, Alava JJ (2025) Integrating cultural dimensions in sperm whale ( </w:t>
        </w:r>
      </w:hyperlink>
      <w:hyperlink r:id="rId31">
        <w:r w:rsidRPr="00046495">
          <w:rPr>
            <w:i/>
            <w:sz w:val="20"/>
            <w:szCs w:val="20"/>
            <w:lang w:val="en-US"/>
          </w:rPr>
          <w:t>Physeter macrocephalus</w:t>
        </w:r>
      </w:hyperlink>
      <w:hyperlink r:id="rId32">
        <w:r w:rsidRPr="00046495">
          <w:rPr>
            <w:sz w:val="20"/>
            <w:szCs w:val="20"/>
            <w:lang w:val="en-US"/>
          </w:rPr>
          <w:t xml:space="preserve"> ) conservation: threats, challenges and solutions. Philos Trans R Soc B Biol Sci 380:20240142. </w:t>
        </w:r>
      </w:hyperlink>
      <w:r w:rsidR="00FE7B04" w:rsidRPr="00046495">
        <w:rPr>
          <w:sz w:val="20"/>
          <w:szCs w:val="20"/>
          <w:lang w:val="en-US"/>
        </w:rPr>
        <w:t xml:space="preserve">https://doi.org/10.1098/rstb.2024.0142 </w:t>
      </w:r>
    </w:p>
    <w:p w14:paraId="1D3CBDFF" w14:textId="0B56FE98" w:rsidR="009D1E95" w:rsidRPr="00046495" w:rsidRDefault="009D1E95" w:rsidP="002E2630">
      <w:pPr>
        <w:tabs>
          <w:tab w:val="left" w:pos="380"/>
        </w:tabs>
        <w:spacing w:after="80" w:line="240" w:lineRule="auto"/>
        <w:ind w:left="540" w:hanging="540"/>
        <w:jc w:val="both"/>
        <w:rPr>
          <w:sz w:val="20"/>
          <w:szCs w:val="20"/>
          <w:lang w:val="es-ES"/>
        </w:rPr>
      </w:pPr>
      <w:hyperlink r:id="rId33">
        <w:r w:rsidRPr="00046495">
          <w:rPr>
            <w:sz w:val="20"/>
            <w:szCs w:val="20"/>
            <w:lang w:val="en-US"/>
          </w:rPr>
          <w:t>Oliver M (2025) Identification of Galápagos sperm whale (</w:t>
        </w:r>
      </w:hyperlink>
      <w:hyperlink r:id="rId34">
        <w:r w:rsidRPr="00046495">
          <w:rPr>
            <w:i/>
            <w:sz w:val="20"/>
            <w:szCs w:val="20"/>
            <w:lang w:val="en-US"/>
          </w:rPr>
          <w:t>Physeter macrocephalus</w:t>
        </w:r>
      </w:hyperlink>
      <w:hyperlink r:id="rId35">
        <w:r w:rsidRPr="00046495">
          <w:rPr>
            <w:sz w:val="20"/>
            <w:szCs w:val="20"/>
            <w:lang w:val="en-US"/>
          </w:rPr>
          <w:t xml:space="preserve">) vocal clans in 2022-2023 using a novel automated coda detection software. </w:t>
        </w:r>
        <w:proofErr w:type="spellStart"/>
        <w:r w:rsidRPr="00046495">
          <w:rPr>
            <w:sz w:val="20"/>
            <w:szCs w:val="20"/>
            <w:lang w:val="es-ES"/>
          </w:rPr>
          <w:t>Honours</w:t>
        </w:r>
        <w:proofErr w:type="spellEnd"/>
        <w:r w:rsidRPr="00046495">
          <w:rPr>
            <w:sz w:val="20"/>
            <w:szCs w:val="20"/>
            <w:lang w:val="es-ES"/>
          </w:rPr>
          <w:t xml:space="preserve"> </w:t>
        </w:r>
        <w:proofErr w:type="spellStart"/>
        <w:r w:rsidRPr="00046495">
          <w:rPr>
            <w:sz w:val="20"/>
            <w:szCs w:val="20"/>
            <w:lang w:val="es-ES"/>
          </w:rPr>
          <w:t>Thesis</w:t>
        </w:r>
        <w:proofErr w:type="spellEnd"/>
        <w:r w:rsidRPr="00046495">
          <w:rPr>
            <w:sz w:val="20"/>
            <w:szCs w:val="20"/>
            <w:lang w:val="es-ES"/>
          </w:rPr>
          <w:t xml:space="preserve">, Dalhousie </w:t>
        </w:r>
        <w:proofErr w:type="spellStart"/>
        <w:r w:rsidRPr="00046495">
          <w:rPr>
            <w:sz w:val="20"/>
            <w:szCs w:val="20"/>
            <w:lang w:val="es-ES"/>
          </w:rPr>
          <w:t>University</w:t>
        </w:r>
        <w:proofErr w:type="spellEnd"/>
        <w:r w:rsidRPr="00046495">
          <w:rPr>
            <w:sz w:val="20"/>
            <w:szCs w:val="20"/>
            <w:lang w:val="es-ES"/>
          </w:rPr>
          <w:t xml:space="preserve">, Halifax, NS, Canada </w:t>
        </w:r>
      </w:hyperlink>
    </w:p>
    <w:p w14:paraId="5A043707" w14:textId="762B834E" w:rsidR="009D1E95" w:rsidRPr="00046495" w:rsidRDefault="007B0970" w:rsidP="002E2630">
      <w:pPr>
        <w:tabs>
          <w:tab w:val="left" w:pos="380"/>
        </w:tabs>
        <w:spacing w:after="80" w:line="240" w:lineRule="auto"/>
        <w:ind w:left="540" w:hanging="540"/>
        <w:jc w:val="both"/>
        <w:rPr>
          <w:sz w:val="20"/>
          <w:szCs w:val="20"/>
          <w:lang w:val="es-ES"/>
        </w:rPr>
      </w:pPr>
      <w:r w:rsidRPr="00046495">
        <w:rPr>
          <w:sz w:val="20"/>
          <w:szCs w:val="20"/>
          <w:lang w:val="es-ES"/>
        </w:rPr>
        <w:t xml:space="preserve">Pérez-Puig H, Arias Del Razo A, </w:t>
      </w:r>
      <w:proofErr w:type="spellStart"/>
      <w:r w:rsidRPr="00046495">
        <w:rPr>
          <w:sz w:val="20"/>
          <w:szCs w:val="20"/>
          <w:lang w:val="es-ES"/>
        </w:rPr>
        <w:t>Ahuatzin</w:t>
      </w:r>
      <w:proofErr w:type="spellEnd"/>
      <w:r w:rsidRPr="00046495">
        <w:rPr>
          <w:sz w:val="20"/>
          <w:szCs w:val="20"/>
          <w:lang w:val="es-ES"/>
        </w:rPr>
        <w:t xml:space="preserve"> </w:t>
      </w:r>
      <w:proofErr w:type="spellStart"/>
      <w:r w:rsidRPr="00046495">
        <w:rPr>
          <w:sz w:val="20"/>
          <w:szCs w:val="20"/>
          <w:lang w:val="es-ES"/>
        </w:rPr>
        <w:t>Gallardo</w:t>
      </w:r>
      <w:proofErr w:type="spellEnd"/>
      <w:r w:rsidRPr="00046495">
        <w:rPr>
          <w:sz w:val="20"/>
          <w:szCs w:val="20"/>
          <w:lang w:val="es-ES"/>
        </w:rPr>
        <w:t xml:space="preserve"> D, Bolaños J. (2024). </w:t>
      </w:r>
      <w:r w:rsidRPr="00046495">
        <w:rPr>
          <w:sz w:val="20"/>
          <w:szCs w:val="20"/>
          <w:lang w:val="en-US"/>
        </w:rPr>
        <w:t>The departure of sperm whales (</w:t>
      </w:r>
      <w:r w:rsidRPr="00046495">
        <w:rPr>
          <w:i/>
          <w:sz w:val="20"/>
          <w:szCs w:val="20"/>
          <w:lang w:val="en-US"/>
        </w:rPr>
        <w:t>Physeter macrocephalus</w:t>
      </w:r>
      <w:r w:rsidRPr="00046495">
        <w:rPr>
          <w:sz w:val="20"/>
          <w:szCs w:val="20"/>
          <w:lang w:val="en-US"/>
        </w:rPr>
        <w:t xml:space="preserve">) </w:t>
      </w:r>
      <w:proofErr w:type="gramStart"/>
      <w:r w:rsidRPr="00046495">
        <w:rPr>
          <w:sz w:val="20"/>
          <w:szCs w:val="20"/>
          <w:lang w:val="en-US"/>
        </w:rPr>
        <w:t>in</w:t>
      </w:r>
      <w:proofErr w:type="gramEnd"/>
      <w:r w:rsidRPr="00046495">
        <w:rPr>
          <w:sz w:val="20"/>
          <w:szCs w:val="20"/>
          <w:lang w:val="en-US"/>
        </w:rPr>
        <w:t xml:space="preserve"> response to the declining jumbo squid (</w:t>
      </w:r>
      <w:proofErr w:type="spellStart"/>
      <w:r w:rsidRPr="00046495">
        <w:rPr>
          <w:i/>
          <w:sz w:val="20"/>
          <w:szCs w:val="20"/>
          <w:lang w:val="en-US"/>
        </w:rPr>
        <w:t>Dosidicus</w:t>
      </w:r>
      <w:proofErr w:type="spellEnd"/>
      <w:r w:rsidRPr="00046495">
        <w:rPr>
          <w:i/>
          <w:sz w:val="20"/>
          <w:szCs w:val="20"/>
          <w:lang w:val="en-US"/>
        </w:rPr>
        <w:t xml:space="preserve"> gigas</w:t>
      </w:r>
      <w:r w:rsidRPr="00046495">
        <w:rPr>
          <w:sz w:val="20"/>
          <w:szCs w:val="20"/>
          <w:lang w:val="en-US"/>
        </w:rPr>
        <w:t xml:space="preserve">) population in the central portion of the Gulf of California. </w:t>
      </w:r>
      <w:proofErr w:type="spellStart"/>
      <w:r w:rsidRPr="00046495">
        <w:rPr>
          <w:sz w:val="20"/>
          <w:szCs w:val="20"/>
          <w:lang w:val="es-ES"/>
        </w:rPr>
        <w:t>PeerJ</w:t>
      </w:r>
      <w:proofErr w:type="spellEnd"/>
      <w:r w:rsidR="00FE7B04" w:rsidRPr="00046495">
        <w:rPr>
          <w:sz w:val="20"/>
          <w:szCs w:val="20"/>
          <w:lang w:val="es-ES"/>
        </w:rPr>
        <w:t xml:space="preserve"> </w:t>
      </w:r>
      <w:proofErr w:type="gramStart"/>
      <w:r w:rsidRPr="00046495">
        <w:rPr>
          <w:sz w:val="20"/>
          <w:szCs w:val="20"/>
          <w:lang w:val="es-ES"/>
        </w:rPr>
        <w:t>12:e</w:t>
      </w:r>
      <w:proofErr w:type="gramEnd"/>
      <w:r w:rsidRPr="00046495">
        <w:rPr>
          <w:sz w:val="20"/>
          <w:szCs w:val="20"/>
          <w:lang w:val="es-ES"/>
        </w:rPr>
        <w:t xml:space="preserve">18117 </w:t>
      </w:r>
      <w:r w:rsidRPr="00046495">
        <w:rPr>
          <w:color w:val="1155CC"/>
          <w:sz w:val="20"/>
          <w:szCs w:val="20"/>
          <w:u w:val="single"/>
          <w:lang w:val="es-ES"/>
        </w:rPr>
        <w:t>http</w:t>
      </w:r>
      <w:r w:rsidR="00FE7B04" w:rsidRPr="00046495">
        <w:rPr>
          <w:color w:val="1155CC"/>
          <w:sz w:val="20"/>
          <w:szCs w:val="20"/>
          <w:u w:val="single"/>
          <w:lang w:val="es-ES"/>
        </w:rPr>
        <w:t>s</w:t>
      </w:r>
      <w:r w:rsidRPr="00046495">
        <w:rPr>
          <w:color w:val="1155CC"/>
          <w:sz w:val="20"/>
          <w:szCs w:val="20"/>
          <w:u w:val="single"/>
          <w:lang w:val="es-ES"/>
        </w:rPr>
        <w:t>://doi.org/10.7717/peerj.18117</w:t>
      </w:r>
      <w:r w:rsidRPr="00046495">
        <w:rPr>
          <w:sz w:val="20"/>
          <w:szCs w:val="20"/>
          <w:lang w:val="es-ES"/>
        </w:rPr>
        <w:t xml:space="preserve">  </w:t>
      </w:r>
    </w:p>
    <w:p w14:paraId="6EBFDA90" w14:textId="61475850" w:rsidR="009D1E95" w:rsidRPr="0016650E" w:rsidRDefault="009D1E95" w:rsidP="002E2630">
      <w:pPr>
        <w:tabs>
          <w:tab w:val="left" w:pos="380"/>
        </w:tabs>
        <w:spacing w:after="0" w:line="240" w:lineRule="auto"/>
        <w:ind w:left="540" w:hanging="540"/>
        <w:jc w:val="both"/>
        <w:rPr>
          <w:lang w:val="es-ES"/>
        </w:rPr>
      </w:pPr>
      <w:hyperlink r:id="rId36">
        <w:r w:rsidRPr="00046495">
          <w:rPr>
            <w:sz w:val="20"/>
            <w:szCs w:val="20"/>
            <w:lang w:val="es-ES"/>
          </w:rPr>
          <w:t xml:space="preserve">Rosero P (2019) Guía Metodológica: Conformación de la Red Ecuatoriana de Respuesta a Varamientos y Rescate de Especies Marinas en Áreas Marinas y Costeras Protegidas del Ecuador. Subsecretaría de Gestión Marina y Costera, Ministerio del Ambiente de Ecuador, Quito, Ecuador. </w:t>
        </w:r>
      </w:hyperlink>
    </w:p>
    <w:p w14:paraId="5130AA0B" w14:textId="77777777" w:rsidR="009D1E95" w:rsidRPr="0016650E" w:rsidRDefault="009D1E95" w:rsidP="005F2497">
      <w:pPr>
        <w:spacing w:after="0" w:line="240" w:lineRule="auto"/>
        <w:ind w:left="851" w:hanging="851"/>
        <w:rPr>
          <w:lang w:val="es-ES"/>
        </w:rPr>
      </w:pPr>
    </w:p>
    <w:p w14:paraId="4909FFCE" w14:textId="250EE702" w:rsidR="002E2630" w:rsidRPr="0016650E" w:rsidRDefault="002E2630">
      <w:pPr>
        <w:rPr>
          <w:lang w:val="es-ES"/>
        </w:rPr>
      </w:pPr>
      <w:r w:rsidRPr="0016650E">
        <w:rPr>
          <w:lang w:val="es-ES"/>
        </w:rPr>
        <w:br w:type="page"/>
      </w:r>
    </w:p>
    <w:p w14:paraId="47C0F04C" w14:textId="77777777" w:rsidR="00C71F37" w:rsidRPr="0016650E" w:rsidRDefault="00C71F37" w:rsidP="005F2497">
      <w:pPr>
        <w:spacing w:after="0" w:line="240" w:lineRule="auto"/>
        <w:ind w:left="851" w:hanging="851"/>
        <w:rPr>
          <w:lang w:val="es-ES"/>
        </w:rPr>
      </w:pPr>
    </w:p>
    <w:p w14:paraId="52F838D8" w14:textId="77777777" w:rsidR="009D1E95" w:rsidRPr="0016650E" w:rsidRDefault="007B0970" w:rsidP="00046495">
      <w:pPr>
        <w:spacing w:after="0" w:line="240" w:lineRule="auto"/>
        <w:rPr>
          <w:lang w:val="es-ES"/>
        </w:rPr>
      </w:pPr>
      <w:r w:rsidRPr="0016650E">
        <w:rPr>
          <w:lang w:val="es-ES"/>
        </w:rPr>
        <w:t>ACCIÓN</w:t>
      </w:r>
    </w:p>
    <w:p w14:paraId="17A98FF0" w14:textId="77777777" w:rsidR="009D1E95" w:rsidRPr="0016650E" w:rsidRDefault="009D1E95" w:rsidP="005F2497">
      <w:pPr>
        <w:spacing w:after="0" w:line="240" w:lineRule="auto"/>
        <w:ind w:left="706"/>
        <w:rPr>
          <w:lang w:val="es-ES"/>
        </w:rPr>
      </w:pPr>
    </w:p>
    <w:p w14:paraId="70AEA1F3" w14:textId="524DAFB4" w:rsidR="009D1E95" w:rsidRPr="0016650E" w:rsidRDefault="007B0970" w:rsidP="005F2497">
      <w:pPr>
        <w:spacing w:after="0" w:line="240" w:lineRule="auto"/>
        <w:rPr>
          <w:lang w:val="es-ES"/>
        </w:rPr>
      </w:pPr>
      <w:r w:rsidRPr="0016650E">
        <w:rPr>
          <w:lang w:val="es-ES"/>
        </w:rPr>
        <w:t>A la luz de las cuestiones pendientes, proponemos la continuación de esta Acción Concertada (véase CMS/COP15/</w:t>
      </w:r>
      <w:hyperlink r:id="rId37" w:history="1">
        <w:r w:rsidR="003077A5" w:rsidRPr="003077A5">
          <w:rPr>
            <w:rStyle w:val="Hyperlink"/>
            <w:lang w:val="es-ES"/>
          </w:rPr>
          <w:t>CMS/COP15/Doc.31.3.6</w:t>
        </w:r>
      </w:hyperlink>
      <w:r w:rsidR="009C395F" w:rsidRPr="0016650E">
        <w:rPr>
          <w:lang w:val="es-ES"/>
        </w:rPr>
        <w:t>)</w:t>
      </w:r>
      <w:r w:rsidRPr="0016650E">
        <w:rPr>
          <w:lang w:val="es-ES"/>
        </w:rPr>
        <w:t>.</w:t>
      </w:r>
    </w:p>
    <w:p w14:paraId="568EAE04" w14:textId="77777777" w:rsidR="00C71F37" w:rsidRPr="0016650E" w:rsidRDefault="00C71F37" w:rsidP="005F2497">
      <w:pPr>
        <w:spacing w:after="0" w:line="240" w:lineRule="auto"/>
        <w:rPr>
          <w:lang w:val="es-ES"/>
        </w:rPr>
      </w:pPr>
    </w:p>
    <w:p w14:paraId="0E60DEB6" w14:textId="77777777" w:rsidR="00C71F37" w:rsidRPr="0016650E" w:rsidRDefault="00C71F37" w:rsidP="005F2497">
      <w:pPr>
        <w:spacing w:after="0" w:line="240" w:lineRule="auto"/>
        <w:rPr>
          <w:lang w:val="es-ES"/>
        </w:rPr>
      </w:pPr>
    </w:p>
    <w:p w14:paraId="5F039904" w14:textId="77777777" w:rsidR="00C71F37" w:rsidRPr="0016650E" w:rsidRDefault="00C71F37" w:rsidP="005F2497">
      <w:pPr>
        <w:spacing w:after="0" w:line="240" w:lineRule="auto"/>
        <w:rPr>
          <w:lang w:val="es-ES"/>
        </w:rPr>
        <w:sectPr w:rsidR="00C71F37" w:rsidRPr="0016650E" w:rsidSect="006E03F6">
          <w:headerReference w:type="even" r:id="rId38"/>
          <w:headerReference w:type="default" r:id="rId39"/>
          <w:footerReference w:type="even" r:id="rId40"/>
          <w:footerReference w:type="default" r:id="rId41"/>
          <w:headerReference w:type="first" r:id="rId42"/>
          <w:footerReference w:type="first" r:id="rId43"/>
          <w:type w:val="continuous"/>
          <w:pgSz w:w="11905" w:h="16837"/>
          <w:pgMar w:top="1440" w:right="1440" w:bottom="1440" w:left="1440" w:header="630" w:footer="432" w:gutter="0"/>
          <w:cols w:space="720"/>
          <w:titlePg/>
          <w:docGrid w:linePitch="299"/>
        </w:sectPr>
      </w:pPr>
    </w:p>
    <w:p w14:paraId="28121C73" w14:textId="77777777" w:rsidR="009D1E95" w:rsidRPr="0016650E" w:rsidRDefault="007B0970" w:rsidP="005F2497">
      <w:pPr>
        <w:spacing w:after="0" w:line="240" w:lineRule="auto"/>
        <w:rPr>
          <w:b/>
          <w:lang w:val="es-ES"/>
        </w:rPr>
      </w:pPr>
      <w:r w:rsidRPr="0016650E">
        <w:rPr>
          <w:b/>
          <w:lang w:val="es-ES"/>
        </w:rPr>
        <w:lastRenderedPageBreak/>
        <w:t>Tablas y Figuras</w:t>
      </w:r>
    </w:p>
    <w:p w14:paraId="35F44439" w14:textId="77777777" w:rsidR="00C71F37" w:rsidRPr="0016650E" w:rsidRDefault="00C71F37" w:rsidP="005F2497">
      <w:pPr>
        <w:spacing w:after="0" w:line="240" w:lineRule="auto"/>
        <w:rPr>
          <w:b/>
          <w:lang w:val="es-ES"/>
        </w:rPr>
      </w:pPr>
    </w:p>
    <w:p w14:paraId="59DA3421" w14:textId="77777777" w:rsidR="009D1E95" w:rsidRPr="0016650E" w:rsidRDefault="007B0970" w:rsidP="005F2497">
      <w:pPr>
        <w:spacing w:after="0" w:line="240" w:lineRule="auto"/>
        <w:rPr>
          <w:lang w:val="es-ES"/>
        </w:rPr>
      </w:pPr>
      <w:r w:rsidRPr="0016650E">
        <w:rPr>
          <w:noProof/>
          <w:lang w:val="es-ES" w:eastAsia="es-ES"/>
        </w:rPr>
        <w:drawing>
          <wp:inline distT="114300" distB="114300" distL="114300" distR="114300" wp14:anchorId="39B9B034" wp14:editId="23A996AE">
            <wp:extent cx="4271963" cy="3775223"/>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4"/>
                    <a:srcRect/>
                    <a:stretch>
                      <a:fillRect/>
                    </a:stretch>
                  </pic:blipFill>
                  <pic:spPr>
                    <a:xfrm>
                      <a:off x="0" y="0"/>
                      <a:ext cx="4271963" cy="3775223"/>
                    </a:xfrm>
                    <a:prstGeom prst="rect">
                      <a:avLst/>
                    </a:prstGeom>
                    <a:ln/>
                  </pic:spPr>
                </pic:pic>
              </a:graphicData>
            </a:graphic>
          </wp:inline>
        </w:drawing>
      </w:r>
    </w:p>
    <w:p w14:paraId="59B58351" w14:textId="77777777" w:rsidR="00C71F37" w:rsidRPr="0016650E" w:rsidRDefault="00C71F37" w:rsidP="005F2497">
      <w:pPr>
        <w:spacing w:after="0" w:line="240" w:lineRule="auto"/>
        <w:rPr>
          <w:b/>
          <w:lang w:val="es-ES"/>
        </w:rPr>
      </w:pPr>
    </w:p>
    <w:p w14:paraId="230EB35A" w14:textId="354CADD5" w:rsidR="009D1E95" w:rsidRPr="0016650E" w:rsidRDefault="007B0970" w:rsidP="002E2630">
      <w:pPr>
        <w:spacing w:after="0" w:line="240" w:lineRule="auto"/>
        <w:jc w:val="both"/>
        <w:rPr>
          <w:sz w:val="20"/>
          <w:szCs w:val="20"/>
          <w:lang w:val="es-ES"/>
        </w:rPr>
      </w:pPr>
      <w:r w:rsidRPr="0016650E">
        <w:rPr>
          <w:b/>
          <w:sz w:val="20"/>
          <w:szCs w:val="20"/>
          <w:lang w:val="es-ES"/>
        </w:rPr>
        <w:t>Figura 1.</w:t>
      </w:r>
      <w:r w:rsidRPr="0016650E">
        <w:rPr>
          <w:rFonts w:eastAsia="Arial Unicode MS"/>
          <w:sz w:val="20"/>
          <w:szCs w:val="20"/>
          <w:lang w:val="es-ES"/>
        </w:rPr>
        <w:t xml:space="preserve"> Mapas de riesgo para cachalotes en el PTO. El riesgo acumulado se estimó como la intersección entre las amenazas documentadas entre 1991 y 2024 y el hábitat principal modelizado de la especie. Las celdas rojas muestran áreas de alto riesgo en las que se detectaron al menos tres amenazas por celda (N de amenazas = 5 y umbral de probabilidad de presencia de cachalotes ≥ 0,6 según el modelo de hábitat de </w:t>
      </w:r>
      <w:proofErr w:type="spellStart"/>
      <w:r w:rsidRPr="0016650E">
        <w:rPr>
          <w:rFonts w:eastAsia="Arial Unicode MS"/>
          <w:sz w:val="20"/>
          <w:szCs w:val="20"/>
          <w:lang w:val="es-ES"/>
        </w:rPr>
        <w:t>AquaMaps</w:t>
      </w:r>
      <w:proofErr w:type="spellEnd"/>
      <w:r w:rsidRPr="0016650E">
        <w:rPr>
          <w:rFonts w:eastAsia="Arial Unicode MS"/>
          <w:sz w:val="20"/>
          <w:szCs w:val="20"/>
          <w:lang w:val="es-ES"/>
        </w:rPr>
        <w:t xml:space="preserve">). La región azul representa el hábitat principal de los cachalotes donde no se han documentado amenazas. (Extraído de Eguiguren et al. 2025). </w:t>
      </w:r>
    </w:p>
    <w:p w14:paraId="0603439D" w14:textId="77777777" w:rsidR="009D1E95" w:rsidRPr="0016650E" w:rsidRDefault="007B0970" w:rsidP="005F2497">
      <w:pPr>
        <w:spacing w:after="0" w:line="240" w:lineRule="auto"/>
        <w:rPr>
          <w:lang w:val="es-ES"/>
        </w:rPr>
      </w:pPr>
      <w:r w:rsidRPr="0016650E">
        <w:rPr>
          <w:noProof/>
          <w:lang w:val="es-ES" w:eastAsia="es-ES"/>
        </w:rPr>
        <w:lastRenderedPageBreak/>
        <w:drawing>
          <wp:inline distT="114300" distB="114300" distL="114300" distR="114300" wp14:anchorId="3C06583E" wp14:editId="5A7423DB">
            <wp:extent cx="4210483" cy="4880942"/>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5"/>
                    <a:srcRect/>
                    <a:stretch>
                      <a:fillRect/>
                    </a:stretch>
                  </pic:blipFill>
                  <pic:spPr>
                    <a:xfrm>
                      <a:off x="0" y="0"/>
                      <a:ext cx="4210483" cy="4880942"/>
                    </a:xfrm>
                    <a:prstGeom prst="rect">
                      <a:avLst/>
                    </a:prstGeom>
                    <a:ln/>
                  </pic:spPr>
                </pic:pic>
              </a:graphicData>
            </a:graphic>
          </wp:inline>
        </w:drawing>
      </w:r>
    </w:p>
    <w:p w14:paraId="5A46A018" w14:textId="77777777" w:rsidR="00C71F37" w:rsidRPr="0016650E" w:rsidRDefault="00C71F37" w:rsidP="005F2497">
      <w:pPr>
        <w:spacing w:after="0" w:line="240" w:lineRule="auto"/>
        <w:rPr>
          <w:b/>
          <w:lang w:val="es-ES"/>
        </w:rPr>
      </w:pPr>
    </w:p>
    <w:p w14:paraId="46458F30" w14:textId="237BAA72" w:rsidR="009D1E95" w:rsidRPr="0016650E" w:rsidRDefault="007B0970" w:rsidP="002E2630">
      <w:pPr>
        <w:spacing w:after="0" w:line="240" w:lineRule="auto"/>
        <w:jc w:val="both"/>
        <w:rPr>
          <w:sz w:val="20"/>
          <w:szCs w:val="20"/>
          <w:lang w:val="es-ES"/>
        </w:rPr>
      </w:pPr>
      <w:r w:rsidRPr="0016650E">
        <w:rPr>
          <w:b/>
          <w:sz w:val="20"/>
          <w:szCs w:val="20"/>
          <w:lang w:val="es-ES"/>
        </w:rPr>
        <w:t>Figura 2.</w:t>
      </w:r>
      <w:r w:rsidRPr="0016650E">
        <w:rPr>
          <w:sz w:val="20"/>
          <w:szCs w:val="20"/>
          <w:lang w:val="es-ES"/>
        </w:rPr>
        <w:t xml:space="preserve"> Avistamientos de cachalotes en el PTO y sus alrededores registrados en </w:t>
      </w:r>
      <w:proofErr w:type="spellStart"/>
      <w:r w:rsidRPr="0016650E">
        <w:rPr>
          <w:sz w:val="20"/>
          <w:szCs w:val="20"/>
          <w:lang w:val="es-ES"/>
        </w:rPr>
        <w:t>iNaturalist</w:t>
      </w:r>
      <w:proofErr w:type="spellEnd"/>
      <w:r w:rsidRPr="0016650E">
        <w:rPr>
          <w:sz w:val="20"/>
          <w:szCs w:val="20"/>
          <w:lang w:val="es-ES"/>
        </w:rPr>
        <w:t xml:space="preserve"> (en rojo). </w:t>
      </w:r>
      <w:hyperlink r:id="rId46">
        <w:r w:rsidR="009D1E95" w:rsidRPr="0016650E">
          <w:rPr>
            <w:color w:val="1155CC"/>
            <w:sz w:val="20"/>
            <w:szCs w:val="20"/>
            <w:u w:val="single"/>
            <w:lang w:val="es-ES"/>
          </w:rPr>
          <w:t>https://www.inaturalist.org/observations?preferred_place_id=7196&amp;subview=map&amp;taxon_id=74890</w:t>
        </w:r>
      </w:hyperlink>
      <w:r w:rsidRPr="0016650E">
        <w:rPr>
          <w:sz w:val="20"/>
          <w:szCs w:val="20"/>
          <w:lang w:val="es-ES"/>
        </w:rPr>
        <w:t xml:space="preserve"> (consultado el 27 de septiembre de 2025)</w:t>
      </w:r>
    </w:p>
    <w:p w14:paraId="47B4FCF2" w14:textId="77777777" w:rsidR="00C71F37" w:rsidRPr="0016650E" w:rsidRDefault="00C71F37" w:rsidP="005F2497">
      <w:pPr>
        <w:spacing w:after="0" w:line="240" w:lineRule="auto"/>
        <w:rPr>
          <w:b/>
          <w:lang w:val="es-ES"/>
        </w:rPr>
      </w:pPr>
      <w:r w:rsidRPr="0016650E">
        <w:rPr>
          <w:b/>
          <w:lang w:val="es-ES"/>
        </w:rPr>
        <w:br w:type="page"/>
      </w:r>
    </w:p>
    <w:p w14:paraId="75930445" w14:textId="7A944A57" w:rsidR="009D1E95" w:rsidRPr="0016650E" w:rsidRDefault="007B0970" w:rsidP="005F2497">
      <w:pPr>
        <w:spacing w:after="0" w:line="240" w:lineRule="auto"/>
        <w:rPr>
          <w:lang w:val="es-ES"/>
        </w:rPr>
      </w:pPr>
      <w:r w:rsidRPr="0016650E">
        <w:rPr>
          <w:b/>
          <w:lang w:val="es-ES"/>
        </w:rPr>
        <w:lastRenderedPageBreak/>
        <w:t>Tabla 1.</w:t>
      </w:r>
      <w:r w:rsidRPr="0016650E">
        <w:rPr>
          <w:lang w:val="es-ES"/>
        </w:rPr>
        <w:t xml:space="preserve"> Presencia de clanes por año en el PTO basada en Hersh et al. (2022) con resultados preliminares de Oliver (2025) para 2022 y 2023. Las abreviaturas de ubicación son: C = norte de Chile, E = Ecuador, G = islas Galápagos y P = Perú.</w:t>
      </w:r>
    </w:p>
    <w:p w14:paraId="381B8444" w14:textId="77777777" w:rsidR="00C71F37" w:rsidRPr="0016650E" w:rsidRDefault="00C71F37" w:rsidP="005F2497">
      <w:pPr>
        <w:spacing w:after="0" w:line="240" w:lineRule="auto"/>
        <w:rPr>
          <w:lang w:val="es-ES"/>
        </w:rPr>
      </w:pPr>
    </w:p>
    <w:tbl>
      <w:tblPr>
        <w:tblStyle w:val="a0"/>
        <w:tblW w:w="108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15"/>
        <w:gridCol w:w="690"/>
        <w:gridCol w:w="690"/>
        <w:gridCol w:w="705"/>
        <w:gridCol w:w="735"/>
        <w:gridCol w:w="705"/>
        <w:gridCol w:w="705"/>
        <w:gridCol w:w="690"/>
        <w:gridCol w:w="660"/>
        <w:gridCol w:w="690"/>
        <w:gridCol w:w="675"/>
        <w:gridCol w:w="690"/>
        <w:gridCol w:w="735"/>
        <w:gridCol w:w="660"/>
      </w:tblGrid>
      <w:tr w:rsidR="009D1E95" w:rsidRPr="0016650E" w14:paraId="0DB671BF" w14:textId="77777777">
        <w:trPr>
          <w:trHeight w:val="375"/>
          <w:jc w:val="center"/>
        </w:trPr>
        <w:tc>
          <w:tcPr>
            <w:tcW w:w="181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17B11F" w14:textId="77777777" w:rsidR="009D1E95" w:rsidRPr="0016650E" w:rsidRDefault="007B0970" w:rsidP="005F2497">
            <w:pPr>
              <w:spacing w:after="0" w:line="240" w:lineRule="auto"/>
              <w:rPr>
                <w:b/>
                <w:lang w:val="es-ES"/>
              </w:rPr>
            </w:pPr>
            <w:r w:rsidRPr="0016650E">
              <w:rPr>
                <w:lang w:val="es-ES"/>
              </w:rPr>
              <w:t xml:space="preserve"> </w:t>
            </w:r>
            <w:r w:rsidRPr="0016650E">
              <w:rPr>
                <w:b/>
                <w:lang w:val="es-ES"/>
              </w:rPr>
              <w:t>Clan/año</w:t>
            </w:r>
          </w:p>
        </w:tc>
        <w:tc>
          <w:tcPr>
            <w:tcW w:w="6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BF2B506" w14:textId="77777777" w:rsidR="009D1E95" w:rsidRPr="004B1621" w:rsidRDefault="007B0970" w:rsidP="005F2497">
            <w:pPr>
              <w:spacing w:after="0" w:line="240" w:lineRule="auto"/>
              <w:rPr>
                <w:b/>
                <w:lang w:val="es-ES"/>
              </w:rPr>
            </w:pPr>
            <w:r w:rsidRPr="004B1621">
              <w:rPr>
                <w:b/>
                <w:lang w:val="es-ES"/>
              </w:rPr>
              <w:t>1978</w:t>
            </w:r>
          </w:p>
        </w:tc>
        <w:tc>
          <w:tcPr>
            <w:tcW w:w="6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9177AF3" w14:textId="77777777" w:rsidR="009D1E95" w:rsidRPr="004B1621" w:rsidRDefault="007B0970" w:rsidP="005F2497">
            <w:pPr>
              <w:spacing w:after="0" w:line="240" w:lineRule="auto"/>
              <w:rPr>
                <w:b/>
                <w:lang w:val="es-ES"/>
              </w:rPr>
            </w:pPr>
            <w:r w:rsidRPr="004B1621">
              <w:rPr>
                <w:b/>
                <w:lang w:val="es-ES"/>
              </w:rPr>
              <w:t>1985</w:t>
            </w:r>
          </w:p>
        </w:tc>
        <w:tc>
          <w:tcPr>
            <w:tcW w:w="70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4D498F7" w14:textId="77777777" w:rsidR="009D1E95" w:rsidRPr="004B1621" w:rsidRDefault="007B0970" w:rsidP="005F2497">
            <w:pPr>
              <w:spacing w:after="0" w:line="240" w:lineRule="auto"/>
              <w:rPr>
                <w:b/>
                <w:lang w:val="es-ES"/>
              </w:rPr>
            </w:pPr>
            <w:r w:rsidRPr="004B1621">
              <w:rPr>
                <w:b/>
                <w:lang w:val="es-ES"/>
              </w:rPr>
              <w:t>1987</w:t>
            </w:r>
          </w:p>
        </w:tc>
        <w:tc>
          <w:tcPr>
            <w:tcW w:w="73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AFD09A8" w14:textId="77777777" w:rsidR="009D1E95" w:rsidRPr="004B1621" w:rsidRDefault="007B0970" w:rsidP="005F2497">
            <w:pPr>
              <w:spacing w:after="0" w:line="240" w:lineRule="auto"/>
              <w:rPr>
                <w:b/>
                <w:lang w:val="es-ES"/>
              </w:rPr>
            </w:pPr>
            <w:r w:rsidRPr="004B1621">
              <w:rPr>
                <w:b/>
                <w:lang w:val="es-ES"/>
              </w:rPr>
              <w:t>1989</w:t>
            </w:r>
          </w:p>
        </w:tc>
        <w:tc>
          <w:tcPr>
            <w:tcW w:w="70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8684846" w14:textId="77777777" w:rsidR="009D1E95" w:rsidRPr="004B1621" w:rsidRDefault="007B0970" w:rsidP="005F2497">
            <w:pPr>
              <w:spacing w:after="0" w:line="240" w:lineRule="auto"/>
              <w:rPr>
                <w:b/>
                <w:lang w:val="es-ES"/>
              </w:rPr>
            </w:pPr>
            <w:r w:rsidRPr="004B1621">
              <w:rPr>
                <w:b/>
                <w:lang w:val="es-ES"/>
              </w:rPr>
              <w:t>1991</w:t>
            </w:r>
          </w:p>
        </w:tc>
        <w:tc>
          <w:tcPr>
            <w:tcW w:w="70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3A981E4" w14:textId="77777777" w:rsidR="009D1E95" w:rsidRPr="004B1621" w:rsidRDefault="007B0970" w:rsidP="005F2497">
            <w:pPr>
              <w:spacing w:after="0" w:line="240" w:lineRule="auto"/>
              <w:rPr>
                <w:b/>
                <w:lang w:val="es-ES"/>
              </w:rPr>
            </w:pPr>
            <w:r w:rsidRPr="004B1621">
              <w:rPr>
                <w:b/>
                <w:lang w:val="es-ES"/>
              </w:rPr>
              <w:t>1993</w:t>
            </w:r>
          </w:p>
        </w:tc>
        <w:tc>
          <w:tcPr>
            <w:tcW w:w="6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8E8E735" w14:textId="77777777" w:rsidR="009D1E95" w:rsidRPr="004B1621" w:rsidRDefault="007B0970" w:rsidP="005F2497">
            <w:pPr>
              <w:spacing w:after="0" w:line="240" w:lineRule="auto"/>
              <w:rPr>
                <w:b/>
                <w:lang w:val="es-ES"/>
              </w:rPr>
            </w:pPr>
            <w:r w:rsidRPr="004B1621">
              <w:rPr>
                <w:b/>
                <w:lang w:val="es-ES"/>
              </w:rPr>
              <w:t>1995</w:t>
            </w:r>
          </w:p>
        </w:tc>
        <w:tc>
          <w:tcPr>
            <w:tcW w:w="66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9FAE53A" w14:textId="77777777" w:rsidR="009D1E95" w:rsidRPr="004B1621" w:rsidRDefault="007B0970" w:rsidP="005F2497">
            <w:pPr>
              <w:spacing w:after="0" w:line="240" w:lineRule="auto"/>
              <w:rPr>
                <w:b/>
                <w:lang w:val="es-ES"/>
              </w:rPr>
            </w:pPr>
            <w:r w:rsidRPr="004B1621">
              <w:rPr>
                <w:b/>
                <w:lang w:val="es-ES"/>
              </w:rPr>
              <w:t>1999</w:t>
            </w:r>
          </w:p>
        </w:tc>
        <w:tc>
          <w:tcPr>
            <w:tcW w:w="6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938970B" w14:textId="77777777" w:rsidR="009D1E95" w:rsidRPr="004B1621" w:rsidRDefault="007B0970" w:rsidP="005F2497">
            <w:pPr>
              <w:spacing w:after="0" w:line="240" w:lineRule="auto"/>
              <w:rPr>
                <w:b/>
                <w:lang w:val="es-ES"/>
              </w:rPr>
            </w:pPr>
            <w:r w:rsidRPr="004B1621">
              <w:rPr>
                <w:b/>
                <w:lang w:val="es-ES"/>
              </w:rPr>
              <w:t>2000</w:t>
            </w:r>
          </w:p>
        </w:tc>
        <w:tc>
          <w:tcPr>
            <w:tcW w:w="67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B076AF3" w14:textId="77777777" w:rsidR="009D1E95" w:rsidRPr="004B1621" w:rsidRDefault="007B0970" w:rsidP="005F2497">
            <w:pPr>
              <w:spacing w:after="0" w:line="240" w:lineRule="auto"/>
              <w:rPr>
                <w:b/>
                <w:lang w:val="es-ES"/>
              </w:rPr>
            </w:pPr>
            <w:r w:rsidRPr="004B1621">
              <w:rPr>
                <w:b/>
                <w:lang w:val="es-ES"/>
              </w:rPr>
              <w:t>2013</w:t>
            </w:r>
          </w:p>
        </w:tc>
        <w:tc>
          <w:tcPr>
            <w:tcW w:w="6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69E999D" w14:textId="77777777" w:rsidR="009D1E95" w:rsidRPr="004B1621" w:rsidRDefault="007B0970" w:rsidP="005F2497">
            <w:pPr>
              <w:spacing w:after="0" w:line="240" w:lineRule="auto"/>
              <w:rPr>
                <w:b/>
                <w:lang w:val="es-ES"/>
              </w:rPr>
            </w:pPr>
            <w:r w:rsidRPr="004B1621">
              <w:rPr>
                <w:b/>
                <w:lang w:val="es-ES"/>
              </w:rPr>
              <w:t>2014</w:t>
            </w:r>
          </w:p>
        </w:tc>
        <w:tc>
          <w:tcPr>
            <w:tcW w:w="73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D77CB65" w14:textId="77777777" w:rsidR="009D1E95" w:rsidRPr="004B1621" w:rsidRDefault="007B0970" w:rsidP="005F2497">
            <w:pPr>
              <w:spacing w:after="0" w:line="240" w:lineRule="auto"/>
              <w:rPr>
                <w:b/>
                <w:lang w:val="es-ES"/>
              </w:rPr>
            </w:pPr>
            <w:r w:rsidRPr="004B1621">
              <w:rPr>
                <w:b/>
                <w:lang w:val="es-ES"/>
              </w:rPr>
              <w:t>2022</w:t>
            </w:r>
          </w:p>
        </w:tc>
        <w:tc>
          <w:tcPr>
            <w:tcW w:w="66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7C28D60" w14:textId="77777777" w:rsidR="009D1E95" w:rsidRPr="004B1621" w:rsidRDefault="007B0970" w:rsidP="005F2497">
            <w:pPr>
              <w:spacing w:after="0" w:line="240" w:lineRule="auto"/>
              <w:rPr>
                <w:b/>
                <w:lang w:val="es-ES"/>
              </w:rPr>
            </w:pPr>
            <w:r w:rsidRPr="004B1621">
              <w:rPr>
                <w:b/>
                <w:lang w:val="es-ES"/>
              </w:rPr>
              <w:t>2023</w:t>
            </w:r>
          </w:p>
        </w:tc>
      </w:tr>
      <w:tr w:rsidR="009D1E95" w:rsidRPr="0016650E" w14:paraId="261FD372" w14:textId="77777777">
        <w:trPr>
          <w:trHeight w:val="390"/>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B366602" w14:textId="77777777" w:rsidR="009D1E95" w:rsidRPr="0016650E" w:rsidRDefault="007B0970" w:rsidP="005F2497">
            <w:pPr>
              <w:spacing w:after="0" w:line="240" w:lineRule="auto"/>
              <w:rPr>
                <w:b/>
                <w:lang w:val="es-ES"/>
              </w:rPr>
            </w:pPr>
            <w:proofErr w:type="spellStart"/>
            <w:r w:rsidRPr="0016650E">
              <w:rPr>
                <w:b/>
                <w:lang w:val="es-ES"/>
              </w:rPr>
              <w:t>Four</w:t>
            </w:r>
            <w:proofErr w:type="spellEnd"/>
            <w:r w:rsidRPr="0016650E">
              <w:rPr>
                <w:b/>
                <w:lang w:val="es-ES"/>
              </w:rPr>
              <w:t>-Plus</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60F4285A"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11BCE56E" w14:textId="77777777" w:rsidR="009D1E95" w:rsidRPr="004B1621" w:rsidRDefault="007B0970" w:rsidP="005F2497">
            <w:pPr>
              <w:spacing w:after="0" w:line="240" w:lineRule="auto"/>
              <w:rPr>
                <w:lang w:val="es-ES"/>
              </w:rPr>
            </w:pPr>
            <w:r w:rsidRPr="004B1621">
              <w:rPr>
                <w:lang w:val="es-ES"/>
              </w:rPr>
              <w:t>E</w:t>
            </w:r>
          </w:p>
        </w:tc>
        <w:tc>
          <w:tcPr>
            <w:tcW w:w="705" w:type="dxa"/>
            <w:tcBorders>
              <w:top w:val="nil"/>
              <w:left w:val="nil"/>
              <w:bottom w:val="single" w:sz="7" w:space="0" w:color="000000"/>
              <w:right w:val="single" w:sz="7" w:space="0" w:color="000000"/>
            </w:tcBorders>
            <w:tcMar>
              <w:top w:w="100" w:type="dxa"/>
              <w:left w:w="100" w:type="dxa"/>
              <w:bottom w:w="100" w:type="dxa"/>
              <w:right w:w="100" w:type="dxa"/>
            </w:tcMar>
          </w:tcPr>
          <w:p w14:paraId="16BA738C" w14:textId="77777777" w:rsidR="009D1E95" w:rsidRPr="004B1621" w:rsidRDefault="007B0970" w:rsidP="005F2497">
            <w:pPr>
              <w:spacing w:after="0" w:line="240" w:lineRule="auto"/>
              <w:rPr>
                <w:lang w:val="es-ES"/>
              </w:rPr>
            </w:pPr>
            <w:r w:rsidRPr="004B1621">
              <w:rPr>
                <w:lang w:val="es-ES"/>
              </w:rPr>
              <w:t xml:space="preserve"> </w:t>
            </w:r>
          </w:p>
        </w:tc>
        <w:tc>
          <w:tcPr>
            <w:tcW w:w="735"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09EF7963"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43106EEE"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687C817E" w14:textId="77777777" w:rsidR="009D1E95" w:rsidRPr="004B1621" w:rsidRDefault="007B0970" w:rsidP="005F2497">
            <w:pPr>
              <w:spacing w:after="0" w:line="240" w:lineRule="auto"/>
              <w:rPr>
                <w:lang w:val="es-ES"/>
              </w:rPr>
            </w:pPr>
            <w:r w:rsidRPr="004B1621">
              <w:rPr>
                <w:lang w:val="es-ES"/>
              </w:rPr>
              <w:t>C, P</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0B80A13C" w14:textId="77777777" w:rsidR="009D1E95" w:rsidRPr="004B1621" w:rsidRDefault="007B0970" w:rsidP="005F2497">
            <w:pPr>
              <w:spacing w:after="0" w:line="240" w:lineRule="auto"/>
              <w:rPr>
                <w:lang w:val="es-ES"/>
              </w:rPr>
            </w:pPr>
            <w:r w:rsidRPr="004B1621">
              <w:rPr>
                <w:lang w:val="es-ES"/>
              </w:rPr>
              <w:t xml:space="preserve"> </w:t>
            </w: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60B621D5"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463CDA92" w14:textId="77777777" w:rsidR="009D1E95" w:rsidRPr="004B1621" w:rsidRDefault="007B0970" w:rsidP="005F2497">
            <w:pPr>
              <w:spacing w:after="0" w:line="240" w:lineRule="auto"/>
              <w:rPr>
                <w:lang w:val="es-ES"/>
              </w:rPr>
            </w:pPr>
            <w:r w:rsidRPr="004B1621">
              <w:rPr>
                <w:lang w:val="es-ES"/>
              </w:rPr>
              <w:t>C</w:t>
            </w:r>
          </w:p>
        </w:tc>
        <w:tc>
          <w:tcPr>
            <w:tcW w:w="675"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2799E5FD" w14:textId="77777777" w:rsidR="009D1E95" w:rsidRPr="004B1621" w:rsidRDefault="007B0970" w:rsidP="005F2497">
            <w:pPr>
              <w:spacing w:after="0" w:line="240" w:lineRule="auto"/>
              <w:rPr>
                <w:lang w:val="es-ES"/>
              </w:rPr>
            </w:pPr>
            <w:r w:rsidRPr="004B1621">
              <w:rPr>
                <w:lang w:val="es-ES"/>
              </w:rPr>
              <w:t>G</w:t>
            </w:r>
          </w:p>
        </w:tc>
        <w:tc>
          <w:tcPr>
            <w:tcW w:w="690"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5618D14F"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11229899" w14:textId="77777777" w:rsidR="009D1E95" w:rsidRPr="004B1621" w:rsidRDefault="009D1E95" w:rsidP="005F2497">
            <w:pPr>
              <w:spacing w:after="0" w:line="240" w:lineRule="auto"/>
              <w:rPr>
                <w:lang w:val="es-ES"/>
              </w:rPr>
            </w:pPr>
          </w:p>
        </w:tc>
        <w:tc>
          <w:tcPr>
            <w:tcW w:w="660" w:type="dxa"/>
            <w:tcBorders>
              <w:top w:val="nil"/>
              <w:left w:val="nil"/>
              <w:bottom w:val="single" w:sz="7" w:space="0" w:color="000000"/>
              <w:right w:val="single" w:sz="7" w:space="0" w:color="000000"/>
            </w:tcBorders>
            <w:shd w:val="clear" w:color="auto" w:fill="FFCCFF"/>
            <w:tcMar>
              <w:top w:w="100" w:type="dxa"/>
              <w:left w:w="100" w:type="dxa"/>
              <w:bottom w:w="100" w:type="dxa"/>
              <w:right w:w="100" w:type="dxa"/>
            </w:tcMar>
          </w:tcPr>
          <w:p w14:paraId="7744D156" w14:textId="77777777" w:rsidR="009D1E95" w:rsidRPr="004B1621" w:rsidRDefault="007B0970" w:rsidP="005F2497">
            <w:pPr>
              <w:spacing w:after="0" w:line="240" w:lineRule="auto"/>
              <w:rPr>
                <w:lang w:val="es-ES"/>
              </w:rPr>
            </w:pPr>
            <w:r w:rsidRPr="004B1621">
              <w:rPr>
                <w:lang w:val="es-ES"/>
              </w:rPr>
              <w:t>G</w:t>
            </w:r>
          </w:p>
        </w:tc>
      </w:tr>
      <w:tr w:rsidR="009D1E95" w:rsidRPr="0016650E" w14:paraId="6A48AFE2" w14:textId="77777777">
        <w:trPr>
          <w:trHeight w:val="342"/>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DFF71FD" w14:textId="77777777" w:rsidR="009D1E95" w:rsidRPr="0016650E" w:rsidRDefault="007B0970" w:rsidP="005F2497">
            <w:pPr>
              <w:spacing w:after="0" w:line="240" w:lineRule="auto"/>
              <w:rPr>
                <w:b/>
                <w:lang w:val="es-ES"/>
              </w:rPr>
            </w:pPr>
            <w:proofErr w:type="spellStart"/>
            <w:r w:rsidRPr="0016650E">
              <w:rPr>
                <w:b/>
                <w:lang w:val="es-ES"/>
              </w:rPr>
              <w:t>Palindrome</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BC4CBE1"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07CE4FD5"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tcMar>
              <w:top w:w="100" w:type="dxa"/>
              <w:left w:w="100" w:type="dxa"/>
              <w:bottom w:w="100" w:type="dxa"/>
              <w:right w:w="100" w:type="dxa"/>
            </w:tcMar>
          </w:tcPr>
          <w:p w14:paraId="10D950BC" w14:textId="77777777" w:rsidR="009D1E95" w:rsidRPr="004B1621" w:rsidRDefault="007B0970" w:rsidP="005F2497">
            <w:pPr>
              <w:spacing w:after="0" w:line="240" w:lineRule="auto"/>
              <w:rPr>
                <w:lang w:val="es-ES"/>
              </w:rPr>
            </w:pPr>
            <w:r w:rsidRPr="004B1621">
              <w:rPr>
                <w:lang w:val="es-ES"/>
              </w:rPr>
              <w:t xml:space="preserve"> </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7BFAF22B"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tcMar>
              <w:top w:w="0" w:type="dxa"/>
              <w:left w:w="0" w:type="dxa"/>
              <w:bottom w:w="0" w:type="dxa"/>
              <w:right w:w="0" w:type="dxa"/>
            </w:tcMar>
          </w:tcPr>
          <w:p w14:paraId="65294C76"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shd w:val="clear" w:color="auto" w:fill="FF9900"/>
            <w:tcMar>
              <w:top w:w="100" w:type="dxa"/>
              <w:left w:w="100" w:type="dxa"/>
              <w:bottom w:w="100" w:type="dxa"/>
              <w:right w:w="100" w:type="dxa"/>
            </w:tcMar>
          </w:tcPr>
          <w:p w14:paraId="7C6739FC" w14:textId="77777777" w:rsidR="009D1E95" w:rsidRPr="004B1621" w:rsidRDefault="007B0970" w:rsidP="005F2497">
            <w:pPr>
              <w:spacing w:after="0" w:line="240" w:lineRule="auto"/>
              <w:rPr>
                <w:lang w:val="es-ES"/>
              </w:rPr>
            </w:pPr>
            <w:r w:rsidRPr="004B1621">
              <w:rPr>
                <w:lang w:val="es-ES"/>
              </w:rPr>
              <w:t>P</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1F2860B3" w14:textId="77777777" w:rsidR="009D1E95" w:rsidRPr="004B1621" w:rsidRDefault="007B0970" w:rsidP="005F2497">
            <w:pPr>
              <w:spacing w:after="0" w:line="240" w:lineRule="auto"/>
              <w:rPr>
                <w:lang w:val="es-ES"/>
              </w:rPr>
            </w:pPr>
            <w:r w:rsidRPr="004B1621">
              <w:rPr>
                <w:lang w:val="es-ES"/>
              </w:rPr>
              <w:t xml:space="preserve"> </w:t>
            </w: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6B127915"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EBC1476" w14:textId="77777777" w:rsidR="009D1E95" w:rsidRPr="004B1621" w:rsidRDefault="007B0970" w:rsidP="005F2497">
            <w:pPr>
              <w:spacing w:after="0" w:line="240" w:lineRule="auto"/>
              <w:rPr>
                <w:lang w:val="es-ES"/>
              </w:rPr>
            </w:pPr>
            <w:r w:rsidRPr="004B1621">
              <w:rPr>
                <w:lang w:val="es-ES"/>
              </w:rPr>
              <w:t xml:space="preserve"> </w:t>
            </w:r>
          </w:p>
        </w:tc>
        <w:tc>
          <w:tcPr>
            <w:tcW w:w="675" w:type="dxa"/>
            <w:tcBorders>
              <w:top w:val="nil"/>
              <w:left w:val="nil"/>
              <w:bottom w:val="single" w:sz="7" w:space="0" w:color="000000"/>
              <w:right w:val="single" w:sz="7" w:space="0" w:color="000000"/>
            </w:tcBorders>
            <w:shd w:val="clear" w:color="auto" w:fill="FF9900"/>
            <w:tcMar>
              <w:top w:w="100" w:type="dxa"/>
              <w:left w:w="100" w:type="dxa"/>
              <w:bottom w:w="100" w:type="dxa"/>
              <w:right w:w="100" w:type="dxa"/>
            </w:tcMar>
          </w:tcPr>
          <w:p w14:paraId="5069DA31" w14:textId="77777777" w:rsidR="009D1E95" w:rsidRPr="004B1621" w:rsidRDefault="007B0970" w:rsidP="005F2497">
            <w:pPr>
              <w:spacing w:after="0" w:line="240" w:lineRule="auto"/>
              <w:rPr>
                <w:lang w:val="es-ES"/>
              </w:rPr>
            </w:pPr>
            <w:r w:rsidRPr="004B1621">
              <w:rPr>
                <w:lang w:val="es-ES"/>
              </w:rPr>
              <w:t>G</w:t>
            </w:r>
          </w:p>
        </w:tc>
        <w:tc>
          <w:tcPr>
            <w:tcW w:w="690" w:type="dxa"/>
            <w:tcBorders>
              <w:top w:val="nil"/>
              <w:left w:val="nil"/>
              <w:bottom w:val="single" w:sz="7" w:space="0" w:color="000000"/>
              <w:right w:val="single" w:sz="7" w:space="0" w:color="000000"/>
            </w:tcBorders>
            <w:shd w:val="clear" w:color="auto" w:fill="FF9900"/>
            <w:tcMar>
              <w:top w:w="100" w:type="dxa"/>
              <w:left w:w="100" w:type="dxa"/>
              <w:bottom w:w="100" w:type="dxa"/>
              <w:right w:w="100" w:type="dxa"/>
            </w:tcMar>
          </w:tcPr>
          <w:p w14:paraId="07E47627"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62955C4E" w14:textId="77777777" w:rsidR="009D1E95" w:rsidRPr="004B1621" w:rsidRDefault="009D1E95" w:rsidP="005F2497">
            <w:pPr>
              <w:spacing w:after="0" w:line="240" w:lineRule="auto"/>
              <w:rPr>
                <w:lang w:val="es-ES"/>
              </w:rPr>
            </w:pPr>
          </w:p>
        </w:tc>
        <w:tc>
          <w:tcPr>
            <w:tcW w:w="660" w:type="dxa"/>
            <w:tcBorders>
              <w:top w:val="nil"/>
              <w:left w:val="nil"/>
              <w:bottom w:val="single" w:sz="7" w:space="0" w:color="000000"/>
              <w:right w:val="single" w:sz="7" w:space="0" w:color="000000"/>
            </w:tcBorders>
            <w:shd w:val="clear" w:color="auto" w:fill="FF9900"/>
            <w:tcMar>
              <w:top w:w="100" w:type="dxa"/>
              <w:left w:w="100" w:type="dxa"/>
              <w:bottom w:w="100" w:type="dxa"/>
              <w:right w:w="100" w:type="dxa"/>
            </w:tcMar>
          </w:tcPr>
          <w:p w14:paraId="170307A3" w14:textId="77777777" w:rsidR="009D1E95" w:rsidRPr="004B1621" w:rsidRDefault="007B0970" w:rsidP="005F2497">
            <w:pPr>
              <w:spacing w:after="0" w:line="240" w:lineRule="auto"/>
              <w:rPr>
                <w:lang w:val="es-ES"/>
              </w:rPr>
            </w:pPr>
            <w:r w:rsidRPr="004B1621">
              <w:rPr>
                <w:lang w:val="es-ES"/>
              </w:rPr>
              <w:t>G</w:t>
            </w:r>
          </w:p>
        </w:tc>
      </w:tr>
      <w:tr w:rsidR="009D1E95" w:rsidRPr="0016650E" w14:paraId="373BCBAD" w14:textId="77777777">
        <w:trPr>
          <w:trHeight w:val="420"/>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1906FBC" w14:textId="77777777" w:rsidR="009D1E95" w:rsidRPr="0016650E" w:rsidRDefault="007B0970" w:rsidP="005F2497">
            <w:pPr>
              <w:spacing w:after="0" w:line="240" w:lineRule="auto"/>
              <w:rPr>
                <w:b/>
                <w:lang w:val="es-ES"/>
              </w:rPr>
            </w:pPr>
            <w:r w:rsidRPr="0016650E">
              <w:rPr>
                <w:b/>
                <w:lang w:val="es-ES"/>
              </w:rPr>
              <w:t>Plus-One</w:t>
            </w:r>
          </w:p>
        </w:tc>
        <w:tc>
          <w:tcPr>
            <w:tcW w:w="690" w:type="dxa"/>
            <w:tcBorders>
              <w:top w:val="nil"/>
              <w:left w:val="nil"/>
              <w:bottom w:val="single" w:sz="7" w:space="0" w:color="000000"/>
              <w:right w:val="single" w:sz="7" w:space="0" w:color="000000"/>
            </w:tcBorders>
            <w:shd w:val="clear" w:color="auto" w:fill="9CC2E5"/>
            <w:tcMar>
              <w:top w:w="100" w:type="dxa"/>
              <w:left w:w="100" w:type="dxa"/>
              <w:bottom w:w="100" w:type="dxa"/>
              <w:right w:w="100" w:type="dxa"/>
            </w:tcMar>
          </w:tcPr>
          <w:p w14:paraId="1D1B31BA" w14:textId="77777777" w:rsidR="009D1E95" w:rsidRPr="004B1621" w:rsidRDefault="007B0970" w:rsidP="005F2497">
            <w:pPr>
              <w:spacing w:after="0" w:line="240" w:lineRule="auto"/>
              <w:rPr>
                <w:lang w:val="es-ES"/>
              </w:rPr>
            </w:pPr>
            <w:r w:rsidRPr="004B1621">
              <w:rPr>
                <w:lang w:val="es-ES"/>
              </w:rPr>
              <w:t>G</w:t>
            </w:r>
          </w:p>
        </w:tc>
        <w:tc>
          <w:tcPr>
            <w:tcW w:w="690" w:type="dxa"/>
            <w:tcBorders>
              <w:top w:val="nil"/>
              <w:left w:val="nil"/>
              <w:bottom w:val="single" w:sz="7" w:space="0" w:color="000000"/>
              <w:right w:val="single" w:sz="7" w:space="0" w:color="000000"/>
            </w:tcBorders>
            <w:shd w:val="clear" w:color="auto" w:fill="9CC2E5"/>
            <w:tcMar>
              <w:top w:w="100" w:type="dxa"/>
              <w:left w:w="100" w:type="dxa"/>
              <w:bottom w:w="100" w:type="dxa"/>
              <w:right w:w="100" w:type="dxa"/>
            </w:tcMar>
          </w:tcPr>
          <w:p w14:paraId="374F696A"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9CC2E5"/>
            <w:tcMar>
              <w:top w:w="100" w:type="dxa"/>
              <w:left w:w="100" w:type="dxa"/>
              <w:bottom w:w="100" w:type="dxa"/>
              <w:right w:w="100" w:type="dxa"/>
            </w:tcMar>
          </w:tcPr>
          <w:p w14:paraId="7C8BD95D"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shd w:val="clear" w:color="auto" w:fill="9CC2E5"/>
            <w:tcMar>
              <w:top w:w="100" w:type="dxa"/>
              <w:left w:w="100" w:type="dxa"/>
              <w:bottom w:w="100" w:type="dxa"/>
              <w:right w:w="100" w:type="dxa"/>
            </w:tcMar>
          </w:tcPr>
          <w:p w14:paraId="1C1EC2D1"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tcMar>
              <w:top w:w="100" w:type="dxa"/>
              <w:left w:w="100" w:type="dxa"/>
              <w:bottom w:w="100" w:type="dxa"/>
              <w:right w:w="100" w:type="dxa"/>
            </w:tcMar>
          </w:tcPr>
          <w:p w14:paraId="6324937B"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shd w:val="clear" w:color="auto" w:fill="9CC2E5"/>
            <w:tcMar>
              <w:top w:w="100" w:type="dxa"/>
              <w:left w:w="100" w:type="dxa"/>
              <w:bottom w:w="100" w:type="dxa"/>
              <w:right w:w="100" w:type="dxa"/>
            </w:tcMar>
          </w:tcPr>
          <w:p w14:paraId="0D3AC16F" w14:textId="77777777" w:rsidR="009D1E95" w:rsidRPr="004B1621" w:rsidRDefault="007B0970" w:rsidP="005F2497">
            <w:pPr>
              <w:spacing w:after="0" w:line="240" w:lineRule="auto"/>
              <w:rPr>
                <w:lang w:val="es-ES"/>
              </w:rPr>
            </w:pPr>
            <w:r w:rsidRPr="004B1621">
              <w:rPr>
                <w:lang w:val="es-ES"/>
              </w:rPr>
              <w:t>E</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221B7A72" w14:textId="77777777" w:rsidR="009D1E95" w:rsidRPr="004B1621" w:rsidRDefault="007B0970" w:rsidP="005F2497">
            <w:pPr>
              <w:spacing w:after="0" w:line="240" w:lineRule="auto"/>
              <w:rPr>
                <w:lang w:val="es-ES"/>
              </w:rPr>
            </w:pPr>
            <w:r w:rsidRPr="004B1621">
              <w:rPr>
                <w:lang w:val="es-ES"/>
              </w:rPr>
              <w:t xml:space="preserve"> </w:t>
            </w: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133526F5"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792439AD" w14:textId="77777777" w:rsidR="009D1E95" w:rsidRPr="004B1621" w:rsidRDefault="007B0970" w:rsidP="005F2497">
            <w:pPr>
              <w:spacing w:after="0" w:line="240" w:lineRule="auto"/>
              <w:rPr>
                <w:lang w:val="es-ES"/>
              </w:rPr>
            </w:pPr>
            <w:r w:rsidRPr="004B1621">
              <w:rPr>
                <w:lang w:val="es-ES"/>
              </w:rPr>
              <w:t xml:space="preserve"> </w:t>
            </w:r>
          </w:p>
        </w:tc>
        <w:tc>
          <w:tcPr>
            <w:tcW w:w="675" w:type="dxa"/>
            <w:tcBorders>
              <w:top w:val="nil"/>
              <w:left w:val="nil"/>
              <w:bottom w:val="single" w:sz="7" w:space="0" w:color="000000"/>
              <w:right w:val="single" w:sz="7" w:space="0" w:color="000000"/>
            </w:tcBorders>
            <w:tcMar>
              <w:top w:w="100" w:type="dxa"/>
              <w:left w:w="100" w:type="dxa"/>
              <w:bottom w:w="100" w:type="dxa"/>
              <w:right w:w="100" w:type="dxa"/>
            </w:tcMar>
          </w:tcPr>
          <w:p w14:paraId="7DC59648"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202352DA" w14:textId="77777777" w:rsidR="009D1E95" w:rsidRPr="004B1621" w:rsidRDefault="007B0970" w:rsidP="005F2497">
            <w:pPr>
              <w:spacing w:after="0" w:line="240" w:lineRule="auto"/>
              <w:rPr>
                <w:lang w:val="es-ES"/>
              </w:rPr>
            </w:pPr>
            <w:r w:rsidRPr="004B1621">
              <w:rPr>
                <w:lang w:val="es-ES"/>
              </w:rPr>
              <w:t xml:space="preserve"> </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062E3111" w14:textId="77777777" w:rsidR="009D1E95" w:rsidRPr="004B1621" w:rsidRDefault="009D1E95" w:rsidP="005F2497">
            <w:pPr>
              <w:spacing w:after="0" w:line="240" w:lineRule="auto"/>
              <w:rPr>
                <w:lang w:val="es-ES"/>
              </w:rPr>
            </w:pP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351D11AC" w14:textId="77777777" w:rsidR="009D1E95" w:rsidRPr="004B1621" w:rsidRDefault="009D1E95" w:rsidP="005F2497">
            <w:pPr>
              <w:spacing w:after="0" w:line="240" w:lineRule="auto"/>
              <w:rPr>
                <w:lang w:val="es-ES"/>
              </w:rPr>
            </w:pPr>
          </w:p>
        </w:tc>
      </w:tr>
      <w:tr w:rsidR="009D1E95" w:rsidRPr="0016650E" w14:paraId="7DD0C302" w14:textId="77777777">
        <w:trPr>
          <w:trHeight w:val="375"/>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C017DAC" w14:textId="77777777" w:rsidR="009D1E95" w:rsidRPr="0016650E" w:rsidRDefault="007B0970" w:rsidP="005F2497">
            <w:pPr>
              <w:spacing w:after="0" w:line="240" w:lineRule="auto"/>
              <w:rPr>
                <w:b/>
                <w:lang w:val="es-ES"/>
              </w:rPr>
            </w:pPr>
            <w:r w:rsidRPr="0016650E">
              <w:rPr>
                <w:b/>
                <w:lang w:val="es-ES"/>
              </w:rPr>
              <w:t>Regular</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03EF073"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A8D08D"/>
            <w:tcMar>
              <w:top w:w="100" w:type="dxa"/>
              <w:left w:w="100" w:type="dxa"/>
              <w:bottom w:w="100" w:type="dxa"/>
              <w:right w:w="100" w:type="dxa"/>
            </w:tcMar>
          </w:tcPr>
          <w:p w14:paraId="799B31C2"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A8D08D"/>
            <w:tcMar>
              <w:top w:w="100" w:type="dxa"/>
              <w:left w:w="100" w:type="dxa"/>
              <w:bottom w:w="100" w:type="dxa"/>
              <w:right w:w="100" w:type="dxa"/>
            </w:tcMar>
          </w:tcPr>
          <w:p w14:paraId="51D0D257"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shd w:val="clear" w:color="auto" w:fill="A8D08D"/>
            <w:tcMar>
              <w:top w:w="100" w:type="dxa"/>
              <w:left w:w="100" w:type="dxa"/>
              <w:bottom w:w="100" w:type="dxa"/>
              <w:right w:w="100" w:type="dxa"/>
            </w:tcMar>
          </w:tcPr>
          <w:p w14:paraId="53223EFA"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A8D08D"/>
            <w:tcMar>
              <w:top w:w="100" w:type="dxa"/>
              <w:left w:w="100" w:type="dxa"/>
              <w:bottom w:w="100" w:type="dxa"/>
              <w:right w:w="100" w:type="dxa"/>
            </w:tcMar>
          </w:tcPr>
          <w:p w14:paraId="63D6E1D2"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tcMar>
              <w:top w:w="100" w:type="dxa"/>
              <w:left w:w="100" w:type="dxa"/>
              <w:bottom w:w="100" w:type="dxa"/>
              <w:right w:w="100" w:type="dxa"/>
            </w:tcMar>
          </w:tcPr>
          <w:p w14:paraId="45A22FCC"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A8D08D"/>
            <w:tcMar>
              <w:top w:w="100" w:type="dxa"/>
              <w:left w:w="100" w:type="dxa"/>
              <w:bottom w:w="100" w:type="dxa"/>
              <w:right w:w="100" w:type="dxa"/>
            </w:tcMar>
          </w:tcPr>
          <w:p w14:paraId="7A107E45" w14:textId="77777777" w:rsidR="009D1E95" w:rsidRPr="004B1621" w:rsidRDefault="007B0970" w:rsidP="005F2497">
            <w:pPr>
              <w:spacing w:after="0" w:line="240" w:lineRule="auto"/>
              <w:rPr>
                <w:lang w:val="es-ES"/>
              </w:rPr>
            </w:pPr>
            <w:r w:rsidRPr="004B1621">
              <w:rPr>
                <w:lang w:val="es-ES"/>
              </w:rPr>
              <w:t>G</w:t>
            </w: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65C9231C"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A8D08D"/>
            <w:tcMar>
              <w:top w:w="100" w:type="dxa"/>
              <w:left w:w="100" w:type="dxa"/>
              <w:bottom w:w="100" w:type="dxa"/>
              <w:right w:w="100" w:type="dxa"/>
            </w:tcMar>
          </w:tcPr>
          <w:p w14:paraId="7054E7B9" w14:textId="77777777" w:rsidR="009D1E95" w:rsidRPr="004B1621" w:rsidRDefault="007B0970" w:rsidP="005F2497">
            <w:pPr>
              <w:spacing w:after="0" w:line="240" w:lineRule="auto"/>
              <w:rPr>
                <w:lang w:val="es-ES"/>
              </w:rPr>
            </w:pPr>
            <w:r w:rsidRPr="004B1621">
              <w:rPr>
                <w:lang w:val="es-ES"/>
              </w:rPr>
              <w:t>C</w:t>
            </w:r>
          </w:p>
        </w:tc>
        <w:tc>
          <w:tcPr>
            <w:tcW w:w="675" w:type="dxa"/>
            <w:tcBorders>
              <w:top w:val="nil"/>
              <w:left w:val="nil"/>
              <w:bottom w:val="single" w:sz="7" w:space="0" w:color="000000"/>
              <w:right w:val="single" w:sz="7" w:space="0" w:color="000000"/>
            </w:tcBorders>
            <w:tcMar>
              <w:top w:w="100" w:type="dxa"/>
              <w:left w:w="100" w:type="dxa"/>
              <w:bottom w:w="100" w:type="dxa"/>
              <w:right w:w="100" w:type="dxa"/>
            </w:tcMar>
          </w:tcPr>
          <w:p w14:paraId="044A9C65"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D5E8FA8" w14:textId="77777777" w:rsidR="009D1E95" w:rsidRPr="004B1621" w:rsidRDefault="007B0970" w:rsidP="005F2497">
            <w:pPr>
              <w:spacing w:after="0" w:line="240" w:lineRule="auto"/>
              <w:rPr>
                <w:lang w:val="es-ES"/>
              </w:rPr>
            </w:pPr>
            <w:r w:rsidRPr="004B1621">
              <w:rPr>
                <w:lang w:val="es-ES"/>
              </w:rPr>
              <w:t xml:space="preserve"> </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6FB9E603" w14:textId="77777777" w:rsidR="009D1E95" w:rsidRPr="004B1621" w:rsidRDefault="009D1E95" w:rsidP="005F2497">
            <w:pPr>
              <w:spacing w:after="0" w:line="240" w:lineRule="auto"/>
              <w:rPr>
                <w:lang w:val="es-ES"/>
              </w:rPr>
            </w:pP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49B9F3F4" w14:textId="77777777" w:rsidR="009D1E95" w:rsidRPr="004B1621" w:rsidRDefault="009D1E95" w:rsidP="005F2497">
            <w:pPr>
              <w:spacing w:after="0" w:line="240" w:lineRule="auto"/>
              <w:rPr>
                <w:lang w:val="es-ES"/>
              </w:rPr>
            </w:pPr>
          </w:p>
        </w:tc>
      </w:tr>
      <w:tr w:rsidR="009D1E95" w:rsidRPr="0016650E" w14:paraId="04B2B417" w14:textId="77777777">
        <w:trPr>
          <w:trHeight w:val="390"/>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CD62F18" w14:textId="77777777" w:rsidR="009D1E95" w:rsidRPr="0016650E" w:rsidRDefault="007B0970" w:rsidP="005F2497">
            <w:pPr>
              <w:spacing w:after="0" w:line="240" w:lineRule="auto"/>
              <w:rPr>
                <w:b/>
                <w:lang w:val="es-ES"/>
              </w:rPr>
            </w:pPr>
            <w:r w:rsidRPr="0016650E">
              <w:rPr>
                <w:b/>
                <w:lang w:val="es-ES"/>
              </w:rPr>
              <w:t xml:space="preserve">Rapid </w:t>
            </w:r>
            <w:proofErr w:type="spellStart"/>
            <w:r w:rsidRPr="0016650E">
              <w:rPr>
                <w:b/>
                <w:lang w:val="es-ES"/>
              </w:rPr>
              <w:t>Increasing</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4FD97FDD"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FFD966"/>
            <w:tcMar>
              <w:top w:w="100" w:type="dxa"/>
              <w:left w:w="100" w:type="dxa"/>
              <w:bottom w:w="100" w:type="dxa"/>
              <w:right w:w="100" w:type="dxa"/>
            </w:tcMar>
          </w:tcPr>
          <w:p w14:paraId="660B1A73"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FFD966"/>
            <w:tcMar>
              <w:top w:w="100" w:type="dxa"/>
              <w:left w:w="100" w:type="dxa"/>
              <w:bottom w:w="100" w:type="dxa"/>
              <w:right w:w="100" w:type="dxa"/>
            </w:tcMar>
          </w:tcPr>
          <w:p w14:paraId="53028D76"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23F9BFFC"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shd w:val="clear" w:color="auto" w:fill="FFD966"/>
            <w:tcMar>
              <w:top w:w="100" w:type="dxa"/>
              <w:left w:w="100" w:type="dxa"/>
              <w:bottom w:w="100" w:type="dxa"/>
              <w:right w:w="100" w:type="dxa"/>
            </w:tcMar>
          </w:tcPr>
          <w:p w14:paraId="3F46F167" w14:textId="77777777" w:rsidR="009D1E95" w:rsidRPr="004B1621" w:rsidRDefault="007B0970" w:rsidP="005F2497">
            <w:pPr>
              <w:spacing w:after="0" w:line="240" w:lineRule="auto"/>
              <w:rPr>
                <w:lang w:val="es-ES"/>
              </w:rPr>
            </w:pPr>
            <w:r w:rsidRPr="004B1621">
              <w:rPr>
                <w:lang w:val="es-ES"/>
              </w:rPr>
              <w:t>E</w:t>
            </w:r>
          </w:p>
        </w:tc>
        <w:tc>
          <w:tcPr>
            <w:tcW w:w="705" w:type="dxa"/>
            <w:tcBorders>
              <w:top w:val="nil"/>
              <w:left w:val="nil"/>
              <w:bottom w:val="single" w:sz="7" w:space="0" w:color="000000"/>
              <w:right w:val="single" w:sz="7" w:space="0" w:color="000000"/>
            </w:tcBorders>
            <w:tcMar>
              <w:top w:w="100" w:type="dxa"/>
              <w:left w:w="100" w:type="dxa"/>
              <w:bottom w:w="100" w:type="dxa"/>
              <w:right w:w="100" w:type="dxa"/>
            </w:tcMar>
          </w:tcPr>
          <w:p w14:paraId="1FA7C181"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FFD966"/>
            <w:tcMar>
              <w:top w:w="100" w:type="dxa"/>
              <w:left w:w="100" w:type="dxa"/>
              <w:bottom w:w="100" w:type="dxa"/>
              <w:right w:w="100" w:type="dxa"/>
            </w:tcMar>
          </w:tcPr>
          <w:p w14:paraId="01B7377A" w14:textId="77777777" w:rsidR="009D1E95" w:rsidRPr="004B1621" w:rsidRDefault="007B0970" w:rsidP="005F2497">
            <w:pPr>
              <w:spacing w:after="0" w:line="240" w:lineRule="auto"/>
              <w:rPr>
                <w:lang w:val="es-ES"/>
              </w:rPr>
            </w:pPr>
            <w:r w:rsidRPr="004B1621">
              <w:rPr>
                <w:lang w:val="es-ES"/>
              </w:rPr>
              <w:t>G</w:t>
            </w: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6CD7ECFA"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32AB32BA" w14:textId="77777777" w:rsidR="009D1E95" w:rsidRPr="004B1621" w:rsidRDefault="007B0970" w:rsidP="005F2497">
            <w:pPr>
              <w:spacing w:after="0" w:line="240" w:lineRule="auto"/>
              <w:rPr>
                <w:lang w:val="es-ES"/>
              </w:rPr>
            </w:pPr>
            <w:r w:rsidRPr="004B1621">
              <w:rPr>
                <w:lang w:val="es-ES"/>
              </w:rPr>
              <w:t xml:space="preserve"> </w:t>
            </w:r>
          </w:p>
        </w:tc>
        <w:tc>
          <w:tcPr>
            <w:tcW w:w="675" w:type="dxa"/>
            <w:tcBorders>
              <w:top w:val="nil"/>
              <w:left w:val="nil"/>
              <w:bottom w:val="single" w:sz="7" w:space="0" w:color="000000"/>
              <w:right w:val="single" w:sz="7" w:space="0" w:color="000000"/>
            </w:tcBorders>
            <w:shd w:val="clear" w:color="auto" w:fill="FFD966"/>
            <w:tcMar>
              <w:top w:w="100" w:type="dxa"/>
              <w:left w:w="100" w:type="dxa"/>
              <w:bottom w:w="100" w:type="dxa"/>
              <w:right w:w="100" w:type="dxa"/>
            </w:tcMar>
          </w:tcPr>
          <w:p w14:paraId="6CC5D65F" w14:textId="77777777" w:rsidR="009D1E95" w:rsidRPr="004B1621" w:rsidRDefault="007B0970" w:rsidP="005F2497">
            <w:pPr>
              <w:spacing w:after="0" w:line="240" w:lineRule="auto"/>
              <w:rPr>
                <w:lang w:val="es-ES"/>
              </w:rPr>
            </w:pPr>
            <w:r w:rsidRPr="004B1621">
              <w:rPr>
                <w:lang w:val="es-ES"/>
              </w:rPr>
              <w:t>G</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7CBDDB51" w14:textId="77777777" w:rsidR="009D1E95" w:rsidRPr="004B1621" w:rsidRDefault="007B0970" w:rsidP="005F2497">
            <w:pPr>
              <w:spacing w:after="0" w:line="240" w:lineRule="auto"/>
              <w:rPr>
                <w:lang w:val="es-ES"/>
              </w:rPr>
            </w:pPr>
            <w:r w:rsidRPr="004B1621">
              <w:rPr>
                <w:lang w:val="es-ES"/>
              </w:rPr>
              <w:t xml:space="preserve"> </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1A93A658" w14:textId="77777777" w:rsidR="009D1E95" w:rsidRPr="004B1621" w:rsidRDefault="009D1E95" w:rsidP="005F2497">
            <w:pPr>
              <w:spacing w:after="0" w:line="240" w:lineRule="auto"/>
              <w:rPr>
                <w:lang w:val="es-ES"/>
              </w:rPr>
            </w:pP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2D613172" w14:textId="77777777" w:rsidR="009D1E95" w:rsidRPr="004B1621" w:rsidRDefault="009D1E95" w:rsidP="005F2497">
            <w:pPr>
              <w:spacing w:after="0" w:line="240" w:lineRule="auto"/>
              <w:rPr>
                <w:lang w:val="es-ES"/>
              </w:rPr>
            </w:pPr>
          </w:p>
        </w:tc>
      </w:tr>
      <w:tr w:rsidR="009D1E95" w:rsidRPr="0016650E" w14:paraId="79A38C32" w14:textId="77777777">
        <w:trPr>
          <w:trHeight w:val="360"/>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6B38961" w14:textId="77777777" w:rsidR="009D1E95" w:rsidRPr="0016650E" w:rsidRDefault="007B0970" w:rsidP="005F2497">
            <w:pPr>
              <w:spacing w:after="0" w:line="240" w:lineRule="auto"/>
              <w:rPr>
                <w:b/>
                <w:lang w:val="es-ES"/>
              </w:rPr>
            </w:pPr>
            <w:r w:rsidRPr="0016650E">
              <w:rPr>
                <w:b/>
                <w:lang w:val="es-ES"/>
              </w:rPr>
              <w:t>Short</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40AA42D4"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5ED28AC4" w14:textId="77777777" w:rsidR="009D1E95" w:rsidRPr="004B1621" w:rsidRDefault="007B0970" w:rsidP="005F2497">
            <w:pPr>
              <w:spacing w:after="0" w:line="240" w:lineRule="auto"/>
              <w:rPr>
                <w:lang w:val="es-ES"/>
              </w:rPr>
            </w:pPr>
            <w:r w:rsidRPr="004B1621">
              <w:rPr>
                <w:lang w:val="es-ES"/>
              </w:rPr>
              <w:t>G</w:t>
            </w:r>
          </w:p>
        </w:tc>
        <w:tc>
          <w:tcPr>
            <w:tcW w:w="705"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4E22738B"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1AB77C62"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0C2B69C3" w14:textId="77777777" w:rsidR="009D1E95" w:rsidRPr="004B1621" w:rsidRDefault="007B0970" w:rsidP="005F2497">
            <w:pPr>
              <w:spacing w:after="0" w:line="240" w:lineRule="auto"/>
              <w:rPr>
                <w:lang w:val="es-ES"/>
              </w:rPr>
            </w:pPr>
            <w:r w:rsidRPr="004B1621">
              <w:rPr>
                <w:lang w:val="es-ES"/>
              </w:rPr>
              <w:t>E</w:t>
            </w:r>
          </w:p>
        </w:tc>
        <w:tc>
          <w:tcPr>
            <w:tcW w:w="705"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78850D1E" w14:textId="77777777" w:rsidR="009D1E95" w:rsidRPr="004B1621" w:rsidRDefault="007B0970" w:rsidP="005F2497">
            <w:pPr>
              <w:spacing w:after="0" w:line="240" w:lineRule="auto"/>
              <w:rPr>
                <w:lang w:val="es-ES"/>
              </w:rPr>
            </w:pPr>
            <w:r w:rsidRPr="004B1621">
              <w:rPr>
                <w:lang w:val="es-ES"/>
              </w:rPr>
              <w:t>E, P</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23552958" w14:textId="77777777" w:rsidR="009D1E95" w:rsidRPr="004B1621" w:rsidRDefault="007B0970" w:rsidP="005F2497">
            <w:pPr>
              <w:spacing w:after="0" w:line="240" w:lineRule="auto"/>
              <w:rPr>
                <w:lang w:val="es-ES"/>
              </w:rPr>
            </w:pPr>
            <w:r w:rsidRPr="004B1621">
              <w:rPr>
                <w:lang w:val="es-ES"/>
              </w:rPr>
              <w:t xml:space="preserve"> </w:t>
            </w:r>
          </w:p>
        </w:tc>
        <w:tc>
          <w:tcPr>
            <w:tcW w:w="660" w:type="dxa"/>
            <w:tcBorders>
              <w:top w:val="nil"/>
              <w:left w:val="nil"/>
              <w:bottom w:val="single" w:sz="7" w:space="0" w:color="000000"/>
              <w:right w:val="single" w:sz="7" w:space="0" w:color="000000"/>
            </w:tcBorders>
            <w:tcMar>
              <w:top w:w="100" w:type="dxa"/>
              <w:left w:w="100" w:type="dxa"/>
              <w:bottom w:w="100" w:type="dxa"/>
              <w:right w:w="100" w:type="dxa"/>
            </w:tcMar>
          </w:tcPr>
          <w:p w14:paraId="151FC8BF"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7F650E91" w14:textId="77777777" w:rsidR="009D1E95" w:rsidRPr="004B1621" w:rsidRDefault="007B0970" w:rsidP="005F2497">
            <w:pPr>
              <w:spacing w:after="0" w:line="240" w:lineRule="auto"/>
              <w:rPr>
                <w:lang w:val="es-ES"/>
              </w:rPr>
            </w:pPr>
            <w:r w:rsidRPr="004B1621">
              <w:rPr>
                <w:lang w:val="es-ES"/>
              </w:rPr>
              <w:t>G</w:t>
            </w:r>
          </w:p>
        </w:tc>
        <w:tc>
          <w:tcPr>
            <w:tcW w:w="675"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62ECBFF1" w14:textId="77777777" w:rsidR="009D1E95" w:rsidRPr="004B1621" w:rsidRDefault="007B0970" w:rsidP="005F2497">
            <w:pPr>
              <w:spacing w:after="0" w:line="240" w:lineRule="auto"/>
              <w:rPr>
                <w:lang w:val="es-ES"/>
              </w:rPr>
            </w:pPr>
            <w:r w:rsidRPr="004B1621">
              <w:rPr>
                <w:lang w:val="es-ES"/>
              </w:rPr>
              <w:t>C, G</w:t>
            </w:r>
          </w:p>
        </w:tc>
        <w:tc>
          <w:tcPr>
            <w:tcW w:w="690"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2F8C76B7"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3AB30F1E" w14:textId="77777777" w:rsidR="009D1E95" w:rsidRPr="004B1621" w:rsidRDefault="007B0970" w:rsidP="005F2497">
            <w:pPr>
              <w:spacing w:after="0" w:line="240" w:lineRule="auto"/>
              <w:rPr>
                <w:lang w:val="es-ES"/>
              </w:rPr>
            </w:pPr>
            <w:r w:rsidRPr="004B1621">
              <w:rPr>
                <w:lang w:val="es-ES"/>
              </w:rPr>
              <w:t>G</w:t>
            </w:r>
          </w:p>
        </w:tc>
        <w:tc>
          <w:tcPr>
            <w:tcW w:w="660" w:type="dxa"/>
            <w:tcBorders>
              <w:top w:val="nil"/>
              <w:left w:val="nil"/>
              <w:bottom w:val="single" w:sz="7" w:space="0" w:color="000000"/>
              <w:right w:val="single" w:sz="7" w:space="0" w:color="000000"/>
            </w:tcBorders>
            <w:shd w:val="clear" w:color="auto" w:fill="F62F00"/>
            <w:tcMar>
              <w:top w:w="100" w:type="dxa"/>
              <w:left w:w="100" w:type="dxa"/>
              <w:bottom w:w="100" w:type="dxa"/>
              <w:right w:w="100" w:type="dxa"/>
            </w:tcMar>
          </w:tcPr>
          <w:p w14:paraId="0257B410" w14:textId="77777777" w:rsidR="009D1E95" w:rsidRPr="004B1621" w:rsidRDefault="007B0970" w:rsidP="005F2497">
            <w:pPr>
              <w:spacing w:after="0" w:line="240" w:lineRule="auto"/>
              <w:rPr>
                <w:lang w:val="es-ES"/>
              </w:rPr>
            </w:pPr>
            <w:r w:rsidRPr="004B1621">
              <w:rPr>
                <w:lang w:val="es-ES"/>
              </w:rPr>
              <w:t>G</w:t>
            </w:r>
          </w:p>
        </w:tc>
      </w:tr>
      <w:tr w:rsidR="009D1E95" w:rsidRPr="0016650E" w14:paraId="5EFEFA6F" w14:textId="77777777">
        <w:trPr>
          <w:trHeight w:val="405"/>
          <w:jc w:val="center"/>
        </w:trPr>
        <w:tc>
          <w:tcPr>
            <w:tcW w:w="181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4657D3" w14:textId="77777777" w:rsidR="009D1E95" w:rsidRPr="0016650E" w:rsidRDefault="007B0970" w:rsidP="005F2497">
            <w:pPr>
              <w:spacing w:after="0" w:line="240" w:lineRule="auto"/>
              <w:rPr>
                <w:b/>
                <w:lang w:val="es-ES"/>
              </w:rPr>
            </w:pPr>
            <w:proofErr w:type="spellStart"/>
            <w:r w:rsidRPr="0016650E">
              <w:rPr>
                <w:b/>
                <w:lang w:val="es-ES"/>
              </w:rPr>
              <w:t>Slow</w:t>
            </w:r>
            <w:proofErr w:type="spellEnd"/>
            <w:r w:rsidRPr="0016650E">
              <w:rPr>
                <w:b/>
                <w:lang w:val="es-ES"/>
              </w:rPr>
              <w:t xml:space="preserve"> </w:t>
            </w:r>
            <w:proofErr w:type="spellStart"/>
            <w:r w:rsidRPr="0016650E">
              <w:rPr>
                <w:b/>
                <w:lang w:val="es-ES"/>
              </w:rPr>
              <w:t>Increasing</w:t>
            </w:r>
            <w:proofErr w:type="spellEnd"/>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2FA3F539"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40034EB1"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shd w:val="clear" w:color="auto" w:fill="CCCCFF"/>
            <w:tcMar>
              <w:top w:w="100" w:type="dxa"/>
              <w:left w:w="100" w:type="dxa"/>
              <w:bottom w:w="100" w:type="dxa"/>
              <w:right w:w="100" w:type="dxa"/>
            </w:tcMar>
          </w:tcPr>
          <w:p w14:paraId="59EEC4F9" w14:textId="77777777" w:rsidR="009D1E95" w:rsidRPr="004B1621" w:rsidRDefault="007B0970" w:rsidP="005F2497">
            <w:pPr>
              <w:spacing w:after="0" w:line="240" w:lineRule="auto"/>
              <w:rPr>
                <w:lang w:val="es-ES"/>
              </w:rPr>
            </w:pPr>
            <w:r w:rsidRPr="004B1621">
              <w:rPr>
                <w:lang w:val="es-ES"/>
              </w:rPr>
              <w:t>G</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38077B25" w14:textId="77777777" w:rsidR="009D1E95" w:rsidRPr="004B1621" w:rsidRDefault="007B0970" w:rsidP="005F2497">
            <w:pPr>
              <w:spacing w:after="0" w:line="240" w:lineRule="auto"/>
              <w:rPr>
                <w:lang w:val="es-ES"/>
              </w:rPr>
            </w:pPr>
            <w:r w:rsidRPr="004B1621">
              <w:rPr>
                <w:lang w:val="es-ES"/>
              </w:rPr>
              <w:t xml:space="preserve"> </w:t>
            </w:r>
          </w:p>
        </w:tc>
        <w:tc>
          <w:tcPr>
            <w:tcW w:w="705" w:type="dxa"/>
            <w:tcBorders>
              <w:top w:val="nil"/>
              <w:left w:val="nil"/>
              <w:bottom w:val="single" w:sz="7" w:space="0" w:color="000000"/>
              <w:right w:val="single" w:sz="7" w:space="0" w:color="000000"/>
            </w:tcBorders>
            <w:shd w:val="clear" w:color="auto" w:fill="CCCCFF"/>
            <w:tcMar>
              <w:top w:w="100" w:type="dxa"/>
              <w:left w:w="100" w:type="dxa"/>
              <w:bottom w:w="100" w:type="dxa"/>
              <w:right w:w="100" w:type="dxa"/>
            </w:tcMar>
          </w:tcPr>
          <w:p w14:paraId="120C097E" w14:textId="77777777" w:rsidR="009D1E95" w:rsidRPr="004B1621" w:rsidRDefault="007B0970" w:rsidP="005F2497">
            <w:pPr>
              <w:spacing w:after="0" w:line="240" w:lineRule="auto"/>
              <w:rPr>
                <w:lang w:val="es-ES"/>
              </w:rPr>
            </w:pPr>
            <w:r w:rsidRPr="004B1621">
              <w:rPr>
                <w:lang w:val="es-ES"/>
              </w:rPr>
              <w:t>E</w:t>
            </w:r>
          </w:p>
        </w:tc>
        <w:tc>
          <w:tcPr>
            <w:tcW w:w="705" w:type="dxa"/>
            <w:tcBorders>
              <w:top w:val="nil"/>
              <w:left w:val="nil"/>
              <w:bottom w:val="single" w:sz="7" w:space="0" w:color="000000"/>
              <w:right w:val="single" w:sz="7" w:space="0" w:color="000000"/>
            </w:tcBorders>
            <w:shd w:val="clear" w:color="auto" w:fill="CCCCFF"/>
            <w:tcMar>
              <w:top w:w="100" w:type="dxa"/>
              <w:left w:w="100" w:type="dxa"/>
              <w:bottom w:w="100" w:type="dxa"/>
              <w:right w:w="100" w:type="dxa"/>
            </w:tcMar>
          </w:tcPr>
          <w:p w14:paraId="72D4F273" w14:textId="77777777" w:rsidR="009D1E95" w:rsidRPr="004B1621" w:rsidRDefault="007B0970" w:rsidP="005F2497">
            <w:pPr>
              <w:spacing w:after="0" w:line="240" w:lineRule="auto"/>
              <w:rPr>
                <w:lang w:val="es-ES"/>
              </w:rPr>
            </w:pPr>
            <w:r w:rsidRPr="004B1621">
              <w:rPr>
                <w:lang w:val="es-ES"/>
              </w:rPr>
              <w:t>P</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6E661126" w14:textId="77777777" w:rsidR="009D1E95" w:rsidRPr="004B1621" w:rsidRDefault="007B0970" w:rsidP="005F2497">
            <w:pPr>
              <w:spacing w:after="0" w:line="240" w:lineRule="auto"/>
              <w:rPr>
                <w:lang w:val="es-ES"/>
              </w:rPr>
            </w:pPr>
            <w:r w:rsidRPr="004B1621">
              <w:rPr>
                <w:lang w:val="es-ES"/>
              </w:rPr>
              <w:t xml:space="preserve"> </w:t>
            </w:r>
          </w:p>
        </w:tc>
        <w:tc>
          <w:tcPr>
            <w:tcW w:w="660" w:type="dxa"/>
            <w:tcBorders>
              <w:top w:val="nil"/>
              <w:left w:val="nil"/>
              <w:bottom w:val="single" w:sz="7" w:space="0" w:color="000000"/>
              <w:right w:val="single" w:sz="7" w:space="0" w:color="000000"/>
            </w:tcBorders>
            <w:shd w:val="clear" w:color="auto" w:fill="CCCCFF"/>
            <w:tcMar>
              <w:top w:w="100" w:type="dxa"/>
              <w:left w:w="100" w:type="dxa"/>
              <w:bottom w:w="100" w:type="dxa"/>
              <w:right w:w="100" w:type="dxa"/>
            </w:tcMar>
          </w:tcPr>
          <w:p w14:paraId="5CACC3E2" w14:textId="77777777" w:rsidR="009D1E95" w:rsidRPr="004B1621" w:rsidRDefault="007B0970" w:rsidP="005F2497">
            <w:pPr>
              <w:spacing w:after="0" w:line="240" w:lineRule="auto"/>
              <w:rPr>
                <w:lang w:val="es-ES"/>
              </w:rPr>
            </w:pPr>
            <w:r w:rsidRPr="004B1621">
              <w:rPr>
                <w:lang w:val="es-ES"/>
              </w:rPr>
              <w:t>G</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6AE39049" w14:textId="77777777" w:rsidR="009D1E95" w:rsidRPr="004B1621" w:rsidRDefault="007B0970" w:rsidP="005F2497">
            <w:pPr>
              <w:spacing w:after="0" w:line="240" w:lineRule="auto"/>
              <w:rPr>
                <w:lang w:val="es-ES"/>
              </w:rPr>
            </w:pPr>
            <w:r w:rsidRPr="004B1621">
              <w:rPr>
                <w:lang w:val="es-ES"/>
              </w:rPr>
              <w:t xml:space="preserve"> </w:t>
            </w:r>
          </w:p>
        </w:tc>
        <w:tc>
          <w:tcPr>
            <w:tcW w:w="675" w:type="dxa"/>
            <w:tcBorders>
              <w:top w:val="nil"/>
              <w:left w:val="nil"/>
              <w:bottom w:val="single" w:sz="7" w:space="0" w:color="000000"/>
              <w:right w:val="single" w:sz="7" w:space="0" w:color="000000"/>
            </w:tcBorders>
            <w:tcMar>
              <w:top w:w="100" w:type="dxa"/>
              <w:left w:w="100" w:type="dxa"/>
              <w:bottom w:w="100" w:type="dxa"/>
              <w:right w:w="100" w:type="dxa"/>
            </w:tcMar>
          </w:tcPr>
          <w:p w14:paraId="372342E5" w14:textId="77777777" w:rsidR="009D1E95" w:rsidRPr="004B1621" w:rsidRDefault="007B0970" w:rsidP="005F2497">
            <w:pPr>
              <w:spacing w:after="0" w:line="240" w:lineRule="auto"/>
              <w:rPr>
                <w:lang w:val="es-ES"/>
              </w:rPr>
            </w:pPr>
            <w:r w:rsidRPr="004B1621">
              <w:rPr>
                <w:lang w:val="es-ES"/>
              </w:rPr>
              <w:t xml:space="preserve"> </w:t>
            </w:r>
          </w:p>
        </w:tc>
        <w:tc>
          <w:tcPr>
            <w:tcW w:w="690" w:type="dxa"/>
            <w:tcBorders>
              <w:top w:val="nil"/>
              <w:left w:val="nil"/>
              <w:bottom w:val="single" w:sz="7" w:space="0" w:color="000000"/>
              <w:right w:val="single" w:sz="7" w:space="0" w:color="000000"/>
            </w:tcBorders>
            <w:tcMar>
              <w:top w:w="100" w:type="dxa"/>
              <w:left w:w="100" w:type="dxa"/>
              <w:bottom w:w="100" w:type="dxa"/>
              <w:right w:w="100" w:type="dxa"/>
            </w:tcMar>
          </w:tcPr>
          <w:p w14:paraId="5ECA2720" w14:textId="77777777" w:rsidR="009D1E95" w:rsidRPr="004B1621" w:rsidRDefault="007B0970" w:rsidP="005F2497">
            <w:pPr>
              <w:spacing w:after="0" w:line="240" w:lineRule="auto"/>
              <w:rPr>
                <w:lang w:val="es-ES"/>
              </w:rPr>
            </w:pPr>
            <w:r w:rsidRPr="004B1621">
              <w:rPr>
                <w:lang w:val="es-ES"/>
              </w:rPr>
              <w:t xml:space="preserve"> </w:t>
            </w:r>
          </w:p>
        </w:tc>
        <w:tc>
          <w:tcPr>
            <w:tcW w:w="735" w:type="dxa"/>
            <w:tcBorders>
              <w:top w:val="nil"/>
              <w:left w:val="nil"/>
              <w:bottom w:val="single" w:sz="7" w:space="0" w:color="000000"/>
              <w:right w:val="single" w:sz="7" w:space="0" w:color="000000"/>
            </w:tcBorders>
            <w:tcMar>
              <w:top w:w="100" w:type="dxa"/>
              <w:left w:w="100" w:type="dxa"/>
              <w:bottom w:w="100" w:type="dxa"/>
              <w:right w:w="100" w:type="dxa"/>
            </w:tcMar>
          </w:tcPr>
          <w:p w14:paraId="0C4BF1F6" w14:textId="77777777" w:rsidR="009D1E95" w:rsidRPr="004B1621" w:rsidRDefault="009D1E95" w:rsidP="005F2497">
            <w:pPr>
              <w:spacing w:after="0" w:line="240" w:lineRule="auto"/>
              <w:rPr>
                <w:lang w:val="es-ES"/>
              </w:rPr>
            </w:pPr>
          </w:p>
        </w:tc>
        <w:tc>
          <w:tcPr>
            <w:tcW w:w="660" w:type="dxa"/>
            <w:tcBorders>
              <w:top w:val="nil"/>
              <w:left w:val="nil"/>
              <w:bottom w:val="single" w:sz="7" w:space="0" w:color="000000"/>
              <w:right w:val="single" w:sz="7" w:space="0" w:color="000000"/>
            </w:tcBorders>
            <w:shd w:val="clear" w:color="auto" w:fill="CCCCFF"/>
            <w:tcMar>
              <w:top w:w="100" w:type="dxa"/>
              <w:left w:w="100" w:type="dxa"/>
              <w:bottom w:w="100" w:type="dxa"/>
              <w:right w:w="100" w:type="dxa"/>
            </w:tcMar>
          </w:tcPr>
          <w:p w14:paraId="588E1D18" w14:textId="77777777" w:rsidR="009D1E95" w:rsidRPr="004B1621" w:rsidRDefault="007B0970" w:rsidP="005F2497">
            <w:pPr>
              <w:spacing w:after="0" w:line="240" w:lineRule="auto"/>
              <w:rPr>
                <w:lang w:val="es-ES"/>
              </w:rPr>
            </w:pPr>
            <w:r w:rsidRPr="004B1621">
              <w:rPr>
                <w:lang w:val="es-ES"/>
              </w:rPr>
              <w:t>G</w:t>
            </w:r>
          </w:p>
        </w:tc>
      </w:tr>
    </w:tbl>
    <w:p w14:paraId="76DA508F" w14:textId="77777777" w:rsidR="009D1E95" w:rsidRPr="0016650E" w:rsidRDefault="009D1E95" w:rsidP="005F2497">
      <w:pPr>
        <w:spacing w:after="0" w:line="240" w:lineRule="auto"/>
        <w:rPr>
          <w:lang w:val="es-ES"/>
        </w:rPr>
      </w:pPr>
    </w:p>
    <w:p w14:paraId="30516ECB" w14:textId="77777777" w:rsidR="009D1E95" w:rsidRPr="0016650E" w:rsidRDefault="009D1E95" w:rsidP="005F2497">
      <w:pPr>
        <w:spacing w:after="0" w:line="240" w:lineRule="auto"/>
        <w:rPr>
          <w:b/>
          <w:lang w:val="es-ES"/>
        </w:rPr>
      </w:pPr>
    </w:p>
    <w:p w14:paraId="3F142A80" w14:textId="77777777" w:rsidR="009D1E95" w:rsidRPr="0016650E" w:rsidRDefault="009D1E95" w:rsidP="005F2497">
      <w:pPr>
        <w:spacing w:after="0" w:line="240" w:lineRule="auto"/>
        <w:rPr>
          <w:lang w:val="es-ES"/>
        </w:rPr>
      </w:pPr>
    </w:p>
    <w:sectPr w:rsidR="009D1E95" w:rsidRPr="0016650E" w:rsidSect="005F2497">
      <w:type w:val="continuous"/>
      <w:pgSz w:w="16837" w:h="11905" w:orient="landscape"/>
      <w:pgMar w:top="1440" w:right="1440" w:bottom="1440" w:left="1440" w:header="431"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E564" w14:textId="77777777" w:rsidR="00D55468" w:rsidRPr="00FE7B04" w:rsidRDefault="00D55468">
      <w:pPr>
        <w:spacing w:after="0" w:line="240" w:lineRule="auto"/>
      </w:pPr>
      <w:r w:rsidRPr="00FE7B04">
        <w:separator/>
      </w:r>
    </w:p>
  </w:endnote>
  <w:endnote w:type="continuationSeparator" w:id="0">
    <w:p w14:paraId="40E6DE00" w14:textId="77777777" w:rsidR="00D55468" w:rsidRPr="00FE7B04" w:rsidRDefault="00D55468">
      <w:pPr>
        <w:spacing w:after="0" w:line="240" w:lineRule="auto"/>
      </w:pPr>
      <w:r w:rsidRPr="00FE7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304" w14:textId="77777777" w:rsidR="009D1E95" w:rsidRPr="000479CC" w:rsidRDefault="007B0970">
    <w:pPr>
      <w:pBdr>
        <w:top w:val="nil"/>
        <w:left w:val="nil"/>
        <w:bottom w:val="nil"/>
        <w:right w:val="nil"/>
        <w:between w:val="nil"/>
      </w:pBdr>
      <w:tabs>
        <w:tab w:val="center" w:pos="4680"/>
        <w:tab w:val="right" w:pos="9360"/>
      </w:tabs>
      <w:spacing w:after="0" w:line="240" w:lineRule="auto"/>
      <w:ind w:right="-367"/>
      <w:jc w:val="center"/>
      <w:rPr>
        <w:color w:val="000000"/>
      </w:rPr>
    </w:pPr>
    <w:r w:rsidRPr="000479CC">
      <w:rPr>
        <w:color w:val="000000"/>
      </w:rPr>
      <w:fldChar w:fldCharType="begin"/>
    </w:r>
    <w:r w:rsidRPr="000479CC">
      <w:rPr>
        <w:color w:val="000000"/>
      </w:rPr>
      <w:instrText>PAGE</w:instrText>
    </w:r>
    <w:r w:rsidRPr="000479CC">
      <w:rPr>
        <w:color w:val="000000"/>
      </w:rPr>
      <w:fldChar w:fldCharType="separate"/>
    </w:r>
    <w:r w:rsidR="00FE7B04" w:rsidRPr="000479CC">
      <w:rPr>
        <w:color w:val="000000"/>
      </w:rPr>
      <w:t>3</w:t>
    </w:r>
    <w:r w:rsidRPr="000479CC">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7B65" w14:textId="77777777" w:rsidR="009D1E95" w:rsidRPr="00FE7B04" w:rsidRDefault="009D1E95">
    <w:pPr>
      <w:pBdr>
        <w:top w:val="nil"/>
        <w:left w:val="nil"/>
        <w:bottom w:val="nil"/>
        <w:right w:val="nil"/>
        <w:between w:val="nil"/>
      </w:pBdr>
      <w:tabs>
        <w:tab w:val="center" w:pos="4680"/>
        <w:tab w:val="right" w:pos="9360"/>
      </w:tabs>
      <w:spacing w:after="0" w:line="240" w:lineRule="auto"/>
      <w:ind w:right="-637"/>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12DB" w14:textId="7A4245C6" w:rsidR="009D1E95" w:rsidRPr="000479CC" w:rsidRDefault="007B0970">
    <w:pPr>
      <w:pBdr>
        <w:top w:val="nil"/>
        <w:left w:val="nil"/>
        <w:bottom w:val="nil"/>
        <w:right w:val="nil"/>
        <w:between w:val="nil"/>
      </w:pBdr>
      <w:tabs>
        <w:tab w:val="center" w:pos="4680"/>
        <w:tab w:val="right" w:pos="9360"/>
      </w:tabs>
      <w:spacing w:after="0" w:line="240" w:lineRule="auto"/>
      <w:jc w:val="center"/>
      <w:rPr>
        <w:color w:val="000000"/>
        <w:sz w:val="18"/>
        <w:szCs w:val="18"/>
      </w:rPr>
    </w:pPr>
    <w:r w:rsidRPr="000479CC">
      <w:rPr>
        <w:color w:val="000000"/>
        <w:sz w:val="18"/>
        <w:szCs w:val="18"/>
      </w:rPr>
      <w:fldChar w:fldCharType="begin"/>
    </w:r>
    <w:r w:rsidRPr="000479CC">
      <w:rPr>
        <w:color w:val="000000"/>
        <w:sz w:val="18"/>
        <w:szCs w:val="18"/>
      </w:rPr>
      <w:instrText>PAGE</w:instrText>
    </w:r>
    <w:r w:rsidRPr="000479CC">
      <w:rPr>
        <w:color w:val="000000"/>
        <w:sz w:val="18"/>
        <w:szCs w:val="18"/>
      </w:rPr>
      <w:fldChar w:fldCharType="separate"/>
    </w:r>
    <w:r w:rsidR="00A366C2">
      <w:rPr>
        <w:noProof/>
        <w:color w:val="000000"/>
        <w:sz w:val="18"/>
        <w:szCs w:val="18"/>
      </w:rPr>
      <w:t>2</w:t>
    </w:r>
    <w:r w:rsidRPr="000479CC">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13885"/>
      <w:docPartObj>
        <w:docPartGallery w:val="Page Numbers (Bottom of Page)"/>
        <w:docPartUnique/>
      </w:docPartObj>
    </w:sdtPr>
    <w:sdtEndPr>
      <w:rPr>
        <w:noProof/>
        <w:sz w:val="18"/>
        <w:szCs w:val="18"/>
      </w:rPr>
    </w:sdtEndPr>
    <w:sdtContent>
      <w:p w14:paraId="52D20120" w14:textId="01C9AD2B" w:rsidR="00F30EBB" w:rsidRPr="000479CC" w:rsidRDefault="00F30EBB">
        <w:pPr>
          <w:pStyle w:val="Footer"/>
          <w:jc w:val="center"/>
          <w:rPr>
            <w:sz w:val="18"/>
            <w:szCs w:val="18"/>
          </w:rPr>
        </w:pPr>
        <w:r w:rsidRPr="000479CC">
          <w:rPr>
            <w:sz w:val="18"/>
            <w:szCs w:val="18"/>
          </w:rPr>
          <w:fldChar w:fldCharType="begin"/>
        </w:r>
        <w:r w:rsidRPr="000479CC">
          <w:rPr>
            <w:sz w:val="18"/>
            <w:szCs w:val="18"/>
          </w:rPr>
          <w:instrText xml:space="preserve"> PAGE   \* MERGEFORMAT </w:instrText>
        </w:r>
        <w:r w:rsidRPr="000479CC">
          <w:rPr>
            <w:sz w:val="18"/>
            <w:szCs w:val="18"/>
          </w:rPr>
          <w:fldChar w:fldCharType="separate"/>
        </w:r>
        <w:r w:rsidR="00A366C2">
          <w:rPr>
            <w:noProof/>
            <w:sz w:val="18"/>
            <w:szCs w:val="18"/>
          </w:rPr>
          <w:t>11</w:t>
        </w:r>
        <w:r w:rsidRPr="000479C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4E0B" w14:textId="34170212" w:rsidR="009D1E95" w:rsidRPr="000479CC" w:rsidRDefault="007B0970">
    <w:pPr>
      <w:pBdr>
        <w:top w:val="nil"/>
        <w:left w:val="nil"/>
        <w:bottom w:val="nil"/>
        <w:right w:val="nil"/>
        <w:between w:val="nil"/>
      </w:pBdr>
      <w:tabs>
        <w:tab w:val="center" w:pos="4680"/>
        <w:tab w:val="right" w:pos="9360"/>
      </w:tabs>
      <w:spacing w:after="0" w:line="240" w:lineRule="auto"/>
      <w:jc w:val="center"/>
      <w:rPr>
        <w:color w:val="000000"/>
        <w:sz w:val="18"/>
        <w:szCs w:val="18"/>
      </w:rPr>
    </w:pPr>
    <w:r w:rsidRPr="000479CC">
      <w:rPr>
        <w:color w:val="000000"/>
        <w:sz w:val="18"/>
        <w:szCs w:val="18"/>
      </w:rPr>
      <w:fldChar w:fldCharType="begin"/>
    </w:r>
    <w:r w:rsidRPr="000479CC">
      <w:rPr>
        <w:color w:val="000000"/>
        <w:sz w:val="18"/>
        <w:szCs w:val="18"/>
      </w:rPr>
      <w:instrText>PAGE</w:instrText>
    </w:r>
    <w:r w:rsidRPr="000479CC">
      <w:rPr>
        <w:color w:val="000000"/>
        <w:sz w:val="18"/>
        <w:szCs w:val="18"/>
      </w:rPr>
      <w:fldChar w:fldCharType="separate"/>
    </w:r>
    <w:r w:rsidR="00A366C2">
      <w:rPr>
        <w:noProof/>
        <w:color w:val="000000"/>
        <w:sz w:val="18"/>
        <w:szCs w:val="18"/>
      </w:rPr>
      <w:t>10</w:t>
    </w:r>
    <w:r w:rsidRPr="000479CC">
      <w:rPr>
        <w:color w:val="000000"/>
        <w:sz w:val="18"/>
        <w:szCs w:val="18"/>
      </w:rPr>
      <w:fldChar w:fldCharType="end"/>
    </w:r>
  </w:p>
  <w:p w14:paraId="12FCAF2D" w14:textId="77777777" w:rsidR="009D1E95" w:rsidRPr="000479CC" w:rsidRDefault="009D1E95">
    <w:pPr>
      <w:pBdr>
        <w:top w:val="nil"/>
        <w:left w:val="nil"/>
        <w:bottom w:val="nil"/>
        <w:right w:val="nil"/>
        <w:between w:val="nil"/>
      </w:pBdr>
      <w:tabs>
        <w:tab w:val="center" w:pos="4680"/>
        <w:tab w:val="right" w:pos="9360"/>
      </w:tabs>
      <w:spacing w:after="0" w:line="240" w:lineRule="auto"/>
      <w:ind w:right="-637"/>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6A8F" w14:textId="77777777" w:rsidR="00D55468" w:rsidRPr="00FE7B04" w:rsidRDefault="00D55468">
      <w:pPr>
        <w:spacing w:after="0" w:line="240" w:lineRule="auto"/>
      </w:pPr>
      <w:r w:rsidRPr="00FE7B04">
        <w:separator/>
      </w:r>
    </w:p>
  </w:footnote>
  <w:footnote w:type="continuationSeparator" w:id="0">
    <w:p w14:paraId="3BB9D7B7" w14:textId="77777777" w:rsidR="00D55468" w:rsidRPr="00FE7B04" w:rsidRDefault="00D55468">
      <w:pPr>
        <w:spacing w:after="0" w:line="240" w:lineRule="auto"/>
      </w:pPr>
      <w:r w:rsidRPr="00FE7B04">
        <w:continuationSeparator/>
      </w:r>
    </w:p>
  </w:footnote>
  <w:footnote w:id="1">
    <w:p w14:paraId="15195692"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Departamento de Biología, Universidad de Dalhousie, Halifax, Nueva Escocia, Canadá /</w:t>
      </w:r>
      <w:r w:rsidRPr="00976C41">
        <w:rPr>
          <w:sz w:val="16"/>
          <w:szCs w:val="16"/>
          <w:vertAlign w:val="superscript"/>
          <w:lang w:val="es-ES"/>
        </w:rPr>
        <w:t>*</w:t>
      </w:r>
      <w:r w:rsidRPr="00976C41">
        <w:rPr>
          <w:sz w:val="16"/>
          <w:szCs w:val="16"/>
          <w:lang w:val="es-ES"/>
        </w:rPr>
        <w:t xml:space="preserve">Autor de correspondencia: </w:t>
      </w:r>
      <w:hyperlink r:id="rId1">
        <w:r w:rsidRPr="00976C41">
          <w:rPr>
            <w:color w:val="0563C1"/>
            <w:sz w:val="16"/>
            <w:szCs w:val="16"/>
            <w:u w:val="single"/>
            <w:lang w:val="es-ES"/>
          </w:rPr>
          <w:t>ana.eguiguren@dal.ca</w:t>
        </w:r>
      </w:hyperlink>
    </w:p>
  </w:footnote>
  <w:footnote w:id="2">
    <w:p w14:paraId="081AE1CE"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Ecología Animal, Universidad del Valle, Cali, Colombia</w:t>
      </w:r>
    </w:p>
  </w:footnote>
  <w:footnote w:id="3">
    <w:p w14:paraId="0A5554BF"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Instituto de Investigación de Fauna Silvestre Terrestre y Acuática (ITAW), Universidad de Medicina Veterinaria de Hannover, Alemania</w:t>
      </w:r>
    </w:p>
  </w:footnote>
  <w:footnote w:id="4">
    <w:p w14:paraId="06A0E85D" w14:textId="77777777" w:rsidR="002411D7" w:rsidRPr="00976C41" w:rsidRDefault="002411D7" w:rsidP="002411D7">
      <w:pPr>
        <w:spacing w:after="0" w:line="240" w:lineRule="auto"/>
        <w:jc w:val="both"/>
        <w:rPr>
          <w:sz w:val="16"/>
          <w:szCs w:val="16"/>
          <w:lang w:val="es-ES"/>
        </w:rPr>
      </w:pPr>
      <w:r w:rsidRPr="00976C41">
        <w:rPr>
          <w:rStyle w:val="FootnoteReference"/>
          <w:sz w:val="16"/>
          <w:szCs w:val="16"/>
          <w:lang w:val="es-ES"/>
        </w:rPr>
        <w:footnoteRef/>
      </w:r>
      <w:r w:rsidRPr="00976C41">
        <w:rPr>
          <w:sz w:val="16"/>
          <w:szCs w:val="16"/>
          <w:lang w:val="es-ES"/>
        </w:rPr>
        <w:t xml:space="preserve"> Escuela de Ciencias Ambientales, Universidad Espíritu Santo, km 2.5 vía Samborondón, Ecuador</w:t>
      </w:r>
    </w:p>
  </w:footnote>
  <w:footnote w:id="5">
    <w:p w14:paraId="65FEDFC2"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Programa de Mamíferos Marinos, Centro de Estudios Culturales y Ecológicos del </w:t>
      </w:r>
      <w:r w:rsidRPr="00976C41">
        <w:rPr>
          <w:i/>
          <w:sz w:val="16"/>
          <w:szCs w:val="16"/>
          <w:lang w:val="es-ES"/>
        </w:rPr>
        <w:t xml:space="preserve">Prescott </w:t>
      </w:r>
      <w:proofErr w:type="spellStart"/>
      <w:r w:rsidRPr="00976C41">
        <w:rPr>
          <w:i/>
          <w:sz w:val="16"/>
          <w:szCs w:val="16"/>
          <w:lang w:val="es-ES"/>
        </w:rPr>
        <w:t>College</w:t>
      </w:r>
      <w:proofErr w:type="spellEnd"/>
      <w:r w:rsidRPr="00976C41">
        <w:rPr>
          <w:sz w:val="16"/>
          <w:szCs w:val="16"/>
          <w:lang w:val="es-ES"/>
        </w:rPr>
        <w:t xml:space="preserve"> en Bahía de Kino, Sonora, México</w:t>
      </w:r>
    </w:p>
  </w:footnote>
  <w:footnote w:id="6">
    <w:p w14:paraId="7DDAFEDC"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Escuela de Medicina, Facultad de Medicina Veterinaria y Recursos Naturales. Universidad Santo Tomás, Viña del Mar, Chile</w:t>
      </w:r>
    </w:p>
  </w:footnote>
  <w:footnote w:id="7">
    <w:p w14:paraId="55703D4D"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ONG </w:t>
      </w:r>
      <w:proofErr w:type="spellStart"/>
      <w:r w:rsidRPr="00976C41">
        <w:rPr>
          <w:sz w:val="16"/>
          <w:szCs w:val="16"/>
          <w:lang w:val="es-ES"/>
        </w:rPr>
        <w:t>Panthalassa</w:t>
      </w:r>
      <w:proofErr w:type="spellEnd"/>
      <w:r w:rsidRPr="00976C41">
        <w:rPr>
          <w:sz w:val="16"/>
          <w:szCs w:val="16"/>
          <w:lang w:val="es-ES"/>
        </w:rPr>
        <w:t>, Red de Estudios de Vertebrados Marinos en Chile, Santiago</w:t>
      </w:r>
    </w:p>
  </w:footnote>
  <w:footnote w:id="8">
    <w:p w14:paraId="4DEC84B8"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Departamento de Pesquerías, Vida Silvestre y Ciencias de la Conservación, Instituto de Mamíferos Marinos, Universidad Estatal de Oregón, Newport, Oregón, Estados Unidos</w:t>
      </w:r>
    </w:p>
  </w:footnote>
  <w:footnote w:id="9">
    <w:p w14:paraId="05AC6735"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Escuela de Ciencias Biológicas, Universidad de Bristol, Bristol, Reino Unido</w:t>
      </w:r>
    </w:p>
  </w:footnote>
  <w:footnote w:id="10">
    <w:p w14:paraId="41FFFFFF"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Pontificia Universidad Católica de Chile, Facultad de Ciencias Biológicas, Santiago, Chile</w:t>
      </w:r>
    </w:p>
  </w:footnote>
  <w:footnote w:id="11">
    <w:p w14:paraId="150CA5C4"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Centro de Estudios Avanzados en Zonas Áridas (CEAZA), Coquimbo, Chile</w:t>
      </w:r>
    </w:p>
  </w:footnote>
  <w:footnote w:id="12">
    <w:p w14:paraId="214018A9"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Centro de Ciencias Pesqueras del Suroeste, NOAA </w:t>
      </w:r>
      <w:proofErr w:type="spellStart"/>
      <w:r w:rsidRPr="00976C41">
        <w:rPr>
          <w:sz w:val="16"/>
          <w:szCs w:val="16"/>
          <w:lang w:val="es-ES"/>
        </w:rPr>
        <w:t>Fisheries</w:t>
      </w:r>
      <w:proofErr w:type="spellEnd"/>
      <w:r w:rsidRPr="00976C41">
        <w:rPr>
          <w:sz w:val="16"/>
          <w:szCs w:val="16"/>
          <w:lang w:val="es-ES"/>
        </w:rPr>
        <w:t>, Departamento de Comercio de los Estados Unidos, La Jolla, California, EE. UU.</w:t>
      </w:r>
    </w:p>
  </w:footnote>
  <w:footnote w:id="13">
    <w:p w14:paraId="32FED7AC" w14:textId="77777777" w:rsidR="002411D7" w:rsidRPr="00976C41"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Escuela de Gestión de Recursos y Medio Ambiente, Universidad Simon Fraser, </w:t>
      </w:r>
      <w:proofErr w:type="spellStart"/>
      <w:r w:rsidRPr="00976C41">
        <w:rPr>
          <w:sz w:val="16"/>
          <w:szCs w:val="16"/>
          <w:lang w:val="es-ES"/>
        </w:rPr>
        <w:t>Burnaby</w:t>
      </w:r>
      <w:proofErr w:type="spellEnd"/>
      <w:r w:rsidRPr="00976C41">
        <w:rPr>
          <w:sz w:val="16"/>
          <w:szCs w:val="16"/>
          <w:lang w:val="es-ES"/>
        </w:rPr>
        <w:t>, Columbia Británica, Canadá</w:t>
      </w:r>
    </w:p>
  </w:footnote>
  <w:footnote w:id="14">
    <w:p w14:paraId="75A4B7E0" w14:textId="77777777" w:rsidR="002411D7" w:rsidRPr="000479CC" w:rsidRDefault="002411D7" w:rsidP="002411D7">
      <w:pPr>
        <w:pStyle w:val="FootnoteText"/>
        <w:jc w:val="both"/>
        <w:rPr>
          <w:sz w:val="16"/>
          <w:szCs w:val="16"/>
          <w:lang w:val="es-ES"/>
        </w:rPr>
      </w:pPr>
      <w:r w:rsidRPr="00976C41">
        <w:rPr>
          <w:rStyle w:val="FootnoteReference"/>
          <w:sz w:val="16"/>
          <w:szCs w:val="16"/>
          <w:lang w:val="es-ES"/>
        </w:rPr>
        <w:footnoteRef/>
      </w:r>
      <w:r w:rsidRPr="00976C41">
        <w:rPr>
          <w:sz w:val="16"/>
          <w:szCs w:val="16"/>
          <w:lang w:val="es-ES"/>
        </w:rPr>
        <w:t xml:space="preserve"> Fundación Ecuatoriana para el Estudio de Mamíferos Marinos (FEMM), Salinas, Ecuador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D88A" w14:textId="77777777" w:rsidR="009D1E95" w:rsidRPr="000479CC" w:rsidRDefault="007B0970">
    <w:pPr>
      <w:pStyle w:val="Heading1"/>
      <w:keepNext w:val="0"/>
      <w:pBdr>
        <w:bottom w:val="single" w:sz="4" w:space="1" w:color="000000"/>
      </w:pBdr>
      <w:ind w:left="261" w:right="-277" w:hanging="261"/>
      <w:jc w:val="right"/>
    </w:pPr>
    <w:r w:rsidRPr="000479CC">
      <w:rPr>
        <w:i/>
        <w:sz w:val="18"/>
        <w:szCs w:val="18"/>
      </w:rPr>
      <w:t>UNEP/CMS/COP12/</w:t>
    </w:r>
    <w:proofErr w:type="spellStart"/>
    <w:r w:rsidRPr="000479CC">
      <w:rPr>
        <w:i/>
        <w:sz w:val="18"/>
        <w:szCs w:val="18"/>
      </w:rPr>
      <w:t>Doc.x</w:t>
    </w:r>
    <w:proofErr w:type="spellEnd"/>
    <w:r w:rsidRPr="000479CC">
      <w:rPr>
        <w:i/>
        <w:sz w:val="18"/>
        <w:szCs w:val="18"/>
      </w:rPr>
      <w:t>/x</w:t>
    </w:r>
  </w:p>
  <w:p w14:paraId="6A18115A" w14:textId="77777777" w:rsidR="009D1E95" w:rsidRPr="000479CC" w:rsidRDefault="009D1E95">
    <w:pPr>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DF75" w14:textId="77777777" w:rsidR="006836B3" w:rsidRPr="00002A97" w:rsidRDefault="006836B3" w:rsidP="006836B3">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218D461A" wp14:editId="43C70892">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584945323" name="Picture 158494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5A09A90" wp14:editId="3D5651C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63918480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38BA2AC" wp14:editId="0EEC6B7E">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7201654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6A37CB5" w14:textId="77777777" w:rsidR="006836B3" w:rsidRDefault="00683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191F" w14:textId="0D3333F4" w:rsidR="009D1E95" w:rsidRPr="000479CC" w:rsidRDefault="007B0970">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0479CC">
      <w:rPr>
        <w:i/>
        <w:color w:val="000000"/>
        <w:sz w:val="18"/>
        <w:szCs w:val="18"/>
      </w:rPr>
      <w:t>UNEP/CMS/COP15/Doc.31.2.</w:t>
    </w:r>
    <w:r w:rsidR="00046495">
      <w:rPr>
        <w:i/>
        <w:color w:val="000000"/>
        <w:sz w:val="18"/>
        <w:szCs w:val="18"/>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4C64" w14:textId="1476C99C" w:rsidR="009D1E95" w:rsidRPr="000479CC" w:rsidRDefault="007B0970">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0479CC">
      <w:rPr>
        <w:i/>
        <w:color w:val="000000"/>
        <w:sz w:val="18"/>
        <w:szCs w:val="18"/>
      </w:rPr>
      <w:t>UNEP/CMS/COP15/Doc.31.2.</w:t>
    </w:r>
    <w:r w:rsidR="00046495">
      <w:rPr>
        <w:i/>
        <w:color w:val="000000"/>
        <w:sz w:val="18"/>
        <w:szCs w:val="18"/>
      </w:rPr>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7598" w14:textId="0534C26C" w:rsidR="009D1E95" w:rsidRPr="000479CC" w:rsidRDefault="007B0970">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0479CC">
      <w:rPr>
        <w:i/>
        <w:color w:val="000000"/>
        <w:sz w:val="18"/>
        <w:szCs w:val="18"/>
      </w:rPr>
      <w:t>UNEP/CMS/COP15/Doc.31.2.</w:t>
    </w:r>
    <w:r w:rsidR="006E03F6">
      <w:rPr>
        <w:i/>
        <w:color w:val="000000"/>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34A"/>
    <w:multiLevelType w:val="multilevel"/>
    <w:tmpl w:val="27066596"/>
    <w:lvl w:ilvl="0">
      <w:start w:val="1"/>
      <w:numFmt w:val="decimal"/>
      <w:lvlText w:val="%1."/>
      <w:lvlJc w:val="left"/>
      <w:pPr>
        <w:ind w:left="1350" w:hanging="720"/>
      </w:pPr>
      <w:rPr>
        <w:b/>
        <w:bCs/>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49A0489E"/>
    <w:multiLevelType w:val="multilevel"/>
    <w:tmpl w:val="3A2AB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0A5576A"/>
    <w:multiLevelType w:val="multilevel"/>
    <w:tmpl w:val="8B0A6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F13ACE"/>
    <w:multiLevelType w:val="multilevel"/>
    <w:tmpl w:val="4F8AF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7945144">
    <w:abstractNumId w:val="1"/>
  </w:num>
  <w:num w:numId="2" w16cid:durableId="956839974">
    <w:abstractNumId w:val="2"/>
  </w:num>
  <w:num w:numId="3" w16cid:durableId="170605929">
    <w:abstractNumId w:val="0"/>
  </w:num>
  <w:num w:numId="4" w16cid:durableId="64188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95"/>
    <w:rsid w:val="0000619F"/>
    <w:rsid w:val="00046495"/>
    <w:rsid w:val="000479CC"/>
    <w:rsid w:val="000A0D59"/>
    <w:rsid w:val="00100D8B"/>
    <w:rsid w:val="0016650E"/>
    <w:rsid w:val="0017113B"/>
    <w:rsid w:val="001E46D7"/>
    <w:rsid w:val="001F053A"/>
    <w:rsid w:val="0024088F"/>
    <w:rsid w:val="002411D7"/>
    <w:rsid w:val="00251A17"/>
    <w:rsid w:val="002E2630"/>
    <w:rsid w:val="003077A5"/>
    <w:rsid w:val="004B1621"/>
    <w:rsid w:val="004B2C5E"/>
    <w:rsid w:val="005066A2"/>
    <w:rsid w:val="0052337D"/>
    <w:rsid w:val="0059467B"/>
    <w:rsid w:val="005F018C"/>
    <w:rsid w:val="005F2497"/>
    <w:rsid w:val="00676CD6"/>
    <w:rsid w:val="006836B3"/>
    <w:rsid w:val="006C6F81"/>
    <w:rsid w:val="006E03F6"/>
    <w:rsid w:val="006F371F"/>
    <w:rsid w:val="00712ADA"/>
    <w:rsid w:val="007B0970"/>
    <w:rsid w:val="007F5C17"/>
    <w:rsid w:val="00812411"/>
    <w:rsid w:val="008C4F58"/>
    <w:rsid w:val="008E76D1"/>
    <w:rsid w:val="00976C41"/>
    <w:rsid w:val="009C395F"/>
    <w:rsid w:val="009D1E95"/>
    <w:rsid w:val="00A366C2"/>
    <w:rsid w:val="00A41484"/>
    <w:rsid w:val="00B73690"/>
    <w:rsid w:val="00BA4F4C"/>
    <w:rsid w:val="00BF7218"/>
    <w:rsid w:val="00C71F37"/>
    <w:rsid w:val="00CB5128"/>
    <w:rsid w:val="00CF6B6E"/>
    <w:rsid w:val="00D55468"/>
    <w:rsid w:val="00DE7B2C"/>
    <w:rsid w:val="00E742B0"/>
    <w:rsid w:val="00E956D9"/>
    <w:rsid w:val="00EA6369"/>
    <w:rsid w:val="00EA7AC9"/>
    <w:rsid w:val="00EE69DF"/>
    <w:rsid w:val="00EF01F7"/>
    <w:rsid w:val="00F30EBB"/>
    <w:rsid w:val="00FE026F"/>
    <w:rsid w:val="00FE3F56"/>
    <w:rsid w:val="00FE7B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09BD3"/>
  <w15:docId w15:val="{C9E8C980-8841-43D7-9F6D-44B5D9F8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 w:type="dxa"/>
        <w:bottom w:w="0" w:type="dxa"/>
        <w:right w:w="10"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FE7B04"/>
    <w:rPr>
      <w:color w:val="0000FF" w:themeColor="hyperlink"/>
      <w:u w:val="single"/>
    </w:rPr>
  </w:style>
  <w:style w:type="character" w:customStyle="1" w:styleId="UnresolvedMention1">
    <w:name w:val="Unresolved Mention1"/>
    <w:basedOn w:val="DefaultParagraphFont"/>
    <w:uiPriority w:val="99"/>
    <w:semiHidden/>
    <w:unhideWhenUsed/>
    <w:rsid w:val="00FE7B04"/>
    <w:rPr>
      <w:color w:val="605E5C"/>
      <w:shd w:val="clear" w:color="auto" w:fill="E1DFDD"/>
    </w:rPr>
  </w:style>
  <w:style w:type="character" w:styleId="FollowedHyperlink">
    <w:name w:val="FollowedHyperlink"/>
    <w:basedOn w:val="DefaultParagraphFont"/>
    <w:uiPriority w:val="99"/>
    <w:semiHidden/>
    <w:unhideWhenUsed/>
    <w:rsid w:val="00FE7B04"/>
    <w:rPr>
      <w:color w:val="800080" w:themeColor="followedHyperlink"/>
      <w:u w:val="single"/>
    </w:rPr>
  </w:style>
  <w:style w:type="paragraph" w:styleId="Header">
    <w:name w:val="header"/>
    <w:basedOn w:val="Normal"/>
    <w:link w:val="HeaderChar"/>
    <w:uiPriority w:val="99"/>
    <w:unhideWhenUsed/>
    <w:rsid w:val="005F0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8C"/>
    <w:rPr>
      <w:lang w:val="en-CA"/>
    </w:rPr>
  </w:style>
  <w:style w:type="paragraph" w:styleId="Footer">
    <w:name w:val="footer"/>
    <w:basedOn w:val="Normal"/>
    <w:link w:val="FooterChar"/>
    <w:uiPriority w:val="99"/>
    <w:unhideWhenUsed/>
    <w:rsid w:val="005F0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18C"/>
    <w:rPr>
      <w:lang w:val="en-CA"/>
    </w:rPr>
  </w:style>
  <w:style w:type="character" w:styleId="CommentReference">
    <w:name w:val="annotation reference"/>
    <w:basedOn w:val="DefaultParagraphFont"/>
    <w:uiPriority w:val="99"/>
    <w:semiHidden/>
    <w:unhideWhenUsed/>
    <w:rsid w:val="00A41484"/>
    <w:rPr>
      <w:sz w:val="16"/>
      <w:szCs w:val="16"/>
    </w:rPr>
  </w:style>
  <w:style w:type="paragraph" w:styleId="CommentText">
    <w:name w:val="annotation text"/>
    <w:basedOn w:val="Normal"/>
    <w:link w:val="CommentTextChar"/>
    <w:uiPriority w:val="99"/>
    <w:unhideWhenUsed/>
    <w:rsid w:val="00A41484"/>
    <w:pPr>
      <w:spacing w:line="240" w:lineRule="auto"/>
    </w:pPr>
    <w:rPr>
      <w:sz w:val="20"/>
      <w:szCs w:val="20"/>
    </w:rPr>
  </w:style>
  <w:style w:type="character" w:customStyle="1" w:styleId="CommentTextChar">
    <w:name w:val="Comment Text Char"/>
    <w:basedOn w:val="DefaultParagraphFont"/>
    <w:link w:val="CommentText"/>
    <w:uiPriority w:val="99"/>
    <w:rsid w:val="00A41484"/>
    <w:rPr>
      <w:sz w:val="20"/>
      <w:szCs w:val="20"/>
      <w:lang w:val="en-CA"/>
    </w:rPr>
  </w:style>
  <w:style w:type="paragraph" w:styleId="CommentSubject">
    <w:name w:val="annotation subject"/>
    <w:basedOn w:val="CommentText"/>
    <w:next w:val="CommentText"/>
    <w:link w:val="CommentSubjectChar"/>
    <w:uiPriority w:val="99"/>
    <w:semiHidden/>
    <w:unhideWhenUsed/>
    <w:rsid w:val="00A41484"/>
    <w:rPr>
      <w:b/>
      <w:bCs/>
    </w:rPr>
  </w:style>
  <w:style w:type="character" w:customStyle="1" w:styleId="CommentSubjectChar">
    <w:name w:val="Comment Subject Char"/>
    <w:basedOn w:val="CommentTextChar"/>
    <w:link w:val="CommentSubject"/>
    <w:uiPriority w:val="99"/>
    <w:semiHidden/>
    <w:rsid w:val="00A41484"/>
    <w:rPr>
      <w:b/>
      <w:bCs/>
      <w:sz w:val="20"/>
      <w:szCs w:val="20"/>
      <w:lang w:val="en-CA"/>
    </w:rPr>
  </w:style>
  <w:style w:type="paragraph" w:styleId="FootnoteText">
    <w:name w:val="footnote text"/>
    <w:basedOn w:val="Normal"/>
    <w:link w:val="FootnoteTextChar"/>
    <w:uiPriority w:val="99"/>
    <w:semiHidden/>
    <w:unhideWhenUsed/>
    <w:rsid w:val="002411D7"/>
    <w:pPr>
      <w:spacing w:after="0" w:line="240" w:lineRule="auto"/>
    </w:pPr>
    <w:rPr>
      <w:sz w:val="20"/>
      <w:szCs w:val="20"/>
      <w:lang w:val="en"/>
    </w:rPr>
  </w:style>
  <w:style w:type="character" w:customStyle="1" w:styleId="FootnoteTextChar">
    <w:name w:val="Footnote Text Char"/>
    <w:basedOn w:val="DefaultParagraphFont"/>
    <w:link w:val="FootnoteText"/>
    <w:uiPriority w:val="99"/>
    <w:semiHidden/>
    <w:rsid w:val="002411D7"/>
    <w:rPr>
      <w:sz w:val="20"/>
      <w:szCs w:val="20"/>
      <w:lang w:val="en"/>
    </w:rPr>
  </w:style>
  <w:style w:type="character" w:styleId="FootnoteReference">
    <w:name w:val="footnote reference"/>
    <w:basedOn w:val="DefaultParagraphFont"/>
    <w:uiPriority w:val="99"/>
    <w:semiHidden/>
    <w:unhideWhenUsed/>
    <w:rsid w:val="002411D7"/>
    <w:rPr>
      <w:vertAlign w:val="superscript"/>
    </w:rPr>
  </w:style>
  <w:style w:type="paragraph" w:styleId="ListParagraph">
    <w:name w:val="List Paragraph"/>
    <w:basedOn w:val="Normal"/>
    <w:uiPriority w:val="34"/>
    <w:qFormat/>
    <w:rsid w:val="00812411"/>
    <w:pPr>
      <w:ind w:left="720"/>
      <w:contextualSpacing/>
    </w:pPr>
  </w:style>
  <w:style w:type="paragraph" w:styleId="BalloonText">
    <w:name w:val="Balloon Text"/>
    <w:basedOn w:val="Normal"/>
    <w:link w:val="BalloonTextChar"/>
    <w:uiPriority w:val="99"/>
    <w:semiHidden/>
    <w:unhideWhenUsed/>
    <w:rsid w:val="00976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C41"/>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zotero.org/google-docs/?WHrURS" TargetMode="External"/><Relationship Id="rId26" Type="http://schemas.openxmlformats.org/officeDocument/2006/relationships/hyperlink" Target="https://www.zotero.org/google-docs/?oGwYMq" TargetMode="External"/><Relationship Id="rId39" Type="http://schemas.openxmlformats.org/officeDocument/2006/relationships/header" Target="header4.xml"/><Relationship Id="rId21" Type="http://schemas.openxmlformats.org/officeDocument/2006/relationships/hyperlink" Target="https://www.zotero.org/google-docs/?BRgAOI" TargetMode="External"/><Relationship Id="rId34" Type="http://schemas.openxmlformats.org/officeDocument/2006/relationships/hyperlink" Target="https://www.zotero.org/google-docs/?oGwYMq"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zotero.org/google-docs/?AvA7gs" TargetMode="External"/><Relationship Id="rId29" Type="http://schemas.openxmlformats.org/officeDocument/2006/relationships/hyperlink" Target="https://www.zotero.org/google-docs/?oGwYM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zotero.org/google-docs/?oGwYMq" TargetMode="External"/><Relationship Id="rId32" Type="http://schemas.openxmlformats.org/officeDocument/2006/relationships/hyperlink" Target="https://www.zotero.org/google-docs/?oGwYMq" TargetMode="External"/><Relationship Id="rId37" Type="http://schemas.openxmlformats.org/officeDocument/2006/relationships/hyperlink" Target="https://www.cms.int/document/3136-proposal-concerted-action-sperm-whales-physeter-macrocephalus-eastern-tropical" TargetMode="External"/><Relationship Id="rId40" Type="http://schemas.openxmlformats.org/officeDocument/2006/relationships/footer" Target="footer3.xml"/><Relationship Id="rId45"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https://www.cms.int/es/node/42354" TargetMode="External"/><Relationship Id="rId23" Type="http://schemas.openxmlformats.org/officeDocument/2006/relationships/hyperlink" Target="https://www.zotero.org/google-docs/?FiGFSq" TargetMode="External"/><Relationship Id="rId28" Type="http://schemas.openxmlformats.org/officeDocument/2006/relationships/hyperlink" Target="https://www.zotero.org/google-docs/?oGwYMq" TargetMode="External"/><Relationship Id="rId36" Type="http://schemas.openxmlformats.org/officeDocument/2006/relationships/hyperlink" Target="https://www.zotero.org/google-docs/?oGwYMq" TargetMode="External"/><Relationship Id="rId10" Type="http://schemas.openxmlformats.org/officeDocument/2006/relationships/image" Target="media/image1.wmf"/><Relationship Id="rId19" Type="http://schemas.openxmlformats.org/officeDocument/2006/relationships/hyperlink" Target="https://www.zotero.org/google-docs/?GrRx09" TargetMode="External"/><Relationship Id="rId31" Type="http://schemas.openxmlformats.org/officeDocument/2006/relationships/hyperlink" Target="https://www.zotero.org/google-docs/?oGwYMq" TargetMode="External"/><Relationship Id="rId44"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zotero.org/google-docs/?BRgAOI" TargetMode="External"/><Relationship Id="rId27" Type="http://schemas.openxmlformats.org/officeDocument/2006/relationships/hyperlink" Target="https://www.zotero.org/google-docs/?oGwYMq" TargetMode="External"/><Relationship Id="rId30" Type="http://schemas.openxmlformats.org/officeDocument/2006/relationships/hyperlink" Target="https://www.zotero.org/google-docs/?oGwYMq" TargetMode="External"/><Relationship Id="rId35" Type="http://schemas.openxmlformats.org/officeDocument/2006/relationships/hyperlink" Target="https://www.zotero.org/google-docs/?oGwYMq" TargetMode="External"/><Relationship Id="rId43" Type="http://schemas.openxmlformats.org/officeDocument/2006/relationships/footer" Target="footer5.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zotero.org/google-docs/?WHrURS" TargetMode="External"/><Relationship Id="rId25" Type="http://schemas.openxmlformats.org/officeDocument/2006/relationships/hyperlink" Target="https://www.zotero.org/google-docs/?oGwYMq" TargetMode="External"/><Relationship Id="rId33" Type="http://schemas.openxmlformats.org/officeDocument/2006/relationships/hyperlink" Target="https://www.zotero.org/google-docs/?oGwYMq" TargetMode="External"/><Relationship Id="rId38" Type="http://schemas.openxmlformats.org/officeDocument/2006/relationships/header" Target="header3.xml"/><Relationship Id="rId46" Type="http://schemas.openxmlformats.org/officeDocument/2006/relationships/hyperlink" Target="https://www.inaturalist.org/observations?preferred_place_id=7196&amp;subview=map&amp;taxon_id=74890" TargetMode="External"/><Relationship Id="rId20" Type="http://schemas.openxmlformats.org/officeDocument/2006/relationships/hyperlink" Target="https://www.zotero.org/google-docs/?BRgAOI" TargetMode="External"/><Relationship Id="rId41"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mailto:ana.eguiguren@dal.c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485A7B02-A3D2-450E-8B4A-C1B62069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F2257-4AF0-49DE-95AD-235571B70180}">
  <ds:schemaRefs>
    <ds:schemaRef ds:uri="http://schemas.microsoft.com/sharepoint/v3/contenttype/forms"/>
  </ds:schemaRefs>
</ds:datastoreItem>
</file>

<file path=customXml/itemProps3.xml><?xml version="1.0" encoding="utf-8"?>
<ds:datastoreItem xmlns:ds="http://schemas.openxmlformats.org/officeDocument/2006/customXml" ds:itemID="{ADDAC65B-1B3B-4929-80CD-C6613A59D322}">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28</TotalTime>
  <Pages>12</Pages>
  <Words>3499</Words>
  <Characters>19945</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Lorea Mezo</dc:creator>
  <cp:lastModifiedBy>Ximena Victoria Cancino Ordenes</cp:lastModifiedBy>
  <cp:revision>14</cp:revision>
  <dcterms:created xsi:type="dcterms:W3CDTF">2025-11-04T12:07:00Z</dcterms:created>
  <dcterms:modified xsi:type="dcterms:W3CDTF">2025-11-11T13:24:00Z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MediaServiceImageTags</vt:lpwstr>
  </property>
  <property fmtid="{D5CDD505-2E9C-101B-9397-08002B2CF9AE}" pid="4" name="GrammarlyDocumentId">
    <vt:lpwstr>8314e247-62e3-47f6-9c27-9ff957526bb9</vt:lpwstr>
  </property>
  <property fmtid="{D5CDD505-2E9C-101B-9397-08002B2CF9AE}" pid="5" name="TaxKeyword">
    <vt:lpwstr/>
  </property>
</Properties>
</file>