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94EB6E5"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00EA2A28">
              <w:rPr>
                <w:rFonts w:eastAsia="Times New Roman" w:cs="Arial"/>
                <w:lang w:val="en-GB"/>
              </w:rPr>
              <w:t>31.2.</w:t>
            </w:r>
            <w:r w:rsidR="001C54C6">
              <w:rPr>
                <w:rFonts w:eastAsia="Times New Roman" w:cs="Arial"/>
                <w:lang w:val="en-GB"/>
              </w:rPr>
              <w:t>6</w:t>
            </w:r>
          </w:p>
          <w:p w14:paraId="1FCC85D7" w14:textId="351B7358" w:rsidR="002E0DE9" w:rsidRDefault="00EA2A28"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24 October</w:t>
            </w:r>
            <w:r w:rsidR="002E0DE9"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108EB970" w:rsidR="002E0DE9" w:rsidRPr="00D83A9A"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D83A9A">
        <w:rPr>
          <w:rFonts w:eastAsia="Times New Roman" w:cs="Arial"/>
          <w:bCs/>
        </w:rPr>
        <w:t>C</w:t>
      </w:r>
      <w:r w:rsidR="00124693" w:rsidRPr="00D83A9A">
        <w:rPr>
          <w:rFonts w:eastAsia="Times New Roman" w:cs="Arial"/>
          <w:bCs/>
        </w:rPr>
        <w:t xml:space="preserve">ampo Grande, </w:t>
      </w:r>
      <w:r w:rsidR="00176082" w:rsidRPr="00D83A9A">
        <w:rPr>
          <w:rFonts w:eastAsia="Times New Roman" w:cs="Arial"/>
          <w:bCs/>
        </w:rPr>
        <w:t>Brazil</w:t>
      </w:r>
      <w:r w:rsidR="002E0DE9" w:rsidRPr="00D83A9A">
        <w:rPr>
          <w:rFonts w:eastAsia="Times New Roman" w:cs="Arial"/>
          <w:bCs/>
        </w:rPr>
        <w:t>,</w:t>
      </w:r>
      <w:r w:rsidR="00CF5D3B" w:rsidRPr="00D83A9A">
        <w:rPr>
          <w:rFonts w:eastAsia="Times New Roman" w:cs="Arial"/>
          <w:bCs/>
        </w:rPr>
        <w:t xml:space="preserve"> </w:t>
      </w:r>
      <w:r w:rsidR="00124693" w:rsidRPr="00D83A9A">
        <w:rPr>
          <w:rFonts w:eastAsia="Times New Roman" w:cs="Arial"/>
          <w:bCs/>
        </w:rPr>
        <w:t>23 to 29 March</w:t>
      </w:r>
      <w:r w:rsidR="00842B75" w:rsidRPr="00D83A9A">
        <w:rPr>
          <w:rFonts w:eastAsia="Times New Roman" w:cs="Arial"/>
          <w:bCs/>
        </w:rPr>
        <w:t xml:space="preserve"> 202</w:t>
      </w:r>
      <w:r w:rsidR="000B60DE" w:rsidRPr="00D83A9A">
        <w:rPr>
          <w:rFonts w:eastAsia="Times New Roman" w:cs="Arial"/>
          <w:bCs/>
        </w:rPr>
        <w:t>6</w:t>
      </w:r>
    </w:p>
    <w:p w14:paraId="008C6855" w14:textId="53D7278D"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00EA2A28">
        <w:rPr>
          <w:rFonts w:eastAsia="Times New Roman" w:cs="Arial"/>
          <w:lang w:val="en-GB"/>
        </w:rPr>
        <w:t>31.2</w:t>
      </w:r>
      <w:r w:rsidR="001C54C6">
        <w:rPr>
          <w:rFonts w:eastAsia="Times New Roman" w:cs="Arial"/>
          <w:lang w:val="en-GB"/>
        </w:rPr>
        <w:t>.6</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7082E010" w14:textId="77777777" w:rsidR="004165B4" w:rsidRPr="004165B4"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4165B4">
        <w:rPr>
          <w:rFonts w:eastAsia="Times New Roman" w:cs="Arial"/>
          <w:b/>
          <w:bCs/>
        </w:rPr>
        <w:t>REPORT ON THE IMPLEMENTATION OF THE</w:t>
      </w:r>
    </w:p>
    <w:p w14:paraId="2B88A4DE" w14:textId="77777777" w:rsidR="004165B4"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4165B4">
        <w:rPr>
          <w:rFonts w:eastAsia="Times New Roman" w:cs="Arial"/>
          <w:b/>
          <w:bCs/>
        </w:rPr>
        <w:t xml:space="preserve">CONCERTED ACTION FOR </w:t>
      </w:r>
    </w:p>
    <w:p w14:paraId="6255720E" w14:textId="4EE90384" w:rsidR="00E87B52" w:rsidRPr="00E87B52" w:rsidRDefault="004165B4" w:rsidP="004165B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4165B4">
        <w:rPr>
          <w:rFonts w:eastAsia="Times New Roman" w:cs="Arial"/>
          <w:b/>
          <w:bCs/>
        </w:rPr>
        <w:t xml:space="preserve">HUMPBACK WHALES </w:t>
      </w:r>
      <w:r w:rsidR="00ED6B54" w:rsidRPr="004165B4">
        <w:rPr>
          <w:rFonts w:eastAsia="Times New Roman" w:cs="Arial"/>
          <w:b/>
          <w:bCs/>
        </w:rPr>
        <w:t>(</w:t>
      </w:r>
      <w:r w:rsidR="00ED6B54" w:rsidRPr="004165B4">
        <w:rPr>
          <w:rFonts w:eastAsia="Times New Roman" w:cs="Arial"/>
          <w:b/>
          <w:bCs/>
          <w:i/>
        </w:rPr>
        <w:t>Megaptera novaeangliae</w:t>
      </w:r>
      <w:r w:rsidR="00ED6B54" w:rsidRPr="004165B4">
        <w:rPr>
          <w:rFonts w:eastAsia="Times New Roman" w:cs="Arial"/>
          <w:b/>
          <w:bCs/>
        </w:rPr>
        <w:t>)</w:t>
      </w:r>
      <w:r w:rsidR="00ED6B54">
        <w:rPr>
          <w:rFonts w:eastAsia="Times New Roman" w:cs="Arial"/>
          <w:b/>
          <w:bCs/>
        </w:rPr>
        <w:t xml:space="preserve"> </w:t>
      </w:r>
      <w:r w:rsidRPr="004165B4">
        <w:rPr>
          <w:rFonts w:eastAsia="Times New Roman" w:cs="Arial"/>
          <w:b/>
          <w:bCs/>
        </w:rPr>
        <w:t xml:space="preserve">OF THE ARABIAN SEA </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D67AD87" w:rsidR="002E0DE9" w:rsidRPr="002E0DE9" w:rsidRDefault="001C54C6"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562B7362">
                <wp:simplePos x="0" y="0"/>
                <wp:positionH relativeFrom="margin">
                  <wp:posOffset>817700</wp:posOffset>
                </wp:positionH>
                <wp:positionV relativeFrom="margin">
                  <wp:posOffset>2693933</wp:posOffset>
                </wp:positionV>
                <wp:extent cx="4304665" cy="13906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FF77A0">
                            <w:pPr>
                              <w:spacing w:after="0" w:line="240" w:lineRule="auto"/>
                              <w:jc w:val="both"/>
                              <w:rPr>
                                <w:rFonts w:cs="Arial"/>
                              </w:rPr>
                            </w:pPr>
                            <w:r w:rsidRPr="004F7D19">
                              <w:rPr>
                                <w:rFonts w:cs="Arial"/>
                              </w:rPr>
                              <w:t>Summary:</w:t>
                            </w:r>
                          </w:p>
                          <w:p w14:paraId="12338272" w14:textId="097C4F46" w:rsidR="002E0DE9" w:rsidRPr="004F7D19" w:rsidRDefault="002E0DE9" w:rsidP="00FF77A0">
                            <w:pPr>
                              <w:spacing w:after="0" w:line="240" w:lineRule="auto"/>
                              <w:jc w:val="both"/>
                              <w:rPr>
                                <w:rFonts w:cs="Arial"/>
                                <w:lang w:val="en-GB"/>
                              </w:rPr>
                            </w:pPr>
                          </w:p>
                          <w:p w14:paraId="00F9E8DB" w14:textId="1A080A33" w:rsidR="00E87B52" w:rsidRPr="004F7D19" w:rsidRDefault="00E87B52" w:rsidP="00FF77A0">
                            <w:pPr>
                              <w:spacing w:after="0" w:line="240" w:lineRule="auto"/>
                              <w:jc w:val="both"/>
                              <w:rPr>
                                <w:rFonts w:cs="Arial"/>
                                <w:lang w:val="en-GB"/>
                              </w:rPr>
                            </w:pPr>
                            <w:r w:rsidRPr="004F7D19">
                              <w:rPr>
                                <w:rFonts w:eastAsia="Times New Roman" w:cs="Arial"/>
                                <w:lang w:val="en-GB"/>
                              </w:rPr>
                              <w:t xml:space="preserve">The </w:t>
                            </w:r>
                            <w:r w:rsidR="00954CE8" w:rsidRPr="00954CE8">
                              <w:rPr>
                                <w:rFonts w:eastAsia="Times New Roman" w:cs="Arial"/>
                              </w:rPr>
                              <w:t>Arabian Sea Whale Network (ASWN</w:t>
                            </w:r>
                            <w:r w:rsidR="00954CE8">
                              <w:rPr>
                                <w:rFonts w:eastAsia="Times New Roman" w:cs="Arial"/>
                              </w:rPr>
                              <w:t>)</w:t>
                            </w:r>
                            <w:r w:rsidR="00954CE8" w:rsidRPr="00954CE8">
                              <w:rPr>
                                <w:rFonts w:eastAsia="Times New Roman" w:cs="Arial"/>
                                <w:lang w:val="en-GB"/>
                              </w:rPr>
                              <w:t xml:space="preserve"> </w:t>
                            </w:r>
                            <w:r w:rsidRPr="004F7D19">
                              <w:rPr>
                                <w:rFonts w:eastAsia="Times New Roman" w:cs="Arial"/>
                                <w:lang w:val="en-GB"/>
                              </w:rPr>
                              <w:t xml:space="preserve">has submitted the attached report on the implementation of the Concerted Action for the </w:t>
                            </w:r>
                            <w:r w:rsidR="006F7E26">
                              <w:rPr>
                                <w:rFonts w:eastAsia="Times New Roman" w:cs="Arial"/>
                                <w:lang w:val="en-GB"/>
                              </w:rPr>
                              <w:t>humpback whales of the Arabian sea (</w:t>
                            </w:r>
                            <w:r w:rsidR="006F7E26" w:rsidRPr="00985824">
                              <w:rPr>
                                <w:rFonts w:eastAsia="Times New Roman" w:cs="Arial"/>
                                <w:i/>
                              </w:rPr>
                              <w:t>Megaptera novaeanglia</w:t>
                            </w:r>
                            <w:r w:rsidR="00985824" w:rsidRPr="00985824">
                              <w:rPr>
                                <w:rFonts w:eastAsia="Times New Roman" w:cs="Arial"/>
                                <w:i/>
                              </w:rPr>
                              <w:t>e</w:t>
                            </w:r>
                            <w:r w:rsidRPr="00985824">
                              <w:rPr>
                                <w:rFonts w:eastAsia="Times New Roman" w:cs="Arial"/>
                                <w:iCs/>
                                <w:lang w:val="en-GB"/>
                              </w:rPr>
                              <w:t xml:space="preserve">), </w:t>
                            </w:r>
                            <w:r w:rsidR="00985824">
                              <w:rPr>
                                <w:rFonts w:eastAsia="Times New Roman" w:cs="Arial"/>
                                <w:iCs/>
                                <w:lang w:val="en-GB"/>
                              </w:rPr>
                              <w:t>UNEP/CMS/Concerted Action 12.4 (Rev.COP14)</w:t>
                            </w:r>
                            <w:r w:rsidRPr="00985824">
                              <w:rPr>
                                <w:rFonts w:eastAsia="Times New Roman" w:cs="Arial"/>
                                <w:iCs/>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4pt;margin-top:212.1pt;width:338.9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" strokeweight=".08811mm">
                <v:textbox>
                  <w:txbxContent>
                    <w:p w14:paraId="361301A9" w14:textId="77777777" w:rsidR="002E0DE9" w:rsidRPr="004F7D19" w:rsidRDefault="002E0DE9" w:rsidP="00FF77A0">
                      <w:pPr>
                        <w:spacing w:after="0" w:line="240" w:lineRule="auto"/>
                        <w:jc w:val="both"/>
                        <w:rPr>
                          <w:rFonts w:cs="Arial"/>
                        </w:rPr>
                      </w:pPr>
                      <w:r w:rsidRPr="004F7D19">
                        <w:rPr>
                          <w:rFonts w:cs="Arial"/>
                        </w:rPr>
                        <w:t>Summary:</w:t>
                      </w:r>
                    </w:p>
                    <w:p w14:paraId="12338272" w14:textId="097C4F46" w:rsidR="002E0DE9" w:rsidRPr="004F7D19" w:rsidRDefault="002E0DE9" w:rsidP="00FF77A0">
                      <w:pPr>
                        <w:spacing w:after="0" w:line="240" w:lineRule="auto"/>
                        <w:jc w:val="both"/>
                        <w:rPr>
                          <w:rFonts w:cs="Arial"/>
                          <w:lang w:val="en-GB"/>
                        </w:rPr>
                      </w:pPr>
                    </w:p>
                    <w:p w14:paraId="00F9E8DB" w14:textId="1A080A33" w:rsidR="00E87B52" w:rsidRPr="004F7D19" w:rsidRDefault="00E87B52" w:rsidP="00FF77A0">
                      <w:pPr>
                        <w:spacing w:after="0" w:line="240" w:lineRule="auto"/>
                        <w:jc w:val="both"/>
                        <w:rPr>
                          <w:rFonts w:cs="Arial"/>
                          <w:lang w:val="en-GB"/>
                        </w:rPr>
                      </w:pPr>
                      <w:r w:rsidRPr="004F7D19">
                        <w:rPr>
                          <w:rFonts w:eastAsia="Times New Roman" w:cs="Arial"/>
                          <w:lang w:val="en-GB"/>
                        </w:rPr>
                        <w:t xml:space="preserve">The </w:t>
                      </w:r>
                      <w:r w:rsidR="00954CE8" w:rsidRPr="00954CE8">
                        <w:rPr>
                          <w:rFonts w:eastAsia="Times New Roman" w:cs="Arial"/>
                        </w:rPr>
                        <w:t>Arabian Sea Whale Network (ASWN</w:t>
                      </w:r>
                      <w:r w:rsidR="00954CE8">
                        <w:rPr>
                          <w:rFonts w:eastAsia="Times New Roman" w:cs="Arial"/>
                        </w:rPr>
                        <w:t>)</w:t>
                      </w:r>
                      <w:r w:rsidR="00954CE8" w:rsidRPr="00954CE8">
                        <w:rPr>
                          <w:rFonts w:eastAsia="Times New Roman" w:cs="Arial"/>
                          <w:lang w:val="en-GB"/>
                        </w:rPr>
                        <w:t xml:space="preserve"> </w:t>
                      </w:r>
                      <w:r w:rsidRPr="004F7D19">
                        <w:rPr>
                          <w:rFonts w:eastAsia="Times New Roman" w:cs="Arial"/>
                          <w:lang w:val="en-GB"/>
                        </w:rPr>
                        <w:t xml:space="preserve">has submitted the attached report on the implementation of the Concerted Action for the </w:t>
                      </w:r>
                      <w:r w:rsidR="006F7E26">
                        <w:rPr>
                          <w:rFonts w:eastAsia="Times New Roman" w:cs="Arial"/>
                          <w:lang w:val="en-GB"/>
                        </w:rPr>
                        <w:t>humpback whales of the Arabian sea (</w:t>
                      </w:r>
                      <w:r w:rsidR="006F7E26" w:rsidRPr="00985824">
                        <w:rPr>
                          <w:rFonts w:eastAsia="Times New Roman" w:cs="Arial"/>
                          <w:i/>
                        </w:rPr>
                        <w:t>Megaptera novaeanglia</w:t>
                      </w:r>
                      <w:r w:rsidR="00985824" w:rsidRPr="00985824">
                        <w:rPr>
                          <w:rFonts w:eastAsia="Times New Roman" w:cs="Arial"/>
                          <w:i/>
                        </w:rPr>
                        <w:t>e</w:t>
                      </w:r>
                      <w:r w:rsidRPr="00985824">
                        <w:rPr>
                          <w:rFonts w:eastAsia="Times New Roman" w:cs="Arial"/>
                          <w:iCs/>
                          <w:lang w:val="en-GB"/>
                        </w:rPr>
                        <w:t xml:space="preserve">), </w:t>
                      </w:r>
                      <w:r w:rsidR="00985824">
                        <w:rPr>
                          <w:rFonts w:eastAsia="Times New Roman" w:cs="Arial"/>
                          <w:iCs/>
                          <w:lang w:val="en-GB"/>
                        </w:rPr>
                        <w:t>UNEP/CMS/Concerted Action 12.4 (Rev.COP14)</w:t>
                      </w:r>
                      <w:r w:rsidRPr="00985824">
                        <w:rPr>
                          <w:rFonts w:eastAsia="Times New Roman" w:cs="Arial"/>
                          <w:iCs/>
                          <w:lang w:val="en-GB"/>
                        </w:rPr>
                        <w:t>.</w:t>
                      </w:r>
                    </w:p>
                  </w:txbxContent>
                </v:textbox>
                <w10:wrap type="square" anchorx="margin" anchory="margin"/>
              </v:shape>
            </w:pict>
          </mc:Fallback>
        </mc:AlternateContent>
      </w:r>
    </w:p>
    <w:p w14:paraId="5ACBBE25" w14:textId="3C53C51D"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06AB8C09"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5A41124B"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42C436ED"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53F83E75" w14:textId="77777777" w:rsidR="00FF77A0" w:rsidRDefault="00FF77A0" w:rsidP="002E0DE9">
      <w:pPr>
        <w:spacing w:after="0" w:line="240" w:lineRule="auto"/>
      </w:pPr>
    </w:p>
    <w:p w14:paraId="6DE5638F" w14:textId="77777777" w:rsidR="00FF77A0" w:rsidRDefault="00FF77A0" w:rsidP="002E0DE9">
      <w:pPr>
        <w:spacing w:after="0" w:line="240" w:lineRule="auto"/>
      </w:pPr>
    </w:p>
    <w:p w14:paraId="12C41ECC" w14:textId="77777777" w:rsidR="00FF77A0" w:rsidRDefault="00FF77A0" w:rsidP="002E0DE9">
      <w:pPr>
        <w:spacing w:after="0" w:line="240" w:lineRule="auto"/>
      </w:pPr>
    </w:p>
    <w:p w14:paraId="0A00387B" w14:textId="77777777" w:rsidR="00FF77A0" w:rsidRDefault="00FF77A0" w:rsidP="002E0DE9">
      <w:pPr>
        <w:spacing w:after="0" w:line="240" w:lineRule="auto"/>
      </w:pPr>
    </w:p>
    <w:p w14:paraId="507CB12B" w14:textId="77777777" w:rsidR="00E87B52" w:rsidRPr="001C54C6" w:rsidRDefault="00E87B52" w:rsidP="00E87B52">
      <w:pPr>
        <w:widowControl w:val="0"/>
        <w:suppressAutoHyphens/>
        <w:autoSpaceDE w:val="0"/>
        <w:autoSpaceDN w:val="0"/>
        <w:spacing w:after="0" w:line="240" w:lineRule="auto"/>
        <w:jc w:val="both"/>
        <w:textAlignment w:val="baseline"/>
        <w:rPr>
          <w:rFonts w:eastAsia="Times New Roman" w:cs="Arial"/>
          <w:sz w:val="18"/>
          <w:szCs w:val="18"/>
        </w:rPr>
      </w:pPr>
      <w:r w:rsidRPr="001C54C6">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1C54C6">
        <w:rPr>
          <w:rFonts w:eastAsia="Times New Roman" w:cs="Arial"/>
          <w:sz w:val="18"/>
          <w:szCs w:val="18"/>
        </w:rPr>
        <w:t>Programme</w:t>
      </w:r>
      <w:proofErr w:type="spellEnd"/>
      <w:r w:rsidRPr="001C54C6">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r w:rsidR="00985824" w:rsidRPr="001C54C6">
        <w:rPr>
          <w:rFonts w:eastAsia="Times New Roman" w:cs="Arial"/>
          <w:sz w:val="18"/>
          <w:szCs w:val="18"/>
        </w:rPr>
        <w:t>.</w:t>
      </w:r>
    </w:p>
    <w:p w14:paraId="201E3E4A" w14:textId="77777777" w:rsidR="00FF77A0" w:rsidRDefault="00FF77A0" w:rsidP="00E87B52">
      <w:pPr>
        <w:widowControl w:val="0"/>
        <w:suppressAutoHyphens/>
        <w:autoSpaceDE w:val="0"/>
        <w:autoSpaceDN w:val="0"/>
        <w:spacing w:after="0" w:line="240" w:lineRule="auto"/>
        <w:jc w:val="both"/>
        <w:textAlignment w:val="baseline"/>
        <w:rPr>
          <w:rFonts w:eastAsia="Times New Roman" w:cs="Arial"/>
          <w:sz w:val="18"/>
          <w:szCs w:val="18"/>
        </w:rPr>
      </w:pPr>
    </w:p>
    <w:p w14:paraId="2DABE7E2" w14:textId="417BF7C1" w:rsidR="00FF77A0" w:rsidRPr="00E87B52" w:rsidRDefault="00FF77A0" w:rsidP="00E87B52">
      <w:pPr>
        <w:widowControl w:val="0"/>
        <w:suppressAutoHyphens/>
        <w:autoSpaceDE w:val="0"/>
        <w:autoSpaceDN w:val="0"/>
        <w:spacing w:after="0" w:line="240" w:lineRule="auto"/>
        <w:jc w:val="both"/>
        <w:textAlignment w:val="baseline"/>
        <w:rPr>
          <w:rFonts w:eastAsia="Calibri" w:cs="Times New Roman"/>
        </w:rPr>
        <w:sectPr w:rsidR="00FF77A0" w:rsidRPr="00E87B52"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7F6A1B2F" w:rsidR="00E87B52" w:rsidRPr="00E87B52" w:rsidRDefault="00E87B52" w:rsidP="007639D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lastRenderedPageBreak/>
        <w:t xml:space="preserve">REPORT ON THE IMPLEMENTATION OF THE CONCERTED ACTION </w:t>
      </w:r>
    </w:p>
    <w:p w14:paraId="1957D9D4" w14:textId="6B216D97" w:rsidR="00E87B52" w:rsidRPr="009740BF" w:rsidRDefault="00E87B52" w:rsidP="00EF45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9740BF">
        <w:rPr>
          <w:rFonts w:eastAsia="Times New Roman" w:cs="Arial"/>
          <w:b/>
          <w:bCs/>
          <w:lang w:val="en-GB"/>
        </w:rPr>
        <w:t xml:space="preserve">FOR </w:t>
      </w:r>
      <w:r w:rsidR="009740BF" w:rsidRPr="009740BF">
        <w:rPr>
          <w:rFonts w:eastAsia="Times New Roman" w:cs="Arial"/>
          <w:b/>
          <w:bCs/>
        </w:rPr>
        <w:t xml:space="preserve">HUMPBACK WHALES </w:t>
      </w:r>
      <w:r w:rsidR="00ED6B54" w:rsidRPr="009740BF">
        <w:rPr>
          <w:rFonts w:eastAsia="Times New Roman" w:cs="Arial"/>
          <w:b/>
          <w:bCs/>
        </w:rPr>
        <w:t>(</w:t>
      </w:r>
      <w:r w:rsidR="00ED6B54" w:rsidRPr="009740BF">
        <w:rPr>
          <w:rFonts w:eastAsia="Times New Roman" w:cs="Arial"/>
          <w:b/>
          <w:bCs/>
          <w:i/>
        </w:rPr>
        <w:t>Megaptera novaeangliae</w:t>
      </w:r>
      <w:r w:rsidR="00ED6B54" w:rsidRPr="009740BF">
        <w:rPr>
          <w:rFonts w:eastAsia="Times New Roman" w:cs="Arial"/>
          <w:b/>
          <w:bCs/>
        </w:rPr>
        <w:t>)</w:t>
      </w:r>
      <w:r w:rsidR="00ED6B54">
        <w:rPr>
          <w:rFonts w:eastAsia="Times New Roman" w:cs="Arial"/>
          <w:b/>
          <w:bCs/>
        </w:rPr>
        <w:t xml:space="preserve"> </w:t>
      </w:r>
      <w:r w:rsidR="009740BF" w:rsidRPr="009740BF">
        <w:rPr>
          <w:rFonts w:eastAsia="Times New Roman" w:cs="Arial"/>
          <w:b/>
          <w:bCs/>
        </w:rPr>
        <w:t xml:space="preserve">OF THE ARABIAN SEA </w:t>
      </w:r>
    </w:p>
    <w:p w14:paraId="5A4C5B94" w14:textId="26C93842" w:rsidR="00E87B52" w:rsidRPr="00E87B52" w:rsidRDefault="00E87B52" w:rsidP="007639D2">
      <w:pPr>
        <w:suppressAutoHyphens/>
        <w:autoSpaceDN w:val="0"/>
        <w:spacing w:after="0" w:line="240" w:lineRule="auto"/>
        <w:jc w:val="center"/>
        <w:textAlignment w:val="baseline"/>
        <w:rPr>
          <w:rFonts w:eastAsia="Calibri" w:cs="Arial"/>
          <w:lang w:val="en-GB"/>
        </w:rPr>
      </w:pPr>
      <w:r w:rsidRPr="00E87B52">
        <w:rPr>
          <w:rFonts w:eastAsia="Calibri" w:cs="Arial"/>
          <w:lang w:val="en-GB"/>
        </w:rPr>
        <w:t xml:space="preserve">UNEP/CMS/ CONCERTED ACTION </w:t>
      </w:r>
      <w:r w:rsidR="009740BF">
        <w:rPr>
          <w:rFonts w:eastAsia="Calibri" w:cs="Arial"/>
          <w:lang w:val="en-GB"/>
        </w:rPr>
        <w:t>12.4 (Rev.COP14)</w:t>
      </w:r>
    </w:p>
    <w:p w14:paraId="3E621422" w14:textId="77777777" w:rsidR="00E87B52" w:rsidRPr="00E87B52" w:rsidRDefault="00E87B52" w:rsidP="007639D2">
      <w:pPr>
        <w:suppressAutoHyphens/>
        <w:autoSpaceDN w:val="0"/>
        <w:spacing w:after="0" w:line="240" w:lineRule="auto"/>
        <w:textAlignment w:val="baseline"/>
        <w:rPr>
          <w:rFonts w:eastAsia="Calibri" w:cs="Arial"/>
        </w:rPr>
      </w:pPr>
    </w:p>
    <w:p w14:paraId="53AB2E3F" w14:textId="77777777" w:rsidR="00E87B52" w:rsidRPr="00E87B52" w:rsidRDefault="00E87B52" w:rsidP="007639D2">
      <w:pPr>
        <w:suppressAutoHyphens/>
        <w:autoSpaceDN w:val="0"/>
        <w:spacing w:after="0" w:line="240" w:lineRule="auto"/>
        <w:textAlignment w:val="baseline"/>
        <w:rPr>
          <w:rFonts w:eastAsia="Calibri" w:cs="Arial"/>
        </w:rPr>
      </w:pPr>
    </w:p>
    <w:p w14:paraId="42B16DFE" w14:textId="77777777" w:rsidR="00F55BC2" w:rsidRPr="0013116C" w:rsidRDefault="00E87B52" w:rsidP="001C54C6">
      <w:pPr>
        <w:spacing w:after="0" w:line="240" w:lineRule="auto"/>
        <w:rPr>
          <w:rFonts w:eastAsia="Calibri" w:cs="Arial"/>
          <w:b/>
          <w:bCs/>
        </w:rPr>
      </w:pPr>
      <w:r w:rsidRPr="0013116C">
        <w:rPr>
          <w:rFonts w:eastAsia="Calibri" w:cs="Arial"/>
          <w:b/>
          <w:bCs/>
        </w:rPr>
        <w:t>CONCERTED ACTION</w:t>
      </w:r>
    </w:p>
    <w:p w14:paraId="691A152E" w14:textId="6A4F2C94" w:rsidR="00E87B52" w:rsidRPr="00E87B52" w:rsidRDefault="00E87B52" w:rsidP="007639D2">
      <w:pPr>
        <w:spacing w:after="0" w:line="240" w:lineRule="auto"/>
        <w:rPr>
          <w:rFonts w:eastAsia="Calibri" w:cs="Arial"/>
        </w:rPr>
      </w:pPr>
    </w:p>
    <w:p w14:paraId="28AB6DF0" w14:textId="6E7CBC19" w:rsidR="00E87B52" w:rsidRDefault="00E87B52" w:rsidP="007639D2">
      <w:pPr>
        <w:suppressAutoHyphens/>
        <w:autoSpaceDN w:val="0"/>
        <w:spacing w:after="0" w:line="240" w:lineRule="auto"/>
        <w:jc w:val="both"/>
        <w:textAlignment w:val="baseline"/>
        <w:rPr>
          <w:rFonts w:eastAsia="Calibri" w:cs="Arial"/>
        </w:rPr>
      </w:pPr>
      <w:r w:rsidRPr="00E87B52">
        <w:rPr>
          <w:rFonts w:eastAsia="Calibri" w:cs="Arial"/>
        </w:rPr>
        <w:t xml:space="preserve">Title: </w:t>
      </w:r>
      <w:r w:rsidR="006200B6" w:rsidRPr="006200B6">
        <w:rPr>
          <w:rFonts w:eastAsia="Calibri" w:cs="Arial"/>
        </w:rPr>
        <w:t>Concerted Action for the humpback whales of the Arabian Sea (</w:t>
      </w:r>
      <w:r w:rsidR="006200B6" w:rsidRPr="006200B6">
        <w:rPr>
          <w:rFonts w:eastAsia="Calibri" w:cs="Arial"/>
          <w:i/>
          <w:iCs/>
        </w:rPr>
        <w:t>Megaptera novaeangliae</w:t>
      </w:r>
      <w:r w:rsidR="006200B6" w:rsidRPr="006200B6">
        <w:rPr>
          <w:rFonts w:eastAsia="Calibri" w:cs="Arial"/>
        </w:rPr>
        <w:t>)</w:t>
      </w:r>
    </w:p>
    <w:p w14:paraId="37815350" w14:textId="77777777" w:rsidR="00F55BC2" w:rsidRPr="00E87B52" w:rsidRDefault="00F55BC2" w:rsidP="007639D2">
      <w:pPr>
        <w:suppressAutoHyphens/>
        <w:autoSpaceDN w:val="0"/>
        <w:spacing w:after="0" w:line="240" w:lineRule="auto"/>
        <w:textAlignment w:val="baseline"/>
        <w:rPr>
          <w:rFonts w:eastAsia="Calibri" w:cs="Arial"/>
        </w:rPr>
      </w:pPr>
    </w:p>
    <w:p w14:paraId="53A55D10" w14:textId="54291048" w:rsidR="00E87B52" w:rsidRPr="009709B8" w:rsidRDefault="00E87B52" w:rsidP="007639D2">
      <w:pPr>
        <w:suppressAutoHyphens/>
        <w:autoSpaceDN w:val="0"/>
        <w:spacing w:after="0" w:line="240" w:lineRule="auto"/>
        <w:textAlignment w:val="baseline"/>
        <w:rPr>
          <w:rFonts w:eastAsia="Calibri" w:cs="Arial"/>
          <w:iCs/>
        </w:rPr>
      </w:pPr>
      <w:r w:rsidRPr="00E87B52">
        <w:rPr>
          <w:rFonts w:eastAsia="Calibri" w:cs="Arial"/>
        </w:rPr>
        <w:t>Document number:</w:t>
      </w:r>
      <w:r w:rsidRPr="00E87B52">
        <w:rPr>
          <w:rFonts w:eastAsia="Calibri" w:cs="Arial"/>
          <w:i/>
        </w:rPr>
        <w:t xml:space="preserve"> </w:t>
      </w:r>
      <w:r w:rsidR="009709B8">
        <w:rPr>
          <w:rFonts w:eastAsia="Calibri" w:cs="Arial"/>
          <w:iCs/>
        </w:rPr>
        <w:t>Concerted Action 12.4 (Rev.COP14)</w:t>
      </w:r>
    </w:p>
    <w:p w14:paraId="727BFD2C" w14:textId="77777777" w:rsidR="007639D2" w:rsidRPr="009709B8"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32030AAC" w14:textId="0F9A983C" w:rsidR="00E87B52" w:rsidRPr="0013116C" w:rsidRDefault="00E87B52" w:rsidP="001C54C6">
      <w:pPr>
        <w:spacing w:after="0" w:line="240" w:lineRule="auto"/>
        <w:rPr>
          <w:rFonts w:eastAsia="Calibri" w:cs="Arial"/>
          <w:b/>
          <w:bCs/>
        </w:rPr>
      </w:pPr>
      <w:r w:rsidRPr="0013116C">
        <w:rPr>
          <w:rFonts w:eastAsia="Calibri" w:cs="Arial"/>
          <w:b/>
          <w:bCs/>
        </w:rPr>
        <w:t>REPORTING ORGANIZATION</w:t>
      </w:r>
    </w:p>
    <w:p w14:paraId="6CE89C4F" w14:textId="77777777" w:rsidR="00F55BC2" w:rsidRPr="00E87B52" w:rsidRDefault="00F55BC2" w:rsidP="007639D2">
      <w:pPr>
        <w:spacing w:after="0" w:line="240" w:lineRule="auto"/>
        <w:rPr>
          <w:rFonts w:eastAsia="Calibri" w:cs="Arial"/>
        </w:rPr>
      </w:pPr>
    </w:p>
    <w:p w14:paraId="68192D3F" w14:textId="77777777" w:rsidR="00FE5A57" w:rsidRDefault="00FE5A57" w:rsidP="00D018DE">
      <w:pPr>
        <w:pStyle w:val="BodyText"/>
        <w:spacing w:after="80"/>
        <w:jc w:val="both"/>
      </w:pPr>
      <w:r>
        <w:t>Proponents</w:t>
      </w:r>
      <w:r>
        <w:rPr>
          <w:spacing w:val="-7"/>
        </w:rPr>
        <w:t xml:space="preserve"> </w:t>
      </w:r>
      <w:r>
        <w:t>for</w:t>
      </w:r>
      <w:r>
        <w:rPr>
          <w:spacing w:val="-5"/>
        </w:rPr>
        <w:t xml:space="preserve"> </w:t>
      </w:r>
      <w:r>
        <w:t>the</w:t>
      </w:r>
      <w:r>
        <w:rPr>
          <w:spacing w:val="-5"/>
        </w:rPr>
        <w:t xml:space="preserve"> </w:t>
      </w:r>
      <w:r>
        <w:t>Concerted</w:t>
      </w:r>
      <w:r>
        <w:rPr>
          <w:spacing w:val="-6"/>
        </w:rPr>
        <w:t xml:space="preserve"> </w:t>
      </w:r>
      <w:r>
        <w:t>Action</w:t>
      </w:r>
      <w:r>
        <w:rPr>
          <w:spacing w:val="-4"/>
        </w:rPr>
        <w:t xml:space="preserve"> were</w:t>
      </w:r>
    </w:p>
    <w:p w14:paraId="28E9C97E" w14:textId="77777777" w:rsidR="00FE5A57" w:rsidRDefault="00FE5A57" w:rsidP="00D018DE">
      <w:pPr>
        <w:pStyle w:val="ListParagraph"/>
        <w:widowControl w:val="0"/>
        <w:numPr>
          <w:ilvl w:val="1"/>
          <w:numId w:val="7"/>
        </w:numPr>
        <w:tabs>
          <w:tab w:val="left" w:pos="851"/>
        </w:tabs>
        <w:autoSpaceDE w:val="0"/>
        <w:autoSpaceDN w:val="0"/>
        <w:spacing w:after="80" w:line="240" w:lineRule="auto"/>
        <w:ind w:left="851" w:right="724"/>
        <w:contextualSpacing w:val="0"/>
        <w:jc w:val="both"/>
      </w:pPr>
      <w:r>
        <w:t xml:space="preserve">Dr. G. </w:t>
      </w:r>
      <w:proofErr w:type="spellStart"/>
      <w:r>
        <w:t>Notarbartolo</w:t>
      </w:r>
      <w:proofErr w:type="spellEnd"/>
      <w:r>
        <w:t xml:space="preserve"> di Sciara, former COP-Appointed </w:t>
      </w:r>
      <w:proofErr w:type="spellStart"/>
      <w:r>
        <w:t>Councillor</w:t>
      </w:r>
      <w:proofErr w:type="spellEnd"/>
      <w:r>
        <w:t xml:space="preserve"> for Aquatic Mammals, in collaboration with the CMS Secretariat</w:t>
      </w:r>
    </w:p>
    <w:p w14:paraId="2BE3A710" w14:textId="77777777" w:rsidR="00FE5A57" w:rsidRDefault="00FE5A57" w:rsidP="00D018DE">
      <w:pPr>
        <w:pStyle w:val="ListParagraph"/>
        <w:widowControl w:val="0"/>
        <w:numPr>
          <w:ilvl w:val="1"/>
          <w:numId w:val="7"/>
        </w:numPr>
        <w:tabs>
          <w:tab w:val="left" w:pos="851"/>
        </w:tabs>
        <w:autoSpaceDE w:val="0"/>
        <w:autoSpaceDN w:val="0"/>
        <w:spacing w:after="0" w:line="240" w:lineRule="auto"/>
        <w:ind w:left="851" w:hanging="359"/>
        <w:contextualSpacing w:val="0"/>
        <w:jc w:val="both"/>
      </w:pPr>
      <w:r>
        <w:t xml:space="preserve">The Arabian Sea Whale Network (ASWN - see </w:t>
      </w:r>
      <w:r w:rsidRPr="00007018">
        <w:t>https://arabianseawhalenetwork.org/</w:t>
      </w:r>
      <w:r>
        <w:t>)</w:t>
      </w:r>
    </w:p>
    <w:p w14:paraId="380B1899" w14:textId="77777777" w:rsidR="00386B8B" w:rsidRDefault="00386B8B" w:rsidP="00D018DE">
      <w:pPr>
        <w:pStyle w:val="BodyText"/>
        <w:ind w:right="724"/>
        <w:jc w:val="both"/>
      </w:pPr>
    </w:p>
    <w:p w14:paraId="578CE4CE" w14:textId="03DC5DE7" w:rsidR="00FE5A57" w:rsidRDefault="00FE5A57" w:rsidP="00D018DE">
      <w:pPr>
        <w:pStyle w:val="BodyText"/>
        <w:ind w:right="724"/>
        <w:jc w:val="both"/>
      </w:pPr>
      <w:r>
        <w:t>Since implementation of the Concerted Action was predominantly facilitated by the ASWN, this report was prepared by the ASWN Coordinator.</w:t>
      </w:r>
    </w:p>
    <w:p w14:paraId="056713EB" w14:textId="77777777" w:rsidR="007639D2" w:rsidRPr="006420C0"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59300FCD" w14:textId="32C17DF5" w:rsidR="00E87B52" w:rsidRPr="00D018DE" w:rsidRDefault="00E87B52" w:rsidP="001C54C6">
      <w:pPr>
        <w:spacing w:after="0" w:line="240" w:lineRule="auto"/>
        <w:rPr>
          <w:rFonts w:eastAsia="Calibri" w:cs="Arial"/>
          <w:b/>
          <w:bCs/>
        </w:rPr>
      </w:pPr>
      <w:r w:rsidRPr="00D018DE">
        <w:rPr>
          <w:rFonts w:eastAsia="Calibri" w:cs="Arial"/>
          <w:b/>
          <w:bCs/>
        </w:rPr>
        <w:t>TARGET SPECIES/POPULATION</w:t>
      </w:r>
    </w:p>
    <w:p w14:paraId="6F203478" w14:textId="77777777" w:rsidR="00AC06A1" w:rsidRDefault="00AC06A1" w:rsidP="007639D2">
      <w:pPr>
        <w:spacing w:after="0" w:line="240" w:lineRule="auto"/>
        <w:ind w:left="540"/>
        <w:rPr>
          <w:rFonts w:eastAsia="Calibri" w:cs="Arial"/>
        </w:rPr>
      </w:pPr>
    </w:p>
    <w:p w14:paraId="12CA1A31" w14:textId="77777777" w:rsidR="00061AD5" w:rsidRPr="00061AD5"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rPr>
      </w:pPr>
      <w:r w:rsidRPr="00061AD5">
        <w:rPr>
          <w:rFonts w:eastAsia="Calibri" w:cs="Arial"/>
        </w:rPr>
        <w:t>Class:</w:t>
      </w:r>
      <w:r w:rsidRPr="00061AD5">
        <w:rPr>
          <w:rFonts w:eastAsia="Calibri" w:cs="Arial"/>
        </w:rPr>
        <w:tab/>
        <w:t>Mammalia</w:t>
      </w:r>
    </w:p>
    <w:p w14:paraId="2042D93C" w14:textId="77777777" w:rsidR="00511DB5"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rPr>
      </w:pPr>
      <w:r w:rsidRPr="00061AD5">
        <w:rPr>
          <w:rFonts w:eastAsia="Calibri" w:cs="Arial"/>
        </w:rPr>
        <w:t>Order:</w:t>
      </w:r>
      <w:r w:rsidRPr="00061AD5">
        <w:rPr>
          <w:rFonts w:eastAsia="Calibri" w:cs="Arial"/>
        </w:rPr>
        <w:tab/>
      </w:r>
      <w:proofErr w:type="spellStart"/>
      <w:r w:rsidRPr="00061AD5">
        <w:rPr>
          <w:rFonts w:eastAsia="Calibri" w:cs="Arial"/>
        </w:rPr>
        <w:t>Cetartiodactyla</w:t>
      </w:r>
      <w:proofErr w:type="spellEnd"/>
      <w:r w:rsidRPr="00061AD5">
        <w:rPr>
          <w:rFonts w:eastAsia="Calibri" w:cs="Arial"/>
        </w:rPr>
        <w:t xml:space="preserve"> Infra-Order:</w:t>
      </w:r>
      <w:r w:rsidRPr="00061AD5">
        <w:rPr>
          <w:rFonts w:eastAsia="Calibri" w:cs="Arial"/>
        </w:rPr>
        <w:tab/>
        <w:t xml:space="preserve">Cetacea </w:t>
      </w:r>
    </w:p>
    <w:p w14:paraId="6E5B8571" w14:textId="040072DA" w:rsidR="00061AD5" w:rsidRPr="00061AD5"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rPr>
      </w:pPr>
      <w:r w:rsidRPr="00061AD5">
        <w:rPr>
          <w:rFonts w:eastAsia="Calibri" w:cs="Arial"/>
        </w:rPr>
        <w:t>Family:</w:t>
      </w:r>
      <w:r>
        <w:rPr>
          <w:rFonts w:eastAsia="Calibri" w:cs="Arial"/>
        </w:rPr>
        <w:tab/>
      </w:r>
      <w:r w:rsidRPr="00061AD5">
        <w:rPr>
          <w:rFonts w:eastAsia="Calibri" w:cs="Arial"/>
        </w:rPr>
        <w:t>Balaenopteridae</w:t>
      </w:r>
    </w:p>
    <w:p w14:paraId="481B305E" w14:textId="77777777" w:rsidR="00061AD5" w:rsidRPr="00061AD5" w:rsidRDefault="00061AD5" w:rsidP="00D018DE">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en-GB"/>
        </w:rPr>
      </w:pPr>
      <w:r w:rsidRPr="00061AD5">
        <w:rPr>
          <w:rFonts w:eastAsia="Calibri" w:cs="Arial"/>
          <w:lang w:val="en-GB"/>
        </w:rPr>
        <w:t>Genus:</w:t>
      </w:r>
      <w:r w:rsidRPr="00061AD5">
        <w:rPr>
          <w:rFonts w:eastAsia="Calibri" w:cs="Arial"/>
          <w:lang w:val="en-GB"/>
        </w:rPr>
        <w:tab/>
        <w:t>Megaptera</w:t>
      </w:r>
    </w:p>
    <w:p w14:paraId="561B6AC7" w14:textId="77777777" w:rsidR="00061AD5" w:rsidRPr="00061AD5" w:rsidRDefault="00061AD5" w:rsidP="007639D2">
      <w:pPr>
        <w:tabs>
          <w:tab w:val="left" w:pos="3119"/>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en-GB"/>
        </w:rPr>
      </w:pPr>
      <w:r w:rsidRPr="00061AD5">
        <w:rPr>
          <w:rFonts w:eastAsia="Calibri" w:cs="Arial"/>
          <w:lang w:val="en-GB"/>
        </w:rPr>
        <w:t>Species:</w:t>
      </w:r>
      <w:r w:rsidRPr="00061AD5">
        <w:rPr>
          <w:rFonts w:eastAsia="Calibri" w:cs="Arial"/>
          <w:lang w:val="en-GB"/>
        </w:rPr>
        <w:tab/>
      </w:r>
      <w:r w:rsidRPr="00061AD5">
        <w:rPr>
          <w:rFonts w:eastAsia="Calibri" w:cs="Arial"/>
          <w:i/>
          <w:lang w:val="en-GB"/>
        </w:rPr>
        <w:t>Megaptera novaeangliae</w:t>
      </w:r>
    </w:p>
    <w:p w14:paraId="74DC2BF5" w14:textId="77777777" w:rsidR="00061AD5" w:rsidRPr="00061AD5" w:rsidRDefault="00061AD5"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en-GB"/>
        </w:rPr>
      </w:pPr>
    </w:p>
    <w:p w14:paraId="3D8F43C6" w14:textId="77777777" w:rsidR="00061AD5" w:rsidRPr="00061AD5" w:rsidRDefault="00061AD5"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rPr>
      </w:pPr>
      <w:r w:rsidRPr="00061AD5">
        <w:rPr>
          <w:rFonts w:eastAsia="Calibri" w:cs="Arial"/>
        </w:rPr>
        <w:t>Listed in CMS Appendix I and II</w:t>
      </w:r>
    </w:p>
    <w:p w14:paraId="1D125A53" w14:textId="77777777" w:rsidR="007639D2" w:rsidRPr="00511DB5" w:rsidRDefault="007639D2" w:rsidP="007639D2">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n-GB"/>
        </w:rPr>
      </w:pPr>
    </w:p>
    <w:p w14:paraId="467AC084" w14:textId="1E7172EB" w:rsidR="00E87B52" w:rsidRPr="000C6A8E" w:rsidRDefault="00E87B52" w:rsidP="001C54C6">
      <w:pPr>
        <w:spacing w:after="0" w:line="240" w:lineRule="auto"/>
        <w:rPr>
          <w:rFonts w:eastAsia="Calibri" w:cs="Arial"/>
          <w:b/>
          <w:bCs/>
        </w:rPr>
      </w:pPr>
      <w:r w:rsidRPr="000C6A8E">
        <w:rPr>
          <w:rFonts w:eastAsia="Calibri" w:cs="Arial"/>
          <w:b/>
          <w:bCs/>
        </w:rPr>
        <w:t xml:space="preserve">PROGRESS IN ACTIVITIES </w:t>
      </w:r>
    </w:p>
    <w:p w14:paraId="5E9C815B" w14:textId="77777777" w:rsidR="00F55BC2" w:rsidRPr="00E87B52" w:rsidRDefault="00F55BC2" w:rsidP="00465498">
      <w:pPr>
        <w:spacing w:after="0" w:line="240" w:lineRule="auto"/>
        <w:ind w:left="540"/>
        <w:jc w:val="both"/>
        <w:rPr>
          <w:rFonts w:eastAsia="Calibri" w:cs="Arial"/>
        </w:rPr>
      </w:pPr>
    </w:p>
    <w:p w14:paraId="3121F03B" w14:textId="77777777" w:rsidR="003E0A4F" w:rsidRDefault="003E0A4F" w:rsidP="000C6A8E">
      <w:pPr>
        <w:pStyle w:val="BodyText"/>
        <w:spacing w:after="80"/>
        <w:jc w:val="both"/>
        <w:rPr>
          <w:spacing w:val="-2"/>
        </w:rPr>
      </w:pPr>
      <w:r>
        <w:t>The</w:t>
      </w:r>
      <w:r>
        <w:rPr>
          <w:spacing w:val="-6"/>
        </w:rPr>
        <w:t xml:space="preserve"> </w:t>
      </w:r>
      <w:r>
        <w:t>Concerted</w:t>
      </w:r>
      <w:r>
        <w:rPr>
          <w:spacing w:val="-6"/>
        </w:rPr>
        <w:t xml:space="preserve"> </w:t>
      </w:r>
      <w:r>
        <w:t>Action</w:t>
      </w:r>
      <w:r>
        <w:rPr>
          <w:spacing w:val="-5"/>
        </w:rPr>
        <w:t xml:space="preserve"> </w:t>
      </w:r>
      <w:r>
        <w:rPr>
          <w:spacing w:val="-2"/>
        </w:rPr>
        <w:t xml:space="preserve">foresaw several activities within three main areas: </w:t>
      </w:r>
    </w:p>
    <w:p w14:paraId="7E09D462" w14:textId="77777777" w:rsidR="003E0A4F" w:rsidRDefault="003E0A4F" w:rsidP="00EF458D">
      <w:pPr>
        <w:pStyle w:val="BodyText"/>
        <w:numPr>
          <w:ilvl w:val="0"/>
          <w:numId w:val="8"/>
        </w:numPr>
        <w:spacing w:after="80"/>
        <w:ind w:left="567" w:hanging="567"/>
        <w:jc w:val="both"/>
        <w:rPr>
          <w:spacing w:val="-2"/>
        </w:rPr>
      </w:pPr>
      <w:r>
        <w:rPr>
          <w:spacing w:val="-2"/>
        </w:rPr>
        <w:t xml:space="preserve">addressing knowledge </w:t>
      </w:r>
      <w:proofErr w:type="gramStart"/>
      <w:r>
        <w:rPr>
          <w:spacing w:val="-2"/>
        </w:rPr>
        <w:t>gaps;</w:t>
      </w:r>
      <w:proofErr w:type="gramEnd"/>
      <w:r>
        <w:rPr>
          <w:spacing w:val="-2"/>
        </w:rPr>
        <w:t xml:space="preserve"> </w:t>
      </w:r>
    </w:p>
    <w:p w14:paraId="5A25A258" w14:textId="77777777" w:rsidR="003E0A4F" w:rsidRDefault="003E0A4F" w:rsidP="00EF458D">
      <w:pPr>
        <w:pStyle w:val="BodyText"/>
        <w:numPr>
          <w:ilvl w:val="0"/>
          <w:numId w:val="8"/>
        </w:numPr>
        <w:spacing w:after="80"/>
        <w:ind w:left="567" w:hanging="567"/>
        <w:jc w:val="both"/>
        <w:rPr>
          <w:spacing w:val="-2"/>
        </w:rPr>
      </w:pPr>
      <w:r>
        <w:rPr>
          <w:spacing w:val="-2"/>
        </w:rPr>
        <w:t xml:space="preserve">information and awareness raising; and </w:t>
      </w:r>
    </w:p>
    <w:p w14:paraId="70D1F5CA" w14:textId="77777777" w:rsidR="003E0A4F" w:rsidRDefault="003E0A4F" w:rsidP="00EF458D">
      <w:pPr>
        <w:pStyle w:val="BodyText"/>
        <w:numPr>
          <w:ilvl w:val="0"/>
          <w:numId w:val="8"/>
        </w:numPr>
        <w:ind w:left="567" w:hanging="567"/>
        <w:jc w:val="both"/>
        <w:rPr>
          <w:spacing w:val="-2"/>
        </w:rPr>
      </w:pPr>
      <w:r>
        <w:rPr>
          <w:spacing w:val="-2"/>
        </w:rPr>
        <w:t xml:space="preserve">capacity building and the development and implementation of mitigation strategies.  </w:t>
      </w:r>
    </w:p>
    <w:p w14:paraId="41CF2ED5" w14:textId="77777777" w:rsidR="003E0A4F" w:rsidRDefault="003E0A4F" w:rsidP="00465498">
      <w:pPr>
        <w:pStyle w:val="BodyText"/>
        <w:ind w:left="165"/>
        <w:jc w:val="both"/>
        <w:rPr>
          <w:spacing w:val="-2"/>
        </w:rPr>
      </w:pPr>
    </w:p>
    <w:p w14:paraId="4444834F" w14:textId="77777777" w:rsidR="003E0A4F" w:rsidRDefault="003E0A4F" w:rsidP="00465498">
      <w:pPr>
        <w:pStyle w:val="BodyText"/>
        <w:jc w:val="both"/>
        <w:rPr>
          <w:spacing w:val="-2"/>
        </w:rPr>
      </w:pPr>
      <w:r>
        <w:rPr>
          <w:spacing w:val="-2"/>
        </w:rPr>
        <w:t xml:space="preserve">Despite funding difficulties, these activities all progressed in the period between COP 14 in February 2024, and 2025. Efforts were driven mainly by range country </w:t>
      </w:r>
      <w:proofErr w:type="spellStart"/>
      <w:r>
        <w:rPr>
          <w:spacing w:val="-2"/>
        </w:rPr>
        <w:t>organisations</w:t>
      </w:r>
      <w:proofErr w:type="spellEnd"/>
      <w:r>
        <w:rPr>
          <w:spacing w:val="-2"/>
        </w:rPr>
        <w:t xml:space="preserve"> that conducted research and conservation activities. The Arabian Sea Whale Network (ASWN) provided an umbrella framework for the exchange of experience and expertise and for coordinating work towards a regional conservation management plan (CMP).</w:t>
      </w:r>
    </w:p>
    <w:p w14:paraId="136E570D" w14:textId="77777777" w:rsidR="003E0A4F" w:rsidRDefault="003E0A4F" w:rsidP="00465498">
      <w:pPr>
        <w:pStyle w:val="BodyText"/>
        <w:ind w:left="165"/>
        <w:jc w:val="both"/>
        <w:rPr>
          <w:spacing w:val="-2"/>
        </w:rPr>
      </w:pPr>
    </w:p>
    <w:p w14:paraId="0B0E500A" w14:textId="77777777" w:rsidR="003E0A4F" w:rsidRPr="003C07A3" w:rsidRDefault="003E0A4F" w:rsidP="00465498">
      <w:pPr>
        <w:pStyle w:val="BodyText"/>
        <w:jc w:val="both"/>
        <w:rPr>
          <w:spacing w:val="-2"/>
        </w:rPr>
      </w:pPr>
      <w:r>
        <w:rPr>
          <w:spacing w:val="-2"/>
        </w:rPr>
        <w:t xml:space="preserve">Funding was obtained to provide support for an ASWN Coordinator and a Communications focal point between June 2023 and July 2025. They were able to (1) maintain the ASWN website and social media communications and (2) host </w:t>
      </w:r>
      <w:proofErr w:type="gramStart"/>
      <w:r>
        <w:rPr>
          <w:spacing w:val="-2"/>
        </w:rPr>
        <w:t>a number of</w:t>
      </w:r>
      <w:proofErr w:type="gramEnd"/>
      <w:r>
        <w:rPr>
          <w:spacing w:val="-2"/>
        </w:rPr>
        <w:t xml:space="preserve"> online virtual meetings.  Activities and progress are summarized in the report provided to the Scientific Committee of the International Whaling Commission </w:t>
      </w:r>
      <w:r>
        <w:t xml:space="preserve">(IWC) </w:t>
      </w:r>
      <w:r>
        <w:rPr>
          <w:spacing w:val="-2"/>
        </w:rPr>
        <w:t xml:space="preserve"> in April 2024 (</w:t>
      </w:r>
      <w:hyperlink r:id="rId16" w:history="1">
        <w:r w:rsidRPr="003C07A3">
          <w:rPr>
            <w:rStyle w:val="Hyperlink"/>
            <w:spacing w:val="-2"/>
          </w:rPr>
          <w:t>SC/69B/CMP/05Rev1</w:t>
        </w:r>
      </w:hyperlink>
      <w:r>
        <w:rPr>
          <w:spacing w:val="-2"/>
        </w:rPr>
        <w:t xml:space="preserve">) and the </w:t>
      </w:r>
      <w:hyperlink r:id="rId17" w:history="1">
        <w:r w:rsidRPr="003C07A3">
          <w:rPr>
            <w:rStyle w:val="Hyperlink"/>
            <w:spacing w:val="-2"/>
          </w:rPr>
          <w:t>ASWN newsletter</w:t>
        </w:r>
      </w:hyperlink>
      <w:r>
        <w:rPr>
          <w:spacing w:val="-2"/>
        </w:rPr>
        <w:t xml:space="preserve"> published in August 2025.</w:t>
      </w:r>
    </w:p>
    <w:p w14:paraId="3941022C" w14:textId="351B77F2" w:rsidR="00E87B52" w:rsidRPr="000C6A8E" w:rsidRDefault="00E87B52" w:rsidP="001C54C6">
      <w:pPr>
        <w:spacing w:after="0" w:line="240" w:lineRule="auto"/>
        <w:jc w:val="both"/>
        <w:rPr>
          <w:rFonts w:eastAsia="Calibri" w:cs="Arial"/>
          <w:b/>
          <w:bCs/>
        </w:rPr>
      </w:pPr>
      <w:r w:rsidRPr="000C6A8E">
        <w:rPr>
          <w:rFonts w:eastAsia="Calibri" w:cs="Arial"/>
          <w:b/>
          <w:bCs/>
        </w:rPr>
        <w:lastRenderedPageBreak/>
        <w:t>CHANGES TO THE CONCERTED ACTION (IF ANY)</w:t>
      </w:r>
    </w:p>
    <w:p w14:paraId="79D54A5D" w14:textId="77777777" w:rsidR="00F55BC2" w:rsidRPr="00E87B52" w:rsidRDefault="00F55BC2" w:rsidP="00465498">
      <w:pPr>
        <w:spacing w:after="0" w:line="240" w:lineRule="auto"/>
        <w:jc w:val="both"/>
        <w:rPr>
          <w:rFonts w:eastAsia="Calibri" w:cs="Arial"/>
        </w:rPr>
      </w:pPr>
    </w:p>
    <w:p w14:paraId="2067D752" w14:textId="03CE1FBF" w:rsidR="00C94FD4" w:rsidRDefault="00C94FD4" w:rsidP="00EE3241">
      <w:pPr>
        <w:pStyle w:val="BodyText"/>
        <w:ind w:right="25"/>
        <w:jc w:val="both"/>
      </w:pPr>
      <w:r>
        <w:t xml:space="preserve">In 2025, emphasis was placed on a series of stakeholder engagements and the drafting of a regional CMP to be implemented under the joint auspices of the CMS and the International Whaling Commission (IWC). A CMP (broadly </w:t>
      </w:r>
      <w:proofErr w:type="gramStart"/>
      <w:r>
        <w:t>similar to</w:t>
      </w:r>
      <w:proofErr w:type="gramEnd"/>
      <w:r>
        <w:t xml:space="preserve"> a CMS Single Species Action Plan) was foreseen as the end-goal of the Concerted Action, as it would provide a government-endorsed framework for cross-boundary collaboration between the broad range of stakeholders required for the effective conservation of this Endangered population. In </w:t>
      </w:r>
      <w:hyperlink r:id="rId18" w:history="1">
        <w:r w:rsidRPr="006607BC">
          <w:rPr>
            <w:rStyle w:val="Hyperlink"/>
          </w:rPr>
          <w:t>May 202</w:t>
        </w:r>
        <w:r>
          <w:rPr>
            <w:rStyle w:val="Hyperlink"/>
          </w:rPr>
          <w:t>5,</w:t>
        </w:r>
        <w:r w:rsidRPr="006607BC">
          <w:rPr>
            <w:rStyle w:val="Hyperlink"/>
          </w:rPr>
          <w:t xml:space="preserve"> a </w:t>
        </w:r>
        <w:r>
          <w:rPr>
            <w:rStyle w:val="Hyperlink"/>
          </w:rPr>
          <w:t>w</w:t>
        </w:r>
        <w:r w:rsidRPr="006607BC">
          <w:rPr>
            <w:rStyle w:val="Hyperlink"/>
          </w:rPr>
          <w:t>orkshop</w:t>
        </w:r>
      </w:hyperlink>
      <w:r>
        <w:t xml:space="preserve"> was held in Oman which brought together government, industry, and civil society stakeholders from Oman and India, the only two ASHW range states that are also IWC member countries, to discuss in detail the framework of the CMP, the threats facing ASHW across the range and the priority actions to address them.  In the months following the workshop, CMS focal points in ASHW range states that are CMS parties, as well as all ASWN members and members of the IWC Scientific and Conservation Committees, reviewed and revised the draft CMP that has been submitted to the CMS COP as </w:t>
      </w:r>
      <w:hyperlink r:id="rId19" w:history="1">
        <w:r w:rsidR="00CE7E14" w:rsidRPr="00A35D12">
          <w:rPr>
            <w:rStyle w:val="Hyperlink"/>
          </w:rPr>
          <w:t>UNEP/CMS/COP15/Doc.25.4.2/Annex 3</w:t>
        </w:r>
      </w:hyperlink>
      <w:r w:rsidR="00CE7E14">
        <w:t>.</w:t>
      </w:r>
    </w:p>
    <w:p w14:paraId="4ABC1C89" w14:textId="77777777" w:rsidR="00C94FD4" w:rsidRDefault="00C94FD4" w:rsidP="00465498">
      <w:pPr>
        <w:pStyle w:val="BodyText"/>
        <w:ind w:right="722"/>
        <w:jc w:val="both"/>
      </w:pPr>
    </w:p>
    <w:p w14:paraId="2D9F9301" w14:textId="77777777" w:rsidR="00C94FD4" w:rsidRDefault="00C94FD4" w:rsidP="00EE3241">
      <w:pPr>
        <w:pStyle w:val="BodyText"/>
        <w:ind w:right="25"/>
        <w:jc w:val="both"/>
      </w:pPr>
      <w:r>
        <w:t>This CMP follows the IWC template and foresees the continuation and expansion of research and monitoring, threat mitigation, awareness-raising and capacity building by range state actors, guided by a Coordinator and a Steering Committee. Reporting will take place through both the CMS and the IWC mechanisms in line with their scientific and member meetings.</w:t>
      </w:r>
    </w:p>
    <w:p w14:paraId="0FC77CEE" w14:textId="77777777" w:rsidR="00465498" w:rsidRPr="00E87B52" w:rsidRDefault="00465498" w:rsidP="00465498">
      <w:pPr>
        <w:suppressAutoHyphens/>
        <w:autoSpaceDN w:val="0"/>
        <w:spacing w:after="0" w:line="240" w:lineRule="auto"/>
        <w:jc w:val="both"/>
        <w:textAlignment w:val="baseline"/>
        <w:rPr>
          <w:rFonts w:eastAsia="Calibri" w:cs="Arial"/>
        </w:rPr>
      </w:pPr>
    </w:p>
    <w:p w14:paraId="074E7C82" w14:textId="1DB5A2E3" w:rsidR="00E87B52" w:rsidRPr="00373803" w:rsidRDefault="00E87B52" w:rsidP="00465498">
      <w:pPr>
        <w:numPr>
          <w:ilvl w:val="0"/>
          <w:numId w:val="4"/>
        </w:numPr>
        <w:spacing w:after="0" w:line="240" w:lineRule="auto"/>
        <w:ind w:left="540" w:hanging="540"/>
        <w:jc w:val="both"/>
        <w:rPr>
          <w:rFonts w:eastAsia="Calibri" w:cs="Arial"/>
          <w:b/>
          <w:bCs/>
        </w:rPr>
      </w:pPr>
      <w:proofErr w:type="gramStart"/>
      <w:r w:rsidRPr="00373803">
        <w:rPr>
          <w:rFonts w:eastAsia="Calibri" w:cs="Arial"/>
          <w:b/>
          <w:bCs/>
        </w:rPr>
        <w:t>REFERENCES</w:t>
      </w:r>
      <w:proofErr w:type="gramEnd"/>
      <w:r w:rsidRPr="00373803">
        <w:rPr>
          <w:rFonts w:eastAsia="Calibri" w:cs="Arial"/>
          <w:b/>
          <w:bCs/>
        </w:rPr>
        <w:t xml:space="preserve"> (if any)</w:t>
      </w:r>
    </w:p>
    <w:p w14:paraId="5C36A87E" w14:textId="77777777" w:rsidR="00F55BC2" w:rsidRPr="00E87B52" w:rsidRDefault="00F55BC2" w:rsidP="00465498">
      <w:pPr>
        <w:spacing w:after="0" w:line="240" w:lineRule="auto"/>
        <w:ind w:left="540"/>
        <w:jc w:val="both"/>
        <w:rPr>
          <w:rFonts w:eastAsia="Calibri" w:cs="Arial"/>
        </w:rPr>
      </w:pPr>
    </w:p>
    <w:p w14:paraId="773021BD" w14:textId="37F932E7" w:rsidR="00590539" w:rsidRPr="00124D07" w:rsidRDefault="00590539" w:rsidP="00EE3241">
      <w:pPr>
        <w:pStyle w:val="BodyText"/>
        <w:ind w:right="25"/>
        <w:jc w:val="both"/>
        <w:rPr>
          <w:lang w:val="en-GB"/>
        </w:rPr>
      </w:pPr>
      <w:r w:rsidRPr="00124D07">
        <w:rPr>
          <w:lang w:val="en-GB"/>
        </w:rPr>
        <w:t xml:space="preserve">Document </w:t>
      </w:r>
      <w:hyperlink r:id="rId20" w:history="1">
        <w:r w:rsidR="00A35D12" w:rsidRPr="00A35D12">
          <w:rPr>
            <w:rStyle w:val="Hyperlink"/>
          </w:rPr>
          <w:t>UNEP/CMS/COP15/Doc.25.4.2/Annex 3</w:t>
        </w:r>
      </w:hyperlink>
      <w:r w:rsidRPr="00124D07">
        <w:rPr>
          <w:lang w:val="en-GB"/>
        </w:rPr>
        <w:t xml:space="preserve"> </w:t>
      </w:r>
      <w:r w:rsidR="00714CF4">
        <w:rPr>
          <w:lang w:val="en-GB"/>
        </w:rPr>
        <w:t xml:space="preserve">Draft </w:t>
      </w:r>
      <w:r w:rsidRPr="00124D07">
        <w:rPr>
          <w:lang w:val="en-GB"/>
        </w:rPr>
        <w:t>Conservation Manag</w:t>
      </w:r>
      <w:r>
        <w:rPr>
          <w:lang w:val="en-GB"/>
        </w:rPr>
        <w:t>e</w:t>
      </w:r>
      <w:r w:rsidRPr="00124D07">
        <w:rPr>
          <w:lang w:val="en-GB"/>
        </w:rPr>
        <w:t xml:space="preserve">ment Plan for </w:t>
      </w:r>
      <w:r w:rsidR="00714CF4">
        <w:rPr>
          <w:lang w:val="en-GB"/>
        </w:rPr>
        <w:t xml:space="preserve">the </w:t>
      </w:r>
      <w:r w:rsidRPr="00124D07">
        <w:rPr>
          <w:lang w:val="en-GB"/>
        </w:rPr>
        <w:t xml:space="preserve">Arabian Sea </w:t>
      </w:r>
      <w:r>
        <w:rPr>
          <w:lang w:val="en-GB"/>
        </w:rPr>
        <w:t>Humpback Whale</w:t>
      </w:r>
    </w:p>
    <w:p w14:paraId="59E4D507" w14:textId="77777777" w:rsidR="00465498" w:rsidRPr="00E87B52" w:rsidRDefault="00465498" w:rsidP="00465498">
      <w:pPr>
        <w:suppressAutoHyphens/>
        <w:autoSpaceDN w:val="0"/>
        <w:spacing w:after="0" w:line="240" w:lineRule="auto"/>
        <w:jc w:val="both"/>
        <w:textAlignment w:val="baseline"/>
        <w:rPr>
          <w:rFonts w:eastAsia="Calibri" w:cs="Arial"/>
        </w:rPr>
      </w:pPr>
    </w:p>
    <w:p w14:paraId="26F1BDAE" w14:textId="37EAD54C" w:rsidR="00E87B52" w:rsidRPr="00373803" w:rsidRDefault="00E87B52" w:rsidP="00465498">
      <w:pPr>
        <w:numPr>
          <w:ilvl w:val="0"/>
          <w:numId w:val="4"/>
        </w:numPr>
        <w:spacing w:after="0" w:line="240" w:lineRule="auto"/>
        <w:ind w:left="540" w:hanging="540"/>
        <w:jc w:val="both"/>
        <w:rPr>
          <w:rFonts w:eastAsia="Calibri" w:cs="Arial"/>
          <w:b/>
          <w:bCs/>
          <w:lang w:val="en-GB"/>
        </w:rPr>
      </w:pPr>
      <w:r w:rsidRPr="00373803">
        <w:rPr>
          <w:rFonts w:eastAsia="Calibri" w:cs="Arial"/>
          <w:b/>
          <w:bCs/>
          <w:lang w:val="en-GB"/>
        </w:rPr>
        <w:t>ACTION</w:t>
      </w:r>
    </w:p>
    <w:p w14:paraId="7393AA49" w14:textId="77777777" w:rsidR="0092671C" w:rsidRPr="00E87B52" w:rsidRDefault="0092671C" w:rsidP="00465498">
      <w:pPr>
        <w:spacing w:after="0" w:line="240" w:lineRule="auto"/>
        <w:ind w:left="706"/>
        <w:jc w:val="both"/>
        <w:rPr>
          <w:rFonts w:eastAsia="Calibri" w:cs="Arial"/>
          <w:lang w:val="en-GB"/>
        </w:rPr>
      </w:pPr>
    </w:p>
    <w:p w14:paraId="4D2B21CA" w14:textId="77777777" w:rsidR="00A73533" w:rsidRDefault="00A73533" w:rsidP="00EE3241">
      <w:pPr>
        <w:pStyle w:val="BodyText"/>
        <w:ind w:right="25"/>
        <w:jc w:val="both"/>
      </w:pPr>
      <w:r>
        <w:t xml:space="preserve">This Concerted Action can be considered completed </w:t>
      </w:r>
      <w:proofErr w:type="gramStart"/>
      <w:r>
        <w:t>if and when</w:t>
      </w:r>
      <w:proofErr w:type="gramEnd"/>
      <w:r>
        <w:t xml:space="preserve"> the CMP is endorsed</w:t>
      </w:r>
      <w:r w:rsidRPr="002E680F">
        <w:t xml:space="preserve"> </w:t>
      </w:r>
      <w:r>
        <w:t xml:space="preserve">by the CMS and the IWC. Following such endorsement, the Concerted Action should thus be closed, and efforts would then focus on implementation of the adopted CMP. </w:t>
      </w:r>
    </w:p>
    <w:p w14:paraId="4A9AD9C4" w14:textId="77777777" w:rsidR="00DB48FC" w:rsidRDefault="00DB48FC" w:rsidP="00465498">
      <w:pPr>
        <w:pStyle w:val="BodyText"/>
        <w:ind w:right="721"/>
        <w:jc w:val="both"/>
      </w:pPr>
    </w:p>
    <w:p w14:paraId="0948BD52" w14:textId="77777777" w:rsidR="00DB48FC" w:rsidRDefault="00DB48FC" w:rsidP="007639D2">
      <w:pPr>
        <w:pStyle w:val="BodyText"/>
        <w:ind w:right="721"/>
        <w:jc w:val="both"/>
      </w:pPr>
    </w:p>
    <w:sectPr w:rsidR="00DB48FC" w:rsidSect="001C54C6">
      <w:headerReference w:type="default" r:id="rId21"/>
      <w:headerReference w:type="first" r:id="rId22"/>
      <w:footerReference w:type="first" r:id="rId23"/>
      <w:endnotePr>
        <w:numFmt w:val="decimal"/>
      </w:endnotePr>
      <w:pgSz w:w="11905" w:h="16837" w:code="9"/>
      <w:pgMar w:top="1440" w:right="1440" w:bottom="1440" w:left="1440" w:header="54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9D6E" w14:textId="77777777" w:rsidR="00D92ECD" w:rsidRDefault="00D92ECD" w:rsidP="002E0DE9">
      <w:pPr>
        <w:spacing w:after="0" w:line="240" w:lineRule="auto"/>
      </w:pPr>
      <w:r>
        <w:separator/>
      </w:r>
    </w:p>
  </w:endnote>
  <w:endnote w:type="continuationSeparator" w:id="0">
    <w:p w14:paraId="073F6CBB" w14:textId="77777777" w:rsidR="00D92ECD" w:rsidRDefault="00D92ECD" w:rsidP="002E0DE9">
      <w:pPr>
        <w:spacing w:after="0" w:line="240" w:lineRule="auto"/>
      </w:pPr>
      <w:r>
        <w:continuationSeparator/>
      </w:r>
    </w:p>
  </w:endnote>
  <w:endnote w:type="continuationNotice" w:id="1">
    <w:p w14:paraId="1A5600CC" w14:textId="77777777" w:rsidR="00D92ECD" w:rsidRDefault="00D9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373803" w:rsidRDefault="00E87B52">
    <w:pPr>
      <w:pStyle w:val="Footer"/>
      <w:ind w:right="-367"/>
      <w:jc w:val="center"/>
      <w:rPr>
        <w:sz w:val="18"/>
        <w:szCs w:val="18"/>
      </w:rPr>
    </w:pPr>
    <w:r w:rsidRPr="00373803">
      <w:rPr>
        <w:rFonts w:cs="Arial"/>
        <w:sz w:val="18"/>
        <w:szCs w:val="18"/>
      </w:rPr>
      <w:fldChar w:fldCharType="begin"/>
    </w:r>
    <w:r w:rsidRPr="00373803">
      <w:rPr>
        <w:rFonts w:cs="Arial"/>
        <w:sz w:val="18"/>
        <w:szCs w:val="18"/>
      </w:rPr>
      <w:instrText xml:space="preserve"> PAGE </w:instrText>
    </w:r>
    <w:r w:rsidRPr="00373803">
      <w:rPr>
        <w:rFonts w:cs="Arial"/>
        <w:sz w:val="18"/>
        <w:szCs w:val="18"/>
      </w:rPr>
      <w:fldChar w:fldCharType="separate"/>
    </w:r>
    <w:r w:rsidRPr="00373803">
      <w:rPr>
        <w:rFonts w:cs="Arial"/>
        <w:sz w:val="18"/>
        <w:szCs w:val="18"/>
      </w:rPr>
      <w:t>7</w:t>
    </w:r>
    <w:r w:rsidRPr="0037380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079285CF" w:rsidR="00E87B52" w:rsidRDefault="00E87B52" w:rsidP="004B44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6465848"/>
      <w:docPartObj>
        <w:docPartGallery w:val="Page Numbers (Bottom of Page)"/>
        <w:docPartUnique/>
      </w:docPartObj>
    </w:sdtPr>
    <w:sdtEndPr>
      <w:rPr>
        <w:noProof/>
      </w:rPr>
    </w:sdtEndPr>
    <w:sdtContent>
      <w:p w14:paraId="5F02D2CD" w14:textId="168F8FEF" w:rsidR="000C6A8E" w:rsidRPr="000C6A8E" w:rsidRDefault="000C6A8E" w:rsidP="000C6A8E">
        <w:pPr>
          <w:pStyle w:val="Footer"/>
          <w:jc w:val="center"/>
          <w:rPr>
            <w:sz w:val="18"/>
            <w:szCs w:val="18"/>
          </w:rPr>
        </w:pPr>
        <w:r w:rsidRPr="000C6A8E">
          <w:rPr>
            <w:sz w:val="18"/>
            <w:szCs w:val="18"/>
          </w:rPr>
          <w:fldChar w:fldCharType="begin"/>
        </w:r>
        <w:r w:rsidRPr="000C6A8E">
          <w:rPr>
            <w:sz w:val="18"/>
            <w:szCs w:val="18"/>
          </w:rPr>
          <w:instrText xml:space="preserve"> PAGE   \* MERGEFORMAT </w:instrText>
        </w:r>
        <w:r w:rsidRPr="000C6A8E">
          <w:rPr>
            <w:sz w:val="18"/>
            <w:szCs w:val="18"/>
          </w:rPr>
          <w:fldChar w:fldCharType="separate"/>
        </w:r>
        <w:r w:rsidRPr="000C6A8E">
          <w:rPr>
            <w:noProof/>
            <w:sz w:val="18"/>
            <w:szCs w:val="18"/>
          </w:rPr>
          <w:t>2</w:t>
        </w:r>
        <w:r w:rsidRPr="000C6A8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2377" w14:textId="77777777" w:rsidR="00D92ECD" w:rsidRDefault="00D92ECD" w:rsidP="002E0DE9">
      <w:pPr>
        <w:spacing w:after="0" w:line="240" w:lineRule="auto"/>
      </w:pPr>
      <w:r>
        <w:separator/>
      </w:r>
    </w:p>
  </w:footnote>
  <w:footnote w:type="continuationSeparator" w:id="0">
    <w:p w14:paraId="0CB00116" w14:textId="77777777" w:rsidR="00D92ECD" w:rsidRDefault="00D92ECD" w:rsidP="002E0DE9">
      <w:pPr>
        <w:spacing w:after="0" w:line="240" w:lineRule="auto"/>
      </w:pPr>
      <w:r>
        <w:continuationSeparator/>
      </w:r>
    </w:p>
  </w:footnote>
  <w:footnote w:type="continuationNotice" w:id="1">
    <w:p w14:paraId="77AD42A1" w14:textId="77777777" w:rsidR="00D92ECD" w:rsidRDefault="00D92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4D35D4"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1B59" w14:textId="2C60F3B0" w:rsidR="000C6A8E" w:rsidRPr="00373803" w:rsidRDefault="00373803" w:rsidP="00373803">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1C54C6">
      <w:rPr>
        <w:rFonts w:eastAsia="Times New Roman" w:cs="Arial"/>
        <w:i/>
        <w:sz w:val="18"/>
        <w:szCs w:val="18"/>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796FD385"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13116C">
      <w:rPr>
        <w:rFonts w:eastAsia="Times New Roman" w:cs="Arial"/>
        <w:i/>
        <w:sz w:val="18"/>
        <w:szCs w:val="18"/>
        <w:lang w:val="en-GB"/>
      </w:rPr>
      <w:t>31.2.</w:t>
    </w:r>
    <w:r w:rsidR="001C54C6">
      <w:rPr>
        <w:rFonts w:eastAsia="Times New Roman" w:cs="Arial"/>
        <w: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1E135A8"/>
    <w:multiLevelType w:val="hybridMultilevel"/>
    <w:tmpl w:val="78BAFA1A"/>
    <w:lvl w:ilvl="0" w:tplc="CD68A436">
      <w:start w:val="1"/>
      <w:numFmt w:val="decimal"/>
      <w:lvlText w:val="(%1)"/>
      <w:lvlJc w:val="left"/>
      <w:pPr>
        <w:ind w:left="885" w:hanging="360"/>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64C0205"/>
    <w:multiLevelType w:val="hybridMultilevel"/>
    <w:tmpl w:val="401270DC"/>
    <w:lvl w:ilvl="0" w:tplc="33C22000">
      <w:start w:val="1"/>
      <w:numFmt w:val="decimal"/>
      <w:lvlText w:val="%1."/>
      <w:lvlJc w:val="left"/>
      <w:pPr>
        <w:ind w:left="705" w:hanging="540"/>
        <w:jc w:val="left"/>
      </w:pPr>
      <w:rPr>
        <w:rFonts w:ascii="Arial" w:eastAsia="Arial" w:hAnsi="Arial" w:cs="Arial" w:hint="default"/>
        <w:b/>
        <w:bCs/>
        <w:i w:val="0"/>
        <w:iCs w:val="0"/>
        <w:spacing w:val="-1"/>
        <w:w w:val="100"/>
        <w:sz w:val="22"/>
        <w:szCs w:val="22"/>
        <w:lang w:val="en-US" w:eastAsia="en-US" w:bidi="ar-SA"/>
      </w:rPr>
    </w:lvl>
    <w:lvl w:ilvl="1" w:tplc="17C688F4">
      <w:numFmt w:val="bullet"/>
      <w:lvlText w:val=""/>
      <w:lvlJc w:val="left"/>
      <w:pPr>
        <w:ind w:left="1065" w:hanging="360"/>
      </w:pPr>
      <w:rPr>
        <w:rFonts w:ascii="Symbol" w:eastAsia="Symbol" w:hAnsi="Symbol" w:cs="Symbol" w:hint="default"/>
        <w:b w:val="0"/>
        <w:bCs w:val="0"/>
        <w:i w:val="0"/>
        <w:iCs w:val="0"/>
        <w:spacing w:val="0"/>
        <w:w w:val="100"/>
        <w:sz w:val="22"/>
        <w:szCs w:val="22"/>
        <w:lang w:val="en-US" w:eastAsia="en-US" w:bidi="ar-SA"/>
      </w:rPr>
    </w:lvl>
    <w:lvl w:ilvl="2" w:tplc="8050DDC4">
      <w:numFmt w:val="bullet"/>
      <w:lvlText w:val="•"/>
      <w:lvlJc w:val="left"/>
      <w:pPr>
        <w:ind w:left="2044" w:hanging="360"/>
      </w:pPr>
      <w:rPr>
        <w:rFonts w:hint="default"/>
        <w:lang w:val="en-US" w:eastAsia="en-US" w:bidi="ar-SA"/>
      </w:rPr>
    </w:lvl>
    <w:lvl w:ilvl="3" w:tplc="377AA01C">
      <w:numFmt w:val="bullet"/>
      <w:lvlText w:val="•"/>
      <w:lvlJc w:val="left"/>
      <w:pPr>
        <w:ind w:left="3029" w:hanging="360"/>
      </w:pPr>
      <w:rPr>
        <w:rFonts w:hint="default"/>
        <w:lang w:val="en-US" w:eastAsia="en-US" w:bidi="ar-SA"/>
      </w:rPr>
    </w:lvl>
    <w:lvl w:ilvl="4" w:tplc="038EA4DA">
      <w:numFmt w:val="bullet"/>
      <w:lvlText w:val="•"/>
      <w:lvlJc w:val="left"/>
      <w:pPr>
        <w:ind w:left="4013" w:hanging="360"/>
      </w:pPr>
      <w:rPr>
        <w:rFonts w:hint="default"/>
        <w:lang w:val="en-US" w:eastAsia="en-US" w:bidi="ar-SA"/>
      </w:rPr>
    </w:lvl>
    <w:lvl w:ilvl="5" w:tplc="CEE60AE6">
      <w:numFmt w:val="bullet"/>
      <w:lvlText w:val="•"/>
      <w:lvlJc w:val="left"/>
      <w:pPr>
        <w:ind w:left="4998" w:hanging="360"/>
      </w:pPr>
      <w:rPr>
        <w:rFonts w:hint="default"/>
        <w:lang w:val="en-US" w:eastAsia="en-US" w:bidi="ar-SA"/>
      </w:rPr>
    </w:lvl>
    <w:lvl w:ilvl="6" w:tplc="56F42108">
      <w:numFmt w:val="bullet"/>
      <w:lvlText w:val="•"/>
      <w:lvlJc w:val="left"/>
      <w:pPr>
        <w:ind w:left="5982" w:hanging="360"/>
      </w:pPr>
      <w:rPr>
        <w:rFonts w:hint="default"/>
        <w:lang w:val="en-US" w:eastAsia="en-US" w:bidi="ar-SA"/>
      </w:rPr>
    </w:lvl>
    <w:lvl w:ilvl="7" w:tplc="97A05B36">
      <w:numFmt w:val="bullet"/>
      <w:lvlText w:val="•"/>
      <w:lvlJc w:val="left"/>
      <w:pPr>
        <w:ind w:left="6967" w:hanging="360"/>
      </w:pPr>
      <w:rPr>
        <w:rFonts w:hint="default"/>
        <w:lang w:val="en-US" w:eastAsia="en-US" w:bidi="ar-SA"/>
      </w:rPr>
    </w:lvl>
    <w:lvl w:ilvl="8" w:tplc="8466C7EE">
      <w:numFmt w:val="bullet"/>
      <w:lvlText w:val="•"/>
      <w:lvlJc w:val="left"/>
      <w:pPr>
        <w:ind w:left="7951" w:hanging="360"/>
      </w:pPr>
      <w:rPr>
        <w:rFonts w:hint="default"/>
        <w:lang w:val="en-US" w:eastAsia="en-US" w:bidi="ar-SA"/>
      </w:r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2"/>
  </w:num>
  <w:num w:numId="2" w16cid:durableId="893811018">
    <w:abstractNumId w:val="5"/>
  </w:num>
  <w:num w:numId="3" w16cid:durableId="1663001413">
    <w:abstractNumId w:val="0"/>
  </w:num>
  <w:num w:numId="4" w16cid:durableId="149903110">
    <w:abstractNumId w:val="4"/>
  </w:num>
  <w:num w:numId="5" w16cid:durableId="814952415">
    <w:abstractNumId w:val="7"/>
  </w:num>
  <w:num w:numId="6" w16cid:durableId="1066800755">
    <w:abstractNumId w:val="3"/>
  </w:num>
  <w:num w:numId="7" w16cid:durableId="390924429">
    <w:abstractNumId w:val="6"/>
  </w:num>
  <w:num w:numId="8" w16cid:durableId="1901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61AD5"/>
    <w:rsid w:val="000661B2"/>
    <w:rsid w:val="000B60DE"/>
    <w:rsid w:val="000C6A8E"/>
    <w:rsid w:val="000E71F1"/>
    <w:rsid w:val="001139D3"/>
    <w:rsid w:val="00124693"/>
    <w:rsid w:val="0013116C"/>
    <w:rsid w:val="0015124D"/>
    <w:rsid w:val="0015276D"/>
    <w:rsid w:val="00165417"/>
    <w:rsid w:val="0017210D"/>
    <w:rsid w:val="00176082"/>
    <w:rsid w:val="0018099C"/>
    <w:rsid w:val="001C54C6"/>
    <w:rsid w:val="001C6931"/>
    <w:rsid w:val="001D763A"/>
    <w:rsid w:val="00236050"/>
    <w:rsid w:val="002577D2"/>
    <w:rsid w:val="002B2806"/>
    <w:rsid w:val="002E0DE9"/>
    <w:rsid w:val="0030267F"/>
    <w:rsid w:val="00331D38"/>
    <w:rsid w:val="0035024E"/>
    <w:rsid w:val="00373803"/>
    <w:rsid w:val="00386B8B"/>
    <w:rsid w:val="003C569E"/>
    <w:rsid w:val="003E0A4F"/>
    <w:rsid w:val="004165B4"/>
    <w:rsid w:val="00424B75"/>
    <w:rsid w:val="0044352F"/>
    <w:rsid w:val="004456DC"/>
    <w:rsid w:val="00465498"/>
    <w:rsid w:val="004714F5"/>
    <w:rsid w:val="004B4418"/>
    <w:rsid w:val="004D35D4"/>
    <w:rsid w:val="004D3FC4"/>
    <w:rsid w:val="004D5029"/>
    <w:rsid w:val="004F7D19"/>
    <w:rsid w:val="00511DB5"/>
    <w:rsid w:val="005201A6"/>
    <w:rsid w:val="005330F7"/>
    <w:rsid w:val="00563598"/>
    <w:rsid w:val="00590539"/>
    <w:rsid w:val="0059467B"/>
    <w:rsid w:val="005B1F6F"/>
    <w:rsid w:val="005B3D6A"/>
    <w:rsid w:val="005C28E8"/>
    <w:rsid w:val="005C469B"/>
    <w:rsid w:val="005C4CFE"/>
    <w:rsid w:val="005C7FBE"/>
    <w:rsid w:val="005E6D3C"/>
    <w:rsid w:val="005F738C"/>
    <w:rsid w:val="006041B1"/>
    <w:rsid w:val="006200B6"/>
    <w:rsid w:val="006420C0"/>
    <w:rsid w:val="00683B57"/>
    <w:rsid w:val="006A7DC4"/>
    <w:rsid w:val="006D7B10"/>
    <w:rsid w:val="006F5B78"/>
    <w:rsid w:val="006F7E26"/>
    <w:rsid w:val="00714CF4"/>
    <w:rsid w:val="007460F9"/>
    <w:rsid w:val="007639D2"/>
    <w:rsid w:val="007745FF"/>
    <w:rsid w:val="007A369D"/>
    <w:rsid w:val="007C3063"/>
    <w:rsid w:val="00842B75"/>
    <w:rsid w:val="00872FF8"/>
    <w:rsid w:val="008B0AC3"/>
    <w:rsid w:val="008D2E27"/>
    <w:rsid w:val="0092671C"/>
    <w:rsid w:val="00933B90"/>
    <w:rsid w:val="00954CE8"/>
    <w:rsid w:val="00960239"/>
    <w:rsid w:val="009709B8"/>
    <w:rsid w:val="009740BF"/>
    <w:rsid w:val="00975F46"/>
    <w:rsid w:val="0098027E"/>
    <w:rsid w:val="00984BDA"/>
    <w:rsid w:val="00985824"/>
    <w:rsid w:val="009A7F4E"/>
    <w:rsid w:val="00A35D12"/>
    <w:rsid w:val="00A44ED2"/>
    <w:rsid w:val="00A73533"/>
    <w:rsid w:val="00A9675B"/>
    <w:rsid w:val="00AA6139"/>
    <w:rsid w:val="00AB1048"/>
    <w:rsid w:val="00AC06A1"/>
    <w:rsid w:val="00AE4A6B"/>
    <w:rsid w:val="00B22CE5"/>
    <w:rsid w:val="00B51A11"/>
    <w:rsid w:val="00BA192A"/>
    <w:rsid w:val="00BB7FAE"/>
    <w:rsid w:val="00C10173"/>
    <w:rsid w:val="00C7409D"/>
    <w:rsid w:val="00C90C33"/>
    <w:rsid w:val="00C94FD4"/>
    <w:rsid w:val="00CA7C24"/>
    <w:rsid w:val="00CE7E14"/>
    <w:rsid w:val="00CF5D3B"/>
    <w:rsid w:val="00D018DE"/>
    <w:rsid w:val="00D15DB8"/>
    <w:rsid w:val="00D83A9A"/>
    <w:rsid w:val="00D92ECD"/>
    <w:rsid w:val="00D93628"/>
    <w:rsid w:val="00DA1C8A"/>
    <w:rsid w:val="00DB48FC"/>
    <w:rsid w:val="00E16D5C"/>
    <w:rsid w:val="00E54BF3"/>
    <w:rsid w:val="00E87B52"/>
    <w:rsid w:val="00EA2A28"/>
    <w:rsid w:val="00ED44B2"/>
    <w:rsid w:val="00ED6B54"/>
    <w:rsid w:val="00EE3241"/>
    <w:rsid w:val="00EF458D"/>
    <w:rsid w:val="00F20B11"/>
    <w:rsid w:val="00F33D16"/>
    <w:rsid w:val="00F5104C"/>
    <w:rsid w:val="00F55BC2"/>
    <w:rsid w:val="00F96F1A"/>
    <w:rsid w:val="00FE026F"/>
    <w:rsid w:val="00FE5A57"/>
    <w:rsid w:val="00FF1208"/>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5A5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FE5A57"/>
    <w:rPr>
      <w:rFonts w:eastAsia="Arial" w:cs="Arial"/>
    </w:rPr>
  </w:style>
  <w:style w:type="character" w:styleId="Hyperlink">
    <w:name w:val="Hyperlink"/>
    <w:basedOn w:val="DefaultParagraphFont"/>
    <w:uiPriority w:val="99"/>
    <w:unhideWhenUsed/>
    <w:rsid w:val="003E0A4F"/>
    <w:rPr>
      <w:color w:val="0563C1" w:themeColor="hyperlink"/>
      <w:u w:val="single"/>
    </w:rPr>
  </w:style>
  <w:style w:type="character" w:styleId="UnresolvedMention">
    <w:name w:val="Unresolved Mention"/>
    <w:basedOn w:val="DefaultParagraphFont"/>
    <w:uiPriority w:val="99"/>
    <w:semiHidden/>
    <w:unhideWhenUsed/>
    <w:rsid w:val="00A3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rabianseawhalenetwork.org/2025/06/19/regional-collaboration-strengthens-conservation-efforts-for-arabian-sea-humpback-whal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ive.google.com/file/d/1N2MjmZqSlx9H_Cpds2tcbpB5a0DVVueK/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hive.iwc.int/pages/download.php?direct=1&amp;noattach=true&amp;ref=22048&amp;ext=pdf&amp;k=" TargetMode="External"/><Relationship Id="rId20" Type="http://schemas.openxmlformats.org/officeDocument/2006/relationships/hyperlink" Target="https://www.cms.int/en/document/cetacean-action-pl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document/cetacean-action-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18EAFB9-D1AB-439F-A381-6A350074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dcterms:created xsi:type="dcterms:W3CDTF">2025-10-28T13:26:00Z</dcterms:created>
  <dcterms:modified xsi:type="dcterms:W3CDTF">2025-11-11T13:08:00Z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