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Ind w:w="-90" w:type="dxa"/>
        <w:tblLayout w:type="fixed"/>
        <w:tblCellMar>
          <w:left w:w="10" w:type="dxa"/>
          <w:right w:w="10" w:type="dxa"/>
        </w:tblCellMar>
        <w:tblLook w:val="0000" w:firstRow="0" w:lastRow="0" w:firstColumn="0" w:lastColumn="0" w:noHBand="0" w:noVBand="0"/>
      </w:tblPr>
      <w:tblGrid>
        <w:gridCol w:w="1616"/>
        <w:gridCol w:w="4144"/>
        <w:gridCol w:w="3978"/>
      </w:tblGrid>
      <w:tr w:rsidR="004964AF" w:rsidRPr="00BE6C85" w14:paraId="01B1FBA3" w14:textId="77777777" w:rsidTr="00ED6D8A">
        <w:trPr>
          <w:trHeight w:val="1328"/>
        </w:trPr>
        <w:tc>
          <w:tcPr>
            <w:tcW w:w="1616" w:type="dxa"/>
            <w:tcBorders>
              <w:top w:val="single" w:sz="12" w:space="0" w:color="000000"/>
              <w:bottom w:val="single" w:sz="12" w:space="0" w:color="000000"/>
            </w:tcBorders>
            <w:tcMar>
              <w:top w:w="85" w:type="dxa"/>
              <w:left w:w="108" w:type="dxa"/>
              <w:bottom w:w="0" w:type="dxa"/>
              <w:right w:w="108" w:type="dxa"/>
            </w:tcMar>
          </w:tcPr>
          <w:p w14:paraId="5EE7E366" w14:textId="77777777" w:rsidR="004964AF" w:rsidRPr="00002A97" w:rsidRDefault="004964AF" w:rsidP="00ED6D8A">
            <w:pPr>
              <w:widowControl w:val="0"/>
              <w:suppressAutoHyphens/>
              <w:autoSpaceDE w:val="0"/>
              <w:autoSpaceDN w:val="0"/>
              <w:spacing w:after="0" w:line="240" w:lineRule="auto"/>
              <w:textAlignment w:val="baseline"/>
              <w:rPr>
                <w:rFonts w:ascii="Calibri" w:eastAsia="Calibri" w:hAnsi="Calibri" w:cs="Times New Roman"/>
              </w:rPr>
            </w:pPr>
            <w:bookmarkStart w:id="0" w:name="_Hlk213850153"/>
            <w:r w:rsidRPr="00002A97">
              <w:rPr>
                <w:rFonts w:eastAsia="Times New Roman" w:cs="Arial"/>
                <w:noProof/>
                <w:szCs w:val="24"/>
              </w:rPr>
              <w:drawing>
                <wp:inline distT="0" distB="0" distL="0" distR="0" wp14:anchorId="6BC674F8" wp14:editId="3782435B">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010B9FF8" w14:textId="77777777" w:rsidR="004964AF" w:rsidRPr="00002A97" w:rsidRDefault="004964AF" w:rsidP="00ED6D8A">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36048D64" w14:textId="77777777" w:rsidR="004964AF" w:rsidRPr="00002A97" w:rsidRDefault="004964AF" w:rsidP="00ED6D8A">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67B0F3D1" w14:textId="77777777" w:rsidR="004964AF" w:rsidRPr="00002A97" w:rsidRDefault="004964AF" w:rsidP="00ED6D8A">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0A8690F7" w14:textId="77777777" w:rsidR="004964AF" w:rsidRPr="00002A97" w:rsidRDefault="004964AF" w:rsidP="00ED6D8A">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677406C1" w14:textId="0A04A80B" w:rsidR="004964AF" w:rsidRPr="00457C8A" w:rsidRDefault="004964AF" w:rsidP="00ED6D8A">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Pr>
                <w:rFonts w:eastAsia="Times New Roman" w:cs="Arial"/>
                <w:szCs w:val="24"/>
                <w:lang w:val="fr-FR" w:eastAsia="es-ES"/>
              </w:rPr>
              <w:t>5</w:t>
            </w:r>
            <w:r w:rsidRPr="00457C8A">
              <w:rPr>
                <w:rFonts w:eastAsia="Times New Roman" w:cs="Arial"/>
                <w:szCs w:val="24"/>
                <w:lang w:val="fr-FR" w:eastAsia="es-ES"/>
              </w:rPr>
              <w:t>/</w:t>
            </w:r>
            <w:r>
              <w:rPr>
                <w:rFonts w:eastAsia="Times New Roman" w:cs="Arial"/>
                <w:szCs w:val="24"/>
                <w:lang w:val="fr-FR" w:eastAsia="es-ES"/>
              </w:rPr>
              <w:t>Doc</w:t>
            </w:r>
            <w:r w:rsidRPr="00457C8A">
              <w:rPr>
                <w:rFonts w:eastAsia="Times New Roman" w:cs="Arial"/>
                <w:szCs w:val="24"/>
                <w:lang w:val="fr-FR" w:eastAsia="es-ES"/>
              </w:rPr>
              <w:t>.</w:t>
            </w:r>
            <w:r w:rsidR="001C3ABD">
              <w:rPr>
                <w:rFonts w:eastAsia="Times New Roman" w:cs="Arial"/>
                <w:szCs w:val="24"/>
                <w:lang w:val="fr-FR" w:eastAsia="es-ES"/>
              </w:rPr>
              <w:t>31.2.4</w:t>
            </w:r>
          </w:p>
          <w:p w14:paraId="69340EB3" w14:textId="170761AE" w:rsidR="004964AF" w:rsidRPr="002C395A" w:rsidRDefault="001C3ABD" w:rsidP="00ED6D8A">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23 de octubre </w:t>
            </w:r>
            <w:r w:rsidR="004964AF" w:rsidRPr="002C395A">
              <w:rPr>
                <w:rFonts w:eastAsia="Times New Roman" w:cs="Arial"/>
                <w:szCs w:val="24"/>
                <w:lang w:val="fr-FR" w:eastAsia="es-ES"/>
              </w:rPr>
              <w:t>2025</w:t>
            </w:r>
          </w:p>
          <w:p w14:paraId="0D24DB26" w14:textId="77777777" w:rsidR="004964AF" w:rsidRPr="00002A97" w:rsidRDefault="004964AF" w:rsidP="00ED6D8A">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59F7E66B" w14:textId="77777777" w:rsidR="004964AF" w:rsidRPr="000F4BDA" w:rsidRDefault="004964AF" w:rsidP="00ED6D8A">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164F77C2" w14:textId="77777777" w:rsidR="004964AF" w:rsidRPr="00002A97" w:rsidRDefault="004964AF" w:rsidP="00ED6D8A">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240F4B7F" w14:textId="77777777" w:rsidR="004964AF" w:rsidRPr="00002A97" w:rsidRDefault="004964AF" w:rsidP="004964AF">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79D01237" w14:textId="77777777" w:rsidR="004964AF" w:rsidRPr="00002A97" w:rsidRDefault="004964AF" w:rsidP="004964AF">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3E57B8F9" w14:textId="77777777" w:rsidR="004964AF" w:rsidRPr="00002A97" w:rsidRDefault="004964AF" w:rsidP="004964A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Pr="00002A97">
        <w:rPr>
          <w:rFonts w:eastAsia="Times New Roman" w:cs="Arial"/>
          <w:bCs/>
          <w:szCs w:val="24"/>
          <w:lang w:val="es-ES" w:eastAsia="es-ES"/>
        </w:rPr>
        <w:t xml:space="preserve"> 202</w:t>
      </w:r>
      <w:r>
        <w:rPr>
          <w:rFonts w:eastAsia="Times New Roman" w:cs="Arial"/>
          <w:bCs/>
          <w:szCs w:val="24"/>
          <w:lang w:val="es-ES" w:eastAsia="es-ES"/>
        </w:rPr>
        <w:t>6</w:t>
      </w:r>
    </w:p>
    <w:p w14:paraId="465FFF00" w14:textId="254EBA3D" w:rsidR="004964AF" w:rsidRPr="00002A97" w:rsidRDefault="004964AF" w:rsidP="004964AF">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1C3ABD">
        <w:rPr>
          <w:rFonts w:eastAsia="Times New Roman" w:cs="Arial"/>
          <w:szCs w:val="24"/>
          <w:lang w:val="es-ES" w:eastAsia="es-ES"/>
        </w:rPr>
        <w:t xml:space="preserve">31.2.4 </w:t>
      </w:r>
      <w:r w:rsidRPr="00002A97">
        <w:rPr>
          <w:rFonts w:eastAsia="Times New Roman" w:cs="Arial"/>
          <w:szCs w:val="24"/>
          <w:lang w:val="es-ES" w:eastAsia="es-ES"/>
        </w:rPr>
        <w:t>del orden del día</w:t>
      </w:r>
    </w:p>
    <w:bookmarkEnd w:id="0"/>
    <w:p w14:paraId="59D6FD3E" w14:textId="27BE196D" w:rsidR="00E87B52" w:rsidRPr="005522D4" w:rsidRDefault="00E87B52" w:rsidP="002E0DE9">
      <w:pPr>
        <w:widowControl w:val="0"/>
        <w:suppressAutoHyphens/>
        <w:autoSpaceDE w:val="0"/>
        <w:autoSpaceDN w:val="0"/>
        <w:spacing w:after="0" w:line="240" w:lineRule="auto"/>
        <w:textAlignment w:val="baseline"/>
        <w:rPr>
          <w:rFonts w:eastAsia="Times New Roman" w:cs="Arial"/>
          <w:lang w:val="es-ES"/>
        </w:rPr>
      </w:pPr>
    </w:p>
    <w:p w14:paraId="42E245A3" w14:textId="77777777" w:rsidR="00E87B52" w:rsidRPr="005522D4" w:rsidRDefault="00E87B52" w:rsidP="002E0DE9">
      <w:pPr>
        <w:widowControl w:val="0"/>
        <w:suppressAutoHyphens/>
        <w:autoSpaceDE w:val="0"/>
        <w:autoSpaceDN w:val="0"/>
        <w:spacing w:after="0" w:line="240" w:lineRule="auto"/>
        <w:textAlignment w:val="baseline"/>
        <w:rPr>
          <w:rFonts w:eastAsia="Times New Roman" w:cs="Arial"/>
          <w:lang w:val="es-ES"/>
        </w:rPr>
      </w:pPr>
    </w:p>
    <w:p w14:paraId="7415E9D9" w14:textId="149411C6" w:rsidR="00E87B52" w:rsidRPr="005522D4"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5522D4">
        <w:rPr>
          <w:rFonts w:eastAsia="Times New Roman" w:cs="Arial"/>
          <w:b/>
          <w:bCs/>
          <w:lang w:val="es-ES"/>
        </w:rPr>
        <w:t xml:space="preserve">INFORME SOBRE LA APLICACIÓN DE LA ACCIÓN CONCERTADA </w:t>
      </w:r>
    </w:p>
    <w:p w14:paraId="6255720E" w14:textId="584B80CA" w:rsidR="00E87B52" w:rsidRPr="005522D4"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Times New Roman"/>
          <w:lang w:val="es-ES"/>
        </w:rPr>
      </w:pPr>
      <w:r w:rsidRPr="005522D4">
        <w:rPr>
          <w:rFonts w:eastAsia="Times New Roman" w:cs="Arial"/>
          <w:b/>
          <w:bCs/>
          <w:lang w:val="es-ES"/>
        </w:rPr>
        <w:t>PARA EL LINCE EUROASIÁTICO (</w:t>
      </w:r>
      <w:r w:rsidR="00AE2C11" w:rsidRPr="005522D4">
        <w:rPr>
          <w:rFonts w:eastAsia="Calibri" w:cs="Arial"/>
          <w:b/>
          <w:i/>
          <w:lang w:val="es-ES"/>
        </w:rPr>
        <w:t>Lynx lynx</w:t>
      </w:r>
      <w:r w:rsidR="00AE2C11" w:rsidRPr="005522D4">
        <w:rPr>
          <w:rFonts w:eastAsia="Calibri" w:cs="Arial"/>
          <w:b/>
          <w:lang w:val="es-ES"/>
        </w:rPr>
        <w:t>)</w:t>
      </w:r>
      <w:r w:rsidR="001C3ABD">
        <w:rPr>
          <w:rFonts w:eastAsia="Calibri" w:cs="Arial"/>
          <w:b/>
          <w:lang w:val="es-ES"/>
        </w:rPr>
        <w:t>*</w:t>
      </w:r>
    </w:p>
    <w:p w14:paraId="04541202" w14:textId="77777777" w:rsidR="002E0DE9" w:rsidRPr="005522D4"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es-ES"/>
        </w:rPr>
      </w:pPr>
    </w:p>
    <w:p w14:paraId="2843937F" w14:textId="7C72020B" w:rsidR="002E0DE9" w:rsidRPr="005522D4"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437E2E87" w14:textId="0BDBB1D7" w:rsidR="002E0DE9" w:rsidRPr="005522D4" w:rsidRDefault="000B67EF" w:rsidP="002E0DE9">
      <w:pPr>
        <w:widowControl w:val="0"/>
        <w:suppressAutoHyphens/>
        <w:autoSpaceDE w:val="0"/>
        <w:autoSpaceDN w:val="0"/>
        <w:spacing w:after="0" w:line="240" w:lineRule="auto"/>
        <w:textAlignment w:val="baseline"/>
        <w:rPr>
          <w:rFonts w:ascii="Calibri" w:eastAsia="Calibri" w:hAnsi="Calibri" w:cs="Times New Roman"/>
          <w:lang w:val="es-ES"/>
        </w:rPr>
      </w:pPr>
      <w:r w:rsidRPr="005522D4">
        <w:rPr>
          <w:rFonts w:eastAsia="Times New Roman" w:cs="Arial"/>
          <w:noProof/>
          <w:sz w:val="21"/>
          <w:szCs w:val="21"/>
          <w:lang w:val="es-ES" w:eastAsia="es-ES"/>
        </w:rPr>
        <mc:AlternateContent>
          <mc:Choice Requires="wps">
            <w:drawing>
              <wp:anchor distT="0" distB="0" distL="114300" distR="114300" simplePos="0" relativeHeight="251657216" behindDoc="1" locked="0" layoutInCell="1" allowOverlap="1" wp14:anchorId="6AF39586" wp14:editId="3BE10E18">
                <wp:simplePos x="0" y="0"/>
                <wp:positionH relativeFrom="margin">
                  <wp:posOffset>931294</wp:posOffset>
                </wp:positionH>
                <wp:positionV relativeFrom="margin">
                  <wp:posOffset>2610209</wp:posOffset>
                </wp:positionV>
                <wp:extent cx="4304665" cy="1403350"/>
                <wp:effectExtent l="0" t="0" r="19685" b="25400"/>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403350"/>
                        </a:xfrm>
                        <a:prstGeom prst="rect">
                          <a:avLst/>
                        </a:prstGeom>
                        <a:solidFill>
                          <a:srgbClr val="FFFFFF"/>
                        </a:solidFill>
                        <a:ln w="3172">
                          <a:solidFill>
                            <a:srgbClr val="000000"/>
                          </a:solidFill>
                          <a:prstDash val="solid"/>
                        </a:ln>
                      </wps:spPr>
                      <wps:txbx>
                        <w:txbxContent>
                          <w:p w14:paraId="361301A9" w14:textId="77777777" w:rsidR="002E0DE9" w:rsidRPr="00E167BD" w:rsidRDefault="002E0DE9" w:rsidP="000B67EF">
                            <w:pPr>
                              <w:spacing w:after="0" w:line="240" w:lineRule="auto"/>
                              <w:jc w:val="both"/>
                              <w:rPr>
                                <w:rFonts w:cs="Arial"/>
                                <w:lang w:val="es-ES"/>
                              </w:rPr>
                            </w:pPr>
                            <w:r w:rsidRPr="00E167BD">
                              <w:rPr>
                                <w:rFonts w:cs="Arial"/>
                                <w:lang w:val="es-ES"/>
                              </w:rPr>
                              <w:t>Resumen:</w:t>
                            </w:r>
                          </w:p>
                          <w:p w14:paraId="12338272" w14:textId="097C4F46" w:rsidR="002E0DE9" w:rsidRPr="00E167BD" w:rsidRDefault="002E0DE9" w:rsidP="000B67EF">
                            <w:pPr>
                              <w:spacing w:after="0" w:line="240" w:lineRule="auto"/>
                              <w:jc w:val="both"/>
                              <w:rPr>
                                <w:rFonts w:cs="Arial"/>
                                <w:lang w:val="es-ES"/>
                              </w:rPr>
                            </w:pPr>
                          </w:p>
                          <w:p w14:paraId="00F9E8DB" w14:textId="308A435B" w:rsidR="00E87B52" w:rsidRPr="00E167BD" w:rsidRDefault="00E87B52" w:rsidP="000B67EF">
                            <w:pPr>
                              <w:spacing w:after="0" w:line="240" w:lineRule="auto"/>
                              <w:jc w:val="both"/>
                              <w:rPr>
                                <w:rFonts w:cs="Arial"/>
                                <w:lang w:val="es-ES"/>
                              </w:rPr>
                            </w:pPr>
                            <w:r w:rsidRPr="005522D4">
                              <w:rPr>
                                <w:rFonts w:eastAsia="Times New Roman" w:cs="Arial"/>
                                <w:lang w:val="es-ES"/>
                              </w:rPr>
                              <w:t>El Grupo de Especialistas en Felinos de la CSE de la UICN y la Secretaría del Convenio de los Cárpatos han presentado el informe adjunto sobre la aplicación de la Acción Concertada para el lince euroasiático (</w:t>
                            </w:r>
                            <w:r w:rsidR="00AE2C11" w:rsidRPr="005522D4">
                              <w:rPr>
                                <w:rFonts w:eastAsia="Times New Roman" w:cs="Arial"/>
                                <w:i/>
                                <w:lang w:val="es-ES"/>
                              </w:rPr>
                              <w:t>Lynx lynx</w:t>
                            </w:r>
                            <w:r w:rsidRPr="005522D4">
                              <w:rPr>
                                <w:rFonts w:eastAsia="Times New Roman" w:cs="Arial"/>
                                <w:lang w:val="es-ES"/>
                              </w:rPr>
                              <w:t>), UNEP/CMS/Acción Concertada 14.4, aprobada por la Conferencia de las Partes en su 14.</w:t>
                            </w:r>
                            <w:r w:rsidR="001E63B0" w:rsidRPr="005522D4">
                              <w:rPr>
                                <w:rFonts w:eastAsia="Times New Roman" w:cs="Arial"/>
                                <w:vertAlign w:val="superscript"/>
                                <w:lang w:val="es-ES"/>
                              </w:rPr>
                              <w:t>a</w:t>
                            </w:r>
                            <w:r w:rsidRPr="005522D4">
                              <w:rPr>
                                <w:rFonts w:eastAsia="Times New Roman" w:cs="Arial"/>
                                <w:lang w:val="es-ES"/>
                              </w:rPr>
                              <w:t xml:space="preserve"> reunión (febrero de 2024).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margin-left:73.35pt;margin-top:205.55pt;width:338.95pt;height:110.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" strokeweight=".08811mm">
                <v:textbox>
                  <w:txbxContent>
                    <w:p w14:paraId="361301A9" w14:textId="77777777" w:rsidR="002E0DE9" w:rsidRPr="00E167BD" w:rsidRDefault="002E0DE9" w:rsidP="000B67EF">
                      <w:pPr>
                        <w:spacing w:after="0" w:line="240" w:lineRule="auto"/>
                        <w:jc w:val="both"/>
                        <w:rPr>
                          <w:rFonts w:cs="Arial"/>
                          <w:lang w:val="es-ES"/>
                        </w:rPr>
                      </w:pPr>
                      <w:r w:rsidRPr="00E167BD">
                        <w:rPr>
                          <w:rFonts w:cs="Arial"/>
                          <w:lang w:val="es-ES"/>
                        </w:rPr>
                        <w:t>Resumen:</w:t>
                      </w:r>
                    </w:p>
                    <w:p w14:paraId="12338272" w14:textId="097C4F46" w:rsidR="002E0DE9" w:rsidRPr="00E167BD" w:rsidRDefault="002E0DE9" w:rsidP="000B67EF">
                      <w:pPr>
                        <w:spacing w:after="0" w:line="240" w:lineRule="auto"/>
                        <w:jc w:val="both"/>
                        <w:rPr>
                          <w:rFonts w:cs="Arial"/>
                          <w:lang w:val="es-ES"/>
                        </w:rPr>
                      </w:pPr>
                    </w:p>
                    <w:p w14:paraId="00F9E8DB" w14:textId="308A435B" w:rsidR="00E87B52" w:rsidRPr="00E167BD" w:rsidRDefault="00E87B52" w:rsidP="000B67EF">
                      <w:pPr>
                        <w:spacing w:after="0" w:line="240" w:lineRule="auto"/>
                        <w:jc w:val="both"/>
                        <w:rPr>
                          <w:rFonts w:cs="Arial"/>
                          <w:lang w:val="es-ES"/>
                        </w:rPr>
                      </w:pPr>
                      <w:r w:rsidRPr="005522D4">
                        <w:rPr>
                          <w:rFonts w:eastAsia="Times New Roman" w:cs="Arial"/>
                          <w:lang w:val="es-ES"/>
                        </w:rPr>
                        <w:t>El Grupo de Especialistas en Felinos de la CSE de la UICN y la Secretaría del Convenio de los Cárpatos han presentado el informe adjunto sobre la aplicación de la Acción Concertada para el lince euroasiático (</w:t>
                      </w:r>
                      <w:r w:rsidR="00AE2C11" w:rsidRPr="005522D4">
                        <w:rPr>
                          <w:rFonts w:eastAsia="Times New Roman" w:cs="Arial"/>
                          <w:i/>
                          <w:lang w:val="es-ES"/>
                        </w:rPr>
                        <w:t>Lynx lynx</w:t>
                      </w:r>
                      <w:r w:rsidRPr="005522D4">
                        <w:rPr>
                          <w:rFonts w:eastAsia="Times New Roman" w:cs="Arial"/>
                          <w:lang w:val="es-ES"/>
                        </w:rPr>
                        <w:t>), UNEP/CMS/Acción Concertada 14.4, aprobada por la Conferencia de las Partes en su 14.</w:t>
                      </w:r>
                      <w:r w:rsidR="001E63B0" w:rsidRPr="005522D4">
                        <w:rPr>
                          <w:rFonts w:eastAsia="Times New Roman" w:cs="Arial"/>
                          <w:vertAlign w:val="superscript"/>
                          <w:lang w:val="es-ES"/>
                        </w:rPr>
                        <w:t>a</w:t>
                      </w:r>
                      <w:r w:rsidRPr="005522D4">
                        <w:rPr>
                          <w:rFonts w:eastAsia="Times New Roman" w:cs="Arial"/>
                          <w:lang w:val="es-ES"/>
                        </w:rPr>
                        <w:t xml:space="preserve"> reunión (febrero de 2024).</w:t>
                      </w:r>
                    </w:p>
                  </w:txbxContent>
                </v:textbox>
                <w10:wrap type="square" anchorx="margin" anchory="margin"/>
              </v:shape>
            </w:pict>
          </mc:Fallback>
        </mc:AlternateContent>
      </w:r>
    </w:p>
    <w:p w14:paraId="5ACBBE25" w14:textId="2A2E4929" w:rsidR="002E0DE9" w:rsidRPr="005522D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227B60E9" w14:textId="584C9D0D" w:rsidR="002E0DE9" w:rsidRPr="005522D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72417F8B" w14:textId="178A5E2A" w:rsidR="002E0DE9" w:rsidRPr="005522D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5C6DA7A" w14:textId="20592102" w:rsidR="002E0DE9" w:rsidRPr="005522D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48B85236" w14:textId="0D12232A" w:rsidR="002E0DE9" w:rsidRPr="005522D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236BDED" w14:textId="7A9567A9" w:rsidR="002E0DE9" w:rsidRPr="005522D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92124E8" w14:textId="4BD358EC" w:rsidR="002E0DE9" w:rsidRPr="005522D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3791C321" w14:textId="77777777" w:rsidR="002E0DE9" w:rsidRPr="005522D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DF7A393" w14:textId="77777777" w:rsidR="002E0DE9" w:rsidRPr="005522D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04B2F65" w14:textId="77777777" w:rsidR="002E0DE9" w:rsidRPr="005522D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F660C3B" w14:textId="77777777" w:rsidR="002E0DE9" w:rsidRPr="005522D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38F02BC5" w14:textId="77777777" w:rsidR="002E0DE9" w:rsidRPr="005522D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70CBF39D" w14:textId="77777777" w:rsidR="002E0DE9" w:rsidRPr="005522D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B4DC013" w14:textId="77777777" w:rsidR="002E0DE9" w:rsidRPr="005522D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0CE846C" w14:textId="77777777" w:rsidR="002E0DE9" w:rsidRPr="005522D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1DBB162D" w14:textId="77777777" w:rsidR="002E0DE9" w:rsidRPr="005522D4"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2D4E8840" w14:textId="77777777" w:rsidR="002E0DE9" w:rsidRPr="005522D4"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38CDD92A" w14:textId="77777777" w:rsidR="002E0DE9" w:rsidRPr="005522D4" w:rsidRDefault="002E0DE9" w:rsidP="002E0DE9">
      <w:pPr>
        <w:widowControl w:val="0"/>
        <w:suppressAutoHyphens/>
        <w:autoSpaceDE w:val="0"/>
        <w:autoSpaceDN w:val="0"/>
        <w:spacing w:after="0" w:line="240" w:lineRule="auto"/>
        <w:textAlignment w:val="baseline"/>
        <w:rPr>
          <w:rFonts w:eastAsia="Times New Roman" w:cs="Arial"/>
          <w:lang w:val="es-ES"/>
        </w:rPr>
      </w:pPr>
    </w:p>
    <w:p w14:paraId="4C10F8E6" w14:textId="77777777" w:rsidR="002E0DE9" w:rsidRPr="005522D4" w:rsidRDefault="002E0DE9" w:rsidP="002E0DE9">
      <w:pPr>
        <w:widowControl w:val="0"/>
        <w:suppressAutoHyphens/>
        <w:autoSpaceDE w:val="0"/>
        <w:autoSpaceDN w:val="0"/>
        <w:spacing w:after="0" w:line="240" w:lineRule="auto"/>
        <w:textAlignment w:val="baseline"/>
        <w:rPr>
          <w:rFonts w:eastAsia="Times New Roman" w:cs="Arial"/>
          <w:lang w:val="es-ES"/>
        </w:rPr>
      </w:pPr>
    </w:p>
    <w:p w14:paraId="422964D3" w14:textId="77777777" w:rsidR="005330F7" w:rsidRPr="005522D4" w:rsidRDefault="005330F7" w:rsidP="002E0DE9">
      <w:pPr>
        <w:spacing w:after="0" w:line="240" w:lineRule="auto"/>
        <w:rPr>
          <w:lang w:val="es-ES"/>
        </w:rPr>
      </w:pPr>
    </w:p>
    <w:p w14:paraId="490DC140" w14:textId="77777777" w:rsidR="002E0DE9" w:rsidRPr="005522D4" w:rsidRDefault="002E0DE9" w:rsidP="002E0DE9">
      <w:pPr>
        <w:spacing w:after="0" w:line="240" w:lineRule="auto"/>
        <w:rPr>
          <w:lang w:val="es-ES"/>
        </w:rPr>
      </w:pPr>
    </w:p>
    <w:p w14:paraId="2FBBA2D8" w14:textId="77777777" w:rsidR="002E0DE9" w:rsidRPr="005522D4" w:rsidRDefault="002E0DE9" w:rsidP="002E0DE9">
      <w:pPr>
        <w:spacing w:after="0" w:line="240" w:lineRule="auto"/>
        <w:rPr>
          <w:lang w:val="es-ES"/>
        </w:rPr>
      </w:pPr>
    </w:p>
    <w:p w14:paraId="4C631634" w14:textId="77777777" w:rsidR="002E0DE9" w:rsidRPr="005522D4" w:rsidRDefault="002E0DE9" w:rsidP="002E0DE9">
      <w:pPr>
        <w:spacing w:after="0" w:line="240" w:lineRule="auto"/>
        <w:rPr>
          <w:lang w:val="es-ES"/>
        </w:rPr>
      </w:pPr>
    </w:p>
    <w:p w14:paraId="1057ABA6" w14:textId="77777777" w:rsidR="002E0DE9" w:rsidRPr="005522D4" w:rsidRDefault="002E0DE9" w:rsidP="002E0DE9">
      <w:pPr>
        <w:spacing w:after="0" w:line="240" w:lineRule="auto"/>
        <w:rPr>
          <w:lang w:val="es-ES"/>
        </w:rPr>
      </w:pPr>
    </w:p>
    <w:p w14:paraId="0E60C238" w14:textId="77777777" w:rsidR="002E0DE9" w:rsidRPr="005522D4" w:rsidRDefault="002E0DE9" w:rsidP="002E0DE9">
      <w:pPr>
        <w:spacing w:after="0" w:line="240" w:lineRule="auto"/>
        <w:rPr>
          <w:lang w:val="es-ES"/>
        </w:rPr>
      </w:pPr>
    </w:p>
    <w:p w14:paraId="310799B0" w14:textId="77777777" w:rsidR="002E0DE9" w:rsidRPr="005522D4" w:rsidRDefault="002E0DE9" w:rsidP="002E0DE9">
      <w:pPr>
        <w:spacing w:after="0" w:line="240" w:lineRule="auto"/>
        <w:rPr>
          <w:lang w:val="es-ES"/>
        </w:rPr>
      </w:pPr>
    </w:p>
    <w:p w14:paraId="4392ADC2" w14:textId="77777777" w:rsidR="000B67EF" w:rsidRPr="005522D4" w:rsidRDefault="000B67EF" w:rsidP="002E0DE9">
      <w:pPr>
        <w:spacing w:after="0" w:line="240" w:lineRule="auto"/>
        <w:rPr>
          <w:lang w:val="es-ES"/>
        </w:rPr>
      </w:pPr>
    </w:p>
    <w:p w14:paraId="1B6FBAEC" w14:textId="77777777" w:rsidR="000B67EF" w:rsidRPr="005522D4" w:rsidRDefault="000B67EF" w:rsidP="002E0DE9">
      <w:pPr>
        <w:spacing w:after="0" w:line="240" w:lineRule="auto"/>
        <w:rPr>
          <w:lang w:val="es-ES"/>
        </w:rPr>
      </w:pPr>
    </w:p>
    <w:p w14:paraId="6CBFCD68" w14:textId="77777777" w:rsidR="000B67EF" w:rsidRPr="005522D4" w:rsidRDefault="000B67EF" w:rsidP="002E0DE9">
      <w:pPr>
        <w:spacing w:after="0" w:line="240" w:lineRule="auto"/>
        <w:rPr>
          <w:lang w:val="es-ES"/>
        </w:rPr>
      </w:pPr>
    </w:p>
    <w:p w14:paraId="1EA45956" w14:textId="77777777" w:rsidR="000B67EF" w:rsidRPr="005522D4" w:rsidRDefault="000B67EF" w:rsidP="002E0DE9">
      <w:pPr>
        <w:spacing w:after="0" w:line="240" w:lineRule="auto"/>
        <w:rPr>
          <w:lang w:val="es-ES"/>
        </w:rPr>
      </w:pPr>
    </w:p>
    <w:p w14:paraId="0DD5483B" w14:textId="77777777" w:rsidR="000B67EF" w:rsidRPr="005522D4" w:rsidRDefault="000B67EF" w:rsidP="002E0DE9">
      <w:pPr>
        <w:spacing w:after="0" w:line="240" w:lineRule="auto"/>
        <w:rPr>
          <w:lang w:val="es-ES"/>
        </w:rPr>
      </w:pPr>
    </w:p>
    <w:p w14:paraId="30F6B0FB" w14:textId="77777777" w:rsidR="000B67EF" w:rsidRPr="005522D4" w:rsidRDefault="000B67EF" w:rsidP="002E0DE9">
      <w:pPr>
        <w:spacing w:after="0" w:line="240" w:lineRule="auto"/>
        <w:rPr>
          <w:lang w:val="es-ES"/>
        </w:rPr>
      </w:pPr>
    </w:p>
    <w:p w14:paraId="5771739B" w14:textId="77777777" w:rsidR="000B67EF" w:rsidRPr="005522D4" w:rsidRDefault="000B67EF" w:rsidP="002E0DE9">
      <w:pPr>
        <w:spacing w:after="0" w:line="240" w:lineRule="auto"/>
        <w:rPr>
          <w:lang w:val="es-ES"/>
        </w:rPr>
      </w:pPr>
    </w:p>
    <w:p w14:paraId="0BEBE948" w14:textId="77777777" w:rsidR="000B67EF" w:rsidRPr="005522D4" w:rsidRDefault="000B67EF" w:rsidP="002E0DE9">
      <w:pPr>
        <w:spacing w:after="0" w:line="240" w:lineRule="auto"/>
        <w:rPr>
          <w:lang w:val="es-ES"/>
        </w:rPr>
      </w:pPr>
    </w:p>
    <w:p w14:paraId="4D803244" w14:textId="77777777" w:rsidR="000B67EF" w:rsidRPr="005522D4" w:rsidRDefault="000B67EF" w:rsidP="002E0DE9">
      <w:pPr>
        <w:spacing w:after="0" w:line="240" w:lineRule="auto"/>
        <w:rPr>
          <w:lang w:val="es-ES"/>
        </w:rPr>
      </w:pPr>
    </w:p>
    <w:p w14:paraId="38A8BEE2" w14:textId="5C114FBD" w:rsidR="0061131F" w:rsidRPr="00956BE9" w:rsidRDefault="00956BE9" w:rsidP="00E87B52">
      <w:pPr>
        <w:widowControl w:val="0"/>
        <w:suppressAutoHyphens/>
        <w:autoSpaceDE w:val="0"/>
        <w:autoSpaceDN w:val="0"/>
        <w:spacing w:after="0" w:line="240" w:lineRule="auto"/>
        <w:jc w:val="both"/>
        <w:textAlignment w:val="baseline"/>
        <w:rPr>
          <w:rFonts w:eastAsia="Times New Roman" w:cs="Arial"/>
          <w:sz w:val="18"/>
          <w:szCs w:val="18"/>
          <w:lang w:val="es-ES"/>
        </w:rPr>
      </w:pPr>
      <w:r w:rsidRPr="00830C68">
        <w:rPr>
          <w:rFonts w:eastAsia="Times New Roman"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Pr>
          <w:rFonts w:eastAsia="Times New Roman" w:cs="Arial"/>
          <w:sz w:val="18"/>
          <w:szCs w:val="18"/>
          <w:lang w:val="es-ES"/>
        </w:rPr>
        <w:t>.</w:t>
      </w:r>
    </w:p>
    <w:p w14:paraId="2DABE7E2" w14:textId="77777777" w:rsidR="0061131F" w:rsidRPr="00956BE9" w:rsidRDefault="0061131F" w:rsidP="00E87B52">
      <w:pPr>
        <w:widowControl w:val="0"/>
        <w:suppressAutoHyphens/>
        <w:autoSpaceDE w:val="0"/>
        <w:autoSpaceDN w:val="0"/>
        <w:spacing w:after="0" w:line="240" w:lineRule="auto"/>
        <w:jc w:val="both"/>
        <w:textAlignment w:val="baseline"/>
        <w:rPr>
          <w:rFonts w:eastAsia="Calibri" w:cs="Times New Roman"/>
          <w:lang w:val="es-ES"/>
        </w:rPr>
        <w:sectPr w:rsidR="0061131F" w:rsidRPr="00956BE9" w:rsidSect="0061131F">
          <w:headerReference w:type="default" r:id="rId12"/>
          <w:footerReference w:type="default" r:id="rId13"/>
          <w:headerReference w:type="first" r:id="rId14"/>
          <w:footerReference w:type="first" r:id="rId15"/>
          <w:endnotePr>
            <w:numFmt w:val="decimal"/>
          </w:endnotePr>
          <w:type w:val="continuous"/>
          <w:pgSz w:w="11905" w:h="16837" w:code="9"/>
          <w:pgMar w:top="1440" w:right="1440" w:bottom="1440" w:left="1440" w:header="432" w:footer="432" w:gutter="0"/>
          <w:cols w:space="720"/>
          <w:titlePg/>
        </w:sectPr>
      </w:pPr>
    </w:p>
    <w:p w14:paraId="18E80D6D" w14:textId="78EFB14B" w:rsidR="00E87B52" w:rsidRPr="005522D4"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5522D4">
        <w:rPr>
          <w:rFonts w:eastAsia="Times New Roman" w:cs="Arial"/>
          <w:b/>
          <w:bCs/>
          <w:lang w:val="es-ES"/>
        </w:rPr>
        <w:lastRenderedPageBreak/>
        <w:t xml:space="preserve">INFORME SOBRE LA APLICACIÓN DE LA ACCIÓN CONCERTADA </w:t>
      </w:r>
    </w:p>
    <w:p w14:paraId="1957D9D4" w14:textId="3262575D" w:rsidR="00E87B52" w:rsidRPr="005522D4" w:rsidRDefault="00E87B52" w:rsidP="00AC06A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lang w:val="es-ES"/>
        </w:rPr>
      </w:pPr>
      <w:r w:rsidRPr="005522D4">
        <w:rPr>
          <w:rFonts w:eastAsia="Times New Roman" w:cs="Arial"/>
          <w:b/>
          <w:bCs/>
          <w:lang w:val="es-ES"/>
        </w:rPr>
        <w:t>PARA EL LINCE EUROASIÁTICO (</w:t>
      </w:r>
      <w:r w:rsidR="001E63B0" w:rsidRPr="005522D4">
        <w:rPr>
          <w:rFonts w:eastAsia="Times New Roman" w:cs="Arial"/>
          <w:b/>
          <w:i/>
          <w:lang w:val="es-ES"/>
        </w:rPr>
        <w:t>Lynx lynx</w:t>
      </w:r>
      <w:r w:rsidR="001E63B0" w:rsidRPr="005522D4">
        <w:rPr>
          <w:rFonts w:eastAsia="Times New Roman" w:cs="Arial"/>
          <w:b/>
          <w:lang w:val="es-ES"/>
        </w:rPr>
        <w:t>)</w:t>
      </w:r>
    </w:p>
    <w:p w14:paraId="5A4C5B94" w14:textId="077664D3" w:rsidR="00E87B52" w:rsidRPr="005522D4" w:rsidRDefault="00E87B52" w:rsidP="00E87B52">
      <w:pPr>
        <w:suppressAutoHyphens/>
        <w:autoSpaceDN w:val="0"/>
        <w:spacing w:after="120" w:line="240" w:lineRule="auto"/>
        <w:jc w:val="center"/>
        <w:textAlignment w:val="baseline"/>
        <w:rPr>
          <w:rFonts w:eastAsia="Calibri" w:cs="Arial"/>
          <w:lang w:val="es-ES"/>
        </w:rPr>
      </w:pPr>
      <w:r w:rsidRPr="005522D4">
        <w:rPr>
          <w:rFonts w:eastAsia="Calibri" w:cs="Arial"/>
          <w:lang w:val="es-ES"/>
        </w:rPr>
        <w:t>UNEP/CMS/ ACCIÓN CONCERTADA 14.4</w:t>
      </w:r>
    </w:p>
    <w:p w14:paraId="3E621422" w14:textId="77777777" w:rsidR="00E87B52" w:rsidRPr="005522D4" w:rsidRDefault="00E87B52" w:rsidP="00E87B52">
      <w:pPr>
        <w:suppressAutoHyphens/>
        <w:autoSpaceDN w:val="0"/>
        <w:spacing w:after="0" w:line="240" w:lineRule="auto"/>
        <w:textAlignment w:val="baseline"/>
        <w:rPr>
          <w:rFonts w:eastAsia="Calibri" w:cs="Arial"/>
          <w:lang w:val="es-ES"/>
        </w:rPr>
      </w:pPr>
    </w:p>
    <w:p w14:paraId="53AB2E3F" w14:textId="77777777" w:rsidR="00E87B52" w:rsidRPr="005522D4" w:rsidRDefault="00E87B52" w:rsidP="000B67EF">
      <w:pPr>
        <w:suppressAutoHyphens/>
        <w:autoSpaceDN w:val="0"/>
        <w:spacing w:after="0" w:line="240" w:lineRule="auto"/>
        <w:jc w:val="both"/>
        <w:textAlignment w:val="baseline"/>
        <w:rPr>
          <w:rFonts w:eastAsia="Calibri" w:cs="Arial"/>
          <w:lang w:val="es-ES"/>
        </w:rPr>
      </w:pPr>
    </w:p>
    <w:p w14:paraId="42B16DFE" w14:textId="77777777" w:rsidR="00F55BC2" w:rsidRPr="005522D4" w:rsidRDefault="00E87B52" w:rsidP="000B67EF">
      <w:pPr>
        <w:spacing w:after="0" w:line="240" w:lineRule="auto"/>
        <w:jc w:val="both"/>
        <w:rPr>
          <w:rFonts w:eastAsia="Calibri" w:cs="Arial"/>
          <w:b/>
          <w:bCs/>
          <w:lang w:val="es-ES"/>
        </w:rPr>
      </w:pPr>
      <w:r w:rsidRPr="005522D4">
        <w:rPr>
          <w:rFonts w:eastAsia="Calibri" w:cs="Arial"/>
          <w:b/>
          <w:bCs/>
          <w:lang w:val="es-ES"/>
        </w:rPr>
        <w:t>ACCIÓN CONCERTADA</w:t>
      </w:r>
    </w:p>
    <w:p w14:paraId="691A152E" w14:textId="6A4F2C94" w:rsidR="00E87B52" w:rsidRPr="005522D4" w:rsidRDefault="00E87B52" w:rsidP="000B67EF">
      <w:pPr>
        <w:spacing w:after="0" w:line="240" w:lineRule="auto"/>
        <w:jc w:val="both"/>
        <w:rPr>
          <w:rFonts w:eastAsia="Calibri" w:cs="Arial"/>
          <w:lang w:val="es-ES"/>
        </w:rPr>
      </w:pPr>
    </w:p>
    <w:p w14:paraId="28AB6DF0" w14:textId="7F3E4A45" w:rsidR="00E87B52" w:rsidRPr="005522D4" w:rsidRDefault="00E87B52" w:rsidP="000B67EF">
      <w:pPr>
        <w:suppressAutoHyphens/>
        <w:autoSpaceDN w:val="0"/>
        <w:spacing w:after="0" w:line="240" w:lineRule="auto"/>
        <w:jc w:val="both"/>
        <w:textAlignment w:val="baseline"/>
        <w:rPr>
          <w:rFonts w:eastAsia="Calibri" w:cs="Arial"/>
          <w:lang w:val="es-ES"/>
        </w:rPr>
      </w:pPr>
      <w:r w:rsidRPr="005522D4">
        <w:rPr>
          <w:rFonts w:eastAsia="Calibri" w:cs="Arial"/>
          <w:lang w:val="es-ES"/>
        </w:rPr>
        <w:t>Título: ACCIÓN CONCERTADA PARA EL LINCE EURASIÁTICO (</w:t>
      </w:r>
      <w:r w:rsidR="001E63B0" w:rsidRPr="005522D4">
        <w:rPr>
          <w:rFonts w:cs="Arial"/>
          <w:bCs/>
          <w:i/>
          <w:iCs/>
          <w:lang w:val="es-ES"/>
        </w:rPr>
        <w:t>Lynx lynx</w:t>
      </w:r>
      <w:r w:rsidR="001E63B0" w:rsidRPr="005522D4">
        <w:rPr>
          <w:rFonts w:cs="Arial"/>
          <w:bCs/>
          <w:lang w:val="es-ES"/>
        </w:rPr>
        <w:t>)</w:t>
      </w:r>
    </w:p>
    <w:p w14:paraId="37815350" w14:textId="77777777" w:rsidR="00F55BC2" w:rsidRPr="005522D4" w:rsidRDefault="00F55BC2" w:rsidP="000B67EF">
      <w:pPr>
        <w:suppressAutoHyphens/>
        <w:autoSpaceDN w:val="0"/>
        <w:spacing w:after="0" w:line="240" w:lineRule="auto"/>
        <w:jc w:val="both"/>
        <w:textAlignment w:val="baseline"/>
        <w:rPr>
          <w:rFonts w:eastAsia="Calibri" w:cs="Arial"/>
          <w:lang w:val="es-ES"/>
        </w:rPr>
      </w:pPr>
    </w:p>
    <w:p w14:paraId="53A55D10" w14:textId="0E3AD570" w:rsidR="00E87B52" w:rsidRPr="005522D4" w:rsidRDefault="00E87B52" w:rsidP="000B67EF">
      <w:pPr>
        <w:suppressAutoHyphens/>
        <w:autoSpaceDN w:val="0"/>
        <w:spacing w:after="0" w:line="240" w:lineRule="auto"/>
        <w:jc w:val="both"/>
        <w:textAlignment w:val="baseline"/>
        <w:rPr>
          <w:rFonts w:eastAsia="Calibri" w:cs="Arial"/>
          <w:bCs/>
          <w:i/>
          <w:lang w:val="es-ES"/>
        </w:rPr>
      </w:pPr>
      <w:r w:rsidRPr="005522D4">
        <w:rPr>
          <w:rFonts w:eastAsia="Calibri" w:cs="Arial"/>
          <w:lang w:val="es-ES"/>
        </w:rPr>
        <w:t>Número de documento:</w:t>
      </w:r>
      <w:r w:rsidRPr="005522D4">
        <w:rPr>
          <w:rFonts w:eastAsia="Calibri" w:cs="Arial"/>
          <w:i/>
          <w:lang w:val="es-ES"/>
        </w:rPr>
        <w:t xml:space="preserve"> </w:t>
      </w:r>
      <w:r w:rsidR="001E63B0" w:rsidRPr="005522D4">
        <w:rPr>
          <w:rFonts w:cs="Arial"/>
          <w:bCs/>
          <w:color w:val="333333"/>
          <w:shd w:val="clear" w:color="auto" w:fill="FFFFFF"/>
          <w:lang w:val="es-ES"/>
        </w:rPr>
        <w:t>Acción Concertada 14.4</w:t>
      </w:r>
    </w:p>
    <w:p w14:paraId="69B72493" w14:textId="77777777" w:rsidR="00E87B52" w:rsidRPr="005522D4" w:rsidRDefault="00E87B52" w:rsidP="000B67EF">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4909DAC0" w14:textId="77777777" w:rsidR="00A42BBC" w:rsidRPr="005522D4" w:rsidRDefault="00A42BBC" w:rsidP="000B67EF">
      <w:pPr>
        <w:spacing w:after="0" w:line="240" w:lineRule="auto"/>
        <w:jc w:val="both"/>
        <w:rPr>
          <w:rFonts w:eastAsia="Calibri" w:cs="Arial"/>
          <w:b/>
          <w:bCs/>
          <w:lang w:val="es-ES"/>
        </w:rPr>
      </w:pPr>
      <w:bookmarkStart w:id="2" w:name="_Hlk210855174"/>
      <w:r w:rsidRPr="005522D4">
        <w:rPr>
          <w:rFonts w:eastAsia="Calibri" w:cs="Arial"/>
          <w:b/>
          <w:bCs/>
          <w:lang w:val="es-ES"/>
        </w:rPr>
        <w:t>ORGANIZACIONES QUE PRESENTAN INFORMES</w:t>
      </w:r>
    </w:p>
    <w:p w14:paraId="1E472056" w14:textId="77777777" w:rsidR="000B67EF" w:rsidRPr="005522D4" w:rsidRDefault="000B67EF" w:rsidP="000B67EF">
      <w:pPr>
        <w:spacing w:after="0" w:line="240" w:lineRule="auto"/>
        <w:jc w:val="both"/>
        <w:rPr>
          <w:rFonts w:cs="Arial"/>
          <w:lang w:val="es-ES"/>
        </w:rPr>
      </w:pPr>
    </w:p>
    <w:p w14:paraId="32030AAC" w14:textId="05B8D16E" w:rsidR="00E87B52" w:rsidRPr="005522D4" w:rsidRDefault="001E63B0" w:rsidP="000B67EF">
      <w:pPr>
        <w:spacing w:after="0" w:line="240" w:lineRule="auto"/>
        <w:jc w:val="both"/>
        <w:rPr>
          <w:rFonts w:eastAsia="Calibri" w:cs="Arial"/>
          <w:lang w:val="es-ES"/>
        </w:rPr>
      </w:pPr>
      <w:r w:rsidRPr="005522D4">
        <w:rPr>
          <w:rFonts w:cs="Arial"/>
          <w:lang w:val="es-ES"/>
        </w:rPr>
        <w:t>La CSE de la UICN (Grupo de Especialistas en Felinos) y la Secretaría del Convenio de los Cárpatos</w:t>
      </w:r>
      <w:bookmarkEnd w:id="2"/>
    </w:p>
    <w:p w14:paraId="6CE89C4F" w14:textId="77777777" w:rsidR="00F55BC2" w:rsidRPr="005522D4" w:rsidRDefault="00F55BC2" w:rsidP="000B67EF">
      <w:pPr>
        <w:spacing w:after="0" w:line="240" w:lineRule="auto"/>
        <w:jc w:val="both"/>
        <w:rPr>
          <w:rFonts w:eastAsia="Calibri" w:cs="Arial"/>
          <w:lang w:val="es-ES"/>
        </w:rPr>
      </w:pPr>
    </w:p>
    <w:p w14:paraId="59300FCD" w14:textId="32C17DF5" w:rsidR="00E87B52" w:rsidRPr="005522D4" w:rsidRDefault="00E87B52" w:rsidP="000B67EF">
      <w:pPr>
        <w:spacing w:after="0" w:line="240" w:lineRule="auto"/>
        <w:jc w:val="both"/>
        <w:rPr>
          <w:rFonts w:eastAsia="Calibri" w:cs="Arial"/>
          <w:b/>
          <w:bCs/>
          <w:lang w:val="es-ES"/>
        </w:rPr>
      </w:pPr>
      <w:r w:rsidRPr="005522D4">
        <w:rPr>
          <w:rFonts w:eastAsia="Calibri" w:cs="Arial"/>
          <w:b/>
          <w:bCs/>
          <w:lang w:val="es-ES"/>
        </w:rPr>
        <w:t>ESPECIES/POBLACIÓN OBJETIVO</w:t>
      </w:r>
    </w:p>
    <w:p w14:paraId="6F203478" w14:textId="77777777" w:rsidR="00AC06A1" w:rsidRPr="005522D4" w:rsidRDefault="00AC06A1" w:rsidP="000B67EF">
      <w:pPr>
        <w:spacing w:after="0" w:line="240" w:lineRule="auto"/>
        <w:ind w:left="540"/>
        <w:jc w:val="both"/>
        <w:rPr>
          <w:rFonts w:eastAsia="Calibri" w:cs="Arial"/>
          <w:lang w:val="es-ES"/>
        </w:rPr>
      </w:pPr>
    </w:p>
    <w:p w14:paraId="23DB13DA" w14:textId="7C906E4E" w:rsidR="00E87B52" w:rsidRPr="005522D4" w:rsidRDefault="00E87B52" w:rsidP="000B67EF">
      <w:pPr>
        <w:suppressAutoHyphens/>
        <w:autoSpaceDN w:val="0"/>
        <w:spacing w:after="80" w:line="240" w:lineRule="auto"/>
        <w:jc w:val="both"/>
        <w:textAlignment w:val="baseline"/>
        <w:rPr>
          <w:rFonts w:eastAsia="Calibri" w:cs="Arial"/>
          <w:lang w:val="es-ES"/>
        </w:rPr>
      </w:pPr>
      <w:r w:rsidRPr="005522D4">
        <w:rPr>
          <w:rFonts w:eastAsia="Calibri" w:cs="Arial"/>
          <w:lang w:val="es-ES"/>
        </w:rPr>
        <w:t>Clase: Mammalia</w:t>
      </w:r>
    </w:p>
    <w:p w14:paraId="269546A6" w14:textId="610ACCB7" w:rsidR="00E87B52" w:rsidRPr="005522D4" w:rsidRDefault="00E87B52" w:rsidP="000B67EF">
      <w:pPr>
        <w:suppressAutoHyphens/>
        <w:autoSpaceDN w:val="0"/>
        <w:spacing w:after="80" w:line="240" w:lineRule="auto"/>
        <w:jc w:val="both"/>
        <w:textAlignment w:val="baseline"/>
        <w:rPr>
          <w:rFonts w:eastAsia="Calibri" w:cs="Arial"/>
          <w:lang w:val="es-ES"/>
        </w:rPr>
      </w:pPr>
      <w:r w:rsidRPr="005522D4">
        <w:rPr>
          <w:rFonts w:eastAsia="Calibri" w:cs="Arial"/>
          <w:lang w:val="es-ES"/>
        </w:rPr>
        <w:t>Familia: Felidae</w:t>
      </w:r>
    </w:p>
    <w:p w14:paraId="47C4077A" w14:textId="3D1EE79E" w:rsidR="00E87B52" w:rsidRPr="005522D4" w:rsidRDefault="00E87B52" w:rsidP="000B67EF">
      <w:pPr>
        <w:suppressAutoHyphens/>
        <w:autoSpaceDN w:val="0"/>
        <w:spacing w:after="80" w:line="240" w:lineRule="auto"/>
        <w:jc w:val="both"/>
        <w:textAlignment w:val="baseline"/>
        <w:rPr>
          <w:rFonts w:eastAsia="Calibri" w:cs="Arial"/>
          <w:lang w:val="es-ES"/>
        </w:rPr>
      </w:pPr>
      <w:r w:rsidRPr="005522D4">
        <w:rPr>
          <w:rFonts w:eastAsia="Calibri" w:cs="Arial"/>
          <w:lang w:val="es-ES"/>
        </w:rPr>
        <w:t xml:space="preserve">Orden: Carnivora </w:t>
      </w:r>
    </w:p>
    <w:p w14:paraId="465F9D80" w14:textId="2D5B595F" w:rsidR="00E87B52" w:rsidRPr="005522D4" w:rsidRDefault="00E87B52" w:rsidP="000B67EF">
      <w:pPr>
        <w:suppressAutoHyphens/>
        <w:autoSpaceDN w:val="0"/>
        <w:spacing w:after="80" w:line="240" w:lineRule="auto"/>
        <w:jc w:val="both"/>
        <w:textAlignment w:val="baseline"/>
        <w:rPr>
          <w:rFonts w:eastAsia="Calibri" w:cs="Arial"/>
          <w:lang w:val="es-ES"/>
        </w:rPr>
      </w:pPr>
      <w:r w:rsidRPr="005522D4">
        <w:rPr>
          <w:rFonts w:eastAsia="Calibri" w:cs="Arial"/>
          <w:lang w:val="es-ES"/>
        </w:rPr>
        <w:t xml:space="preserve">Especie: </w:t>
      </w:r>
      <w:r w:rsidR="001E63B0" w:rsidRPr="005522D4">
        <w:rPr>
          <w:rFonts w:eastAsia="Calibri" w:cs="Arial"/>
          <w:i/>
          <w:lang w:val="es-ES"/>
        </w:rPr>
        <w:t>Lynx</w:t>
      </w:r>
      <w:r w:rsidR="001E63B0" w:rsidRPr="005522D4">
        <w:rPr>
          <w:rFonts w:eastAsia="Calibri" w:cs="Arial"/>
          <w:lang w:val="es-ES"/>
        </w:rPr>
        <w:t xml:space="preserve"> </w:t>
      </w:r>
    </w:p>
    <w:p w14:paraId="5D2A0A98" w14:textId="39198BB4" w:rsidR="00E87B52" w:rsidRPr="005522D4" w:rsidRDefault="00E87B52" w:rsidP="000B67EF">
      <w:pPr>
        <w:suppressAutoHyphens/>
        <w:autoSpaceDN w:val="0"/>
        <w:spacing w:after="0" w:line="240" w:lineRule="auto"/>
        <w:jc w:val="both"/>
        <w:textAlignment w:val="baseline"/>
        <w:rPr>
          <w:rFonts w:eastAsia="Calibri" w:cs="Arial"/>
          <w:lang w:val="es-ES"/>
        </w:rPr>
      </w:pPr>
      <w:r w:rsidRPr="005522D4">
        <w:rPr>
          <w:rFonts w:eastAsia="Calibri" w:cs="Arial"/>
          <w:lang w:val="es-ES"/>
        </w:rPr>
        <w:t xml:space="preserve">Población: Todas las poblaciones de las cuatro subespecies sureñas, a saber: </w:t>
      </w:r>
      <w:r w:rsidR="001E63B0" w:rsidRPr="005522D4">
        <w:rPr>
          <w:rFonts w:eastAsia="Calibri" w:cs="Arial"/>
          <w:i/>
          <w:lang w:val="es-ES"/>
        </w:rPr>
        <w:t>L. l. balcanicus</w:t>
      </w:r>
      <w:r w:rsidRPr="005522D4">
        <w:rPr>
          <w:rFonts w:eastAsia="Calibri" w:cs="Arial"/>
          <w:lang w:val="es-ES"/>
        </w:rPr>
        <w:t xml:space="preserve">, </w:t>
      </w:r>
      <w:r w:rsidR="001E63B0" w:rsidRPr="005522D4">
        <w:rPr>
          <w:rFonts w:eastAsia="Calibri" w:cs="Arial"/>
          <w:i/>
          <w:lang w:val="es-ES"/>
        </w:rPr>
        <w:t>L. l.</w:t>
      </w:r>
      <w:r w:rsidRPr="005522D4">
        <w:rPr>
          <w:rFonts w:eastAsia="Calibri" w:cs="Arial"/>
          <w:lang w:val="es-ES"/>
        </w:rPr>
        <w:t xml:space="preserve"> </w:t>
      </w:r>
      <w:r w:rsidR="001E63B0" w:rsidRPr="005522D4">
        <w:rPr>
          <w:rFonts w:eastAsia="Calibri" w:cs="Arial"/>
          <w:i/>
          <w:lang w:val="es-ES"/>
        </w:rPr>
        <w:t>carpathicus</w:t>
      </w:r>
      <w:r w:rsidRPr="005522D4">
        <w:rPr>
          <w:rFonts w:eastAsia="Calibri" w:cs="Arial"/>
          <w:lang w:val="es-ES"/>
        </w:rPr>
        <w:t xml:space="preserve">, </w:t>
      </w:r>
      <w:r w:rsidR="001E63B0" w:rsidRPr="005522D4">
        <w:rPr>
          <w:rFonts w:eastAsia="Calibri" w:cs="Arial"/>
          <w:i/>
          <w:lang w:val="es-ES"/>
        </w:rPr>
        <w:t>L. l. dinniki</w:t>
      </w:r>
      <w:r w:rsidRPr="005522D4">
        <w:rPr>
          <w:rFonts w:eastAsia="Calibri" w:cs="Arial"/>
          <w:lang w:val="es-ES"/>
        </w:rPr>
        <w:t xml:space="preserve"> y </w:t>
      </w:r>
      <w:r w:rsidR="001E63B0" w:rsidRPr="005522D4">
        <w:rPr>
          <w:rFonts w:eastAsia="Calibri" w:cs="Arial"/>
          <w:i/>
          <w:lang w:val="es-ES"/>
        </w:rPr>
        <w:t>L. l. isabellinus</w:t>
      </w:r>
    </w:p>
    <w:p w14:paraId="3B6C580D" w14:textId="77777777" w:rsidR="00E87B52" w:rsidRPr="005522D4" w:rsidRDefault="00E87B52" w:rsidP="000B67EF">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467AC084" w14:textId="5A1BE338" w:rsidR="00E87B52" w:rsidRPr="005522D4" w:rsidRDefault="00E87B52" w:rsidP="000B67EF">
      <w:pPr>
        <w:spacing w:after="0" w:line="240" w:lineRule="auto"/>
        <w:jc w:val="both"/>
        <w:rPr>
          <w:rFonts w:eastAsia="Calibri" w:cs="Arial"/>
          <w:b/>
          <w:bCs/>
          <w:lang w:val="es-ES"/>
        </w:rPr>
      </w:pPr>
      <w:r w:rsidRPr="005522D4">
        <w:rPr>
          <w:rFonts w:eastAsia="Calibri" w:cs="Arial"/>
          <w:b/>
          <w:bCs/>
          <w:lang w:val="es-ES"/>
        </w:rPr>
        <w:t xml:space="preserve">AVANCES DE LAS ACTIVIDADES </w:t>
      </w:r>
    </w:p>
    <w:p w14:paraId="25067A41" w14:textId="048CCBEF" w:rsidR="001E63B0" w:rsidRPr="005522D4" w:rsidRDefault="001E63B0" w:rsidP="000B67EF">
      <w:pPr>
        <w:spacing w:after="0" w:line="240" w:lineRule="auto"/>
        <w:jc w:val="both"/>
        <w:rPr>
          <w:rFonts w:eastAsia="Calibri" w:cs="Arial"/>
          <w:lang w:val="es-ES"/>
        </w:rPr>
      </w:pPr>
    </w:p>
    <w:p w14:paraId="28784BC5" w14:textId="69793337" w:rsidR="001E63B0" w:rsidRPr="005522D4" w:rsidRDefault="00FE1AA9" w:rsidP="000B67EF">
      <w:pPr>
        <w:spacing w:after="0" w:line="240" w:lineRule="auto"/>
        <w:jc w:val="both"/>
        <w:rPr>
          <w:rFonts w:eastAsia="Calibri" w:cs="Arial"/>
          <w:lang w:val="es-ES"/>
        </w:rPr>
      </w:pPr>
      <w:r w:rsidRPr="005522D4">
        <w:rPr>
          <w:rFonts w:eastAsia="Calibri" w:cs="Arial"/>
          <w:lang w:val="es-ES"/>
        </w:rPr>
        <w:t xml:space="preserve">Se prevén y están en curso las cuatro actividades siguientes: </w:t>
      </w:r>
    </w:p>
    <w:p w14:paraId="69AEC2B5" w14:textId="77777777" w:rsidR="00FE1AA9" w:rsidRPr="005522D4" w:rsidRDefault="00FE1AA9" w:rsidP="000B67EF">
      <w:pPr>
        <w:spacing w:after="0" w:line="240" w:lineRule="auto"/>
        <w:jc w:val="both"/>
        <w:rPr>
          <w:rFonts w:eastAsia="Calibri" w:cs="Arial"/>
          <w:lang w:val="es-ES"/>
        </w:rPr>
      </w:pPr>
    </w:p>
    <w:p w14:paraId="7AD98222" w14:textId="171945E5" w:rsidR="00FE1AA9" w:rsidRPr="005522D4" w:rsidRDefault="00085434" w:rsidP="000B67EF">
      <w:pPr>
        <w:pStyle w:val="ListParagraph"/>
        <w:numPr>
          <w:ilvl w:val="0"/>
          <w:numId w:val="7"/>
        </w:numPr>
        <w:spacing w:after="0" w:line="240" w:lineRule="auto"/>
        <w:ind w:left="426" w:hanging="426"/>
        <w:jc w:val="both"/>
        <w:rPr>
          <w:rFonts w:eastAsia="Calibri" w:cs="Arial"/>
          <w:lang w:val="es-ES"/>
        </w:rPr>
      </w:pPr>
      <w:r w:rsidRPr="005522D4">
        <w:rPr>
          <w:rFonts w:eastAsia="Calibri" w:cs="Arial"/>
          <w:b/>
          <w:bCs/>
          <w:lang w:val="es-ES"/>
        </w:rPr>
        <w:t>Estrategia de Conservación a escala del área de distribución para el lince balcánico (</w:t>
      </w:r>
      <w:r w:rsidR="00FE1AA9" w:rsidRPr="005522D4">
        <w:rPr>
          <w:rFonts w:eastAsia="Calibri" w:cs="Arial"/>
          <w:b/>
          <w:bCs/>
          <w:i/>
          <w:lang w:val="es-ES"/>
        </w:rPr>
        <w:t>L. l. balcanicus</w:t>
      </w:r>
      <w:r w:rsidR="00FE1AA9" w:rsidRPr="005522D4">
        <w:rPr>
          <w:rFonts w:eastAsia="Calibri" w:cs="Arial"/>
          <w:b/>
          <w:bCs/>
          <w:lang w:val="es-ES"/>
        </w:rPr>
        <w:t>)</w:t>
      </w:r>
      <w:r w:rsidR="00FE1AA9" w:rsidRPr="005522D4">
        <w:rPr>
          <w:rFonts w:eastAsia="Calibri" w:cs="Arial"/>
          <w:lang w:val="es-ES"/>
        </w:rPr>
        <w:t xml:space="preserve"> basada en las evaluaciones actualizadas de la UICN. </w:t>
      </w:r>
    </w:p>
    <w:p w14:paraId="4C411377" w14:textId="77777777" w:rsidR="000B67EF" w:rsidRPr="005522D4" w:rsidRDefault="000B67EF" w:rsidP="000B67EF">
      <w:pPr>
        <w:pStyle w:val="ListParagraph"/>
        <w:spacing w:after="0" w:line="240" w:lineRule="auto"/>
        <w:ind w:left="426"/>
        <w:jc w:val="both"/>
        <w:rPr>
          <w:rFonts w:eastAsia="Calibri" w:cs="Arial"/>
          <w:lang w:val="es-ES"/>
        </w:rPr>
      </w:pPr>
    </w:p>
    <w:p w14:paraId="331D3AC5" w14:textId="16EC0633" w:rsidR="007A1D97" w:rsidRPr="005522D4" w:rsidRDefault="00FE1AA9" w:rsidP="000B67EF">
      <w:pPr>
        <w:pStyle w:val="ListParagraph"/>
        <w:numPr>
          <w:ilvl w:val="1"/>
          <w:numId w:val="7"/>
        </w:numPr>
        <w:spacing w:after="80" w:line="240" w:lineRule="auto"/>
        <w:ind w:left="850" w:hanging="288"/>
        <w:contextualSpacing w:val="0"/>
        <w:jc w:val="both"/>
        <w:rPr>
          <w:rFonts w:eastAsia="Calibri" w:cs="Arial"/>
          <w:lang w:val="es-ES"/>
        </w:rPr>
      </w:pPr>
      <w:r w:rsidRPr="005522D4">
        <w:rPr>
          <w:rFonts w:eastAsia="Calibri" w:cs="Arial"/>
          <w:lang w:val="es-ES"/>
        </w:rPr>
        <w:t>La evaluación de la Lista Roja (RLA) y las evaluaciones del estado verde de las especies (GSS) han finalizado y están listas para ser publicadas en el sitio web de la Lista Roja de la UICN.</w:t>
      </w:r>
    </w:p>
    <w:p w14:paraId="3863A4D8" w14:textId="568CA4D0" w:rsidR="00FE1AA9" w:rsidRPr="005522D4" w:rsidRDefault="00FE1AA9" w:rsidP="000B67EF">
      <w:pPr>
        <w:pStyle w:val="ListParagraph"/>
        <w:numPr>
          <w:ilvl w:val="1"/>
          <w:numId w:val="7"/>
        </w:numPr>
        <w:spacing w:after="0" w:line="240" w:lineRule="auto"/>
        <w:ind w:left="851" w:hanging="284"/>
        <w:jc w:val="both"/>
        <w:rPr>
          <w:rFonts w:eastAsia="Calibri" w:cs="Arial"/>
          <w:lang w:val="es-ES"/>
        </w:rPr>
      </w:pPr>
      <w:r w:rsidRPr="005522D4">
        <w:rPr>
          <w:rFonts w:eastAsia="Calibri" w:cs="Arial"/>
          <w:lang w:val="es-ES"/>
        </w:rPr>
        <w:t xml:space="preserve">La Estrategia de Conservación fue elaborada por un equipo de expertos en cinco talleres en línea celebrados durante el invierno/primavera de 2025 y en numerosas reuniones de coordinación interna, y se presentó y debatió posteriormente con los Estados del área de distribución en un taller celebrado en Skopje (Macedonia del Norte) el </w:t>
      </w:r>
      <w:r w:rsidR="00C80166" w:rsidRPr="005522D4">
        <w:rPr>
          <w:rFonts w:eastAsia="Calibri" w:cs="Arial"/>
          <w:lang w:val="es-ES"/>
        </w:rPr>
        <w:sym w:font="Symbol" w:char="F02D"/>
      </w:r>
      <w:r w:rsidR="00C86886" w:rsidRPr="005522D4">
        <w:rPr>
          <w:rFonts w:eastAsia="Calibri" w:cs="Arial"/>
          <w:lang w:val="es-ES"/>
        </w:rPr>
        <w:t xml:space="preserve">25 de junio de 2025. </w:t>
      </w:r>
      <w:r w:rsidRPr="005522D4">
        <w:rPr>
          <w:rFonts w:eastAsia="Calibri" w:cs="Arial"/>
          <w:lang w:val="es-ES"/>
        </w:rPr>
        <w:t>La estrategia se distribuyó posteriormente a los países del área de distribución con fines de consulta. El comité de redacción revisó nuevamente la estrategia basándose en los comentarios y recomendaciones recibidos durante el período de consulta. El proyecto final de la estrategia se presentó a la CMS y al Convenio de Berna en octubre de 2025.</w:t>
      </w:r>
    </w:p>
    <w:p w14:paraId="462AE303" w14:textId="77777777" w:rsidR="00085434" w:rsidRPr="005522D4" w:rsidRDefault="00085434" w:rsidP="000B67EF">
      <w:pPr>
        <w:pStyle w:val="ListParagraph"/>
        <w:spacing w:after="0" w:line="240" w:lineRule="auto"/>
        <w:ind w:left="851"/>
        <w:jc w:val="both"/>
        <w:rPr>
          <w:rFonts w:eastAsia="Calibri" w:cs="Arial"/>
          <w:lang w:val="es-ES"/>
        </w:rPr>
      </w:pPr>
    </w:p>
    <w:p w14:paraId="2132BCC2" w14:textId="72B236DD" w:rsidR="00FE1AA9" w:rsidRPr="005522D4" w:rsidRDefault="00FE1AA9" w:rsidP="000B67EF">
      <w:pPr>
        <w:pStyle w:val="ListParagraph"/>
        <w:numPr>
          <w:ilvl w:val="0"/>
          <w:numId w:val="7"/>
        </w:numPr>
        <w:spacing w:after="0" w:line="240" w:lineRule="auto"/>
        <w:ind w:left="426" w:hanging="426"/>
        <w:jc w:val="both"/>
        <w:rPr>
          <w:rFonts w:eastAsia="Calibri" w:cs="Arial"/>
          <w:b/>
          <w:bCs/>
          <w:lang w:val="es-ES"/>
        </w:rPr>
      </w:pPr>
      <w:r w:rsidRPr="005522D4">
        <w:rPr>
          <w:rFonts w:eastAsia="Calibri" w:cs="Arial"/>
          <w:b/>
          <w:bCs/>
          <w:lang w:val="es-ES"/>
        </w:rPr>
        <w:t xml:space="preserve">Cooperación en </w:t>
      </w:r>
      <w:r w:rsidR="00B2639C" w:rsidRPr="005522D4">
        <w:rPr>
          <w:rFonts w:eastAsia="Calibri" w:cs="Arial"/>
          <w:b/>
          <w:bCs/>
          <w:lang w:val="es-ES"/>
        </w:rPr>
        <w:t>toda el área</w:t>
      </w:r>
      <w:r w:rsidRPr="005522D4">
        <w:rPr>
          <w:rFonts w:eastAsia="Calibri" w:cs="Arial"/>
          <w:b/>
          <w:bCs/>
          <w:lang w:val="es-ES"/>
        </w:rPr>
        <w:t xml:space="preserve"> de distribución para la conservación del lince de los Cárpatos (</w:t>
      </w:r>
      <w:r w:rsidRPr="005522D4">
        <w:rPr>
          <w:rFonts w:eastAsia="Calibri" w:cs="Arial"/>
          <w:b/>
          <w:bCs/>
          <w:i/>
          <w:lang w:val="es-ES"/>
        </w:rPr>
        <w:t>L. l. carpathicus</w:t>
      </w:r>
      <w:r w:rsidRPr="005522D4">
        <w:rPr>
          <w:rFonts w:eastAsia="Calibri" w:cs="Arial"/>
          <w:b/>
          <w:bCs/>
          <w:lang w:val="es-ES"/>
        </w:rPr>
        <w:t>)</w:t>
      </w:r>
    </w:p>
    <w:p w14:paraId="2BE4B209" w14:textId="77777777" w:rsidR="000B67EF" w:rsidRPr="005522D4" w:rsidRDefault="000B67EF" w:rsidP="000B67EF">
      <w:pPr>
        <w:pStyle w:val="ListParagraph"/>
        <w:spacing w:after="0" w:line="240" w:lineRule="auto"/>
        <w:ind w:left="426"/>
        <w:jc w:val="both"/>
        <w:rPr>
          <w:rFonts w:eastAsia="Calibri" w:cs="Arial"/>
          <w:b/>
          <w:bCs/>
          <w:lang w:val="es-ES"/>
        </w:rPr>
      </w:pPr>
    </w:p>
    <w:p w14:paraId="1EF83D8B" w14:textId="020B1259" w:rsidR="00C80166" w:rsidRPr="005522D4" w:rsidRDefault="00C80166" w:rsidP="000B67EF">
      <w:pPr>
        <w:pStyle w:val="ListParagraph"/>
        <w:numPr>
          <w:ilvl w:val="1"/>
          <w:numId w:val="7"/>
        </w:numPr>
        <w:spacing w:after="80" w:line="240" w:lineRule="auto"/>
        <w:ind w:left="850" w:hanging="288"/>
        <w:contextualSpacing w:val="0"/>
        <w:jc w:val="both"/>
        <w:rPr>
          <w:rFonts w:eastAsia="Calibri" w:cs="Arial"/>
          <w:lang w:val="es-ES"/>
        </w:rPr>
      </w:pPr>
      <w:r w:rsidRPr="005522D4">
        <w:rPr>
          <w:rFonts w:eastAsia="Calibri" w:cs="Arial"/>
          <w:lang w:val="es-ES"/>
        </w:rPr>
        <w:t xml:space="preserve">Se han finalizado los proyectos de la RLA y el GSS para aportar información al proceso de planificación. </w:t>
      </w:r>
    </w:p>
    <w:p w14:paraId="519710B8" w14:textId="5A5E471A" w:rsidR="00C80166" w:rsidRPr="005522D4" w:rsidRDefault="00AE7743" w:rsidP="000B67EF">
      <w:pPr>
        <w:pStyle w:val="ListParagraph"/>
        <w:numPr>
          <w:ilvl w:val="1"/>
          <w:numId w:val="7"/>
        </w:numPr>
        <w:spacing w:after="80" w:line="240" w:lineRule="auto"/>
        <w:ind w:left="850" w:hanging="288"/>
        <w:contextualSpacing w:val="0"/>
        <w:jc w:val="both"/>
        <w:rPr>
          <w:rFonts w:eastAsia="Calibri" w:cs="Arial"/>
          <w:lang w:val="es-ES"/>
        </w:rPr>
      </w:pPr>
      <w:r w:rsidRPr="005522D4">
        <w:rPr>
          <w:rFonts w:eastAsia="Calibri" w:cs="Arial"/>
          <w:lang w:val="es-ES"/>
        </w:rPr>
        <w:lastRenderedPageBreak/>
        <w:t xml:space="preserve">Se han mantenido conversaciones con la Secretaría del Convenio de los Cárpatos sobre el desarrollo conjunto de una estrategia de conservación en toda el área de distribución. </w:t>
      </w:r>
    </w:p>
    <w:p w14:paraId="51B8FEE2" w14:textId="39EFAD47" w:rsidR="00C80166" w:rsidRPr="005522D4" w:rsidRDefault="00AE7743" w:rsidP="000B67EF">
      <w:pPr>
        <w:pStyle w:val="ListParagraph"/>
        <w:numPr>
          <w:ilvl w:val="1"/>
          <w:numId w:val="7"/>
        </w:numPr>
        <w:spacing w:after="0" w:line="240" w:lineRule="auto"/>
        <w:ind w:left="851" w:hanging="284"/>
        <w:jc w:val="both"/>
        <w:rPr>
          <w:rFonts w:eastAsia="Calibri" w:cs="Arial"/>
          <w:lang w:val="es-ES"/>
        </w:rPr>
      </w:pPr>
      <w:r w:rsidRPr="005522D4">
        <w:rPr>
          <w:rFonts w:eastAsia="Calibri" w:cs="Arial"/>
          <w:lang w:val="es-ES"/>
        </w:rPr>
        <w:t xml:space="preserve">Las fechas de los talleres y las reuniones presenciales aún no se han determinado, ya que dependen de la financiación disponible. </w:t>
      </w:r>
    </w:p>
    <w:p w14:paraId="3AD75356" w14:textId="77777777" w:rsidR="00C86886" w:rsidRPr="005522D4" w:rsidRDefault="00C86886" w:rsidP="00C86886">
      <w:pPr>
        <w:pStyle w:val="ListParagraph"/>
        <w:spacing w:after="0" w:line="240" w:lineRule="auto"/>
        <w:ind w:left="851"/>
        <w:jc w:val="both"/>
        <w:rPr>
          <w:rFonts w:eastAsia="Calibri" w:cs="Arial"/>
          <w:lang w:val="es-ES"/>
        </w:rPr>
      </w:pPr>
    </w:p>
    <w:p w14:paraId="19FDC6B2" w14:textId="49E7DB78" w:rsidR="00FE1AA9" w:rsidRPr="005522D4" w:rsidRDefault="00FE1AA9" w:rsidP="000B67EF">
      <w:pPr>
        <w:pStyle w:val="ListParagraph"/>
        <w:numPr>
          <w:ilvl w:val="0"/>
          <w:numId w:val="7"/>
        </w:numPr>
        <w:spacing w:after="0" w:line="240" w:lineRule="auto"/>
        <w:ind w:left="426" w:hanging="426"/>
        <w:jc w:val="both"/>
        <w:rPr>
          <w:rFonts w:eastAsia="Calibri" w:cs="Arial"/>
          <w:b/>
          <w:bCs/>
          <w:lang w:val="es-ES"/>
        </w:rPr>
      </w:pPr>
      <w:r w:rsidRPr="005522D4">
        <w:rPr>
          <w:rFonts w:eastAsia="Calibri" w:cs="Arial"/>
          <w:b/>
          <w:bCs/>
          <w:lang w:val="es-ES"/>
        </w:rPr>
        <w:t>Directrices para la recuperación, la creación y el mantenimiento de una metapoblación viable y funcional del lince de los Cárpatos (</w:t>
      </w:r>
      <w:r w:rsidRPr="005522D4">
        <w:rPr>
          <w:rFonts w:eastAsia="Calibri" w:cs="Arial"/>
          <w:b/>
          <w:bCs/>
          <w:i/>
          <w:lang w:val="es-ES"/>
        </w:rPr>
        <w:t>L. l. carpathicus</w:t>
      </w:r>
      <w:r w:rsidRPr="005522D4">
        <w:rPr>
          <w:rFonts w:eastAsia="Calibri" w:cs="Arial"/>
          <w:b/>
          <w:bCs/>
          <w:lang w:val="es-ES"/>
        </w:rPr>
        <w:t>) en Europa occidental y central (con protocolos concretos para la obtención y la gestión de traslados y reintroducciones)</w:t>
      </w:r>
    </w:p>
    <w:p w14:paraId="05018747" w14:textId="77777777" w:rsidR="000B67EF" w:rsidRPr="005522D4" w:rsidRDefault="000B67EF" w:rsidP="000B67EF">
      <w:pPr>
        <w:pStyle w:val="ListParagraph"/>
        <w:spacing w:after="0" w:line="240" w:lineRule="auto"/>
        <w:ind w:left="426"/>
        <w:jc w:val="both"/>
        <w:rPr>
          <w:rFonts w:eastAsia="Calibri" w:cs="Arial"/>
          <w:b/>
          <w:bCs/>
          <w:lang w:val="es-ES"/>
        </w:rPr>
      </w:pPr>
    </w:p>
    <w:p w14:paraId="2A72B14C" w14:textId="331CC194" w:rsidR="00C80166" w:rsidRPr="005522D4" w:rsidRDefault="00C80166" w:rsidP="000B67EF">
      <w:pPr>
        <w:pStyle w:val="ListParagraph"/>
        <w:numPr>
          <w:ilvl w:val="1"/>
          <w:numId w:val="7"/>
        </w:numPr>
        <w:spacing w:after="80" w:line="240" w:lineRule="auto"/>
        <w:ind w:left="850" w:hanging="288"/>
        <w:contextualSpacing w:val="0"/>
        <w:jc w:val="both"/>
        <w:rPr>
          <w:rFonts w:eastAsia="Calibri" w:cs="Arial"/>
          <w:lang w:val="es-ES"/>
        </w:rPr>
      </w:pPr>
      <w:r w:rsidRPr="005522D4">
        <w:rPr>
          <w:rFonts w:eastAsia="Calibri" w:cs="Arial"/>
          <w:lang w:val="es-ES"/>
        </w:rPr>
        <w:t xml:space="preserve">Inclusión en la RLA y el GSS de las poblaciones reintroducidas de lince de los Cárpatos. </w:t>
      </w:r>
    </w:p>
    <w:p w14:paraId="713B1FCE" w14:textId="220B97D4" w:rsidR="00C80166" w:rsidRPr="005522D4" w:rsidRDefault="00C80166" w:rsidP="000B67EF">
      <w:pPr>
        <w:pStyle w:val="ListParagraph"/>
        <w:numPr>
          <w:ilvl w:val="1"/>
          <w:numId w:val="7"/>
        </w:numPr>
        <w:spacing w:after="0" w:line="240" w:lineRule="auto"/>
        <w:ind w:left="851" w:hanging="284"/>
        <w:jc w:val="both"/>
        <w:rPr>
          <w:rFonts w:eastAsia="Calibri" w:cs="Arial"/>
          <w:lang w:val="es-ES"/>
        </w:rPr>
      </w:pPr>
      <w:r w:rsidRPr="005522D4">
        <w:rPr>
          <w:rFonts w:eastAsia="Calibri" w:cs="Arial"/>
          <w:lang w:val="es-ES"/>
        </w:rPr>
        <w:t xml:space="preserve">Redacción de las Directrices de la CSE de la UICN para la reintroducción y conservación del lince en el «Reino del lince de los Cárpatos» en curso. El trabajo se realiza en cooperación con el Grupo de Expertos Linking Lynx. Las Directrices se finalizarán tan pronto como esté disponible la Estrategia para toda el área de distribución (Acción 2 anterior) (previsiblemente en la primavera de 2027). </w:t>
      </w:r>
    </w:p>
    <w:p w14:paraId="5E3348E8" w14:textId="77777777" w:rsidR="00AE7743" w:rsidRPr="005522D4" w:rsidRDefault="00AE7743" w:rsidP="000B67EF">
      <w:pPr>
        <w:pStyle w:val="ListParagraph"/>
        <w:spacing w:after="0" w:line="240" w:lineRule="auto"/>
        <w:ind w:left="851"/>
        <w:jc w:val="both"/>
        <w:rPr>
          <w:rFonts w:eastAsia="Calibri" w:cs="Arial"/>
          <w:lang w:val="es-ES"/>
        </w:rPr>
      </w:pPr>
    </w:p>
    <w:p w14:paraId="79A50277" w14:textId="17CA3E99" w:rsidR="00FE1AA9" w:rsidRPr="005522D4" w:rsidRDefault="00FE1AA9" w:rsidP="000B67EF">
      <w:pPr>
        <w:pStyle w:val="ListParagraph"/>
        <w:numPr>
          <w:ilvl w:val="0"/>
          <w:numId w:val="7"/>
        </w:numPr>
        <w:spacing w:after="0" w:line="240" w:lineRule="auto"/>
        <w:ind w:left="426" w:hanging="426"/>
        <w:jc w:val="both"/>
        <w:rPr>
          <w:rFonts w:eastAsia="Calibri" w:cs="Arial"/>
          <w:b/>
          <w:bCs/>
          <w:lang w:val="es-ES"/>
        </w:rPr>
      </w:pPr>
      <w:r w:rsidRPr="005522D4">
        <w:rPr>
          <w:rFonts w:eastAsia="Calibri" w:cs="Arial"/>
          <w:b/>
          <w:bCs/>
          <w:lang w:val="es-ES"/>
        </w:rPr>
        <w:t>Estudio y primeras evaluaciones de la UICN sobre el lince de Turquestán (</w:t>
      </w:r>
      <w:r w:rsidRPr="005522D4">
        <w:rPr>
          <w:rFonts w:eastAsia="Calibri" w:cs="Arial"/>
          <w:b/>
          <w:bCs/>
          <w:i/>
          <w:lang w:val="es-ES"/>
        </w:rPr>
        <w:t>L. l. isabellinus</w:t>
      </w:r>
      <w:r w:rsidRPr="005522D4">
        <w:rPr>
          <w:rFonts w:eastAsia="Calibri" w:cs="Arial"/>
          <w:b/>
          <w:bCs/>
          <w:lang w:val="es-ES"/>
        </w:rPr>
        <w:t>) en Asia Central</w:t>
      </w:r>
    </w:p>
    <w:p w14:paraId="2AF324AC" w14:textId="77777777" w:rsidR="000B67EF" w:rsidRPr="005522D4" w:rsidRDefault="000B67EF" w:rsidP="000B67EF">
      <w:pPr>
        <w:pStyle w:val="ListParagraph"/>
        <w:spacing w:after="0" w:line="240" w:lineRule="auto"/>
        <w:ind w:left="426"/>
        <w:jc w:val="both"/>
        <w:rPr>
          <w:rFonts w:eastAsia="Calibri" w:cs="Arial"/>
          <w:b/>
          <w:bCs/>
          <w:lang w:val="es-ES"/>
        </w:rPr>
      </w:pPr>
    </w:p>
    <w:p w14:paraId="2B9CEB4C" w14:textId="4AC7FDCE" w:rsidR="00C80166" w:rsidRPr="005522D4" w:rsidRDefault="00AE7743" w:rsidP="000B67EF">
      <w:pPr>
        <w:pStyle w:val="ListParagraph"/>
        <w:numPr>
          <w:ilvl w:val="1"/>
          <w:numId w:val="7"/>
        </w:numPr>
        <w:spacing w:after="80" w:line="240" w:lineRule="auto"/>
        <w:ind w:left="850" w:hanging="288"/>
        <w:contextualSpacing w:val="0"/>
        <w:jc w:val="both"/>
        <w:rPr>
          <w:rFonts w:eastAsia="Calibri" w:cs="Arial"/>
          <w:lang w:val="es-ES"/>
        </w:rPr>
      </w:pPr>
      <w:r w:rsidRPr="005522D4">
        <w:rPr>
          <w:rFonts w:eastAsia="Calibri" w:cs="Arial"/>
          <w:lang w:val="es-ES"/>
        </w:rPr>
        <w:t xml:space="preserve">Se está llevando a cabo un estudio en toda el área de distribución, cuyos resultados de los Estados del área de distribución se esperan para octubre de 2025. </w:t>
      </w:r>
    </w:p>
    <w:p w14:paraId="33D77CA7" w14:textId="552C3B3D" w:rsidR="007A1D97" w:rsidRPr="005522D4" w:rsidRDefault="007A1D97" w:rsidP="000B67EF">
      <w:pPr>
        <w:pStyle w:val="ListParagraph"/>
        <w:numPr>
          <w:ilvl w:val="1"/>
          <w:numId w:val="7"/>
        </w:numPr>
        <w:spacing w:after="80" w:line="240" w:lineRule="auto"/>
        <w:ind w:left="850" w:hanging="288"/>
        <w:contextualSpacing w:val="0"/>
        <w:jc w:val="both"/>
        <w:rPr>
          <w:rFonts w:eastAsia="Calibri" w:cs="Arial"/>
          <w:lang w:val="es-ES"/>
        </w:rPr>
      </w:pPr>
      <w:r w:rsidRPr="005522D4">
        <w:rPr>
          <w:rFonts w:eastAsia="Calibri" w:cs="Arial"/>
          <w:lang w:val="es-ES"/>
        </w:rPr>
        <w:t>Se impartió formación a los evaluadores (RLA, GSS) en dos talleres en línea.</w:t>
      </w:r>
    </w:p>
    <w:p w14:paraId="66C6462A" w14:textId="6F3BCFDA" w:rsidR="007A1D97" w:rsidRPr="005522D4" w:rsidRDefault="007A1D97" w:rsidP="000B67EF">
      <w:pPr>
        <w:pStyle w:val="ListParagraph"/>
        <w:numPr>
          <w:ilvl w:val="1"/>
          <w:numId w:val="7"/>
        </w:numPr>
        <w:spacing w:after="80" w:line="240" w:lineRule="auto"/>
        <w:ind w:left="850" w:hanging="288"/>
        <w:contextualSpacing w:val="0"/>
        <w:jc w:val="both"/>
        <w:rPr>
          <w:rFonts w:eastAsia="Calibri" w:cs="Arial"/>
          <w:lang w:val="es-ES"/>
        </w:rPr>
      </w:pPr>
      <w:r w:rsidRPr="005522D4">
        <w:rPr>
          <w:rFonts w:eastAsia="Calibri" w:cs="Arial"/>
          <w:lang w:val="es-ES"/>
        </w:rPr>
        <w:t xml:space="preserve">La RLA ha comenzado y sigue en curso, complementada por el GSS. Se prevé añadir una evaluación de la vulnerabilidad al cambio climático (CCVA), ya que es probable que Asia Central se vea muy afectada. </w:t>
      </w:r>
    </w:p>
    <w:p w14:paraId="1952B87C" w14:textId="10BFFE44" w:rsidR="007A1D97" w:rsidRPr="005522D4" w:rsidRDefault="00AE7743" w:rsidP="000B67EF">
      <w:pPr>
        <w:pStyle w:val="ListParagraph"/>
        <w:numPr>
          <w:ilvl w:val="1"/>
          <w:numId w:val="7"/>
        </w:numPr>
        <w:spacing w:after="0" w:line="240" w:lineRule="auto"/>
        <w:ind w:left="851" w:hanging="284"/>
        <w:jc w:val="both"/>
        <w:rPr>
          <w:rFonts w:eastAsia="Calibri" w:cs="Arial"/>
          <w:lang w:val="es-ES"/>
        </w:rPr>
      </w:pPr>
      <w:r w:rsidRPr="005522D4">
        <w:rPr>
          <w:rFonts w:eastAsia="Calibri" w:cs="Arial"/>
          <w:lang w:val="es-ES"/>
        </w:rPr>
        <w:t>Se espera que las actividades previstas concluyan en otoño de 2026.</w:t>
      </w:r>
    </w:p>
    <w:p w14:paraId="7D034252" w14:textId="77777777" w:rsidR="00AE7743" w:rsidRPr="005522D4" w:rsidRDefault="00AE7743" w:rsidP="000B67EF">
      <w:pPr>
        <w:pStyle w:val="ListParagraph"/>
        <w:spacing w:after="0" w:line="240" w:lineRule="auto"/>
        <w:ind w:left="851"/>
        <w:jc w:val="both"/>
        <w:rPr>
          <w:rFonts w:eastAsia="Calibri" w:cs="Arial"/>
          <w:lang w:val="es-ES"/>
        </w:rPr>
      </w:pPr>
    </w:p>
    <w:p w14:paraId="2D420147" w14:textId="4815054E" w:rsidR="00FE1AA9" w:rsidRPr="005522D4" w:rsidRDefault="00FE1AA9" w:rsidP="000B67EF">
      <w:pPr>
        <w:pStyle w:val="ListParagraph"/>
        <w:numPr>
          <w:ilvl w:val="0"/>
          <w:numId w:val="7"/>
        </w:numPr>
        <w:spacing w:after="0" w:line="240" w:lineRule="auto"/>
        <w:ind w:left="426" w:hanging="426"/>
        <w:jc w:val="both"/>
        <w:rPr>
          <w:rFonts w:eastAsia="Calibri" w:cs="Arial"/>
          <w:b/>
          <w:bCs/>
          <w:lang w:val="es-ES"/>
        </w:rPr>
      </w:pPr>
      <w:r w:rsidRPr="005522D4">
        <w:rPr>
          <w:rFonts w:eastAsia="Calibri" w:cs="Arial"/>
          <w:b/>
          <w:bCs/>
          <w:lang w:val="es-ES"/>
        </w:rPr>
        <w:t>Estudio y primera evaluación de la UICN del lince del Cáucaso (</w:t>
      </w:r>
      <w:r w:rsidRPr="005522D4">
        <w:rPr>
          <w:rFonts w:eastAsia="Calibri" w:cs="Arial"/>
          <w:b/>
          <w:bCs/>
          <w:i/>
          <w:lang w:val="es-ES"/>
        </w:rPr>
        <w:t>L. l. dinniki</w:t>
      </w:r>
      <w:r w:rsidRPr="005522D4">
        <w:rPr>
          <w:rFonts w:eastAsia="Calibri" w:cs="Arial"/>
          <w:b/>
          <w:bCs/>
          <w:lang w:val="es-ES"/>
        </w:rPr>
        <w:t>) en Anatolia y el suroeste de Asia.</w:t>
      </w:r>
    </w:p>
    <w:p w14:paraId="34486A95" w14:textId="77777777" w:rsidR="000B67EF" w:rsidRPr="005522D4" w:rsidRDefault="000B67EF" w:rsidP="000B67EF">
      <w:pPr>
        <w:pStyle w:val="ListParagraph"/>
        <w:spacing w:after="0" w:line="240" w:lineRule="auto"/>
        <w:ind w:left="426"/>
        <w:jc w:val="both"/>
        <w:rPr>
          <w:rFonts w:eastAsia="Calibri" w:cs="Arial"/>
          <w:b/>
          <w:bCs/>
          <w:lang w:val="es-ES"/>
        </w:rPr>
      </w:pPr>
    </w:p>
    <w:p w14:paraId="3DFB82E6" w14:textId="1D0CE879" w:rsidR="00C80166" w:rsidRPr="005522D4" w:rsidRDefault="00AE7743" w:rsidP="000B67EF">
      <w:pPr>
        <w:pStyle w:val="ListParagraph"/>
        <w:numPr>
          <w:ilvl w:val="1"/>
          <w:numId w:val="7"/>
        </w:numPr>
        <w:spacing w:after="80" w:line="240" w:lineRule="auto"/>
        <w:ind w:left="850" w:hanging="288"/>
        <w:contextualSpacing w:val="0"/>
        <w:jc w:val="both"/>
        <w:rPr>
          <w:rFonts w:eastAsia="Calibri" w:cs="Arial"/>
          <w:lang w:val="es-ES"/>
        </w:rPr>
      </w:pPr>
      <w:r w:rsidRPr="005522D4">
        <w:rPr>
          <w:rFonts w:eastAsia="Calibri" w:cs="Arial"/>
          <w:lang w:val="es-ES"/>
        </w:rPr>
        <w:t xml:space="preserve">El estudio (recopilación de datos de los Estados del área de distribución) ha comenzado; sin embargo, se han producido retrasos atribuidos principalmente a la complejidad de la comunicación. </w:t>
      </w:r>
    </w:p>
    <w:p w14:paraId="5E350A92" w14:textId="77777777" w:rsidR="005562C1" w:rsidRPr="005522D4" w:rsidRDefault="005562C1" w:rsidP="000B67EF">
      <w:pPr>
        <w:pStyle w:val="ListParagraph"/>
        <w:numPr>
          <w:ilvl w:val="1"/>
          <w:numId w:val="7"/>
        </w:numPr>
        <w:spacing w:after="80" w:line="240" w:lineRule="auto"/>
        <w:ind w:left="850" w:hanging="288"/>
        <w:contextualSpacing w:val="0"/>
        <w:jc w:val="both"/>
        <w:rPr>
          <w:rFonts w:eastAsia="Calibri" w:cs="Arial"/>
          <w:lang w:val="es-ES"/>
        </w:rPr>
      </w:pPr>
      <w:r w:rsidRPr="005522D4">
        <w:rPr>
          <w:rFonts w:eastAsia="Calibri" w:cs="Arial"/>
          <w:lang w:val="es-ES"/>
        </w:rPr>
        <w:t>Se impartió formación a los evaluadores (RLA, GSS) en dos talleres en línea.</w:t>
      </w:r>
    </w:p>
    <w:p w14:paraId="2FEAA791" w14:textId="008298B1" w:rsidR="007A1D97" w:rsidRPr="005522D4" w:rsidRDefault="007A1D97" w:rsidP="000B67EF">
      <w:pPr>
        <w:pStyle w:val="ListParagraph"/>
        <w:numPr>
          <w:ilvl w:val="1"/>
          <w:numId w:val="7"/>
        </w:numPr>
        <w:spacing w:after="80" w:line="240" w:lineRule="auto"/>
        <w:ind w:left="850" w:hanging="288"/>
        <w:contextualSpacing w:val="0"/>
        <w:jc w:val="both"/>
        <w:rPr>
          <w:rFonts w:eastAsia="Calibri" w:cs="Arial"/>
          <w:lang w:val="es-ES"/>
        </w:rPr>
      </w:pPr>
      <w:r w:rsidRPr="005522D4">
        <w:rPr>
          <w:rFonts w:eastAsia="Calibri" w:cs="Arial"/>
          <w:lang w:val="es-ES"/>
        </w:rPr>
        <w:t>Un GSS y una CCVA serían un complemento sensato, pero solo comenzarán cuando la RLA esté avanzada y disponible como proyecto.</w:t>
      </w:r>
    </w:p>
    <w:p w14:paraId="2D287AB2" w14:textId="743CA035" w:rsidR="007A1D97" w:rsidRPr="005522D4" w:rsidRDefault="0061131F" w:rsidP="000B67EF">
      <w:pPr>
        <w:pStyle w:val="ListParagraph"/>
        <w:numPr>
          <w:ilvl w:val="1"/>
          <w:numId w:val="7"/>
        </w:numPr>
        <w:spacing w:after="0" w:line="240" w:lineRule="auto"/>
        <w:ind w:left="851" w:hanging="284"/>
        <w:jc w:val="both"/>
        <w:rPr>
          <w:rFonts w:eastAsia="Calibri" w:cs="Arial"/>
          <w:lang w:val="es-ES"/>
        </w:rPr>
      </w:pPr>
      <w:r w:rsidRPr="005522D4">
        <w:rPr>
          <w:rFonts w:eastAsia="Calibri" w:cs="Arial"/>
          <w:lang w:val="es-ES"/>
        </w:rPr>
        <w:t xml:space="preserve">En caso de que se avance en la resolución de los retos mencionados, las actividades previstas finalizarán en 2026. </w:t>
      </w:r>
    </w:p>
    <w:p w14:paraId="17F1FB43" w14:textId="77777777" w:rsidR="00E87B52" w:rsidRPr="005522D4" w:rsidRDefault="00E87B52" w:rsidP="000B67EF">
      <w:pPr>
        <w:suppressAutoHyphens/>
        <w:autoSpaceDN w:val="0"/>
        <w:spacing w:after="0" w:line="240" w:lineRule="auto"/>
        <w:jc w:val="both"/>
        <w:textAlignment w:val="baseline"/>
        <w:rPr>
          <w:rFonts w:eastAsia="Calibri" w:cs="Arial"/>
          <w:lang w:val="es-ES"/>
        </w:rPr>
      </w:pPr>
    </w:p>
    <w:p w14:paraId="3941022C" w14:textId="351B77F2" w:rsidR="00E87B52" w:rsidRPr="005522D4" w:rsidRDefault="00E87B52" w:rsidP="000B67EF">
      <w:pPr>
        <w:spacing w:after="0" w:line="240" w:lineRule="auto"/>
        <w:jc w:val="both"/>
        <w:rPr>
          <w:rFonts w:eastAsia="Calibri" w:cs="Arial"/>
          <w:b/>
          <w:bCs/>
          <w:lang w:val="es-ES"/>
        </w:rPr>
      </w:pPr>
      <w:r w:rsidRPr="005522D4">
        <w:rPr>
          <w:rFonts w:eastAsia="Calibri" w:cs="Arial"/>
          <w:b/>
          <w:bCs/>
          <w:lang w:val="es-ES"/>
        </w:rPr>
        <w:t>CAMBIOS EN LA ACCIÓN CONCERTADA (SI LOS HUBIERA)</w:t>
      </w:r>
    </w:p>
    <w:p w14:paraId="79D54A5D" w14:textId="43BA11BE" w:rsidR="00F55BC2" w:rsidRPr="005522D4" w:rsidRDefault="00F55BC2" w:rsidP="000B67EF">
      <w:pPr>
        <w:spacing w:after="0" w:line="240" w:lineRule="auto"/>
        <w:jc w:val="both"/>
        <w:rPr>
          <w:rFonts w:eastAsia="Calibri" w:cs="Arial"/>
          <w:lang w:val="es-ES"/>
        </w:rPr>
      </w:pPr>
    </w:p>
    <w:p w14:paraId="410D541E" w14:textId="77777777" w:rsidR="00891B85" w:rsidRPr="005522D4" w:rsidRDefault="0061131F" w:rsidP="000B67EF">
      <w:pPr>
        <w:spacing w:after="0" w:line="240" w:lineRule="auto"/>
        <w:jc w:val="both"/>
        <w:rPr>
          <w:rFonts w:eastAsia="Calibri" w:cs="Arial"/>
          <w:lang w:val="es-ES"/>
        </w:rPr>
      </w:pPr>
      <w:r w:rsidRPr="005522D4">
        <w:rPr>
          <w:rFonts w:eastAsia="Calibri" w:cs="Arial"/>
          <w:lang w:val="es-ES"/>
        </w:rPr>
        <w:t>La CSE de la UICN (Grupo de Especialistas en Felinos) y la Secretaría del Convenio de los Cárpatos siguen comprometidos con la consecución de los resultados inicialmente previstos en las actividades 1</w:t>
      </w:r>
      <w:r w:rsidR="007A1D97" w:rsidRPr="005522D4">
        <w:rPr>
          <w:rFonts w:eastAsia="Calibri" w:cs="Arial"/>
          <w:lang w:val="es-ES"/>
        </w:rPr>
        <w:sym w:font="Symbol" w:char="F02D"/>
      </w:r>
      <w:r w:rsidRPr="005522D4">
        <w:rPr>
          <w:rFonts w:eastAsia="Calibri" w:cs="Arial"/>
          <w:lang w:val="es-ES"/>
        </w:rPr>
        <w:t xml:space="preserve">5. </w:t>
      </w:r>
    </w:p>
    <w:p w14:paraId="07B65E45" w14:textId="34D6AEF6" w:rsidR="005562C1" w:rsidRPr="005522D4" w:rsidRDefault="005562C1" w:rsidP="000B67EF">
      <w:pPr>
        <w:spacing w:after="0" w:line="240" w:lineRule="auto"/>
        <w:jc w:val="both"/>
        <w:rPr>
          <w:rFonts w:eastAsia="Calibri" w:cs="Arial"/>
          <w:lang w:val="es-ES"/>
        </w:rPr>
      </w:pPr>
      <w:r w:rsidRPr="005522D4">
        <w:rPr>
          <w:rFonts w:eastAsia="Calibri" w:cs="Arial"/>
          <w:lang w:val="es-ES"/>
        </w:rPr>
        <w:t>Sin embargo, se han producido algunos retrasos en la ejecución de las actividades 2</w:t>
      </w:r>
      <w:r w:rsidRPr="005522D4">
        <w:rPr>
          <w:rFonts w:cs="Arial"/>
          <w:lang w:val="es-ES"/>
        </w:rPr>
        <w:sym w:font="Symbol" w:char="F02D"/>
      </w:r>
      <w:r w:rsidRPr="005522D4">
        <w:rPr>
          <w:rFonts w:eastAsia="Calibri" w:cs="Arial"/>
          <w:lang w:val="es-ES"/>
        </w:rPr>
        <w:t>5, lo que ha requerido una prolongación de la Acción Concertada, cuya finalización está prevista para 2026 (provisionalmente en la primavera de 2027).</w:t>
      </w:r>
    </w:p>
    <w:p w14:paraId="1E42E4C1" w14:textId="77777777" w:rsidR="00E87B52" w:rsidRPr="005522D4" w:rsidRDefault="00E87B52" w:rsidP="000B67EF">
      <w:pPr>
        <w:suppressAutoHyphens/>
        <w:autoSpaceDN w:val="0"/>
        <w:spacing w:after="0" w:line="240" w:lineRule="auto"/>
        <w:jc w:val="both"/>
        <w:textAlignment w:val="baseline"/>
        <w:rPr>
          <w:rFonts w:eastAsia="Calibri" w:cs="Arial"/>
          <w:lang w:val="es-ES"/>
        </w:rPr>
      </w:pPr>
    </w:p>
    <w:p w14:paraId="074E7C82" w14:textId="1DB5A2E3" w:rsidR="00E87B52" w:rsidRPr="005522D4" w:rsidRDefault="00E87B52" w:rsidP="000B67EF">
      <w:pPr>
        <w:spacing w:after="0" w:line="240" w:lineRule="auto"/>
        <w:jc w:val="both"/>
        <w:rPr>
          <w:rFonts w:eastAsia="Calibri" w:cs="Arial"/>
          <w:b/>
          <w:bCs/>
          <w:lang w:val="es-ES"/>
        </w:rPr>
      </w:pPr>
      <w:r w:rsidRPr="005522D4">
        <w:rPr>
          <w:rFonts w:eastAsia="Calibri" w:cs="Arial"/>
          <w:b/>
          <w:bCs/>
          <w:lang w:val="es-ES"/>
        </w:rPr>
        <w:lastRenderedPageBreak/>
        <w:t>REFERENCIAS (si las hay)</w:t>
      </w:r>
    </w:p>
    <w:p w14:paraId="5C36A87E" w14:textId="77777777" w:rsidR="00F55BC2" w:rsidRPr="005522D4" w:rsidRDefault="00F55BC2" w:rsidP="000B67EF">
      <w:pPr>
        <w:spacing w:after="0" w:line="240" w:lineRule="auto"/>
        <w:ind w:left="540"/>
        <w:jc w:val="both"/>
        <w:rPr>
          <w:rFonts w:eastAsia="Calibri" w:cs="Arial"/>
          <w:lang w:val="es-ES"/>
        </w:rPr>
      </w:pPr>
    </w:p>
    <w:p w14:paraId="7128026B" w14:textId="494C1853" w:rsidR="00E87B52" w:rsidRPr="005522D4" w:rsidRDefault="005562C1" w:rsidP="000B67EF">
      <w:pPr>
        <w:pStyle w:val="ListParagraph"/>
        <w:numPr>
          <w:ilvl w:val="0"/>
          <w:numId w:val="9"/>
        </w:numPr>
        <w:suppressAutoHyphens/>
        <w:autoSpaceDN w:val="0"/>
        <w:spacing w:after="0" w:line="240" w:lineRule="auto"/>
        <w:jc w:val="both"/>
        <w:textAlignment w:val="baseline"/>
        <w:rPr>
          <w:rFonts w:eastAsia="Calibri" w:cs="Arial"/>
          <w:lang w:val="es-ES"/>
        </w:rPr>
      </w:pPr>
      <w:r w:rsidRPr="005522D4">
        <w:rPr>
          <w:rFonts w:eastAsia="Calibri" w:cs="Arial"/>
          <w:lang w:val="es-ES"/>
        </w:rPr>
        <w:t xml:space="preserve">Estrategia para </w:t>
      </w:r>
      <w:r w:rsidR="00B2639C" w:rsidRPr="005522D4">
        <w:rPr>
          <w:rFonts w:eastAsia="Calibri" w:cs="Arial"/>
          <w:lang w:val="es-ES"/>
        </w:rPr>
        <w:t>toda el área</w:t>
      </w:r>
      <w:r w:rsidRPr="005522D4">
        <w:rPr>
          <w:rFonts w:eastAsia="Calibri" w:cs="Arial"/>
          <w:lang w:val="es-ES"/>
        </w:rPr>
        <w:t xml:space="preserve"> de distribución para el rescate y la conservación del lince balcánico </w:t>
      </w:r>
      <w:r w:rsidRPr="005522D4">
        <w:rPr>
          <w:rFonts w:eastAsia="Calibri" w:cs="Arial"/>
          <w:i/>
          <w:lang w:val="es-ES"/>
        </w:rPr>
        <w:t>Lynx lynx balcanicus</w:t>
      </w:r>
      <w:r w:rsidRPr="005522D4">
        <w:rPr>
          <w:rFonts w:eastAsia="Calibri" w:cs="Arial"/>
          <w:lang w:val="es-ES"/>
        </w:rPr>
        <w:t xml:space="preserve">, 2026-2035 (presentada como documento separado) </w:t>
      </w:r>
    </w:p>
    <w:p w14:paraId="393AD1DD" w14:textId="77777777" w:rsidR="005562C1" w:rsidRPr="005522D4" w:rsidRDefault="005562C1" w:rsidP="000B67EF">
      <w:pPr>
        <w:suppressAutoHyphens/>
        <w:autoSpaceDN w:val="0"/>
        <w:spacing w:after="0" w:line="240" w:lineRule="auto"/>
        <w:jc w:val="both"/>
        <w:textAlignment w:val="baseline"/>
        <w:rPr>
          <w:rFonts w:eastAsia="Calibri" w:cs="Arial"/>
          <w:lang w:val="es-ES"/>
        </w:rPr>
      </w:pPr>
    </w:p>
    <w:p w14:paraId="26F1BDAE" w14:textId="37EAD54C" w:rsidR="00E87B52" w:rsidRPr="005522D4" w:rsidRDefault="00E87B52" w:rsidP="000B67EF">
      <w:pPr>
        <w:spacing w:after="0" w:line="240" w:lineRule="auto"/>
        <w:jc w:val="both"/>
        <w:rPr>
          <w:rFonts w:eastAsia="Calibri" w:cs="Arial"/>
          <w:b/>
          <w:bCs/>
          <w:lang w:val="es-ES"/>
        </w:rPr>
      </w:pPr>
      <w:r w:rsidRPr="005522D4">
        <w:rPr>
          <w:rFonts w:eastAsia="Calibri" w:cs="Arial"/>
          <w:b/>
          <w:bCs/>
          <w:lang w:val="es-ES"/>
        </w:rPr>
        <w:t>ACCIÓN</w:t>
      </w:r>
    </w:p>
    <w:p w14:paraId="7393AA49" w14:textId="0780AD30" w:rsidR="0092671C" w:rsidRPr="005522D4" w:rsidRDefault="0092671C" w:rsidP="000B67EF">
      <w:pPr>
        <w:spacing w:after="0" w:line="240" w:lineRule="auto"/>
        <w:jc w:val="both"/>
        <w:rPr>
          <w:rFonts w:eastAsia="Calibri" w:cs="Arial"/>
          <w:lang w:val="es-ES"/>
        </w:rPr>
      </w:pPr>
    </w:p>
    <w:p w14:paraId="36EA6D5A" w14:textId="47D0A16E" w:rsidR="006D7B10" w:rsidRPr="005522D4" w:rsidRDefault="005562C1" w:rsidP="000B67EF">
      <w:pPr>
        <w:spacing w:after="0" w:line="240" w:lineRule="auto"/>
        <w:jc w:val="both"/>
        <w:rPr>
          <w:rFonts w:cs="Arial"/>
          <w:lang w:val="es-ES"/>
        </w:rPr>
      </w:pPr>
      <w:r w:rsidRPr="005522D4">
        <w:rPr>
          <w:rFonts w:eastAsia="Calibri" w:cs="Arial"/>
          <w:lang w:val="es-ES"/>
        </w:rPr>
        <w:t xml:space="preserve">La Acción Concertada seguirá aplicándose y finalizará en el próximo período entre sesiones. No es necesario introducir cambios en el enfoque ni en las actividades.  </w:t>
      </w:r>
    </w:p>
    <w:sectPr w:rsidR="006D7B10" w:rsidRPr="005522D4" w:rsidSect="000B67EF">
      <w:headerReference w:type="even" r:id="rId16"/>
      <w:headerReference w:type="default" r:id="rId17"/>
      <w:footerReference w:type="default" r:id="rId18"/>
      <w:headerReference w:type="first" r:id="rId19"/>
      <w:footerReference w:type="first" r:id="rId20"/>
      <w:endnotePr>
        <w:numFmt w:val="decimal"/>
      </w:endnotePr>
      <w:type w:val="continuous"/>
      <w:pgSz w:w="11905" w:h="16837" w:code="9"/>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BA96" w14:textId="77777777" w:rsidR="009A15E3" w:rsidRDefault="009A15E3" w:rsidP="002E0DE9">
      <w:pPr>
        <w:spacing w:after="0" w:line="240" w:lineRule="auto"/>
      </w:pPr>
      <w:r>
        <w:separator/>
      </w:r>
    </w:p>
  </w:endnote>
  <w:endnote w:type="continuationSeparator" w:id="0">
    <w:p w14:paraId="6719BE2C" w14:textId="77777777" w:rsidR="009A15E3" w:rsidRDefault="009A15E3" w:rsidP="002E0DE9">
      <w:pPr>
        <w:spacing w:after="0" w:line="240" w:lineRule="auto"/>
      </w:pPr>
      <w:r>
        <w:continuationSeparator/>
      </w:r>
    </w:p>
  </w:endnote>
  <w:endnote w:type="continuationNotice" w:id="1">
    <w:p w14:paraId="0FC5AE8B" w14:textId="77777777" w:rsidR="009A15E3" w:rsidRDefault="009A15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77777777" w:rsidR="00E87B52" w:rsidRPr="005522D4" w:rsidRDefault="00E87B52">
    <w:pPr>
      <w:pStyle w:val="Footer"/>
      <w:ind w:right="-367"/>
      <w:jc w:val="center"/>
    </w:pPr>
    <w:r w:rsidRPr="005522D4">
      <w:rPr>
        <w:rFonts w:cs="Arial"/>
      </w:rPr>
      <w:fldChar w:fldCharType="begin"/>
    </w:r>
    <w:r w:rsidRPr="005522D4">
      <w:rPr>
        <w:rFonts w:cs="Arial"/>
      </w:rPr>
      <w:instrText xml:space="preserve"> PAGE </w:instrText>
    </w:r>
    <w:r w:rsidRPr="005522D4">
      <w:rPr>
        <w:rFonts w:cs="Arial"/>
      </w:rPr>
      <w:fldChar w:fldCharType="separate"/>
    </w:r>
    <w:r w:rsidRPr="005522D4">
      <w:rPr>
        <w:rFonts w:cs="Arial"/>
      </w:rPr>
      <w:t>7</w:t>
    </w:r>
    <w:r w:rsidRPr="005522D4">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57B5" w14:textId="77777777" w:rsidR="00E87B52" w:rsidRDefault="00E87B52">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3DE0" w14:textId="409144E1" w:rsidR="000B67EF" w:rsidRPr="005522D4" w:rsidRDefault="000B67EF">
    <w:pPr>
      <w:pStyle w:val="Footer"/>
      <w:ind w:right="-367"/>
      <w:jc w:val="center"/>
      <w:rPr>
        <w:sz w:val="18"/>
        <w:szCs w:val="18"/>
      </w:rPr>
    </w:pPr>
    <w:r w:rsidRPr="005522D4">
      <w:rPr>
        <w:rFonts w:cs="Arial"/>
        <w:sz w:val="18"/>
        <w:szCs w:val="18"/>
      </w:rPr>
      <w:fldChar w:fldCharType="begin"/>
    </w:r>
    <w:r w:rsidRPr="005522D4">
      <w:rPr>
        <w:rFonts w:cs="Arial"/>
        <w:sz w:val="18"/>
        <w:szCs w:val="18"/>
      </w:rPr>
      <w:instrText xml:space="preserve"> PAGE </w:instrText>
    </w:r>
    <w:r w:rsidRPr="005522D4">
      <w:rPr>
        <w:rFonts w:cs="Arial"/>
        <w:sz w:val="18"/>
        <w:szCs w:val="18"/>
      </w:rPr>
      <w:fldChar w:fldCharType="separate"/>
    </w:r>
    <w:r w:rsidR="00C86886" w:rsidRPr="005522D4">
      <w:rPr>
        <w:rFonts w:cs="Arial"/>
        <w:noProof/>
        <w:sz w:val="18"/>
        <w:szCs w:val="18"/>
      </w:rPr>
      <w:t>3</w:t>
    </w:r>
    <w:r w:rsidRPr="005522D4">
      <w:rPr>
        <w:rFonts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146275"/>
      <w:docPartObj>
        <w:docPartGallery w:val="Page Numbers (Bottom of Page)"/>
        <w:docPartUnique/>
      </w:docPartObj>
    </w:sdtPr>
    <w:sdtEndPr>
      <w:rPr>
        <w:noProof/>
        <w:sz w:val="18"/>
        <w:szCs w:val="18"/>
      </w:rPr>
    </w:sdtEndPr>
    <w:sdtContent>
      <w:p w14:paraId="74DA47D2" w14:textId="5897004F" w:rsidR="000B67EF" w:rsidRPr="005522D4" w:rsidRDefault="000B67EF">
        <w:pPr>
          <w:pStyle w:val="Footer"/>
          <w:jc w:val="center"/>
          <w:rPr>
            <w:sz w:val="18"/>
            <w:szCs w:val="18"/>
          </w:rPr>
        </w:pPr>
        <w:r w:rsidRPr="005522D4">
          <w:rPr>
            <w:sz w:val="18"/>
            <w:szCs w:val="18"/>
          </w:rPr>
          <w:fldChar w:fldCharType="begin"/>
        </w:r>
        <w:r w:rsidRPr="005522D4">
          <w:rPr>
            <w:sz w:val="18"/>
            <w:szCs w:val="18"/>
          </w:rPr>
          <w:instrText xml:space="preserve"> PAGE   \* MERGEFORMAT </w:instrText>
        </w:r>
        <w:r w:rsidRPr="005522D4">
          <w:rPr>
            <w:sz w:val="18"/>
            <w:szCs w:val="18"/>
          </w:rPr>
          <w:fldChar w:fldCharType="separate"/>
        </w:r>
        <w:r w:rsidRPr="005522D4">
          <w:rPr>
            <w:noProof/>
            <w:sz w:val="18"/>
            <w:szCs w:val="18"/>
          </w:rPr>
          <w:t>2</w:t>
        </w:r>
        <w:r w:rsidRPr="005522D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8631" w14:textId="77777777" w:rsidR="009A15E3" w:rsidRDefault="009A15E3" w:rsidP="002E0DE9">
      <w:pPr>
        <w:spacing w:after="0" w:line="240" w:lineRule="auto"/>
      </w:pPr>
      <w:r>
        <w:separator/>
      </w:r>
    </w:p>
  </w:footnote>
  <w:footnote w:type="continuationSeparator" w:id="0">
    <w:p w14:paraId="14F07D0F" w14:textId="77777777" w:rsidR="009A15E3" w:rsidRDefault="009A15E3" w:rsidP="002E0DE9">
      <w:pPr>
        <w:spacing w:after="0" w:line="240" w:lineRule="auto"/>
      </w:pPr>
      <w:r>
        <w:continuationSeparator/>
      </w:r>
    </w:p>
  </w:footnote>
  <w:footnote w:type="continuationNotice" w:id="1">
    <w:p w14:paraId="68465D86" w14:textId="77777777" w:rsidR="009A15E3" w:rsidRDefault="009A15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Pr="005522D4" w:rsidRDefault="00E87B52">
    <w:pPr>
      <w:pStyle w:val="Heading1"/>
      <w:keepNext w:val="0"/>
      <w:pBdr>
        <w:bottom w:val="single" w:sz="4" w:space="1" w:color="000000"/>
      </w:pBdr>
      <w:ind w:left="261" w:right="-277" w:hanging="261"/>
      <w:jc w:val="right"/>
      <w:rPr>
        <w:lang w:val="fr-FR"/>
      </w:rPr>
    </w:pPr>
    <w:r w:rsidRPr="005522D4">
      <w:rPr>
        <w:rFonts w:cs="Arial"/>
        <w:i/>
        <w:sz w:val="18"/>
        <w:szCs w:val="18"/>
        <w:lang w:val="fr-FR"/>
      </w:rPr>
      <w:t>UNEP/CMS/COP12/Doc.x/x</w:t>
    </w:r>
  </w:p>
  <w:p w14:paraId="05FCAA13" w14:textId="77777777" w:rsidR="00E87B52" w:rsidRPr="005522D4" w:rsidRDefault="00E87B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7793" w14:textId="4F578EF0" w:rsidR="00E167BD" w:rsidRPr="00002A97" w:rsidRDefault="00E167BD" w:rsidP="00E167BD">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bookmarkStart w:id="1" w:name="_Hlk213850681"/>
    <w:r>
      <w:rPr>
        <w:rFonts w:eastAsia="Times New Roman" w:cs="Times New Roman"/>
        <w:noProof/>
        <w:sz w:val="18"/>
        <w:szCs w:val="20"/>
        <w:lang w:val="es-ES" w:eastAsia="es-ES"/>
      </w:rPr>
      <w:drawing>
        <wp:anchor distT="0" distB="0" distL="114300" distR="114300" simplePos="0" relativeHeight="251661312" behindDoc="1" locked="0" layoutInCell="1" allowOverlap="1" wp14:anchorId="17DE314D" wp14:editId="7B4732C1">
          <wp:simplePos x="0" y="0"/>
          <wp:positionH relativeFrom="column">
            <wp:posOffset>-17780</wp:posOffset>
          </wp:positionH>
          <wp:positionV relativeFrom="paragraph">
            <wp:posOffset>-93345</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3752B601" wp14:editId="6D1280D7">
          <wp:simplePos x="0" y="0"/>
          <wp:positionH relativeFrom="column">
            <wp:posOffset>776029</wp:posOffset>
          </wp:positionH>
          <wp:positionV relativeFrom="paragraph">
            <wp:posOffset>79710</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p>
  <w:bookmarkEnd w:id="1"/>
  <w:p w14:paraId="0F4375DC" w14:textId="46D853A6" w:rsidR="005522D4" w:rsidRDefault="00E167BD">
    <w:pPr>
      <w:pStyle w:val="Header"/>
    </w:pP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619EBAD4" wp14:editId="48C7D326">
          <wp:simplePos x="0" y="0"/>
          <wp:positionH relativeFrom="column">
            <wp:posOffset>5609678</wp:posOffset>
          </wp:positionH>
          <wp:positionV relativeFrom="paragraph">
            <wp:posOffset>24297</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E0C" w14:textId="77777777" w:rsidR="000B67EF" w:rsidRPr="005522D4" w:rsidRDefault="000B67EF" w:rsidP="000B67E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i/>
        <w:iCs/>
        <w:sz w:val="18"/>
        <w:szCs w:val="18"/>
        <w:lang w:val="en-GB"/>
      </w:rPr>
    </w:pPr>
    <w:r w:rsidRPr="005522D4">
      <w:rPr>
        <w:rFonts w:eastAsia="Times New Roman" w:cs="Arial"/>
        <w:i/>
        <w:iCs/>
        <w:sz w:val="18"/>
        <w:szCs w:val="18"/>
        <w:lang w:val="es-ES"/>
      </w:rPr>
      <w:t>UNEP/CMS/COP15/Doc.31.2.4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EEB2" w14:textId="77777777" w:rsidR="000B67EF" w:rsidRPr="005522D4" w:rsidRDefault="000B67EF" w:rsidP="000B67E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i/>
        <w:iCs/>
        <w:sz w:val="18"/>
        <w:szCs w:val="18"/>
        <w:lang w:val="en-GB"/>
      </w:rPr>
    </w:pPr>
    <w:r w:rsidRPr="005522D4">
      <w:rPr>
        <w:rFonts w:eastAsia="Times New Roman" w:cs="Arial"/>
        <w:i/>
        <w:iCs/>
        <w:sz w:val="18"/>
        <w:szCs w:val="18"/>
        <w:lang w:val="es-ES"/>
      </w:rPr>
      <w:t>UNEP/CMS/COP15/Doc.31.2.4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0C2B" w14:textId="58ABEBEA" w:rsidR="00AE4A6B" w:rsidRPr="005522D4" w:rsidRDefault="00AE4A6B" w:rsidP="00E87B52">
    <w:pPr>
      <w:pStyle w:val="Header"/>
      <w:pBdr>
        <w:bottom w:val="single" w:sz="4" w:space="1" w:color="auto"/>
      </w:pBdr>
      <w:rPr>
        <w:i/>
        <w:sz w:val="18"/>
        <w:szCs w:val="18"/>
      </w:rPr>
    </w:pPr>
    <w:r w:rsidRPr="005522D4">
      <w:rPr>
        <w:rFonts w:eastAsia="Times New Roman" w:cs="Arial"/>
        <w:i/>
        <w:sz w:val="18"/>
        <w:szCs w:val="18"/>
        <w:lang w:val="es-ES"/>
      </w:rPr>
      <w:t>UNEP/CMS/COP15/Doc.31.2.4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091193A"/>
    <w:multiLevelType w:val="hybridMultilevel"/>
    <w:tmpl w:val="FC084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B6C38"/>
    <w:multiLevelType w:val="hybridMultilevel"/>
    <w:tmpl w:val="E348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600BE"/>
    <w:multiLevelType w:val="hybridMultilevel"/>
    <w:tmpl w:val="8FF4173C"/>
    <w:lvl w:ilvl="0" w:tplc="B16AB754">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8085625">
    <w:abstractNumId w:val="3"/>
  </w:num>
  <w:num w:numId="2" w16cid:durableId="942999241">
    <w:abstractNumId w:val="7"/>
  </w:num>
  <w:num w:numId="3" w16cid:durableId="395862596">
    <w:abstractNumId w:val="0"/>
  </w:num>
  <w:num w:numId="4" w16cid:durableId="337579184">
    <w:abstractNumId w:val="6"/>
  </w:num>
  <w:num w:numId="5" w16cid:durableId="1600065718">
    <w:abstractNumId w:val="8"/>
  </w:num>
  <w:num w:numId="6" w16cid:durableId="1488588707">
    <w:abstractNumId w:val="5"/>
  </w:num>
  <w:num w:numId="7" w16cid:durableId="1641418315">
    <w:abstractNumId w:val="4"/>
  </w:num>
  <w:num w:numId="8" w16cid:durableId="419134105">
    <w:abstractNumId w:val="2"/>
  </w:num>
  <w:num w:numId="9" w16cid:durableId="838273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37C9"/>
    <w:rsid w:val="00035676"/>
    <w:rsid w:val="000661B2"/>
    <w:rsid w:val="0008356F"/>
    <w:rsid w:val="00085434"/>
    <w:rsid w:val="000B60DE"/>
    <w:rsid w:val="000B67EF"/>
    <w:rsid w:val="000B7C2F"/>
    <w:rsid w:val="000E71F1"/>
    <w:rsid w:val="001139D3"/>
    <w:rsid w:val="00124693"/>
    <w:rsid w:val="0015124D"/>
    <w:rsid w:val="0015276D"/>
    <w:rsid w:val="001527D6"/>
    <w:rsid w:val="0015505E"/>
    <w:rsid w:val="0017210D"/>
    <w:rsid w:val="00176082"/>
    <w:rsid w:val="0018099C"/>
    <w:rsid w:val="001945A8"/>
    <w:rsid w:val="00194AA3"/>
    <w:rsid w:val="001C0251"/>
    <w:rsid w:val="001C3ABD"/>
    <w:rsid w:val="001C6931"/>
    <w:rsid w:val="001D51F8"/>
    <w:rsid w:val="001D763A"/>
    <w:rsid w:val="001E52EA"/>
    <w:rsid w:val="001E63B0"/>
    <w:rsid w:val="00236050"/>
    <w:rsid w:val="00247CF2"/>
    <w:rsid w:val="002577D2"/>
    <w:rsid w:val="002739C3"/>
    <w:rsid w:val="00285600"/>
    <w:rsid w:val="002953CE"/>
    <w:rsid w:val="002B2806"/>
    <w:rsid w:val="002D6069"/>
    <w:rsid w:val="002E0DE9"/>
    <w:rsid w:val="002E3144"/>
    <w:rsid w:val="002E7C99"/>
    <w:rsid w:val="002F131F"/>
    <w:rsid w:val="0030267F"/>
    <w:rsid w:val="00331D38"/>
    <w:rsid w:val="0035024E"/>
    <w:rsid w:val="00374118"/>
    <w:rsid w:val="003C569E"/>
    <w:rsid w:val="004348A7"/>
    <w:rsid w:val="0044352F"/>
    <w:rsid w:val="004456DC"/>
    <w:rsid w:val="004552E7"/>
    <w:rsid w:val="004714F5"/>
    <w:rsid w:val="004964AF"/>
    <w:rsid w:val="004A2A15"/>
    <w:rsid w:val="004B6EB0"/>
    <w:rsid w:val="004C028E"/>
    <w:rsid w:val="004D3FC4"/>
    <w:rsid w:val="004D4B75"/>
    <w:rsid w:val="004D5029"/>
    <w:rsid w:val="004F7D19"/>
    <w:rsid w:val="00513F35"/>
    <w:rsid w:val="005201A6"/>
    <w:rsid w:val="005330F7"/>
    <w:rsid w:val="005522D4"/>
    <w:rsid w:val="005562C1"/>
    <w:rsid w:val="00563598"/>
    <w:rsid w:val="00584954"/>
    <w:rsid w:val="005B1F6F"/>
    <w:rsid w:val="005B3D6A"/>
    <w:rsid w:val="005C28E8"/>
    <w:rsid w:val="005C469B"/>
    <w:rsid w:val="005C4CFE"/>
    <w:rsid w:val="005C7FBE"/>
    <w:rsid w:val="005E0D1F"/>
    <w:rsid w:val="005E6D3C"/>
    <w:rsid w:val="005F738C"/>
    <w:rsid w:val="0061131F"/>
    <w:rsid w:val="00641151"/>
    <w:rsid w:val="00683B57"/>
    <w:rsid w:val="00691D42"/>
    <w:rsid w:val="006A7DC4"/>
    <w:rsid w:val="006D7B10"/>
    <w:rsid w:val="006E56B6"/>
    <w:rsid w:val="006F5B78"/>
    <w:rsid w:val="007135CF"/>
    <w:rsid w:val="00721932"/>
    <w:rsid w:val="00744732"/>
    <w:rsid w:val="007460F9"/>
    <w:rsid w:val="007745FF"/>
    <w:rsid w:val="007A1D97"/>
    <w:rsid w:val="007A369D"/>
    <w:rsid w:val="007C3A15"/>
    <w:rsid w:val="007F2283"/>
    <w:rsid w:val="00842B75"/>
    <w:rsid w:val="00843095"/>
    <w:rsid w:val="00872FF8"/>
    <w:rsid w:val="00875AF3"/>
    <w:rsid w:val="00891B85"/>
    <w:rsid w:val="008B0AC3"/>
    <w:rsid w:val="008D2E27"/>
    <w:rsid w:val="0092671C"/>
    <w:rsid w:val="00933B90"/>
    <w:rsid w:val="00956BE9"/>
    <w:rsid w:val="00960239"/>
    <w:rsid w:val="00975F46"/>
    <w:rsid w:val="00976F39"/>
    <w:rsid w:val="00984BDA"/>
    <w:rsid w:val="00991405"/>
    <w:rsid w:val="009A15E3"/>
    <w:rsid w:val="009A3488"/>
    <w:rsid w:val="00A42BBC"/>
    <w:rsid w:val="00A44ED2"/>
    <w:rsid w:val="00A9675B"/>
    <w:rsid w:val="00AA6139"/>
    <w:rsid w:val="00AB1048"/>
    <w:rsid w:val="00AC06A1"/>
    <w:rsid w:val="00AE2C11"/>
    <w:rsid w:val="00AE4A6B"/>
    <w:rsid w:val="00AE7743"/>
    <w:rsid w:val="00B00FDF"/>
    <w:rsid w:val="00B0475B"/>
    <w:rsid w:val="00B22CE5"/>
    <w:rsid w:val="00B2639C"/>
    <w:rsid w:val="00B51A11"/>
    <w:rsid w:val="00B72F49"/>
    <w:rsid w:val="00BA192A"/>
    <w:rsid w:val="00BB7FAE"/>
    <w:rsid w:val="00C10173"/>
    <w:rsid w:val="00C7409D"/>
    <w:rsid w:val="00C80166"/>
    <w:rsid w:val="00C86886"/>
    <w:rsid w:val="00CA215F"/>
    <w:rsid w:val="00CA7C24"/>
    <w:rsid w:val="00CC70BD"/>
    <w:rsid w:val="00CD3B82"/>
    <w:rsid w:val="00CF02E5"/>
    <w:rsid w:val="00CF5D3B"/>
    <w:rsid w:val="00D15DB8"/>
    <w:rsid w:val="00D42B0F"/>
    <w:rsid w:val="00D93628"/>
    <w:rsid w:val="00DA1C8A"/>
    <w:rsid w:val="00DE5171"/>
    <w:rsid w:val="00E167BD"/>
    <w:rsid w:val="00E16D5C"/>
    <w:rsid w:val="00E54BF3"/>
    <w:rsid w:val="00E87B52"/>
    <w:rsid w:val="00E943F1"/>
    <w:rsid w:val="00EC5634"/>
    <w:rsid w:val="00ED44B2"/>
    <w:rsid w:val="00EF5C8A"/>
    <w:rsid w:val="00F20B11"/>
    <w:rsid w:val="00F35153"/>
    <w:rsid w:val="00F55BC2"/>
    <w:rsid w:val="00FE1AA9"/>
    <w:rsid w:val="00FE7DCA"/>
    <w:rsid w:val="00FF11C8"/>
    <w:rsid w:val="00FF12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135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2A15"/>
    <w:pPr>
      <w:spacing w:after="0" w:line="240" w:lineRule="auto"/>
    </w:pPr>
  </w:style>
  <w:style w:type="character" w:customStyle="1" w:styleId="Heading2Char">
    <w:name w:val="Heading 2 Char"/>
    <w:basedOn w:val="DefaultParagraphFont"/>
    <w:link w:val="Heading2"/>
    <w:uiPriority w:val="9"/>
    <w:semiHidden/>
    <w:rsid w:val="007135C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E293A-83C1-4B42-A382-33FBBADA1C01}">
  <ds:schemaRefs>
    <ds:schemaRef ds:uri="http://schemas.microsoft.com/sharepoint/v3/contenttype/forms"/>
  </ds:schemaRefs>
</ds:datastoreItem>
</file>

<file path=customXml/itemProps2.xml><?xml version="1.0" encoding="utf-8"?>
<ds:datastoreItem xmlns:ds="http://schemas.openxmlformats.org/officeDocument/2006/customXml" ds:itemID="{F46D2A71-7161-4D0B-A3B0-13A0F85C563C}">
  <ds:schemaRefs>
    <ds:schemaRef ds:uri="http://schemas.openxmlformats.org/officeDocument/2006/bibliography"/>
  </ds:schemaRefs>
</ds:datastoreItem>
</file>

<file path=customXml/itemProps3.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C7F46CA6-46F6-451A-8948-4382A872E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884</Words>
  <Characters>5045</Characters>
  <Application>Microsoft Office Word</Application>
  <DocSecurity>0</DocSecurity>
  <Lines>42</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cp:revision>
  <dcterms:created xsi:type="dcterms:W3CDTF">2025-11-08T10:23:00Z</dcterms:created>
  <dcterms:modified xsi:type="dcterms:W3CDTF">2025-11-12T15:04:00Z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