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C4587" w:rsidRPr="00BE6C85" w14:paraId="33BF408F"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47FE6C6" w14:textId="77777777" w:rsidR="002C4587" w:rsidRPr="00002A97" w:rsidRDefault="002C4587"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B1C7B6D" wp14:editId="1EB7D765">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9C4F042"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eastAsia="es-ES"/>
              </w:rPr>
            </w:pPr>
          </w:p>
          <w:p w14:paraId="6341BB89"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CONVENCIÓN SOBRE</w:t>
            </w:r>
          </w:p>
          <w:p w14:paraId="6BC4735F"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LAS ESPECIES</w:t>
            </w:r>
          </w:p>
          <w:p w14:paraId="6A8B0656"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27EF0C6" w14:textId="1C0442D0" w:rsidR="002C4587" w:rsidRPr="009F557D" w:rsidRDefault="002C4587"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F557D">
              <w:rPr>
                <w:rFonts w:eastAsia="Times New Roman" w:cs="Arial"/>
                <w:szCs w:val="24"/>
                <w:lang w:eastAsia="es-ES"/>
              </w:rPr>
              <w:t>UNEP/CMS/COP15/Doc.</w:t>
            </w:r>
            <w:r w:rsidR="0049075B" w:rsidRPr="009F557D">
              <w:rPr>
                <w:rFonts w:eastAsia="Times New Roman" w:cs="Arial"/>
                <w:szCs w:val="24"/>
                <w:lang w:eastAsia="es-ES"/>
              </w:rPr>
              <w:t>31.2.1</w:t>
            </w:r>
          </w:p>
          <w:p w14:paraId="0AE7CC7A" w14:textId="39FD5C4A" w:rsidR="002C4587" w:rsidRPr="009F557D" w:rsidRDefault="0049075B"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rPr>
            </w:pPr>
            <w:r w:rsidRPr="009F557D">
              <w:rPr>
                <w:rFonts w:eastAsia="Times New Roman" w:cs="Arial"/>
                <w:szCs w:val="24"/>
                <w:lang w:eastAsia="es-ES"/>
              </w:rPr>
              <w:t xml:space="preserve">24 de octubre </w:t>
            </w:r>
            <w:r w:rsidR="002C4587" w:rsidRPr="009F557D">
              <w:rPr>
                <w:rFonts w:eastAsia="Times New Roman" w:cs="Arial"/>
                <w:szCs w:val="24"/>
                <w:lang w:eastAsia="es-ES"/>
              </w:rPr>
              <w:t>2025</w:t>
            </w:r>
          </w:p>
          <w:p w14:paraId="799C1133" w14:textId="77777777" w:rsidR="002C4587" w:rsidRPr="00002A97" w:rsidRDefault="002C4587"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34CCA29" w14:textId="77777777" w:rsidR="002C4587" w:rsidRPr="000F4BDA" w:rsidRDefault="002C4587"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szCs w:val="24"/>
                <w:lang w:eastAsia="es-ES"/>
              </w:rPr>
              <w:t>Original: Inglés</w:t>
            </w:r>
          </w:p>
          <w:p w14:paraId="63F471D1" w14:textId="77777777" w:rsidR="002C4587" w:rsidRPr="00002A97" w:rsidRDefault="002C4587" w:rsidP="00B25E23">
            <w:pPr>
              <w:widowControl w:val="0"/>
              <w:suppressAutoHyphens/>
              <w:autoSpaceDE w:val="0"/>
              <w:autoSpaceDN w:val="0"/>
              <w:spacing w:after="0" w:line="240" w:lineRule="auto"/>
              <w:textAlignment w:val="baseline"/>
              <w:rPr>
                <w:rFonts w:eastAsia="Times New Roman" w:cs="Arial"/>
                <w:sz w:val="12"/>
                <w:szCs w:val="12"/>
                <w:lang w:eastAsia="es-ES"/>
              </w:rPr>
            </w:pPr>
          </w:p>
        </w:tc>
      </w:tr>
    </w:tbl>
    <w:p w14:paraId="42239706" w14:textId="77777777" w:rsidR="00373F7F" w:rsidRPr="00002A97" w:rsidRDefault="00373F7F" w:rsidP="00373F7F">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eastAsia="es-ES"/>
        </w:rPr>
      </w:pPr>
    </w:p>
    <w:p w14:paraId="6A659193" w14:textId="77777777" w:rsidR="00373F7F" w:rsidRPr="00002A97" w:rsidRDefault="00373F7F" w:rsidP="00373F7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szCs w:val="24"/>
          <w:lang w:eastAsia="es-ES"/>
        </w:rPr>
        <w:t>1</w:t>
      </w:r>
      <w:r>
        <w:rPr>
          <w:rFonts w:eastAsia="Times New Roman" w:cs="Arial"/>
          <w:szCs w:val="24"/>
          <w:lang w:eastAsia="es-ES"/>
        </w:rPr>
        <w:t>5</w:t>
      </w:r>
      <w:r w:rsidRPr="00002A97">
        <w:rPr>
          <w:rFonts w:eastAsia="Times New Roman" w:cs="Arial"/>
          <w:szCs w:val="24"/>
          <w:lang w:eastAsia="es-ES"/>
        </w:rPr>
        <w:t>ª REUNIÓN DE LA CONFERENCIA DE LAS PARTES</w:t>
      </w:r>
    </w:p>
    <w:p w14:paraId="558EB0C8" w14:textId="77777777" w:rsidR="00373F7F" w:rsidRPr="00002A97" w:rsidRDefault="00373F7F" w:rsidP="00373F7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rPr>
      </w:pPr>
      <w:r>
        <w:rPr>
          <w:rFonts w:eastAsia="Times New Roman" w:cs="Arial"/>
          <w:bCs/>
          <w:szCs w:val="24"/>
          <w:lang w:eastAsia="es-ES"/>
        </w:rPr>
        <w:t>Campo Grande, Brasil, 23 al 29 marzo</w:t>
      </w:r>
      <w:r w:rsidRPr="00002A97">
        <w:rPr>
          <w:rFonts w:eastAsia="Times New Roman" w:cs="Arial"/>
          <w:bCs/>
          <w:szCs w:val="24"/>
          <w:lang w:eastAsia="es-ES"/>
        </w:rPr>
        <w:t xml:space="preserve"> 202</w:t>
      </w:r>
      <w:r>
        <w:rPr>
          <w:rFonts w:eastAsia="Times New Roman" w:cs="Arial"/>
          <w:bCs/>
          <w:szCs w:val="24"/>
          <w:lang w:eastAsia="es-ES"/>
        </w:rPr>
        <w:t>6</w:t>
      </w:r>
    </w:p>
    <w:p w14:paraId="59D6FD3E" w14:textId="0312427D" w:rsidR="00E87B52" w:rsidRPr="000D64B3" w:rsidRDefault="00373F7F" w:rsidP="00373F7F">
      <w:pPr>
        <w:widowControl w:val="0"/>
        <w:suppressAutoHyphens/>
        <w:autoSpaceDE w:val="0"/>
        <w:autoSpaceDN w:val="0"/>
        <w:spacing w:after="0" w:line="240" w:lineRule="auto"/>
        <w:textAlignment w:val="baseline"/>
        <w:rPr>
          <w:rFonts w:eastAsia="Times New Roman" w:cs="Arial"/>
        </w:rPr>
      </w:pPr>
      <w:r w:rsidRPr="00002A97">
        <w:rPr>
          <w:rFonts w:eastAsia="Times New Roman" w:cs="Arial"/>
          <w:szCs w:val="24"/>
          <w:lang w:eastAsia="es-ES"/>
        </w:rPr>
        <w:t xml:space="preserve">Punto </w:t>
      </w:r>
      <w:r w:rsidR="0049075B">
        <w:rPr>
          <w:rFonts w:eastAsia="Times New Roman" w:cs="Arial"/>
          <w:szCs w:val="24"/>
          <w:lang w:eastAsia="es-ES"/>
        </w:rPr>
        <w:t xml:space="preserve">31.2.1 </w:t>
      </w:r>
      <w:r w:rsidRPr="00002A97">
        <w:rPr>
          <w:rFonts w:eastAsia="Times New Roman" w:cs="Arial"/>
          <w:szCs w:val="24"/>
          <w:lang w:eastAsia="es-ES"/>
        </w:rPr>
        <w:t>del orden del día</w:t>
      </w:r>
    </w:p>
    <w:p w14:paraId="42E245A3" w14:textId="77777777" w:rsidR="00E87B52" w:rsidRDefault="00E87B52" w:rsidP="002E0DE9">
      <w:pPr>
        <w:widowControl w:val="0"/>
        <w:suppressAutoHyphens/>
        <w:autoSpaceDE w:val="0"/>
        <w:autoSpaceDN w:val="0"/>
        <w:spacing w:after="0" w:line="240" w:lineRule="auto"/>
        <w:textAlignment w:val="baseline"/>
        <w:rPr>
          <w:rFonts w:eastAsia="Times New Roman" w:cs="Arial"/>
        </w:rPr>
      </w:pPr>
    </w:p>
    <w:p w14:paraId="3F06C048" w14:textId="77777777" w:rsidR="0049075B" w:rsidRPr="000D64B3" w:rsidRDefault="0049075B" w:rsidP="002E0DE9">
      <w:pPr>
        <w:widowControl w:val="0"/>
        <w:suppressAutoHyphens/>
        <w:autoSpaceDE w:val="0"/>
        <w:autoSpaceDN w:val="0"/>
        <w:spacing w:after="0" w:line="240" w:lineRule="auto"/>
        <w:textAlignment w:val="baseline"/>
        <w:rPr>
          <w:rFonts w:eastAsia="Times New Roman" w:cs="Arial"/>
        </w:rPr>
      </w:pPr>
    </w:p>
    <w:p w14:paraId="07B91489" w14:textId="2C48B59C" w:rsidR="00E87B52" w:rsidRPr="000D64B3"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0D64B3">
        <w:rPr>
          <w:rFonts w:eastAsia="Times New Roman" w:cs="Arial"/>
          <w:b/>
          <w:bCs/>
        </w:rPr>
        <w:t xml:space="preserve">INFORME SOBRE LA APLICACIÓN DE LA ACCIÓN CONCERTADA PARA </w:t>
      </w:r>
    </w:p>
    <w:p w14:paraId="6255720E" w14:textId="192C2D51" w:rsidR="00E87B52" w:rsidRPr="000D64B3" w:rsidRDefault="004F6FCF"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0D64B3">
        <w:rPr>
          <w:rFonts w:eastAsia="Times New Roman" w:cs="Arial"/>
          <w:b/>
          <w:bCs/>
        </w:rPr>
        <w:t>LA DIVERSIDAD DE COMPORTAMIENTOS Y CULTURAS DEL CHIMPANCÉ (</w:t>
      </w:r>
      <w:r w:rsidRPr="000D64B3">
        <w:rPr>
          <w:rFonts w:eastAsia="Times New Roman" w:cs="Arial"/>
          <w:b/>
          <w:bCs/>
          <w:i/>
        </w:rPr>
        <w:t>Pan troglodytes</w:t>
      </w:r>
      <w:r w:rsidRPr="000D64B3">
        <w:rPr>
          <w:rFonts w:eastAsia="Times New Roman" w:cs="Arial"/>
          <w:b/>
          <w:bCs/>
        </w:rPr>
        <w:t>)</w:t>
      </w:r>
      <w:r w:rsidR="00E87B52" w:rsidRPr="000D64B3">
        <w:rPr>
          <w:rFonts w:eastAsia="Times New Roman" w:cs="Arial"/>
          <w:sz w:val="21"/>
          <w:szCs w:val="21"/>
        </w:rPr>
        <w:t>*</w:t>
      </w:r>
    </w:p>
    <w:p w14:paraId="04541202" w14:textId="77777777" w:rsidR="002E0DE9" w:rsidRPr="000D64B3"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0D64B3"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8CA71AC" w:rsidR="002E0DE9" w:rsidRPr="000D64B3"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2F7874FA"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D7DFD75"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D899B8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28D00B9"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1C7FAB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5A3C1B6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05714055" w:rsidR="002E0DE9" w:rsidRPr="000D64B3" w:rsidRDefault="00746CF2" w:rsidP="002E0DE9">
      <w:pPr>
        <w:widowControl w:val="0"/>
        <w:suppressAutoHyphens/>
        <w:autoSpaceDE w:val="0"/>
        <w:autoSpaceDN w:val="0"/>
        <w:spacing w:after="0" w:line="240" w:lineRule="auto"/>
        <w:textAlignment w:val="baseline"/>
        <w:rPr>
          <w:rFonts w:eastAsia="Times New Roman" w:cs="Arial"/>
          <w:sz w:val="21"/>
          <w:szCs w:val="21"/>
        </w:rPr>
      </w:pPr>
      <w:r w:rsidRPr="000D64B3">
        <w:rPr>
          <w:rFonts w:eastAsia="Times New Roman" w:cs="Arial"/>
          <w:noProof/>
          <w:sz w:val="21"/>
          <w:szCs w:val="21"/>
          <w:lang w:eastAsia="es-ES"/>
        </w:rPr>
        <mc:AlternateContent>
          <mc:Choice Requires="wps">
            <w:drawing>
              <wp:anchor distT="0" distB="0" distL="114300" distR="114300" simplePos="0" relativeHeight="251658240" behindDoc="1" locked="0" layoutInCell="1" allowOverlap="1" wp14:anchorId="6AF39586" wp14:editId="61AC38C9">
                <wp:simplePos x="0" y="0"/>
                <wp:positionH relativeFrom="margin">
                  <wp:posOffset>923925</wp:posOffset>
                </wp:positionH>
                <wp:positionV relativeFrom="margin">
                  <wp:posOffset>2847975</wp:posOffset>
                </wp:positionV>
                <wp:extent cx="4362450" cy="1447800"/>
                <wp:effectExtent l="0" t="0" r="19050" b="19050"/>
                <wp:wrapSquare wrapText="bothSides"/>
                <wp:docPr id="5" name="Text Box 4"/>
                <wp:cNvGraphicFramePr/>
                <a:graphic xmlns:a="http://schemas.openxmlformats.org/drawingml/2006/main">
                  <a:graphicData uri="http://schemas.microsoft.com/office/word/2010/wordprocessingShape">
                    <wps:wsp>
                      <wps:cNvSpPr txBox="1"/>
                      <wps:spPr>
                        <a:xfrm>
                          <a:off x="0" y="0"/>
                          <a:ext cx="4362450" cy="1447800"/>
                        </a:xfrm>
                        <a:prstGeom prst="rect">
                          <a:avLst/>
                        </a:prstGeom>
                        <a:solidFill>
                          <a:srgbClr val="FFFFFF"/>
                        </a:solidFill>
                        <a:ln w="3172">
                          <a:solidFill>
                            <a:srgbClr val="000000"/>
                          </a:solidFill>
                          <a:prstDash val="solid"/>
                        </a:ln>
                      </wps:spPr>
                      <wps:txbx>
                        <w:txbxContent>
                          <w:p w14:paraId="361301A9" w14:textId="77777777" w:rsidR="002E0DE9" w:rsidRPr="000D64B3" w:rsidRDefault="002E0DE9" w:rsidP="0049075B">
                            <w:pPr>
                              <w:spacing w:after="0" w:line="240" w:lineRule="auto"/>
                              <w:jc w:val="both"/>
                              <w:rPr>
                                <w:rFonts w:cs="Arial"/>
                              </w:rPr>
                            </w:pPr>
                            <w:r w:rsidRPr="000D64B3">
                              <w:rPr>
                                <w:rFonts w:cs="Arial"/>
                              </w:rPr>
                              <w:t>Resumen:</w:t>
                            </w:r>
                          </w:p>
                          <w:p w14:paraId="12338272" w14:textId="097C4F46" w:rsidR="002E0DE9" w:rsidRPr="000D64B3" w:rsidRDefault="002E0DE9" w:rsidP="0049075B">
                            <w:pPr>
                              <w:spacing w:after="0" w:line="240" w:lineRule="auto"/>
                              <w:jc w:val="both"/>
                              <w:rPr>
                                <w:rFonts w:cs="Arial"/>
                              </w:rPr>
                            </w:pPr>
                          </w:p>
                          <w:p w14:paraId="6F7AA867" w14:textId="7F255769" w:rsidR="004F6FCF" w:rsidRPr="000D64B3" w:rsidRDefault="00E87B52" w:rsidP="0049075B">
                            <w:pPr>
                              <w:spacing w:after="0" w:line="240" w:lineRule="auto"/>
                              <w:jc w:val="both"/>
                              <w:rPr>
                                <w:rFonts w:eastAsia="Times New Roman" w:cs="Arial"/>
                              </w:rPr>
                            </w:pPr>
                            <w:r w:rsidRPr="000D64B3">
                              <w:rPr>
                                <w:rFonts w:eastAsia="Times New Roman" w:cs="Arial"/>
                              </w:rPr>
                              <w:t>El Grupo de Trabajo sobre Culturas de Chimpancés (WGCC) del Grupo de Especialistas en Grandes Simios (SGA) de la Comisión de Supervivencia de Especies (CSE) de la UICN ha presentado el informe adjunto sobre la aplicación de la Acción Concertada para la Diversidad de Comportamientos y Culturas del Chimpancé (</w:t>
                            </w:r>
                            <w:r w:rsidR="004F6FCF" w:rsidRPr="000D64B3">
                              <w:rPr>
                                <w:rFonts w:cs="Arial"/>
                                <w:i/>
                                <w:iCs/>
                              </w:rPr>
                              <w:t>Pan troglodytes</w:t>
                            </w:r>
                            <w:r w:rsidRPr="000D64B3">
                              <w:rPr>
                                <w:rFonts w:eastAsia="Times New Roman" w:cs="Arial"/>
                              </w:rPr>
                              <w:t>)</w:t>
                            </w:r>
                            <w:r w:rsidRPr="000D64B3">
                              <w:rPr>
                                <w:rFonts w:eastAsia="Times New Roman" w:cs="Arial"/>
                                <w:i/>
                              </w:rPr>
                              <w:t xml:space="preserve">, </w:t>
                            </w:r>
                            <w:r w:rsidR="00B9105D" w:rsidRPr="000D64B3">
                              <w:rPr>
                                <w:rFonts w:eastAsia="Times New Roman" w:cs="Arial"/>
                                <w:iCs/>
                              </w:rPr>
                              <w:t>UNEP/CMS/Acción Concertada 14.1.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2.75pt;margin-top:224.25pt;width:343.5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" strokeweight=".08811mm">
                <v:textbox>
                  <w:txbxContent>
                    <w:p w14:paraId="361301A9" w14:textId="77777777" w:rsidR="002E0DE9" w:rsidRPr="000D64B3" w:rsidRDefault="002E0DE9" w:rsidP="0049075B">
                      <w:pPr>
                        <w:spacing w:after="0" w:line="240" w:lineRule="auto"/>
                        <w:jc w:val="both"/>
                        <w:rPr>
                          <w:rFonts w:cs="Arial"/>
                        </w:rPr>
                      </w:pPr>
                      <w:r w:rsidRPr="000D64B3">
                        <w:rPr>
                          <w:rFonts w:cs="Arial"/>
                        </w:rPr>
                        <w:t>Resumen:</w:t>
                      </w:r>
                    </w:p>
                    <w:p w14:paraId="12338272" w14:textId="097C4F46" w:rsidR="002E0DE9" w:rsidRPr="000D64B3" w:rsidRDefault="002E0DE9" w:rsidP="0049075B">
                      <w:pPr>
                        <w:spacing w:after="0" w:line="240" w:lineRule="auto"/>
                        <w:jc w:val="both"/>
                        <w:rPr>
                          <w:rFonts w:cs="Arial"/>
                        </w:rPr>
                      </w:pPr>
                    </w:p>
                    <w:p w14:paraId="6F7AA867" w14:textId="7F255769" w:rsidR="004F6FCF" w:rsidRPr="000D64B3" w:rsidRDefault="00E87B52" w:rsidP="0049075B">
                      <w:pPr>
                        <w:spacing w:after="0" w:line="240" w:lineRule="auto"/>
                        <w:jc w:val="both"/>
                        <w:rPr>
                          <w:rFonts w:eastAsia="Times New Roman" w:cs="Arial"/>
                        </w:rPr>
                      </w:pPr>
                      <w:r w:rsidRPr="000D64B3">
                        <w:rPr>
                          <w:rFonts w:eastAsia="Times New Roman" w:cs="Arial"/>
                        </w:rPr>
                        <w:t>El Grupo de Trabajo sobre Culturas de Chimpancés (WGCC) del Grupo de Especialistas en Grandes Simios (SGA) de la Comisión de Supervivencia de Especies (CSE) de la UICN ha presentado el informe adjunto sobre la aplicación de la Acción Concertada para la Diversidad de Comportamientos y Culturas del Chimpancé (</w:t>
                      </w:r>
                      <w:r w:rsidR="004F6FCF" w:rsidRPr="000D64B3">
                        <w:rPr>
                          <w:rFonts w:cs="Arial"/>
                          <w:i/>
                          <w:iCs/>
                        </w:rPr>
                        <w:t xml:space="preserve">Pan </w:t>
                      </w:r>
                      <w:proofErr w:type="spellStart"/>
                      <w:r w:rsidR="004F6FCF" w:rsidRPr="000D64B3">
                        <w:rPr>
                          <w:rFonts w:cs="Arial"/>
                          <w:i/>
                          <w:iCs/>
                        </w:rPr>
                        <w:t>troglodytes</w:t>
                      </w:r>
                      <w:proofErr w:type="spellEnd"/>
                      <w:r w:rsidRPr="000D64B3">
                        <w:rPr>
                          <w:rFonts w:eastAsia="Times New Roman" w:cs="Arial"/>
                        </w:rPr>
                        <w:t>)</w:t>
                      </w:r>
                      <w:r w:rsidRPr="000D64B3">
                        <w:rPr>
                          <w:rFonts w:eastAsia="Times New Roman" w:cs="Arial"/>
                          <w:i/>
                        </w:rPr>
                        <w:t xml:space="preserve">, </w:t>
                      </w:r>
                      <w:r w:rsidR="00B9105D" w:rsidRPr="000D64B3">
                        <w:rPr>
                          <w:rFonts w:eastAsia="Times New Roman" w:cs="Arial"/>
                          <w:iCs/>
                        </w:rPr>
                        <w:t>UNEP/CMS/Acción Concertada 14.1.</w:t>
                      </w:r>
                    </w:p>
                  </w:txbxContent>
                </v:textbox>
                <w10:wrap type="square" anchorx="margin" anchory="margin"/>
              </v:shape>
            </w:pict>
          </mc:Fallback>
        </mc:AlternateContent>
      </w:r>
    </w:p>
    <w:p w14:paraId="6F660C3B"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0D64B3"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Pr="000D64B3" w:rsidRDefault="005330F7" w:rsidP="002E0DE9">
      <w:pPr>
        <w:spacing w:after="0" w:line="240" w:lineRule="auto"/>
      </w:pPr>
    </w:p>
    <w:p w14:paraId="490DC140" w14:textId="77777777" w:rsidR="002E0DE9" w:rsidRPr="000D64B3" w:rsidRDefault="002E0DE9" w:rsidP="002E0DE9">
      <w:pPr>
        <w:spacing w:after="0" w:line="240" w:lineRule="auto"/>
      </w:pPr>
    </w:p>
    <w:p w14:paraId="2FBBA2D8" w14:textId="77777777" w:rsidR="002E0DE9" w:rsidRPr="000D64B3" w:rsidRDefault="002E0DE9" w:rsidP="002E0DE9">
      <w:pPr>
        <w:spacing w:after="0" w:line="240" w:lineRule="auto"/>
      </w:pPr>
    </w:p>
    <w:p w14:paraId="4C631634" w14:textId="77777777" w:rsidR="002E0DE9" w:rsidRPr="000D64B3" w:rsidRDefault="002E0DE9" w:rsidP="002E0DE9">
      <w:pPr>
        <w:spacing w:after="0" w:line="240" w:lineRule="auto"/>
      </w:pPr>
    </w:p>
    <w:p w14:paraId="1057ABA6" w14:textId="77777777" w:rsidR="002E0DE9" w:rsidRPr="000D64B3" w:rsidRDefault="002E0DE9" w:rsidP="002E0DE9">
      <w:pPr>
        <w:spacing w:after="0" w:line="240" w:lineRule="auto"/>
      </w:pPr>
    </w:p>
    <w:p w14:paraId="0E60C238" w14:textId="77777777" w:rsidR="002E0DE9" w:rsidRPr="000D64B3" w:rsidRDefault="002E0DE9" w:rsidP="002E0DE9">
      <w:pPr>
        <w:spacing w:after="0" w:line="240" w:lineRule="auto"/>
      </w:pPr>
    </w:p>
    <w:p w14:paraId="310799B0" w14:textId="77777777" w:rsidR="002E0DE9" w:rsidRPr="000D64B3" w:rsidRDefault="002E0DE9" w:rsidP="002E0DE9">
      <w:pPr>
        <w:spacing w:after="0" w:line="240" w:lineRule="auto"/>
      </w:pPr>
    </w:p>
    <w:p w14:paraId="0B9FC963" w14:textId="77777777" w:rsidR="002E0DE9" w:rsidRPr="000D64B3" w:rsidRDefault="002E0DE9" w:rsidP="002E0DE9">
      <w:pPr>
        <w:spacing w:after="0" w:line="240" w:lineRule="auto"/>
      </w:pPr>
    </w:p>
    <w:p w14:paraId="0BFD8348" w14:textId="77777777" w:rsidR="002E0DE9" w:rsidRPr="000D64B3" w:rsidRDefault="002E0DE9" w:rsidP="002E0DE9">
      <w:pPr>
        <w:spacing w:after="0" w:line="240" w:lineRule="auto"/>
      </w:pPr>
    </w:p>
    <w:p w14:paraId="1C2B3055" w14:textId="77777777" w:rsidR="001705F1" w:rsidRPr="000D64B3" w:rsidRDefault="001705F1" w:rsidP="002E0DE9">
      <w:pPr>
        <w:spacing w:after="0" w:line="240" w:lineRule="auto"/>
      </w:pPr>
    </w:p>
    <w:p w14:paraId="0B76078B" w14:textId="77777777" w:rsidR="001705F1" w:rsidRPr="000D64B3" w:rsidRDefault="001705F1" w:rsidP="002E0DE9">
      <w:pPr>
        <w:spacing w:after="0" w:line="240" w:lineRule="auto"/>
      </w:pPr>
    </w:p>
    <w:p w14:paraId="4C6EAA0F" w14:textId="77777777" w:rsidR="001705F1" w:rsidRPr="000D64B3" w:rsidRDefault="001705F1" w:rsidP="002E0DE9">
      <w:pPr>
        <w:spacing w:after="0" w:line="240" w:lineRule="auto"/>
      </w:pPr>
    </w:p>
    <w:p w14:paraId="6D1A9006" w14:textId="77777777" w:rsidR="001705F1" w:rsidRPr="000D64B3" w:rsidRDefault="001705F1" w:rsidP="002E0DE9">
      <w:pPr>
        <w:spacing w:after="0" w:line="240" w:lineRule="auto"/>
      </w:pPr>
    </w:p>
    <w:p w14:paraId="395E6E37" w14:textId="77777777" w:rsidR="004F66C0" w:rsidRDefault="004F66C0" w:rsidP="004F66C0">
      <w:pPr>
        <w:widowControl w:val="0"/>
        <w:suppressAutoHyphens/>
        <w:autoSpaceDE w:val="0"/>
        <w:autoSpaceDN w:val="0"/>
        <w:spacing w:after="0" w:line="240" w:lineRule="auto"/>
        <w:textAlignment w:val="baseline"/>
        <w:rPr>
          <w:rFonts w:eastAsia="Times New Roman" w:cs="Arial"/>
          <w:lang w:eastAsia="es-ES"/>
        </w:rPr>
      </w:pPr>
    </w:p>
    <w:p w14:paraId="110A11D2" w14:textId="61B87849" w:rsidR="001705F1" w:rsidRPr="004F66C0" w:rsidRDefault="004F66C0" w:rsidP="00E87B52">
      <w:pPr>
        <w:widowControl w:val="0"/>
        <w:suppressAutoHyphens/>
        <w:autoSpaceDE w:val="0"/>
        <w:autoSpaceDN w:val="0"/>
        <w:spacing w:after="0" w:line="240" w:lineRule="auto"/>
        <w:jc w:val="both"/>
        <w:textAlignment w:val="baseline"/>
        <w:rPr>
          <w:rFonts w:eastAsia="Times New Roman" w:cs="Arial"/>
          <w:sz w:val="18"/>
          <w:szCs w:val="18"/>
        </w:rPr>
      </w:pPr>
      <w:r w:rsidRPr="00074B50">
        <w:rPr>
          <w:rFonts w:eastAsia="Times New Roman" w:cs="Arial"/>
          <w:sz w:val="18"/>
          <w:szCs w:val="18"/>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w:t>
      </w:r>
      <w:r>
        <w:rPr>
          <w:rFonts w:eastAsia="Times New Roman" w:cs="Arial"/>
          <w:sz w:val="18"/>
          <w:szCs w:val="18"/>
        </w:rPr>
        <w:t>r</w:t>
      </w:r>
      <w:r w:rsidR="009F557D">
        <w:rPr>
          <w:rFonts w:eastAsia="Times New Roman" w:cs="Arial"/>
          <w:sz w:val="18"/>
          <w:szCs w:val="18"/>
        </w:rPr>
        <w:t>.</w:t>
      </w:r>
    </w:p>
    <w:p w14:paraId="2DABE7E2" w14:textId="0EC00A9C" w:rsidR="001705F1" w:rsidRPr="004F66C0" w:rsidRDefault="001705F1" w:rsidP="00E87B52">
      <w:pPr>
        <w:widowControl w:val="0"/>
        <w:suppressAutoHyphens/>
        <w:autoSpaceDE w:val="0"/>
        <w:autoSpaceDN w:val="0"/>
        <w:spacing w:after="0" w:line="240" w:lineRule="auto"/>
        <w:jc w:val="both"/>
        <w:textAlignment w:val="baseline"/>
        <w:rPr>
          <w:rFonts w:eastAsia="Calibri" w:cs="Times New Roman"/>
        </w:rPr>
        <w:sectPr w:rsidR="001705F1" w:rsidRPr="004F66C0"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7F6A1B2F" w:rsidR="00E87B52" w:rsidRPr="000D64B3"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0D64B3">
        <w:rPr>
          <w:rFonts w:eastAsia="Times New Roman" w:cs="Arial"/>
          <w:b/>
          <w:bCs/>
        </w:rPr>
        <w:lastRenderedPageBreak/>
        <w:t xml:space="preserve">INFORME SOBRE LA APLICACIÓN DE LA ACCIÓN CONCERTADA PARA </w:t>
      </w:r>
    </w:p>
    <w:p w14:paraId="1957D9D4" w14:textId="7668076D" w:rsidR="00E87B52" w:rsidRPr="000D64B3"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rPr>
      </w:pPr>
      <w:r w:rsidRPr="000D64B3">
        <w:rPr>
          <w:rFonts w:eastAsia="Times New Roman" w:cs="Arial"/>
          <w:b/>
          <w:bCs/>
        </w:rPr>
        <w:t>LA DIVERSIDAD DE COMPORTAMIENTOS Y CULTURAS DEL CHIMPANCÉ (</w:t>
      </w:r>
      <w:r w:rsidR="004F6FCF" w:rsidRPr="000D64B3">
        <w:rPr>
          <w:rFonts w:eastAsia="Times New Roman" w:cs="Arial"/>
          <w:b/>
          <w:bCs/>
          <w:i/>
        </w:rPr>
        <w:t>Pan troglodytes</w:t>
      </w:r>
      <w:r w:rsidR="004F6FCF" w:rsidRPr="000D64B3">
        <w:rPr>
          <w:rFonts w:eastAsia="Times New Roman" w:cs="Arial"/>
          <w:b/>
          <w:bCs/>
        </w:rPr>
        <w:t>)</w:t>
      </w:r>
    </w:p>
    <w:p w14:paraId="5A4C5B94" w14:textId="2DBF049C" w:rsidR="00E87B52" w:rsidRPr="000D64B3" w:rsidRDefault="00E87B52" w:rsidP="00E87B52">
      <w:pPr>
        <w:suppressAutoHyphens/>
        <w:autoSpaceDN w:val="0"/>
        <w:spacing w:after="120" w:line="240" w:lineRule="auto"/>
        <w:jc w:val="center"/>
        <w:textAlignment w:val="baseline"/>
        <w:rPr>
          <w:rFonts w:eastAsia="Calibri" w:cs="Arial"/>
        </w:rPr>
      </w:pPr>
      <w:r w:rsidRPr="000D64B3">
        <w:rPr>
          <w:rFonts w:eastAsia="Calibri" w:cs="Arial"/>
        </w:rPr>
        <w:t>UNEP/CMS/ ACCIÓN CONCERTADA 14.1</w:t>
      </w:r>
    </w:p>
    <w:p w14:paraId="3E621422" w14:textId="77777777" w:rsidR="00E87B52" w:rsidRPr="000D64B3" w:rsidRDefault="00E87B52" w:rsidP="002B4083">
      <w:pPr>
        <w:suppressAutoHyphens/>
        <w:autoSpaceDN w:val="0"/>
        <w:spacing w:after="0" w:line="240" w:lineRule="auto"/>
        <w:textAlignment w:val="baseline"/>
        <w:rPr>
          <w:rFonts w:eastAsia="Calibri" w:cs="Arial"/>
        </w:rPr>
      </w:pPr>
    </w:p>
    <w:p w14:paraId="53AB2E3F" w14:textId="77777777" w:rsidR="00E87B52" w:rsidRPr="000D64B3" w:rsidRDefault="00E87B52" w:rsidP="002B4083">
      <w:pPr>
        <w:suppressAutoHyphens/>
        <w:autoSpaceDN w:val="0"/>
        <w:spacing w:after="0" w:line="240" w:lineRule="auto"/>
        <w:textAlignment w:val="baseline"/>
        <w:rPr>
          <w:rFonts w:eastAsia="Calibri" w:cs="Arial"/>
        </w:rPr>
      </w:pPr>
    </w:p>
    <w:p w14:paraId="42B16DFE" w14:textId="77777777" w:rsidR="00F55BC2" w:rsidRPr="000D64B3" w:rsidRDefault="00E87B52" w:rsidP="00B3365C">
      <w:pPr>
        <w:spacing w:after="0" w:line="240" w:lineRule="auto"/>
        <w:rPr>
          <w:rFonts w:eastAsia="Calibri" w:cs="Arial"/>
          <w:b/>
          <w:bCs/>
        </w:rPr>
      </w:pPr>
      <w:r w:rsidRPr="000D64B3">
        <w:rPr>
          <w:rFonts w:eastAsia="Calibri" w:cs="Arial"/>
          <w:b/>
          <w:bCs/>
        </w:rPr>
        <w:t>ACCIÓN CONCERTADA</w:t>
      </w:r>
    </w:p>
    <w:p w14:paraId="691A152E" w14:textId="6A4F2C94" w:rsidR="00E87B52" w:rsidRPr="000D64B3" w:rsidRDefault="00E87B52" w:rsidP="002B4083">
      <w:pPr>
        <w:spacing w:after="0" w:line="240" w:lineRule="auto"/>
        <w:rPr>
          <w:rFonts w:eastAsia="Calibri" w:cs="Arial"/>
        </w:rPr>
      </w:pPr>
    </w:p>
    <w:p w14:paraId="28AB6DF0" w14:textId="5B6EAFE0" w:rsidR="00E87B52" w:rsidRPr="000D64B3" w:rsidRDefault="00E87B52" w:rsidP="002B4083">
      <w:pPr>
        <w:suppressAutoHyphens/>
        <w:autoSpaceDN w:val="0"/>
        <w:spacing w:after="0" w:line="240" w:lineRule="auto"/>
        <w:textAlignment w:val="baseline"/>
        <w:rPr>
          <w:rFonts w:eastAsia="Calibri" w:cs="Arial"/>
        </w:rPr>
      </w:pPr>
      <w:r w:rsidRPr="000D64B3">
        <w:rPr>
          <w:rFonts w:eastAsia="Calibri" w:cs="Arial"/>
        </w:rPr>
        <w:t>Título: Acción Concertada para la Diversidad de Comportamientos y Culturas de los Chimpancés (</w:t>
      </w:r>
      <w:r w:rsidR="004F6FCF" w:rsidRPr="000D64B3">
        <w:rPr>
          <w:rFonts w:cs="Arial"/>
          <w:i/>
          <w:iCs/>
        </w:rPr>
        <w:t>Pan troglodytes</w:t>
      </w:r>
      <w:r w:rsidRPr="000D64B3">
        <w:rPr>
          <w:rFonts w:eastAsia="Calibri" w:cs="Arial"/>
        </w:rPr>
        <w:t>)</w:t>
      </w:r>
    </w:p>
    <w:p w14:paraId="37815350" w14:textId="77777777" w:rsidR="00F55BC2" w:rsidRPr="000D64B3" w:rsidRDefault="00F55BC2" w:rsidP="002B4083">
      <w:pPr>
        <w:suppressAutoHyphens/>
        <w:autoSpaceDN w:val="0"/>
        <w:spacing w:after="0" w:line="240" w:lineRule="auto"/>
        <w:textAlignment w:val="baseline"/>
        <w:rPr>
          <w:rFonts w:eastAsia="Calibri" w:cs="Arial"/>
        </w:rPr>
      </w:pPr>
    </w:p>
    <w:p w14:paraId="53A55D10" w14:textId="6AB2F243" w:rsidR="00E87B52" w:rsidRPr="000D64B3" w:rsidRDefault="00E87B52" w:rsidP="002B4083">
      <w:pPr>
        <w:suppressAutoHyphens/>
        <w:autoSpaceDN w:val="0"/>
        <w:spacing w:after="0" w:line="240" w:lineRule="auto"/>
        <w:textAlignment w:val="baseline"/>
        <w:rPr>
          <w:rFonts w:eastAsia="Calibri" w:cs="Arial"/>
          <w:i/>
        </w:rPr>
      </w:pPr>
      <w:r w:rsidRPr="000D64B3">
        <w:rPr>
          <w:rFonts w:eastAsia="Calibri" w:cs="Arial"/>
        </w:rPr>
        <w:t>Número de documento:</w:t>
      </w:r>
      <w:r w:rsidRPr="000D64B3">
        <w:rPr>
          <w:rFonts w:eastAsia="Calibri" w:cs="Arial"/>
          <w:i/>
        </w:rPr>
        <w:t xml:space="preserve"> Acción Concertada 14.1</w:t>
      </w:r>
    </w:p>
    <w:p w14:paraId="3384FDBC" w14:textId="77777777" w:rsidR="002E42C7" w:rsidRPr="000D64B3" w:rsidRDefault="002E42C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5CD0F5FC" w14:textId="77777777" w:rsidR="008B2454" w:rsidRPr="000D64B3" w:rsidRDefault="008B2454" w:rsidP="00B3365C">
      <w:pPr>
        <w:spacing w:after="0" w:line="240" w:lineRule="auto"/>
        <w:jc w:val="both"/>
        <w:rPr>
          <w:b/>
          <w:bCs/>
        </w:rPr>
      </w:pPr>
      <w:r w:rsidRPr="000D64B3">
        <w:rPr>
          <w:b/>
          <w:bCs/>
        </w:rPr>
        <w:t>GOBIERNO U ORGANIZACIÓN QUE PRESENTA EL INFORME</w:t>
      </w:r>
    </w:p>
    <w:p w14:paraId="3A66DB04" w14:textId="77777777" w:rsidR="004F6FCF" w:rsidRPr="000D64B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1EE24A3" w14:textId="3D3C0D7B" w:rsidR="004F6FCF" w:rsidRPr="000D64B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r w:rsidRPr="000D64B3">
        <w:rPr>
          <w:rFonts w:eastAsia="Calibri" w:cs="Arial"/>
          <w:bCs/>
        </w:rPr>
        <w:t xml:space="preserve">En nombre del Grupo de Expertos de la CMS sobre Cultura y Complejidad Social y del Grupo de Especialistas en Primates (PSG) de la </w:t>
      </w:r>
      <w:r w:rsidR="005F0914" w:rsidRPr="000D64B3">
        <w:rPr>
          <w:rFonts w:eastAsia="MS Mincho" w:cs="Arial"/>
          <w:bCs/>
          <w:iCs/>
          <w:lang w:eastAsia="es-ES"/>
        </w:rPr>
        <w:t xml:space="preserve">Comisión de Supervivencia de Especies (CSE) de la UICN, Sección sobre Grandes Simios (SGA), </w:t>
      </w:r>
      <w:r w:rsidRPr="000D64B3">
        <w:rPr>
          <w:rFonts w:eastAsia="Calibri" w:cs="Arial"/>
          <w:bCs/>
        </w:rPr>
        <w:t>Grupo de Trabajo sobre Culturas de Chimpancés:</w:t>
      </w:r>
    </w:p>
    <w:p w14:paraId="6915B8C8"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p>
    <w:p w14:paraId="6E459D26"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sectPr w:rsidR="00F764F4" w:rsidRPr="000D64B3" w:rsidSect="00BF2E29">
          <w:headerReference w:type="first" r:id="rId16"/>
          <w:footerReference w:type="first" r:id="rId17"/>
          <w:endnotePr>
            <w:numFmt w:val="decimal"/>
          </w:endnotePr>
          <w:pgSz w:w="11905" w:h="16837" w:code="9"/>
          <w:pgMar w:top="1440" w:right="1440" w:bottom="1440" w:left="1440" w:header="630" w:footer="432" w:gutter="0"/>
          <w:cols w:space="720"/>
          <w:titlePg/>
          <w:docGrid w:linePitch="299"/>
        </w:sectPr>
      </w:pPr>
    </w:p>
    <w:p w14:paraId="229C5831"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pPr>
      <w:r w:rsidRPr="000D64B3">
        <w:rPr>
          <w:rFonts w:eastAsia="Calibri" w:cs="Arial"/>
          <w:b/>
        </w:rPr>
        <w:t>Dra. Erin Wessling</w:t>
      </w:r>
    </w:p>
    <w:p w14:paraId="62F01C87"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Miembro del Grupo de Expertos de la CMS sobre Cultura y Complejidad Social y de la Sección sobre Grandes Simios del PSG de la CSE de la UICN</w:t>
      </w:r>
    </w:p>
    <w:p w14:paraId="308340E2"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del Grupo de Trabajo sobre Culturas de Chimpancés de la SGA del PSG de la CSE de la UICN</w:t>
      </w:r>
    </w:p>
    <w:p w14:paraId="365CEFC6"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Copresidenta de la CSE del Grupo Operativo CEESP-CSE de la UICN sobre Culturas Animales en la Conservación</w:t>
      </w:r>
    </w:p>
    <w:p w14:paraId="26675852"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Coordinadora Regional del Plan de Acción y del Comité del Chimpancé Occidental de la SGA del PSG del CSE de la UICN</w:t>
      </w:r>
    </w:p>
    <w:p w14:paraId="65B41003"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del Proyecto del Chimpancé de Moyen Bafing y del Proyecto BonDiv</w:t>
      </w:r>
    </w:p>
    <w:p w14:paraId="47D73535"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Vinculaciones de investigación con la Universidad de St. Andrews, la Universidad de Harvard, la </w:t>
      </w:r>
      <w:r w:rsidRPr="000D64B3">
        <w:rPr>
          <w:rFonts w:eastAsia="Calibri" w:cs="Arial"/>
          <w:i/>
        </w:rPr>
        <w:t>Senckenberg Gesellschaft für Naturforschung</w:t>
      </w:r>
      <w:r w:rsidRPr="000D64B3">
        <w:rPr>
          <w:rFonts w:eastAsia="Calibri" w:cs="Arial"/>
        </w:rPr>
        <w:t xml:space="preserve"> y el Centro Alemán de Primates</w:t>
      </w:r>
    </w:p>
    <w:p w14:paraId="2620FE3C"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pPr>
    </w:p>
    <w:p w14:paraId="5BF59748"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b/>
        </w:rPr>
        <w:br w:type="column"/>
      </w:r>
      <w:r w:rsidRPr="000D64B3">
        <w:rPr>
          <w:rFonts w:eastAsia="Calibri" w:cs="Arial"/>
          <w:b/>
        </w:rPr>
        <w:t>Profa. Crickette Sanz</w:t>
      </w:r>
    </w:p>
    <w:p w14:paraId="77B98C68"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Miembro del Grupo de Expertos de la CMS sobre Cultura y Complejidad Social y de la Sección sobre Grandes Simios del PSG de la CSE de la UICN</w:t>
      </w:r>
    </w:p>
    <w:p w14:paraId="244C5729"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del Grupo de Trabajo sobre Culturas de Chimpancés de la SGA del PSG de la CSE de la UICN</w:t>
      </w:r>
    </w:p>
    <w:p w14:paraId="1FB89098"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Presidenta adjunta de la CSE del Grupo Operativo CEESP-CSE de la UICN sobre Culturas Animales en la Conservación</w:t>
      </w:r>
    </w:p>
    <w:p w14:paraId="068FE2C0"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Presidenta y profesora del Departamento de Antropología de la Universidad de Washington</w:t>
      </w:r>
    </w:p>
    <w:p w14:paraId="58FA96D2" w14:textId="77777777"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Catedrática James W. y Jean L. Davis en Artes y Ciencias en la Universidad de Washington</w:t>
      </w:r>
    </w:p>
    <w:p w14:paraId="2078E389" w14:textId="77777777"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 los Proyectos de los Simios del Triángulo de Goualougo y de los Simios de Mondika</w:t>
      </w:r>
    </w:p>
    <w:p w14:paraId="755EF912" w14:textId="77777777" w:rsidR="00F764F4"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 la Living Earth Collaborative</w:t>
      </w:r>
    </w:p>
    <w:p w14:paraId="1A34BF87" w14:textId="3C070BDD"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Vinculaciones de investigación con la Wildlife Conservation Society y el Zoológico de Lincoln Park</w:t>
      </w:r>
    </w:p>
    <w:p w14:paraId="619E2D0B"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p>
    <w:p w14:paraId="7E2C1670"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sectPr w:rsidR="00F764F4" w:rsidRPr="000D64B3" w:rsidSect="00F764F4">
          <w:endnotePr>
            <w:numFmt w:val="decimal"/>
          </w:endnotePr>
          <w:type w:val="continuous"/>
          <w:pgSz w:w="11905" w:h="16837" w:code="9"/>
          <w:pgMar w:top="1492" w:right="1440" w:bottom="1440" w:left="1440" w:header="432" w:footer="432" w:gutter="0"/>
          <w:cols w:num="2" w:space="720"/>
          <w:titlePg/>
          <w:docGrid w:linePitch="299"/>
        </w:sectPr>
      </w:pPr>
    </w:p>
    <w:p w14:paraId="61FC615D" w14:textId="77777777" w:rsidR="001F25E7" w:rsidRPr="000D64B3" w:rsidRDefault="001F25E7" w:rsidP="001F25E7">
      <w:pPr>
        <w:spacing w:after="0" w:line="240" w:lineRule="auto"/>
        <w:rPr>
          <w:rFonts w:eastAsia="Calibri" w:cs="Arial"/>
        </w:rPr>
      </w:pPr>
    </w:p>
    <w:p w14:paraId="5B1FDC9A" w14:textId="77777777" w:rsidR="00655227" w:rsidRDefault="00655227">
      <w:pPr>
        <w:rPr>
          <w:rFonts w:eastAsia="Calibri" w:cs="Arial"/>
          <w:b/>
          <w:bCs/>
        </w:rPr>
      </w:pPr>
      <w:r>
        <w:rPr>
          <w:rFonts w:eastAsia="Calibri" w:cs="Arial"/>
          <w:b/>
          <w:bCs/>
        </w:rPr>
        <w:br w:type="page"/>
      </w:r>
    </w:p>
    <w:p w14:paraId="59300FCD" w14:textId="1B5D089B" w:rsidR="00E87B52" w:rsidRPr="000D64B3" w:rsidRDefault="00E87B52" w:rsidP="00655227">
      <w:pPr>
        <w:spacing w:after="0" w:line="240" w:lineRule="auto"/>
        <w:rPr>
          <w:rFonts w:eastAsia="Calibri" w:cs="Arial"/>
          <w:b/>
          <w:bCs/>
        </w:rPr>
      </w:pPr>
      <w:r w:rsidRPr="000D64B3">
        <w:rPr>
          <w:rFonts w:eastAsia="Calibri" w:cs="Arial"/>
          <w:b/>
          <w:bCs/>
        </w:rPr>
        <w:lastRenderedPageBreak/>
        <w:t>ESPECIES/POBLACIÓN OBJETIVO</w:t>
      </w:r>
    </w:p>
    <w:p w14:paraId="6F203478" w14:textId="77777777" w:rsidR="00AC06A1" w:rsidRPr="000D64B3" w:rsidRDefault="00AC06A1" w:rsidP="002B4083">
      <w:pPr>
        <w:spacing w:after="0" w:line="240" w:lineRule="auto"/>
        <w:ind w:left="540"/>
        <w:rPr>
          <w:rFonts w:eastAsia="Calibri" w:cs="Arial"/>
        </w:rPr>
      </w:pPr>
    </w:p>
    <w:p w14:paraId="23DB13DA" w14:textId="648855C4"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Clase: Mammalia</w:t>
      </w:r>
    </w:p>
    <w:p w14:paraId="269546A6" w14:textId="321DF5EC"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Familia: Hominidae</w:t>
      </w:r>
    </w:p>
    <w:p w14:paraId="47C4077A" w14:textId="0B95858C"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Orden: Primates</w:t>
      </w:r>
    </w:p>
    <w:p w14:paraId="465F9D80" w14:textId="7E9B82B8" w:rsidR="00E87B52" w:rsidRPr="000D64B3" w:rsidRDefault="00E87B52" w:rsidP="002B4083">
      <w:pPr>
        <w:suppressAutoHyphens/>
        <w:autoSpaceDN w:val="0"/>
        <w:spacing w:after="0" w:line="240" w:lineRule="auto"/>
        <w:textAlignment w:val="baseline"/>
        <w:rPr>
          <w:rFonts w:eastAsia="Calibri" w:cs="Arial"/>
        </w:rPr>
      </w:pPr>
      <w:r w:rsidRPr="000D64B3">
        <w:rPr>
          <w:rFonts w:eastAsia="Calibri" w:cs="Arial"/>
        </w:rPr>
        <w:t>Especie:</w:t>
      </w:r>
      <w:r w:rsidR="00B82ECD" w:rsidRPr="000D64B3">
        <w:rPr>
          <w:i/>
        </w:rPr>
        <w:t xml:space="preserve"> Pan troglodytes</w:t>
      </w:r>
    </w:p>
    <w:p w14:paraId="78ADCE34" w14:textId="1399AF70" w:rsidR="00F764F4" w:rsidRPr="000D64B3" w:rsidRDefault="00F764F4" w:rsidP="002B4083">
      <w:pPr>
        <w:spacing w:after="0" w:line="240" w:lineRule="auto"/>
        <w:rPr>
          <w:rFonts w:eastAsia="Calibri" w:cs="Arial"/>
        </w:rPr>
      </w:pPr>
    </w:p>
    <w:p w14:paraId="467AC084" w14:textId="3ECC9F98" w:rsidR="00E87B52" w:rsidRPr="000D64B3" w:rsidRDefault="00E87B52" w:rsidP="00655227">
      <w:pPr>
        <w:spacing w:after="0" w:line="240" w:lineRule="auto"/>
        <w:rPr>
          <w:rFonts w:eastAsia="Calibri" w:cs="Arial"/>
          <w:b/>
          <w:bCs/>
        </w:rPr>
      </w:pPr>
      <w:r w:rsidRPr="000D64B3">
        <w:rPr>
          <w:rFonts w:eastAsia="Calibri" w:cs="Arial"/>
          <w:b/>
          <w:bCs/>
        </w:rPr>
        <w:t xml:space="preserve">AVANCES EN LAS ACTIVIDADES </w:t>
      </w:r>
    </w:p>
    <w:p w14:paraId="5E9C815B" w14:textId="77777777" w:rsidR="00F55BC2" w:rsidRPr="000D64B3" w:rsidRDefault="00F55BC2" w:rsidP="002B4083">
      <w:pPr>
        <w:spacing w:after="0" w:line="240" w:lineRule="auto"/>
        <w:ind w:left="540"/>
        <w:rPr>
          <w:rFonts w:eastAsia="Calibri" w:cs="Arial"/>
        </w:rPr>
      </w:pPr>
    </w:p>
    <w:p w14:paraId="0FF5362E" w14:textId="6E1736B2"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1: identificar objetivos específicos para la protección de la diversidad de comportamientos y culturas del chimpancé</w:t>
      </w:r>
    </w:p>
    <w:p w14:paraId="379179CC"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17BDAB68" w14:textId="59C9D121" w:rsidR="0067585E" w:rsidRPr="000D64B3"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Dentro del WGCC se ha identificado un subgrupo de expertos centrado en determinar los objetivos de protección de la diversidad de comportamientos y culturas del chimpancé. Para ello, se ha desarrollado un marco analítico que incluye ejemplos, medidas prácticas e indicadores de viabilidad para cada objetivo, con el fin de orientar la promoción y las estrategias de conservación. Este enfoque refuerza la integración de la cultura del chimpancé en los esfuerzos de conservación y respalda los objetivos de la Acción Concertada.</w:t>
      </w:r>
    </w:p>
    <w:p w14:paraId="2F169F12" w14:textId="77777777" w:rsidR="009C49DF" w:rsidRPr="000D64B3" w:rsidRDefault="009C49D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6D6B3F" w14:textId="35A7C178"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2: establecer un Comité Directivo que guíe la aplicación de la Acción Concertada</w:t>
      </w:r>
    </w:p>
    <w:p w14:paraId="03950350"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825F895" w14:textId="3EEA2967" w:rsidR="00900AB9" w:rsidRPr="000D64B3" w:rsidRDefault="00045938"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MS Mincho" w:cs="Arial"/>
          <w:iCs/>
          <w:lang w:eastAsia="en-GB"/>
        </w:rPr>
      </w:pPr>
      <w:r w:rsidRPr="000D64B3">
        <w:rPr>
          <w:rFonts w:eastAsia="MS Mincho" w:cs="Arial"/>
          <w:iCs/>
          <w:lang w:eastAsia="es-ES"/>
        </w:rPr>
        <w:t xml:space="preserve">Con el fin de optimizar los trabajos en curso, el WGCC ha sido designado como Comité Directivo de la Acción Concertada y se han creado subgrupos dentro del WGCC para liderar cada una de las actividades correspondientes. </w:t>
      </w:r>
      <w:r w:rsidR="009C49DF" w:rsidRPr="000D64B3">
        <w:rPr>
          <w:rFonts w:eastAsia="Calibri" w:cs="Arial"/>
        </w:rPr>
        <w:t xml:space="preserve">El WGCC está formado por destacados expertos, tanto en chimpancés como en otras especies, en conservación, diversidad de comportamientos y culturas, y en política y aplicación de la conservación, con experiencia en los Estados del área de distribución del chimpancé. </w:t>
      </w:r>
      <w:r w:rsidR="009C49DF" w:rsidRPr="000D64B3">
        <w:rPr>
          <w:rFonts w:eastAsia="MS Mincho" w:cs="Arial"/>
          <w:iCs/>
          <w:lang w:eastAsia="es-ES"/>
        </w:rPr>
        <w:t xml:space="preserve">El comité se ha reunido periódicamente a lo largo del último trienio de la CMS y mantiene </w:t>
      </w:r>
      <w:r w:rsidR="009C49DF" w:rsidRPr="000D64B3">
        <w:rPr>
          <w:rFonts w:eastAsia="Calibri" w:cs="Arial"/>
        </w:rPr>
        <w:t>consultas habituales con los miembros más amplios del PSG de la CSE de la UICN y del Grupo de Expertos de la CMS sobre Cultura y Complejidad Social de los Animales.</w:t>
      </w:r>
    </w:p>
    <w:p w14:paraId="0B6E6922"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6EFDE6B" w14:textId="77563D31"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3: elaborar directrices para el seguimiento de la diversidad de comportamientos y culturas del chimpancé</w:t>
      </w:r>
    </w:p>
    <w:p w14:paraId="1723F248"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425BB090" w14:textId="40D33BD8" w:rsidR="005F0914" w:rsidRPr="000D64B3" w:rsidRDefault="002B736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Un subgrupo del WGCC ha sido designado para atender la necesidad de directrices y recomendaciones prácticas orientadas al estudio de la diversidad de comportamientos y culturas del chimpancé. Los directores del subgrupo se han puesto en contacto con los editores de la serie de Directrices de buenas prácticas (BPG, por sus siglas en inglés) de la UICN para evaluar la viabilidad de publicar dichas directrices sobre la integración de la cultura en la conservación. Las respuestas de los editores fueron positivas y confirmaron que no existe un solapamiento sustancial con las BPG existentes. El público destinatario de las BPG propuestas son los profesionales de la conservación, los investigadores y los encargados de formulación de políticas. Además, se ha contribuido a las BPG con una sección sobre seguimiento del comportamiento acerca del Seguimiento de Grandes Simios que está elaborando el PSG.</w:t>
      </w:r>
    </w:p>
    <w:p w14:paraId="70C1F354" w14:textId="77777777" w:rsidR="005F0914" w:rsidRPr="000D64B3"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320D444D" w14:textId="7EB5A570"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4: fomentar y apoyar estructuras que permitan el seguimiento de la diversidad de comportamientos del chimpancé</w:t>
      </w:r>
    </w:p>
    <w:p w14:paraId="39FC7814"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087FCC4" w14:textId="5D51EE5C"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 xml:space="preserve">Se ha logrado un avance significativo este año en el apoyo al seguimiento de la diversidad de comportamientos del chimpancé. Se ha identificado el Atlas APES como un elemento de infraestructura de importancia clave que puede permitir un seguimiento estructurado de los comportamientos del chimpancé (Wessling et al., 2025). Basándose en iteraciones previas </w:t>
      </w:r>
      <w:r w:rsidRPr="000D64B3">
        <w:rPr>
          <w:rFonts w:eastAsia="Calibri" w:cs="Arial"/>
        </w:rPr>
        <w:lastRenderedPageBreak/>
        <w:t>de datos relacionados con el comportamiento, el Atlas incluye ahora una sección específica con una tabla normalizada para documentar los comportamientos de los chimpancés, revisada cuidadosamente por expertos en cultura de simios, con una versión breve de acceso público ya disponible en línea. Los miembros del Atlas se centrarán el próximo año en normalizar los datos existentes (35 sitios del Atlas APES en octubre de 2025), conforme a las categorías definidas, y, además, continuarán recopilando y archivando información.</w:t>
      </w:r>
    </w:p>
    <w:p w14:paraId="11BC8189"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66DFBF7" w14:textId="7EEE200B"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5: crear un marco estructural que lleve a las partes interesadas locales al liderazgo en investigación y promoción de la diversidad de comportamientos como vía para la conservación</w:t>
      </w:r>
    </w:p>
    <w:p w14:paraId="550D65E7"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395EC20F" w14:textId="0FAF3F1A" w:rsidR="0056242D" w:rsidRPr="000D64B3" w:rsidRDefault="00341536"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Si bien también se han realizado progresos en la promoción del liderazgo en los países del área de distribución del chimpancé, aún queda trabajo por hacer en el próximo trienio. El WGCC logró incorporar partes interesadas locales y también implementó la traducción simultánea de las reuniones al francés para facilitar la participación. Las directrices de afiliación y los términos de referencia han permitido formalizar las responsabilidades de los miembros y aumentar la transparencia en cuanto a la participación. Se promovieron oportunidades de liderazgo para un conjunto diverso de partes interesadas, así como la posibilidad de contribuir a las publicaciones y presentaciones del WGCC.</w:t>
      </w:r>
    </w:p>
    <w:p w14:paraId="4EFD0063"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0E60BE0E" w14:textId="5114704E"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6: identificar las necesidades de los profesionales de la conservación en el ámbito del comportamiento del chimpancé y alinear los esfuerzos de conservación para apoyar dichas necesidades</w:t>
      </w:r>
    </w:p>
    <w:p w14:paraId="5832ECF5" w14:textId="77777777" w:rsidR="001D2564" w:rsidRPr="000D64B3"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F61C38A" w14:textId="0B24BF87" w:rsidR="006930AC" w:rsidRPr="000D64B3" w:rsidRDefault="00EF4F4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Los subgrupos del WGCC han mantenido contacto con profesionales de la conservación para identificar sus necesidades en la aplicación práctica del concepto de cultura, tanto en un formato de participación pública más amplia como mediante la participación más directa de profesionales dentro del WGCC. Además, el WGCC prevé realizar una encuesta entre los profesionales para identificar las oportunidades existentes de utilizar la cultura como instrumento de promoción de la conservación del chimpancé y comprender mejor la función de la cultura en la satisfacción de esas necesidades o lagunas, y en las distintas escalas. Con el fin de llevar el alcance de su mensaje al público más amplio posible en materia de conservación, la Dra. Wessling presentó el trabajo del WGCC en la sesión titulada «Why does Animal Culture matter for conservation?» (¿Por qué la cultura animal es importante para la conservación?) en el Congreso Mundial de la Naturaleza de la UICN de 2025 en Abu Dabi.</w:t>
      </w:r>
    </w:p>
    <w:p w14:paraId="365C3229" w14:textId="77777777" w:rsidR="001D2564" w:rsidRPr="000D64B3"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08EFDE" w14:textId="18255274"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7: aumentar la integración de los estudios de comportamiento en los esfuerzos de seguimiento en curso</w:t>
      </w:r>
    </w:p>
    <w:p w14:paraId="4BA3D0B8"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49BC160C" w14:textId="129468F6" w:rsidR="002B5F4F"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t>Para abordar las preguntas persistentes sobre la relevancia de los comportamientos culturales en la aplicación de la conservación de especies, los proponentes de esta Acción Concertada han propuesto un marco conceptual que facilite la integración de la cultura animal en la gestión de la conservación. Esto se describe en «</w:t>
      </w:r>
      <w:r w:rsidRPr="000D64B3">
        <w:rPr>
          <w:rFonts w:eastAsia="Calibri" w:cs="Arial"/>
          <w:i/>
          <w:iCs/>
        </w:rPr>
        <w:t>Pat</w:t>
      </w:r>
      <w:r w:rsidR="00F82A57" w:rsidRPr="000D64B3">
        <w:rPr>
          <w:rFonts w:eastAsia="Calibri" w:cs="Arial"/>
          <w:i/>
          <w:iCs/>
        </w:rPr>
        <w:t xml:space="preserve">hways from Theory to Practice: </w:t>
      </w:r>
      <w:r w:rsidRPr="000D64B3">
        <w:rPr>
          <w:rFonts w:eastAsia="Calibri" w:cs="Arial"/>
          <w:i/>
          <w:iCs/>
        </w:rPr>
        <w:t>Applying Animal Cultures to Conservation</w:t>
      </w:r>
      <w:r w:rsidRPr="000D64B3">
        <w:t xml:space="preserve">» (De la teoría a la práctica: aplicación de las culturas animales a la conservación), presentado para su publicación en </w:t>
      </w:r>
      <w:r w:rsidRPr="000D64B3">
        <w:rPr>
          <w:i/>
        </w:rPr>
        <w:t>Biological Reviews</w:t>
      </w:r>
      <w:r w:rsidRPr="000D64B3">
        <w:t>.</w:t>
      </w:r>
    </w:p>
    <w:p w14:paraId="2A48E669" w14:textId="77777777" w:rsidR="002B5F4F"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3BF08C" w14:textId="293554B4"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8: proporcionar orientación a las partes interesadas sobre cómo la</w:t>
      </w:r>
      <w:r w:rsidR="00F82A57" w:rsidRPr="000D64B3">
        <w:rPr>
          <w:rFonts w:eastAsia="Calibri" w:cs="Arial"/>
          <w:b/>
          <w:bCs/>
        </w:rPr>
        <w:t xml:space="preserve">s culturas de chimpancés pueden </w:t>
      </w:r>
      <w:r w:rsidRPr="000D64B3">
        <w:rPr>
          <w:rFonts w:eastAsia="Calibri" w:cs="Arial"/>
          <w:b/>
          <w:bCs/>
        </w:rPr>
        <w:t>utilizarse de manera responsable en la promoción de la conservación y poner a prueba estos enfoques de promoción en entornos reales</w:t>
      </w:r>
    </w:p>
    <w:p w14:paraId="55FB7142"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E00D418" w14:textId="011AA894" w:rsidR="00B82ECD"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 xml:space="preserve">El WGCC está identificando actualmente los públicos destinatarios o grupos de interés, así como las oportunidades existentes de promoción que utilicen la cultura para reforzar la conservación y el bienestar del chimpancé, comprendiendo mejor las lagunas y necesidades de promoción, así como el papel de la cultura en su cobertura y en las distintas dimensiones de escala. Estos esfuerzos se destacaron recientemente en un número especial sobre </w:t>
      </w:r>
      <w:r w:rsidRPr="000D64B3">
        <w:rPr>
          <w:rFonts w:eastAsia="Calibri" w:cs="Arial"/>
        </w:rPr>
        <w:lastRenderedPageBreak/>
        <w:t xml:space="preserve">«Animal Culture: Conservation in a Changing World» (Cultura animal: la conservación en un mundo cambiante) (Wessling et al., 2025).  </w:t>
      </w:r>
    </w:p>
    <w:p w14:paraId="104430BF" w14:textId="77777777" w:rsidR="001F25E7" w:rsidRPr="000D64B3" w:rsidRDefault="001F25E7" w:rsidP="002B4083">
      <w:pPr>
        <w:suppressAutoHyphens/>
        <w:autoSpaceDN w:val="0"/>
        <w:spacing w:after="0" w:line="240" w:lineRule="auto"/>
        <w:textAlignment w:val="baseline"/>
        <w:rPr>
          <w:rFonts w:eastAsia="Calibri" w:cs="Arial"/>
        </w:rPr>
      </w:pPr>
    </w:p>
    <w:p w14:paraId="3941022C" w14:textId="7911EACF" w:rsidR="00E87B52" w:rsidRPr="000D64B3" w:rsidRDefault="00E87B52" w:rsidP="00C41C68">
      <w:pPr>
        <w:numPr>
          <w:ilvl w:val="0"/>
          <w:numId w:val="9"/>
        </w:numPr>
        <w:spacing w:after="0" w:line="240" w:lineRule="auto"/>
        <w:ind w:left="540" w:hanging="540"/>
        <w:rPr>
          <w:rFonts w:eastAsia="Calibri" w:cs="Arial"/>
          <w:b/>
          <w:bCs/>
        </w:rPr>
      </w:pPr>
      <w:r w:rsidRPr="000D64B3">
        <w:rPr>
          <w:rFonts w:eastAsia="Calibri" w:cs="Arial"/>
          <w:b/>
          <w:bCs/>
        </w:rPr>
        <w:t>CAMBIOS EN LA ACCIÓN CONCERTADA</w:t>
      </w:r>
    </w:p>
    <w:p w14:paraId="28B0B856" w14:textId="77777777"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33BB701" w14:textId="67783280"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Las actividades de la Acción Concertada se han editado para reflejar los progresos hacia cada objetivo. Es importante destacar que el WGCC fue designado como Comité Directivo de la Acción Concertada y se formaron Grupos de Trabajo centrados en las actividades específicas definidas en la propuesta.</w:t>
      </w:r>
    </w:p>
    <w:p w14:paraId="02F159E9" w14:textId="77777777"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225121" w14:textId="4BFAD2DD"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Dado que las actividades descritas en la Acción Concertada aún están en curso, el calendario de aplicación se ha trasladado al siguiente trienio.</w:t>
      </w:r>
    </w:p>
    <w:p w14:paraId="1E42E4C1" w14:textId="77777777" w:rsidR="00E87B52" w:rsidRPr="000D64B3" w:rsidRDefault="00E87B52" w:rsidP="002B4083">
      <w:pPr>
        <w:suppressAutoHyphens/>
        <w:autoSpaceDN w:val="0"/>
        <w:spacing w:after="0" w:line="240" w:lineRule="auto"/>
        <w:textAlignment w:val="baseline"/>
        <w:rPr>
          <w:rFonts w:eastAsia="Calibri" w:cs="Arial"/>
        </w:rPr>
      </w:pPr>
    </w:p>
    <w:p w14:paraId="074E7C82" w14:textId="044AADF4" w:rsidR="00E87B52" w:rsidRPr="00655227" w:rsidRDefault="00E87B52" w:rsidP="00C41C68">
      <w:pPr>
        <w:numPr>
          <w:ilvl w:val="0"/>
          <w:numId w:val="9"/>
        </w:numPr>
        <w:spacing w:after="0" w:line="240" w:lineRule="auto"/>
        <w:ind w:left="540" w:hanging="540"/>
        <w:rPr>
          <w:rFonts w:eastAsia="Calibri" w:cs="Arial"/>
          <w:b/>
          <w:bCs/>
        </w:rPr>
      </w:pPr>
      <w:r w:rsidRPr="00655227">
        <w:rPr>
          <w:rFonts w:eastAsia="Calibri" w:cs="Arial"/>
          <w:b/>
          <w:bCs/>
        </w:rPr>
        <w:t>REFERENC</w:t>
      </w:r>
      <w:r w:rsidR="00655227">
        <w:rPr>
          <w:rFonts w:eastAsia="Calibri" w:cs="Arial"/>
          <w:b/>
          <w:bCs/>
        </w:rPr>
        <w:t>IAS</w:t>
      </w:r>
    </w:p>
    <w:p w14:paraId="5C36A87E" w14:textId="77777777" w:rsidR="00F55BC2" w:rsidRPr="00655227" w:rsidRDefault="00F55BC2" w:rsidP="002B4083">
      <w:pPr>
        <w:spacing w:after="0" w:line="240" w:lineRule="auto"/>
        <w:ind w:left="540"/>
        <w:rPr>
          <w:rFonts w:eastAsia="Calibri" w:cs="Arial"/>
        </w:rPr>
      </w:pPr>
    </w:p>
    <w:p w14:paraId="5A1EDFB0" w14:textId="77777777" w:rsidR="00900AB9" w:rsidRPr="00655227" w:rsidRDefault="00900AB9" w:rsidP="00750E1E">
      <w:pPr>
        <w:spacing w:after="0" w:line="240" w:lineRule="auto"/>
        <w:ind w:left="567" w:hanging="567"/>
        <w:rPr>
          <w:sz w:val="20"/>
          <w:szCs w:val="20"/>
          <w:lang w:val="en-US"/>
        </w:rPr>
      </w:pPr>
      <w:r w:rsidRPr="00655227">
        <w:rPr>
          <w:sz w:val="20"/>
          <w:szCs w:val="20"/>
        </w:rPr>
        <w:t xml:space="preserve">Wessling, E. G., Whiten, A., Soiret, S. K., Scholfield, K., Samuni, L., Rutz, C., Redmond, I., Pintea, L., Lanjouw, A., Koops, K., Kamgang, S. A., Kalan, A. K., Ikemeh, R. A., Humle, T., Hobaiter, C., Frisch-Nwakanma, H., Freymann, E., Doumbe, O., Brakes, P., Abwe, E., &amp; Sanz, C. (2025). </w:t>
      </w:r>
      <w:r w:rsidRPr="00655227">
        <w:rPr>
          <w:sz w:val="20"/>
          <w:szCs w:val="20"/>
          <w:lang w:val="en-US"/>
        </w:rPr>
        <w:t xml:space="preserve">Concerted conservation actions to support chimpanzee cultures. </w:t>
      </w:r>
      <w:r w:rsidRPr="00655227">
        <w:rPr>
          <w:i/>
          <w:iCs/>
          <w:sz w:val="20"/>
          <w:szCs w:val="20"/>
          <w:lang w:val="en-US"/>
        </w:rPr>
        <w:t>Phil. Trans. R. Soc.</w:t>
      </w:r>
      <w:r w:rsidRPr="00655227">
        <w:rPr>
          <w:sz w:val="20"/>
          <w:szCs w:val="20"/>
          <w:lang w:val="en-US"/>
        </w:rPr>
        <w:t xml:space="preserve"> </w:t>
      </w:r>
      <w:r w:rsidRPr="00655227">
        <w:rPr>
          <w:i/>
          <w:iCs/>
          <w:sz w:val="20"/>
          <w:szCs w:val="20"/>
          <w:lang w:val="en-US"/>
        </w:rPr>
        <w:t>B</w:t>
      </w:r>
      <w:r w:rsidRPr="00655227">
        <w:rPr>
          <w:sz w:val="20"/>
          <w:szCs w:val="20"/>
          <w:lang w:val="en-US"/>
        </w:rPr>
        <w:t xml:space="preserve"> 38020240143. DOI: </w:t>
      </w:r>
      <w:hyperlink r:id="rId18" w:history="1">
        <w:r w:rsidRPr="00655227">
          <w:rPr>
            <w:rStyle w:val="Hyperlink"/>
            <w:sz w:val="20"/>
            <w:szCs w:val="20"/>
            <w:lang w:val="en-US"/>
          </w:rPr>
          <w:t>https://doi.org/10.1098/rstb.2024.0143</w:t>
        </w:r>
      </w:hyperlink>
      <w:r w:rsidRPr="00655227">
        <w:rPr>
          <w:sz w:val="20"/>
          <w:szCs w:val="20"/>
          <w:lang w:val="en-US"/>
        </w:rPr>
        <w:t>.</w:t>
      </w:r>
    </w:p>
    <w:p w14:paraId="3B8DF5A9" w14:textId="0936442D" w:rsidR="00387762" w:rsidRPr="000D64B3" w:rsidRDefault="00387762" w:rsidP="00750E1E">
      <w:pPr>
        <w:spacing w:after="0" w:line="240" w:lineRule="auto"/>
        <w:ind w:left="567" w:hanging="567"/>
        <w:rPr>
          <w:sz w:val="20"/>
          <w:szCs w:val="20"/>
        </w:rPr>
      </w:pPr>
      <w:r w:rsidRPr="00655227">
        <w:rPr>
          <w:sz w:val="20"/>
          <w:szCs w:val="20"/>
          <w:lang w:val="en-US"/>
        </w:rPr>
        <w:t xml:space="preserve">Wessling, E. G., Samuni, L., Koops, K., Humle, T., Hockings, K., Danquah, E., Soiret, S., Luncz, L., Kalan, A., Hobaiter, C., Fourrier, M., Carvalho, S., Arandjelovic, M., Almeida-Warren, K., &amp; Sanz, C. 2025 Pathways from theory to practice: applying animal cultures to conservation. </w:t>
      </w:r>
      <w:r w:rsidRPr="00655227">
        <w:rPr>
          <w:sz w:val="20"/>
          <w:szCs w:val="20"/>
        </w:rPr>
        <w:t>See https://osf.io/preprints/osf/gpszb.</w:t>
      </w:r>
    </w:p>
    <w:p w14:paraId="006E45B4" w14:textId="77777777" w:rsidR="009A06E1" w:rsidRPr="000D64B3" w:rsidRDefault="009A06E1" w:rsidP="002B4083">
      <w:pPr>
        <w:suppressAutoHyphens/>
        <w:autoSpaceDN w:val="0"/>
        <w:spacing w:after="0" w:line="240" w:lineRule="auto"/>
        <w:textAlignment w:val="baseline"/>
        <w:rPr>
          <w:rFonts w:eastAsia="Calibri" w:cs="Arial"/>
        </w:rPr>
      </w:pPr>
    </w:p>
    <w:p w14:paraId="26F1BDAE" w14:textId="37EAD54C" w:rsidR="00E87B52" w:rsidRPr="000D64B3" w:rsidRDefault="00E87B52" w:rsidP="00C41C68">
      <w:pPr>
        <w:numPr>
          <w:ilvl w:val="0"/>
          <w:numId w:val="9"/>
        </w:numPr>
        <w:spacing w:after="0" w:line="240" w:lineRule="auto"/>
        <w:ind w:left="540" w:hanging="540"/>
        <w:rPr>
          <w:rFonts w:eastAsia="Calibri" w:cs="Arial"/>
          <w:b/>
          <w:bCs/>
        </w:rPr>
      </w:pPr>
      <w:r w:rsidRPr="000D64B3">
        <w:rPr>
          <w:rFonts w:eastAsia="Calibri" w:cs="Arial"/>
          <w:b/>
          <w:bCs/>
        </w:rPr>
        <w:t>ACCIÓN</w:t>
      </w:r>
    </w:p>
    <w:p w14:paraId="7393AA49" w14:textId="77777777" w:rsidR="0092671C" w:rsidRPr="000D64B3" w:rsidRDefault="0092671C" w:rsidP="002B4083">
      <w:pPr>
        <w:spacing w:after="0" w:line="240" w:lineRule="auto"/>
        <w:ind w:left="706"/>
        <w:rPr>
          <w:rFonts w:eastAsia="Calibri" w:cs="Arial"/>
        </w:rPr>
      </w:pPr>
    </w:p>
    <w:p w14:paraId="5518C9B4" w14:textId="377A70A2" w:rsidR="0092671C" w:rsidRPr="000D64B3" w:rsidRDefault="009C7FCD" w:rsidP="002B40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jc w:val="both"/>
        <w:textAlignment w:val="baseline"/>
        <w:outlineLvl w:val="1"/>
      </w:pPr>
      <w:r w:rsidRPr="000D64B3">
        <w:rPr>
          <w:rFonts w:eastAsia="Calibri" w:cs="Arial"/>
        </w:rPr>
        <w:t xml:space="preserve">Se recomienda que la Acción Concertada se renueve (véase la propuesta revisada de Acción Concertada </w:t>
      </w:r>
      <w:hyperlink r:id="rId19" w:history="1">
        <w:r w:rsidR="00A47185" w:rsidRPr="00B32973">
          <w:rPr>
            <w:rStyle w:val="Hyperlink"/>
            <w:rFonts w:eastAsia="Calibri" w:cs="Arial"/>
          </w:rPr>
          <w:t>UNEP/CMS/COP15/Doc.31.3.1</w:t>
        </w:r>
      </w:hyperlink>
      <w:r w:rsidRPr="000D64B3">
        <w:rPr>
          <w:rFonts w:eastAsia="Calibri" w:cs="Arial"/>
        </w:rPr>
        <w:t>). Como las actividades aún no se han completado y se han actualizado, la Acción Concertada deberá prorrogarse para el siguiente trienio.</w:t>
      </w:r>
    </w:p>
    <w:sectPr w:rsidR="0092671C" w:rsidRPr="000D64B3" w:rsidSect="00BF2E29">
      <w:headerReference w:type="even" r:id="rId20"/>
      <w:headerReference w:type="default" r:id="rId21"/>
      <w:footerReference w:type="even" r:id="rId22"/>
      <w:footerReference w:type="default" r:id="rId23"/>
      <w:endnotePr>
        <w:numFmt w:val="decimal"/>
      </w:endnotePr>
      <w:type w:val="continuous"/>
      <w:pgSz w:w="11905" w:h="16837" w:code="9"/>
      <w:pgMar w:top="1440" w:right="1440" w:bottom="1440" w:left="1440" w:header="54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4ECD" w14:textId="77777777" w:rsidR="000174DF" w:rsidRPr="000D64B3" w:rsidRDefault="000174DF" w:rsidP="002E0DE9">
      <w:pPr>
        <w:spacing w:after="0" w:line="240" w:lineRule="auto"/>
      </w:pPr>
      <w:r w:rsidRPr="000D64B3">
        <w:separator/>
      </w:r>
    </w:p>
  </w:endnote>
  <w:endnote w:type="continuationSeparator" w:id="0">
    <w:p w14:paraId="17B035D5" w14:textId="77777777" w:rsidR="000174DF" w:rsidRPr="000D64B3" w:rsidRDefault="000174DF" w:rsidP="002E0DE9">
      <w:pPr>
        <w:spacing w:after="0" w:line="240" w:lineRule="auto"/>
      </w:pPr>
      <w:r w:rsidRPr="000D64B3">
        <w:continuationSeparator/>
      </w:r>
    </w:p>
  </w:endnote>
  <w:endnote w:type="continuationNotice" w:id="1">
    <w:p w14:paraId="56AD7695" w14:textId="77777777" w:rsidR="000174DF" w:rsidRPr="000D64B3" w:rsidRDefault="00017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0D64B3" w:rsidRDefault="00E87B52">
    <w:pPr>
      <w:pStyle w:val="Footer"/>
      <w:ind w:right="-367"/>
      <w:jc w:val="center"/>
    </w:pPr>
    <w:r w:rsidRPr="000D64B3">
      <w:rPr>
        <w:rFonts w:cs="Arial"/>
      </w:rPr>
      <w:fldChar w:fldCharType="begin"/>
    </w:r>
    <w:r w:rsidRPr="000D64B3">
      <w:rPr>
        <w:rFonts w:cs="Arial"/>
      </w:rPr>
      <w:instrText xml:space="preserve"> PAGE </w:instrText>
    </w:r>
    <w:r w:rsidRPr="000D64B3">
      <w:rPr>
        <w:rFonts w:cs="Arial"/>
      </w:rPr>
      <w:fldChar w:fldCharType="separate"/>
    </w:r>
    <w:r w:rsidRPr="000D64B3">
      <w:rPr>
        <w:rFonts w:cs="Arial"/>
      </w:rPr>
      <w:t>7</w:t>
    </w:r>
    <w:r w:rsidRPr="000D64B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Pr="000D64B3"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867503"/>
      <w:docPartObj>
        <w:docPartGallery w:val="Page Numbers (Bottom of Page)"/>
        <w:docPartUnique/>
      </w:docPartObj>
    </w:sdtPr>
    <w:sdtEndPr/>
    <w:sdtContent>
      <w:p w14:paraId="7949460F" w14:textId="716A9C46" w:rsidR="00A65F4C" w:rsidRPr="000D64B3" w:rsidRDefault="00A65F4C" w:rsidP="00A65F4C">
        <w:pPr>
          <w:pStyle w:val="Footer"/>
          <w:jc w:val="center"/>
          <w:rPr>
            <w:sz w:val="18"/>
            <w:szCs w:val="18"/>
          </w:rPr>
        </w:pPr>
        <w:r w:rsidRPr="000D64B3">
          <w:rPr>
            <w:sz w:val="18"/>
            <w:szCs w:val="18"/>
          </w:rPr>
          <w:fldChar w:fldCharType="begin"/>
        </w:r>
        <w:r w:rsidRPr="000D64B3">
          <w:rPr>
            <w:sz w:val="18"/>
            <w:szCs w:val="18"/>
          </w:rPr>
          <w:instrText xml:space="preserve"> PAGE   \* MERGEFORMAT </w:instrText>
        </w:r>
        <w:r w:rsidRPr="000D64B3">
          <w:rPr>
            <w:sz w:val="18"/>
            <w:szCs w:val="18"/>
          </w:rPr>
          <w:fldChar w:fldCharType="separate"/>
        </w:r>
        <w:r w:rsidR="00520D1D" w:rsidRPr="000D64B3">
          <w:rPr>
            <w:sz w:val="18"/>
            <w:szCs w:val="18"/>
          </w:rPr>
          <w:t>2</w:t>
        </w:r>
        <w:r w:rsidRPr="000D64B3">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7150"/>
      <w:docPartObj>
        <w:docPartGallery w:val="Page Numbers (Bottom of Page)"/>
        <w:docPartUnique/>
      </w:docPartObj>
    </w:sdtPr>
    <w:sdtEndPr>
      <w:rPr>
        <w:sz w:val="18"/>
        <w:szCs w:val="18"/>
      </w:rPr>
    </w:sdtEndPr>
    <w:sdtContent>
      <w:p w14:paraId="144F4695" w14:textId="7456EC52" w:rsidR="001343B3" w:rsidRPr="00A47185" w:rsidRDefault="001343B3" w:rsidP="001343B3">
        <w:pPr>
          <w:pStyle w:val="Footer"/>
          <w:jc w:val="center"/>
          <w:rPr>
            <w:sz w:val="18"/>
            <w:szCs w:val="18"/>
          </w:rPr>
        </w:pPr>
        <w:r w:rsidRPr="00A47185">
          <w:rPr>
            <w:sz w:val="18"/>
            <w:szCs w:val="18"/>
          </w:rPr>
          <w:fldChar w:fldCharType="begin"/>
        </w:r>
        <w:r w:rsidRPr="00A47185">
          <w:rPr>
            <w:sz w:val="18"/>
            <w:szCs w:val="18"/>
          </w:rPr>
          <w:instrText xml:space="preserve"> PAGE   \* MERGEFORMAT </w:instrText>
        </w:r>
        <w:r w:rsidRPr="00A47185">
          <w:rPr>
            <w:sz w:val="18"/>
            <w:szCs w:val="18"/>
          </w:rPr>
          <w:fldChar w:fldCharType="separate"/>
        </w:r>
        <w:r w:rsidR="00520D1D" w:rsidRPr="00A47185">
          <w:rPr>
            <w:sz w:val="18"/>
            <w:szCs w:val="18"/>
          </w:rPr>
          <w:t>6</w:t>
        </w:r>
        <w:r w:rsidRPr="00A47185">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3D78" w14:textId="5620BD67" w:rsidR="000322B5" w:rsidRPr="000D64B3" w:rsidRDefault="000322B5">
    <w:pPr>
      <w:pStyle w:val="Footer"/>
      <w:ind w:right="-367"/>
      <w:jc w:val="center"/>
      <w:rPr>
        <w:sz w:val="18"/>
        <w:szCs w:val="18"/>
      </w:rPr>
    </w:pPr>
    <w:r w:rsidRPr="000D64B3">
      <w:rPr>
        <w:rFonts w:cs="Arial"/>
        <w:sz w:val="18"/>
        <w:szCs w:val="18"/>
      </w:rPr>
      <w:fldChar w:fldCharType="begin"/>
    </w:r>
    <w:r w:rsidRPr="000D64B3">
      <w:rPr>
        <w:rFonts w:cs="Arial"/>
        <w:sz w:val="18"/>
        <w:szCs w:val="18"/>
      </w:rPr>
      <w:instrText xml:space="preserve"> PAGE </w:instrText>
    </w:r>
    <w:r w:rsidRPr="000D64B3">
      <w:rPr>
        <w:rFonts w:cs="Arial"/>
        <w:sz w:val="18"/>
        <w:szCs w:val="18"/>
      </w:rPr>
      <w:fldChar w:fldCharType="separate"/>
    </w:r>
    <w:r w:rsidR="00520D1D" w:rsidRPr="000D64B3">
      <w:rPr>
        <w:rFonts w:cs="Arial"/>
        <w:sz w:val="18"/>
        <w:szCs w:val="18"/>
      </w:rPr>
      <w:t>5</w:t>
    </w:r>
    <w:r w:rsidRPr="000D64B3">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5528" w14:textId="77777777" w:rsidR="000174DF" w:rsidRPr="000D64B3" w:rsidRDefault="000174DF" w:rsidP="002E0DE9">
      <w:pPr>
        <w:spacing w:after="0" w:line="240" w:lineRule="auto"/>
      </w:pPr>
      <w:r w:rsidRPr="000D64B3">
        <w:separator/>
      </w:r>
    </w:p>
  </w:footnote>
  <w:footnote w:type="continuationSeparator" w:id="0">
    <w:p w14:paraId="48537D6C" w14:textId="77777777" w:rsidR="000174DF" w:rsidRPr="000D64B3" w:rsidRDefault="000174DF" w:rsidP="002E0DE9">
      <w:pPr>
        <w:spacing w:after="0" w:line="240" w:lineRule="auto"/>
      </w:pPr>
      <w:r w:rsidRPr="000D64B3">
        <w:continuationSeparator/>
      </w:r>
    </w:p>
  </w:footnote>
  <w:footnote w:type="continuationNotice" w:id="1">
    <w:p w14:paraId="74B6A9D6" w14:textId="77777777" w:rsidR="000174DF" w:rsidRPr="000D64B3" w:rsidRDefault="00017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0D64B3" w:rsidRDefault="00E87B52">
    <w:pPr>
      <w:pStyle w:val="Heading1"/>
      <w:keepNext w:val="0"/>
      <w:pBdr>
        <w:bottom w:val="single" w:sz="4" w:space="1" w:color="000000"/>
      </w:pBdr>
      <w:ind w:left="261" w:right="-277" w:hanging="261"/>
      <w:jc w:val="right"/>
    </w:pPr>
    <w:r w:rsidRPr="000D64B3">
      <w:rPr>
        <w:rFonts w:cs="Arial"/>
        <w:i/>
        <w:sz w:val="18"/>
        <w:szCs w:val="18"/>
      </w:rPr>
      <w:t>UNEP/CMS/COP12/Doc.x/x</w:t>
    </w:r>
  </w:p>
  <w:p w14:paraId="05FCAA13" w14:textId="77777777" w:rsidR="00E87B52" w:rsidRPr="000D64B3" w:rsidRDefault="00E87B52">
    <w:pPr>
      <w:jc w:val="right"/>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C568" w14:textId="732FF442" w:rsidR="00541282" w:rsidRPr="00002A97" w:rsidRDefault="00541282" w:rsidP="00541282">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46F30CD0" wp14:editId="4518A242">
          <wp:simplePos x="0" y="0"/>
          <wp:positionH relativeFrom="column">
            <wp:posOffset>767403</wp:posOffset>
          </wp:positionH>
          <wp:positionV relativeFrom="paragraph">
            <wp:posOffset>27952</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eastAsia="es-ES"/>
      </w:rPr>
      <w:drawing>
        <wp:anchor distT="0" distB="0" distL="114300" distR="114300" simplePos="0" relativeHeight="251661312" behindDoc="1" locked="0" layoutInCell="1" allowOverlap="1" wp14:anchorId="032C2650" wp14:editId="749E46E9">
          <wp:simplePos x="0" y="0"/>
          <wp:positionH relativeFrom="column">
            <wp:posOffset>-11430</wp:posOffset>
          </wp:positionH>
          <wp:positionV relativeFrom="paragraph">
            <wp:posOffset>-84646</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eastAsia="es-ES"/>
      </w:rPr>
      <w:drawing>
        <wp:anchor distT="0" distB="0" distL="114300" distR="114300" simplePos="0" relativeHeight="251660288" behindDoc="0" locked="0" layoutInCell="1" allowOverlap="1" wp14:anchorId="0DD73B77" wp14:editId="67BC04B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1855BBF" w14:textId="77777777" w:rsidR="00541282" w:rsidRDefault="00541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257A34C1" w:rsidR="00AE4A6B" w:rsidRPr="000D64B3" w:rsidRDefault="00AE4A6B" w:rsidP="00E87B52">
    <w:pPr>
      <w:pStyle w:val="Header"/>
      <w:pBdr>
        <w:bottom w:val="single" w:sz="4" w:space="1" w:color="auto"/>
      </w:pBdr>
      <w:rPr>
        <w:i/>
        <w:sz w:val="18"/>
        <w:szCs w:val="18"/>
      </w:rPr>
    </w:pPr>
    <w:r w:rsidRPr="000D64B3">
      <w:rPr>
        <w:rFonts w:eastAsia="Times New Roman" w:cs="Arial"/>
        <w:i/>
        <w:sz w:val="18"/>
        <w:szCs w:val="18"/>
      </w:rPr>
      <w:t>UNEP/CMS/COP15/Doc.31.2.</w:t>
    </w:r>
    <w:r w:rsidR="0049075B">
      <w:rPr>
        <w:rFonts w:eastAsia="Times New Roman" w:cs="Arial"/>
        <w:i/>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F308" w14:textId="784CFA19" w:rsidR="000322B5" w:rsidRPr="000D64B3" w:rsidRDefault="000322B5" w:rsidP="000322B5">
    <w:pPr>
      <w:pStyle w:val="Header"/>
      <w:pBdr>
        <w:bottom w:val="single" w:sz="4" w:space="1" w:color="auto"/>
      </w:pBdr>
      <w:rPr>
        <w:i/>
        <w:sz w:val="18"/>
        <w:szCs w:val="18"/>
      </w:rPr>
    </w:pPr>
    <w:r w:rsidRPr="000D64B3">
      <w:rPr>
        <w:rFonts w:eastAsia="Times New Roman" w:cs="Arial"/>
        <w:i/>
        <w:sz w:val="18"/>
        <w:szCs w:val="18"/>
      </w:rPr>
      <w:t>UNEP/CMS/COP15/Doc.31.2.</w:t>
    </w:r>
    <w:r w:rsidR="00B3365C">
      <w:rPr>
        <w:rFonts w:eastAsia="Times New Roman" w:cs="Arial"/>
        <w:i/>
        <w:sz w:val="18"/>
        <w:szCs w:val="18"/>
      </w:rPr>
      <w:t>1</w:t>
    </w:r>
  </w:p>
  <w:p w14:paraId="2CD2E293" w14:textId="77777777" w:rsidR="000322B5" w:rsidRPr="000D64B3" w:rsidRDefault="000322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D3C6" w14:textId="36804B1E" w:rsidR="00C41C68" w:rsidRPr="000D64B3" w:rsidRDefault="00C41C68" w:rsidP="00C41C68">
    <w:pPr>
      <w:pStyle w:val="Header"/>
      <w:pBdr>
        <w:bottom w:val="single" w:sz="4" w:space="1" w:color="auto"/>
      </w:pBdr>
      <w:jc w:val="right"/>
      <w:rPr>
        <w:i/>
        <w:sz w:val="18"/>
        <w:szCs w:val="18"/>
      </w:rPr>
    </w:pPr>
    <w:r w:rsidRPr="000D64B3">
      <w:rPr>
        <w:rFonts w:eastAsia="Times New Roman" w:cs="Arial"/>
        <w:i/>
        <w:sz w:val="18"/>
        <w:szCs w:val="18"/>
      </w:rPr>
      <w:t>UNEP/CMS/COP15/Doc.31.</w:t>
    </w:r>
    <w:r w:rsidR="00B3365C">
      <w:rPr>
        <w:rFonts w:eastAsia="Times New Roman" w:cs="Arial"/>
        <w:i/>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C6334A"/>
    <w:multiLevelType w:val="multilevel"/>
    <w:tmpl w:val="0748BE5A"/>
    <w:lvl w:ilvl="0">
      <w:start w:val="2"/>
      <w:numFmt w:val="decimal"/>
      <w:lvlText w:val="%1."/>
      <w:lvlJc w:val="left"/>
      <w:pPr>
        <w:ind w:left="1350" w:hanging="720"/>
      </w:pPr>
      <w:rPr>
        <w:rFonts w:hint="default"/>
        <w:b/>
        <w:bCs/>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2" w15:restartNumberingAfterBreak="0">
    <w:nsid w:val="48BF79B2"/>
    <w:multiLevelType w:val="multilevel"/>
    <w:tmpl w:val="C50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7A5815AC"/>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415987"/>
    <w:multiLevelType w:val="hybridMultilevel"/>
    <w:tmpl w:val="942E129E"/>
    <w:lvl w:ilvl="0" w:tplc="4E3CD654">
      <w:start w:val="3"/>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6498038">
    <w:abstractNumId w:val="3"/>
  </w:num>
  <w:num w:numId="2" w16cid:durableId="1542134224">
    <w:abstractNumId w:val="7"/>
  </w:num>
  <w:num w:numId="3" w16cid:durableId="1006788559">
    <w:abstractNumId w:val="0"/>
  </w:num>
  <w:num w:numId="4" w16cid:durableId="374743507">
    <w:abstractNumId w:val="5"/>
  </w:num>
  <w:num w:numId="5" w16cid:durableId="562524364">
    <w:abstractNumId w:val="8"/>
  </w:num>
  <w:num w:numId="6" w16cid:durableId="409470877">
    <w:abstractNumId w:val="4"/>
  </w:num>
  <w:num w:numId="7" w16cid:durableId="1209606737">
    <w:abstractNumId w:val="2"/>
  </w:num>
  <w:num w:numId="8" w16cid:durableId="374428261">
    <w:abstractNumId w:val="1"/>
  </w:num>
  <w:num w:numId="9" w16cid:durableId="1477456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74DF"/>
    <w:rsid w:val="000322B5"/>
    <w:rsid w:val="00045938"/>
    <w:rsid w:val="000467A8"/>
    <w:rsid w:val="000661B2"/>
    <w:rsid w:val="00084FF7"/>
    <w:rsid w:val="000B60DE"/>
    <w:rsid w:val="000B7098"/>
    <w:rsid w:val="000C0FE9"/>
    <w:rsid w:val="000C2C11"/>
    <w:rsid w:val="000D094C"/>
    <w:rsid w:val="000D2237"/>
    <w:rsid w:val="000D64B3"/>
    <w:rsid w:val="000E71F1"/>
    <w:rsid w:val="001139D3"/>
    <w:rsid w:val="00124693"/>
    <w:rsid w:val="001343B3"/>
    <w:rsid w:val="0015124D"/>
    <w:rsid w:val="0015276D"/>
    <w:rsid w:val="001705F1"/>
    <w:rsid w:val="0017210D"/>
    <w:rsid w:val="00176082"/>
    <w:rsid w:val="0018099C"/>
    <w:rsid w:val="00192BEB"/>
    <w:rsid w:val="00196F22"/>
    <w:rsid w:val="001C6931"/>
    <w:rsid w:val="001D2564"/>
    <w:rsid w:val="001D763A"/>
    <w:rsid w:val="001F25E7"/>
    <w:rsid w:val="00223344"/>
    <w:rsid w:val="00236050"/>
    <w:rsid w:val="002577D2"/>
    <w:rsid w:val="002B2806"/>
    <w:rsid w:val="002B4083"/>
    <w:rsid w:val="002B5F4F"/>
    <w:rsid w:val="002B736F"/>
    <w:rsid w:val="002C4587"/>
    <w:rsid w:val="002E0DE9"/>
    <w:rsid w:val="002E14EB"/>
    <w:rsid w:val="002E42C7"/>
    <w:rsid w:val="0030267F"/>
    <w:rsid w:val="0032360E"/>
    <w:rsid w:val="00331D38"/>
    <w:rsid w:val="00341536"/>
    <w:rsid w:val="0035024E"/>
    <w:rsid w:val="00373F7F"/>
    <w:rsid w:val="00387762"/>
    <w:rsid w:val="003C569E"/>
    <w:rsid w:val="0044352F"/>
    <w:rsid w:val="004456DC"/>
    <w:rsid w:val="00450EC1"/>
    <w:rsid w:val="00462F9C"/>
    <w:rsid w:val="004714F5"/>
    <w:rsid w:val="004766E4"/>
    <w:rsid w:val="0049075B"/>
    <w:rsid w:val="004D14EE"/>
    <w:rsid w:val="004D3FC4"/>
    <w:rsid w:val="004D5029"/>
    <w:rsid w:val="004F66C0"/>
    <w:rsid w:val="004F6FCF"/>
    <w:rsid w:val="004F7D19"/>
    <w:rsid w:val="005201A6"/>
    <w:rsid w:val="00520D1D"/>
    <w:rsid w:val="005330F7"/>
    <w:rsid w:val="00541282"/>
    <w:rsid w:val="0055419D"/>
    <w:rsid w:val="0056242D"/>
    <w:rsid w:val="00563598"/>
    <w:rsid w:val="005644BA"/>
    <w:rsid w:val="00573CEF"/>
    <w:rsid w:val="00573F36"/>
    <w:rsid w:val="00592A7C"/>
    <w:rsid w:val="0059467B"/>
    <w:rsid w:val="005B1F6F"/>
    <w:rsid w:val="005B3D6A"/>
    <w:rsid w:val="005C28E8"/>
    <w:rsid w:val="005C469B"/>
    <w:rsid w:val="005C4CFE"/>
    <w:rsid w:val="005C7FBE"/>
    <w:rsid w:val="005E6D3C"/>
    <w:rsid w:val="005F0914"/>
    <w:rsid w:val="005F738C"/>
    <w:rsid w:val="006526B8"/>
    <w:rsid w:val="00655227"/>
    <w:rsid w:val="0066777D"/>
    <w:rsid w:val="00670103"/>
    <w:rsid w:val="0067585E"/>
    <w:rsid w:val="00683B57"/>
    <w:rsid w:val="006930AC"/>
    <w:rsid w:val="006A7DC4"/>
    <w:rsid w:val="006B0276"/>
    <w:rsid w:val="006B3CA2"/>
    <w:rsid w:val="006D7B10"/>
    <w:rsid w:val="006E516B"/>
    <w:rsid w:val="006F5B78"/>
    <w:rsid w:val="00722D38"/>
    <w:rsid w:val="00724EF6"/>
    <w:rsid w:val="007460F9"/>
    <w:rsid w:val="00746CF2"/>
    <w:rsid w:val="00750E1E"/>
    <w:rsid w:val="007658B1"/>
    <w:rsid w:val="007745FF"/>
    <w:rsid w:val="007832C3"/>
    <w:rsid w:val="00793403"/>
    <w:rsid w:val="007A369D"/>
    <w:rsid w:val="00837FFC"/>
    <w:rsid w:val="00842B75"/>
    <w:rsid w:val="00872FF8"/>
    <w:rsid w:val="00884F50"/>
    <w:rsid w:val="008B0AC3"/>
    <w:rsid w:val="008B2454"/>
    <w:rsid w:val="008D2E27"/>
    <w:rsid w:val="00900AB9"/>
    <w:rsid w:val="0092671C"/>
    <w:rsid w:val="00933B90"/>
    <w:rsid w:val="00960239"/>
    <w:rsid w:val="00975F46"/>
    <w:rsid w:val="00984BDA"/>
    <w:rsid w:val="009867B5"/>
    <w:rsid w:val="009A06E1"/>
    <w:rsid w:val="009B393D"/>
    <w:rsid w:val="009C49DF"/>
    <w:rsid w:val="009C7FCD"/>
    <w:rsid w:val="009D5E05"/>
    <w:rsid w:val="009F557D"/>
    <w:rsid w:val="00A44ED2"/>
    <w:rsid w:val="00A47185"/>
    <w:rsid w:val="00A608D1"/>
    <w:rsid w:val="00A65F4C"/>
    <w:rsid w:val="00A9675B"/>
    <w:rsid w:val="00AA6139"/>
    <w:rsid w:val="00AB1048"/>
    <w:rsid w:val="00AC06A1"/>
    <w:rsid w:val="00AD72D3"/>
    <w:rsid w:val="00AE1C33"/>
    <w:rsid w:val="00AE4A6B"/>
    <w:rsid w:val="00AF23E5"/>
    <w:rsid w:val="00B07E9B"/>
    <w:rsid w:val="00B22CE5"/>
    <w:rsid w:val="00B3365C"/>
    <w:rsid w:val="00B51A11"/>
    <w:rsid w:val="00B82ECD"/>
    <w:rsid w:val="00B9105D"/>
    <w:rsid w:val="00BA192A"/>
    <w:rsid w:val="00BA5D74"/>
    <w:rsid w:val="00BB7FAE"/>
    <w:rsid w:val="00BF2E29"/>
    <w:rsid w:val="00C10173"/>
    <w:rsid w:val="00C34A8C"/>
    <w:rsid w:val="00C41C68"/>
    <w:rsid w:val="00C505B5"/>
    <w:rsid w:val="00C7409D"/>
    <w:rsid w:val="00C75D6F"/>
    <w:rsid w:val="00CA7C24"/>
    <w:rsid w:val="00CF5D3B"/>
    <w:rsid w:val="00D15DB8"/>
    <w:rsid w:val="00D224B5"/>
    <w:rsid w:val="00D3662C"/>
    <w:rsid w:val="00D73F4B"/>
    <w:rsid w:val="00D93628"/>
    <w:rsid w:val="00DA1C8A"/>
    <w:rsid w:val="00DD1EBF"/>
    <w:rsid w:val="00E15F6E"/>
    <w:rsid w:val="00E16D5C"/>
    <w:rsid w:val="00E54BF3"/>
    <w:rsid w:val="00E70228"/>
    <w:rsid w:val="00E85C9C"/>
    <w:rsid w:val="00E87B52"/>
    <w:rsid w:val="00ED35A1"/>
    <w:rsid w:val="00ED44B2"/>
    <w:rsid w:val="00EF4F47"/>
    <w:rsid w:val="00F20B11"/>
    <w:rsid w:val="00F41197"/>
    <w:rsid w:val="00F55BC2"/>
    <w:rsid w:val="00F764F4"/>
    <w:rsid w:val="00F82A57"/>
    <w:rsid w:val="00FB5DA1"/>
    <w:rsid w:val="00FD12CF"/>
    <w:rsid w:val="00FE026F"/>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AB9"/>
    <w:rPr>
      <w:color w:val="0563C1"/>
      <w:u w:val="single"/>
    </w:rPr>
  </w:style>
  <w:style w:type="character" w:styleId="CommentReference">
    <w:name w:val="annotation reference"/>
    <w:basedOn w:val="DefaultParagraphFont"/>
    <w:uiPriority w:val="99"/>
    <w:semiHidden/>
    <w:unhideWhenUsed/>
    <w:rsid w:val="00045938"/>
    <w:rPr>
      <w:sz w:val="16"/>
      <w:szCs w:val="16"/>
    </w:rPr>
  </w:style>
  <w:style w:type="paragraph" w:styleId="CommentText">
    <w:name w:val="annotation text"/>
    <w:basedOn w:val="Normal"/>
    <w:link w:val="CommentTextChar"/>
    <w:uiPriority w:val="99"/>
    <w:unhideWhenUsed/>
    <w:rsid w:val="00045938"/>
    <w:pPr>
      <w:spacing w:line="240" w:lineRule="auto"/>
    </w:pPr>
    <w:rPr>
      <w:sz w:val="20"/>
      <w:szCs w:val="20"/>
    </w:rPr>
  </w:style>
  <w:style w:type="character" w:customStyle="1" w:styleId="CommentTextChar">
    <w:name w:val="Comment Text Char"/>
    <w:basedOn w:val="DefaultParagraphFont"/>
    <w:link w:val="CommentText"/>
    <w:uiPriority w:val="99"/>
    <w:rsid w:val="00045938"/>
    <w:rPr>
      <w:sz w:val="20"/>
      <w:szCs w:val="20"/>
    </w:rPr>
  </w:style>
  <w:style w:type="paragraph" w:styleId="CommentSubject">
    <w:name w:val="annotation subject"/>
    <w:basedOn w:val="CommentText"/>
    <w:next w:val="CommentText"/>
    <w:link w:val="CommentSubjectChar"/>
    <w:uiPriority w:val="99"/>
    <w:semiHidden/>
    <w:unhideWhenUsed/>
    <w:rsid w:val="00837FFC"/>
    <w:rPr>
      <w:b/>
      <w:bCs/>
    </w:rPr>
  </w:style>
  <w:style w:type="character" w:customStyle="1" w:styleId="CommentSubjectChar">
    <w:name w:val="Comment Subject Char"/>
    <w:basedOn w:val="CommentTextChar"/>
    <w:link w:val="CommentSubject"/>
    <w:uiPriority w:val="99"/>
    <w:semiHidden/>
    <w:rsid w:val="00837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287">
      <w:bodyDiv w:val="1"/>
      <w:marLeft w:val="0"/>
      <w:marRight w:val="0"/>
      <w:marTop w:val="0"/>
      <w:marBottom w:val="0"/>
      <w:divBdr>
        <w:top w:val="none" w:sz="0" w:space="0" w:color="auto"/>
        <w:left w:val="none" w:sz="0" w:space="0" w:color="auto"/>
        <w:bottom w:val="none" w:sz="0" w:space="0" w:color="auto"/>
        <w:right w:val="none" w:sz="0" w:space="0" w:color="auto"/>
      </w:divBdr>
    </w:div>
    <w:div w:id="446238970">
      <w:bodyDiv w:val="1"/>
      <w:marLeft w:val="0"/>
      <w:marRight w:val="0"/>
      <w:marTop w:val="0"/>
      <w:marBottom w:val="0"/>
      <w:divBdr>
        <w:top w:val="none" w:sz="0" w:space="0" w:color="auto"/>
        <w:left w:val="none" w:sz="0" w:space="0" w:color="auto"/>
        <w:bottom w:val="none" w:sz="0" w:space="0" w:color="auto"/>
        <w:right w:val="none" w:sz="0" w:space="0" w:color="auto"/>
      </w:divBdr>
    </w:div>
    <w:div w:id="473253835">
      <w:bodyDiv w:val="1"/>
      <w:marLeft w:val="0"/>
      <w:marRight w:val="0"/>
      <w:marTop w:val="0"/>
      <w:marBottom w:val="0"/>
      <w:divBdr>
        <w:top w:val="none" w:sz="0" w:space="0" w:color="auto"/>
        <w:left w:val="none" w:sz="0" w:space="0" w:color="auto"/>
        <w:bottom w:val="none" w:sz="0" w:space="0" w:color="auto"/>
        <w:right w:val="none" w:sz="0" w:space="0" w:color="auto"/>
      </w:divBdr>
    </w:div>
    <w:div w:id="532618695">
      <w:bodyDiv w:val="1"/>
      <w:marLeft w:val="0"/>
      <w:marRight w:val="0"/>
      <w:marTop w:val="0"/>
      <w:marBottom w:val="0"/>
      <w:divBdr>
        <w:top w:val="none" w:sz="0" w:space="0" w:color="auto"/>
        <w:left w:val="none" w:sz="0" w:space="0" w:color="auto"/>
        <w:bottom w:val="none" w:sz="0" w:space="0" w:color="auto"/>
        <w:right w:val="none" w:sz="0" w:space="0" w:color="auto"/>
      </w:divBdr>
    </w:div>
    <w:div w:id="653334984">
      <w:bodyDiv w:val="1"/>
      <w:marLeft w:val="0"/>
      <w:marRight w:val="0"/>
      <w:marTop w:val="0"/>
      <w:marBottom w:val="0"/>
      <w:divBdr>
        <w:top w:val="none" w:sz="0" w:space="0" w:color="auto"/>
        <w:left w:val="none" w:sz="0" w:space="0" w:color="auto"/>
        <w:bottom w:val="none" w:sz="0" w:space="0" w:color="auto"/>
        <w:right w:val="none" w:sz="0" w:space="0" w:color="auto"/>
      </w:divBdr>
    </w:div>
    <w:div w:id="842933210">
      <w:bodyDiv w:val="1"/>
      <w:marLeft w:val="0"/>
      <w:marRight w:val="0"/>
      <w:marTop w:val="0"/>
      <w:marBottom w:val="0"/>
      <w:divBdr>
        <w:top w:val="none" w:sz="0" w:space="0" w:color="auto"/>
        <w:left w:val="none" w:sz="0" w:space="0" w:color="auto"/>
        <w:bottom w:val="none" w:sz="0" w:space="0" w:color="auto"/>
        <w:right w:val="none" w:sz="0" w:space="0" w:color="auto"/>
      </w:divBdr>
    </w:div>
    <w:div w:id="1128162071">
      <w:bodyDiv w:val="1"/>
      <w:marLeft w:val="0"/>
      <w:marRight w:val="0"/>
      <w:marTop w:val="0"/>
      <w:marBottom w:val="0"/>
      <w:divBdr>
        <w:top w:val="none" w:sz="0" w:space="0" w:color="auto"/>
        <w:left w:val="none" w:sz="0" w:space="0" w:color="auto"/>
        <w:bottom w:val="none" w:sz="0" w:space="0" w:color="auto"/>
        <w:right w:val="none" w:sz="0" w:space="0" w:color="auto"/>
      </w:divBdr>
    </w:div>
    <w:div w:id="1166893929">
      <w:bodyDiv w:val="1"/>
      <w:marLeft w:val="0"/>
      <w:marRight w:val="0"/>
      <w:marTop w:val="0"/>
      <w:marBottom w:val="0"/>
      <w:divBdr>
        <w:top w:val="none" w:sz="0" w:space="0" w:color="auto"/>
        <w:left w:val="none" w:sz="0" w:space="0" w:color="auto"/>
        <w:bottom w:val="none" w:sz="0" w:space="0" w:color="auto"/>
        <w:right w:val="none" w:sz="0" w:space="0" w:color="auto"/>
      </w:divBdr>
    </w:div>
    <w:div w:id="1274509905">
      <w:bodyDiv w:val="1"/>
      <w:marLeft w:val="0"/>
      <w:marRight w:val="0"/>
      <w:marTop w:val="0"/>
      <w:marBottom w:val="0"/>
      <w:divBdr>
        <w:top w:val="none" w:sz="0" w:space="0" w:color="auto"/>
        <w:left w:val="none" w:sz="0" w:space="0" w:color="auto"/>
        <w:bottom w:val="none" w:sz="0" w:space="0" w:color="auto"/>
        <w:right w:val="none" w:sz="0" w:space="0" w:color="auto"/>
      </w:divBdr>
    </w:div>
    <w:div w:id="1512989336">
      <w:bodyDiv w:val="1"/>
      <w:marLeft w:val="0"/>
      <w:marRight w:val="0"/>
      <w:marTop w:val="0"/>
      <w:marBottom w:val="0"/>
      <w:divBdr>
        <w:top w:val="none" w:sz="0" w:space="0" w:color="auto"/>
        <w:left w:val="none" w:sz="0" w:space="0" w:color="auto"/>
        <w:bottom w:val="none" w:sz="0" w:space="0" w:color="auto"/>
        <w:right w:val="none" w:sz="0" w:space="0" w:color="auto"/>
      </w:divBdr>
    </w:div>
    <w:div w:id="1640453685">
      <w:bodyDiv w:val="1"/>
      <w:marLeft w:val="0"/>
      <w:marRight w:val="0"/>
      <w:marTop w:val="0"/>
      <w:marBottom w:val="0"/>
      <w:divBdr>
        <w:top w:val="none" w:sz="0" w:space="0" w:color="auto"/>
        <w:left w:val="none" w:sz="0" w:space="0" w:color="auto"/>
        <w:bottom w:val="none" w:sz="0" w:space="0" w:color="auto"/>
        <w:right w:val="none" w:sz="0" w:space="0" w:color="auto"/>
      </w:divBdr>
    </w:div>
    <w:div w:id="21077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98/rstb.2024.0143"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proposal-concerted-action-chimpanzee-pan-troglodytes-behavioural-diversity-and-culture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84D0FFB-F9F5-40AC-8FA5-54A4BAA4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00B2AF25-427D-4C1B-AF8C-078D6D4FABE5}">
  <ds:schemaRefs>
    <ds:schemaRef ds:uri="http://schemas.openxmlformats.org/officeDocument/2006/bibliography"/>
  </ds:schemaRefs>
</ds:datastoreItem>
</file>

<file path=customXml/itemProps4.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1775</Words>
  <Characters>10121</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dcterms:created xsi:type="dcterms:W3CDTF">2025-11-03T11:44:00Z</dcterms:created>
  <dcterms:modified xsi:type="dcterms:W3CDTF">2025-11-12T13:23:00Z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