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633893" w:rsidRPr="00BE6C85" w14:paraId="466A1B17" w14:textId="77777777" w:rsidTr="004717E5">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ED83124" w14:textId="77777777" w:rsidR="00633893" w:rsidRPr="00002A97" w:rsidRDefault="00633893" w:rsidP="004717E5">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CFF62EA" wp14:editId="3C8250EC">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76E222FE"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C656049"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382BADA8"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EB1D766"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07A16E4D" w14:textId="7F372452" w:rsidR="00633893" w:rsidRPr="00231B66" w:rsidRDefault="00633893" w:rsidP="004717E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231B66">
              <w:rPr>
                <w:rFonts w:eastAsia="Times New Roman" w:cs="Arial"/>
                <w:szCs w:val="24"/>
                <w:lang w:val="es-ES" w:eastAsia="es-ES"/>
              </w:rPr>
              <w:t>UNEP/CMS/COP15/Doc.</w:t>
            </w:r>
            <w:r w:rsidR="00B716B8" w:rsidRPr="00231B66">
              <w:rPr>
                <w:rFonts w:eastAsia="Times New Roman" w:cs="Arial"/>
                <w:szCs w:val="24"/>
                <w:lang w:val="es-ES" w:eastAsia="es-ES"/>
              </w:rPr>
              <w:t>30.</w:t>
            </w:r>
            <w:r w:rsidR="001C1947" w:rsidRPr="00231B66">
              <w:rPr>
                <w:rFonts w:eastAsia="Times New Roman" w:cs="Arial"/>
                <w:szCs w:val="24"/>
                <w:lang w:val="es-ES" w:eastAsia="es-ES"/>
              </w:rPr>
              <w:t>2.10</w:t>
            </w:r>
          </w:p>
          <w:p w14:paraId="57113865" w14:textId="278054FC" w:rsidR="00633893" w:rsidRPr="00231B66" w:rsidRDefault="001C1947" w:rsidP="004717E5">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231B66">
              <w:rPr>
                <w:rFonts w:eastAsia="Times New Roman" w:cs="Arial"/>
                <w:szCs w:val="24"/>
                <w:lang w:val="es-ES" w:eastAsia="es-ES"/>
              </w:rPr>
              <w:t>24 de octubre</w:t>
            </w:r>
            <w:r w:rsidR="00633893" w:rsidRPr="00231B66">
              <w:rPr>
                <w:rFonts w:eastAsia="Times New Roman" w:cs="Arial"/>
                <w:szCs w:val="24"/>
                <w:lang w:val="es-ES" w:eastAsia="es-ES"/>
              </w:rPr>
              <w:t xml:space="preserve"> 2025</w:t>
            </w:r>
          </w:p>
          <w:p w14:paraId="4AAD4BEA" w14:textId="77777777" w:rsidR="00633893" w:rsidRPr="00002A97" w:rsidRDefault="00633893" w:rsidP="004717E5">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54625F3" w14:textId="77777777" w:rsidR="00633893" w:rsidRPr="000F4BDA" w:rsidRDefault="00633893" w:rsidP="004717E5">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1F2AC23B" w14:textId="77777777" w:rsidR="00633893" w:rsidRPr="00002A97" w:rsidRDefault="00633893" w:rsidP="004717E5">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F9E0A09" w14:textId="77777777" w:rsidR="00633893" w:rsidRPr="00002A97" w:rsidRDefault="00633893" w:rsidP="00633893">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CF3DC74" w14:textId="77777777" w:rsidR="00633893" w:rsidRPr="00002A97" w:rsidRDefault="00633893" w:rsidP="0063389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525D183E" w14:textId="77777777" w:rsidR="00633893" w:rsidRPr="00002A97" w:rsidRDefault="00633893" w:rsidP="0063389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5877F503" w14:textId="7CFC99C8" w:rsidR="00633893" w:rsidRPr="00002A97" w:rsidRDefault="00633893" w:rsidP="00633893">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C1947">
        <w:rPr>
          <w:rFonts w:eastAsia="Times New Roman" w:cs="Arial"/>
          <w:szCs w:val="24"/>
          <w:lang w:val="es-ES" w:eastAsia="es-ES"/>
        </w:rPr>
        <w:t>30.2.10</w:t>
      </w:r>
      <w:r w:rsidRPr="00002A97">
        <w:rPr>
          <w:rFonts w:eastAsia="Times New Roman" w:cs="Arial"/>
          <w:szCs w:val="24"/>
          <w:lang w:val="es-ES" w:eastAsia="es-ES"/>
        </w:rPr>
        <w:t xml:space="preserve"> del orden del día</w:t>
      </w:r>
    </w:p>
    <w:p w14:paraId="59D6FD3E" w14:textId="27BE196D" w:rsidR="00E87B52" w:rsidRPr="000B6D85" w:rsidRDefault="00E87B52" w:rsidP="002E0DE9">
      <w:pPr>
        <w:widowControl w:val="0"/>
        <w:suppressAutoHyphens/>
        <w:autoSpaceDE w:val="0"/>
        <w:autoSpaceDN w:val="0"/>
        <w:spacing w:after="0" w:line="240" w:lineRule="auto"/>
        <w:textAlignment w:val="baseline"/>
        <w:rPr>
          <w:rFonts w:eastAsia="Times New Roman" w:cs="Arial"/>
          <w:lang w:val="es-ES"/>
        </w:rPr>
      </w:pPr>
    </w:p>
    <w:p w14:paraId="42E245A3" w14:textId="77777777" w:rsidR="00E87B52" w:rsidRPr="000B6D85" w:rsidRDefault="00E87B52" w:rsidP="002E0DE9">
      <w:pPr>
        <w:widowControl w:val="0"/>
        <w:suppressAutoHyphens/>
        <w:autoSpaceDE w:val="0"/>
        <w:autoSpaceDN w:val="0"/>
        <w:spacing w:after="0" w:line="240" w:lineRule="auto"/>
        <w:textAlignment w:val="baseline"/>
        <w:rPr>
          <w:rFonts w:eastAsia="Times New Roman" w:cs="Arial"/>
          <w:lang w:val="es-ES"/>
        </w:rPr>
      </w:pPr>
    </w:p>
    <w:p w14:paraId="453E5835" w14:textId="77777777" w:rsidR="00C107D5" w:rsidRPr="000B6D85" w:rsidRDefault="00C107D5" w:rsidP="002E0DE9">
      <w:pPr>
        <w:widowControl w:val="0"/>
        <w:suppressAutoHyphens/>
        <w:autoSpaceDE w:val="0"/>
        <w:autoSpaceDN w:val="0"/>
        <w:spacing w:after="0" w:line="240" w:lineRule="auto"/>
        <w:textAlignment w:val="baseline"/>
        <w:rPr>
          <w:rFonts w:eastAsia="Times New Roman" w:cs="Arial"/>
          <w:lang w:val="es-ES"/>
        </w:rPr>
      </w:pPr>
    </w:p>
    <w:p w14:paraId="7415E9D9" w14:textId="149411C6" w:rsidR="00E87B52" w:rsidRPr="000B6D85"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B6D85">
        <w:rPr>
          <w:rFonts w:eastAsia="Times New Roman" w:cs="Arial"/>
          <w:b/>
          <w:bCs/>
          <w:lang w:val="es-ES"/>
        </w:rPr>
        <w:t xml:space="preserve">INFORME SOBRE LA APLICACIÓN DE LA ACCIÓN CONCERTADA </w:t>
      </w:r>
    </w:p>
    <w:p w14:paraId="6255720E" w14:textId="5AA4A9DD" w:rsidR="00E87B52" w:rsidRPr="000B6D85" w:rsidRDefault="00E87B52" w:rsidP="008854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Arial"/>
          <w:lang w:val="es-ES"/>
        </w:rPr>
      </w:pPr>
      <w:r w:rsidRPr="000B6D85">
        <w:rPr>
          <w:rFonts w:eastAsia="Times New Roman" w:cs="Arial"/>
          <w:b/>
          <w:bCs/>
          <w:lang w:val="es-ES"/>
        </w:rPr>
        <w:t xml:space="preserve">PARA EL TIBURÓN AZUL </w:t>
      </w:r>
      <w:r w:rsidR="0088545C" w:rsidRPr="000B6D85">
        <w:rPr>
          <w:rFonts w:eastAsia="Calibri" w:cs="Arial"/>
          <w:b/>
          <w:i/>
          <w:iCs/>
          <w:lang w:val="es-ES"/>
        </w:rPr>
        <w:t xml:space="preserve">(Prionace </w:t>
      </w:r>
      <w:proofErr w:type="gramStart"/>
      <w:r w:rsidR="0088545C" w:rsidRPr="000B6D85">
        <w:rPr>
          <w:rFonts w:eastAsia="Calibri" w:cs="Arial"/>
          <w:b/>
          <w:i/>
          <w:iCs/>
          <w:lang w:val="es-ES"/>
        </w:rPr>
        <w:t>glauca</w:t>
      </w:r>
      <w:r w:rsidR="0088545C" w:rsidRPr="000B6D85">
        <w:rPr>
          <w:rFonts w:eastAsia="Calibri" w:cs="Arial"/>
          <w:b/>
          <w:lang w:val="es-ES"/>
        </w:rPr>
        <w:t>)</w:t>
      </w:r>
      <w:r w:rsidRPr="000B6D85">
        <w:rPr>
          <w:rFonts w:eastAsia="Times New Roman" w:cs="Arial"/>
          <w:sz w:val="21"/>
          <w:szCs w:val="21"/>
          <w:lang w:val="es-ES"/>
        </w:rPr>
        <w:t>*</w:t>
      </w:r>
      <w:proofErr w:type="gramEnd"/>
    </w:p>
    <w:p w14:paraId="04541202" w14:textId="77777777" w:rsidR="002E0DE9" w:rsidRPr="000B6D85"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554A67C2" w14:textId="0D77515C" w:rsidR="002E0DE9" w:rsidRPr="000B6D85" w:rsidRDefault="008B224D" w:rsidP="002E0DE9">
      <w:pPr>
        <w:widowControl w:val="0"/>
        <w:suppressAutoHyphens/>
        <w:autoSpaceDE w:val="0"/>
        <w:autoSpaceDN w:val="0"/>
        <w:spacing w:after="0" w:line="240" w:lineRule="auto"/>
        <w:textAlignment w:val="baseline"/>
        <w:rPr>
          <w:rFonts w:eastAsia="Times New Roman" w:cs="Arial"/>
          <w:sz w:val="21"/>
          <w:szCs w:val="21"/>
          <w:lang w:val="es-ES"/>
        </w:rPr>
      </w:pPr>
      <w:r w:rsidRPr="000B6D85">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0D5F1BCC">
                <wp:simplePos x="0" y="0"/>
                <wp:positionH relativeFrom="margin">
                  <wp:posOffset>819150</wp:posOffset>
                </wp:positionH>
                <wp:positionV relativeFrom="margin">
                  <wp:posOffset>2621915</wp:posOffset>
                </wp:positionV>
                <wp:extent cx="4304665" cy="1163955"/>
                <wp:effectExtent l="0" t="0" r="19685" b="1714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163955"/>
                        </a:xfrm>
                        <a:prstGeom prst="rect">
                          <a:avLst/>
                        </a:prstGeom>
                        <a:solidFill>
                          <a:srgbClr val="FFFFFF"/>
                        </a:solidFill>
                        <a:ln w="3172">
                          <a:solidFill>
                            <a:srgbClr val="000000"/>
                          </a:solidFill>
                          <a:prstDash val="solid"/>
                        </a:ln>
                      </wps:spPr>
                      <wps:txbx>
                        <w:txbxContent>
                          <w:p w14:paraId="361301A9" w14:textId="77777777" w:rsidR="002E0DE9" w:rsidRPr="000B6D85" w:rsidRDefault="002E0DE9" w:rsidP="008B224D">
                            <w:pPr>
                              <w:spacing w:after="0" w:line="240" w:lineRule="auto"/>
                              <w:jc w:val="both"/>
                              <w:rPr>
                                <w:rFonts w:cs="Arial"/>
                                <w:lang w:val="es-ES"/>
                              </w:rPr>
                            </w:pPr>
                            <w:r w:rsidRPr="000B6D85">
                              <w:rPr>
                                <w:rFonts w:cs="Arial"/>
                                <w:lang w:val="es-ES"/>
                              </w:rPr>
                              <w:t>Resumen:</w:t>
                            </w:r>
                          </w:p>
                          <w:p w14:paraId="12338272" w14:textId="097C4F46" w:rsidR="002E0DE9" w:rsidRPr="000B6D85" w:rsidRDefault="002E0DE9" w:rsidP="008B224D">
                            <w:pPr>
                              <w:spacing w:after="0" w:line="240" w:lineRule="auto"/>
                              <w:jc w:val="both"/>
                              <w:rPr>
                                <w:rFonts w:cs="Arial"/>
                                <w:lang w:val="es-ES"/>
                              </w:rPr>
                            </w:pPr>
                          </w:p>
                          <w:p w14:paraId="00F9E8DB" w14:textId="5966EAA5" w:rsidR="00E87B52" w:rsidRPr="000B6D85" w:rsidRDefault="0088545C" w:rsidP="008B224D">
                            <w:pPr>
                              <w:spacing w:after="0" w:line="240" w:lineRule="auto"/>
                              <w:jc w:val="both"/>
                              <w:rPr>
                                <w:rFonts w:cs="Arial"/>
                                <w:lang w:val="es-ES"/>
                              </w:rPr>
                            </w:pPr>
                            <w:r w:rsidRPr="000B6D85">
                              <w:rPr>
                                <w:rFonts w:eastAsia="Times New Roman" w:cs="Arial"/>
                                <w:lang w:val="es-ES"/>
                              </w:rPr>
                              <w:t>La Fundación para la Investigación y Conservación Marina (MARECO) ha presentado el informe adjunto sobre la aplicación de la Acción Concertada para el tiburón azul (Prionace glauca), UNEP/CMS/Acción Concertada 14.6.</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4.5pt;margin-top:206.45pt;width:338.95pt;height:91.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MR5QEAANQDAAAOAAAAZHJzL2Uyb0RvYy54bWysU8GO0zAQvSPxD5bvNEmbdtmo6Qq2KkJa&#10;AVLhAxzHaSw5tvG4TcrXM3ZC24U9rfBh4vFMnt+8Ga8fhk6Rk3AgjS5pNkspEZqbWupDSX983717&#10;Twl4pmumjBYlPQugD5u3b9a9LcTctEbVwhEE0VD0tqSt97ZIEuCt6BjMjBUag41xHfPoukNSO9Yj&#10;eqeSeZqukt642jrDBQCebscg3UT8phHcf20aEJ6okiI3H62Ltgo22axZcXDMtpJPNNgrWHRMarz0&#10;ArVlnpGjk/9AdZI7A6bxM266xDSN5CLWgNVk6V/V7FtmRawFxQF7kQn+Hyz/ctrbb4744aMZsIFB&#10;kN5CAXgY6hka14UvMiUYRwnPF9nE4AnHw3yR5qvVkhKOsSxbLe6Xy4CTXH+3DvwnYToSNiV12Jco&#10;Fzs9gR9T/6SE28AoWe+kUtFxh+pROXJi2MNdXBP6szSlSV/SRXY3j8jPYnALkcb1EkSgsGXQjldF&#10;hClNaSznqkvY+aEaJrEqU59RQ3wGWFtr3C9KehypksLPI3OCEvVZY8/uszwPMxidfHk3R8fdRqrb&#10;CNMcoUrqKRm3j36cWxwcy/yT3lseWhEk0ubD0ZtGRikDuZHRxBlHJzZjGvMwm7d+zLo+xs1vAAAA&#10;//8DAFBLAwQUAAYACAAAACEADniLid8AAAALAQAADwAAAGRycy9kb3ducmV2LnhtbEyPwU7DMBBE&#10;70j8g7VI3KjTiIQ2xKkQCCkHLikcOLrxkgTidWS7TejXs5zgNqMdzb4pd4sdxQl9GBwpWK8SEEit&#10;MwN1Ct5en282IELUZPToCBV8Y4BddXlR6sK4mRo87WMnuIRCoRX0MU6FlKHt0eqwchMS3z6ctzqy&#10;9Z00Xs9cbkeZJkkurR6IP/R6wsce26/90Sr4PEdKqXnJptm/39VZ81Sv67NS11fLwz2IiEv8C8Mv&#10;PqNDxUwHdyQTxMg+3fKWqOCWFQhObJKcxUFBts1TkFUp/2+ofgAAAP//AwBQSwECLQAUAAYACAAA&#10;ACEAtoM4kv4AAADhAQAAEwAAAAAAAAAAAAAAAAAAAAAAW0NvbnRlbnRfVHlwZXNdLnhtbFBLAQIt&#10;ABQABgAIAAAAIQA4/SH/1gAAAJQBAAALAAAAAAAAAAAAAAAAAC8BAABfcmVscy8ucmVsc1BLAQIt&#10;ABQABgAIAAAAIQCpHHMR5QEAANQDAAAOAAAAAAAAAAAAAAAAAC4CAABkcnMvZTJvRG9jLnhtbFBL&#10;AQItABQABgAIAAAAIQAOeIuJ3wAAAAsBAAAPAAAAAAAAAAAAAAAAAD8EAABkcnMvZG93bnJldi54&#10;bWxQSwUGAAAAAAQABADzAAAASwUAAAAA&#10;" strokeweight=".08811mm">
                <v:textbox>
                  <w:txbxContent>
                    <w:p w14:paraId="361301A9" w14:textId="77777777" w:rsidR="002E0DE9" w:rsidRPr="000B6D85" w:rsidRDefault="002E0DE9" w:rsidP="008B224D">
                      <w:pPr>
                        <w:spacing w:after="0" w:line="240" w:lineRule="auto"/>
                        <w:jc w:val="both"/>
                        <w:rPr>
                          <w:rFonts w:cs="Arial"/>
                          <w:lang w:val="es-ES"/>
                        </w:rPr>
                      </w:pPr>
                      <w:r w:rsidRPr="000B6D85">
                        <w:rPr>
                          <w:rFonts w:cs="Arial"/>
                          <w:lang w:val="es-ES"/>
                        </w:rPr>
                        <w:t>Resumen:</w:t>
                      </w:r>
                    </w:p>
                    <w:p w14:paraId="12338272" w14:textId="097C4F46" w:rsidR="002E0DE9" w:rsidRPr="000B6D85" w:rsidRDefault="002E0DE9" w:rsidP="008B224D">
                      <w:pPr>
                        <w:spacing w:after="0" w:line="240" w:lineRule="auto"/>
                        <w:jc w:val="both"/>
                        <w:rPr>
                          <w:rFonts w:cs="Arial"/>
                          <w:lang w:val="es-ES"/>
                        </w:rPr>
                      </w:pPr>
                    </w:p>
                    <w:p w14:paraId="00F9E8DB" w14:textId="5966EAA5" w:rsidR="00E87B52" w:rsidRPr="000B6D85" w:rsidRDefault="0088545C" w:rsidP="008B224D">
                      <w:pPr>
                        <w:spacing w:after="0" w:line="240" w:lineRule="auto"/>
                        <w:jc w:val="both"/>
                        <w:rPr>
                          <w:rFonts w:cs="Arial"/>
                          <w:lang w:val="es-ES"/>
                        </w:rPr>
                      </w:pPr>
                      <w:r w:rsidRPr="000B6D85">
                        <w:rPr>
                          <w:rFonts w:eastAsia="Times New Roman" w:cs="Arial"/>
                          <w:lang w:val="es-ES"/>
                        </w:rPr>
                        <w:t>La Fundación para la Investigación y Conservación Marina (MARECO) ha presentado el informe adjunto sobre la aplicación de la Acción Concertada para el tiburón azul (Prionace glauca), UNEP/CMS/Acción Concertada 14.6.</w:t>
                      </w:r>
                    </w:p>
                  </w:txbxContent>
                </v:textbox>
                <w10:wrap type="square" anchorx="margin" anchory="margin"/>
              </v:shape>
            </w:pict>
          </mc:Fallback>
        </mc:AlternateContent>
      </w:r>
    </w:p>
    <w:p w14:paraId="227B60E9" w14:textId="71934F9E"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195881CE"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0D764665"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19DE5B19"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2AAB4D2B"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3149B833"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0B6D85"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0B6D85" w:rsidRDefault="005330F7" w:rsidP="002E0DE9">
      <w:pPr>
        <w:spacing w:after="0" w:line="240" w:lineRule="auto"/>
        <w:rPr>
          <w:rFonts w:cs="Arial"/>
          <w:lang w:val="es-ES"/>
        </w:rPr>
      </w:pPr>
    </w:p>
    <w:p w14:paraId="490DC140" w14:textId="77777777" w:rsidR="002E0DE9" w:rsidRPr="000B6D85" w:rsidRDefault="002E0DE9" w:rsidP="002E0DE9">
      <w:pPr>
        <w:spacing w:after="0" w:line="240" w:lineRule="auto"/>
        <w:rPr>
          <w:rFonts w:cs="Arial"/>
          <w:lang w:val="es-ES"/>
        </w:rPr>
      </w:pPr>
    </w:p>
    <w:p w14:paraId="2FBBA2D8" w14:textId="77777777" w:rsidR="002E0DE9" w:rsidRPr="000B6D85" w:rsidRDefault="002E0DE9" w:rsidP="002E0DE9">
      <w:pPr>
        <w:spacing w:after="0" w:line="240" w:lineRule="auto"/>
        <w:rPr>
          <w:rFonts w:cs="Arial"/>
          <w:lang w:val="es-ES"/>
        </w:rPr>
      </w:pPr>
    </w:p>
    <w:p w14:paraId="4C631634" w14:textId="77777777" w:rsidR="002E0DE9" w:rsidRPr="000B6D85" w:rsidRDefault="002E0DE9" w:rsidP="002E0DE9">
      <w:pPr>
        <w:spacing w:after="0" w:line="240" w:lineRule="auto"/>
        <w:rPr>
          <w:rFonts w:cs="Arial"/>
          <w:lang w:val="es-ES"/>
        </w:rPr>
      </w:pPr>
    </w:p>
    <w:p w14:paraId="1057ABA6" w14:textId="77777777" w:rsidR="002E0DE9" w:rsidRPr="000B6D85" w:rsidRDefault="002E0DE9" w:rsidP="002E0DE9">
      <w:pPr>
        <w:spacing w:after="0" w:line="240" w:lineRule="auto"/>
        <w:rPr>
          <w:rFonts w:cs="Arial"/>
          <w:lang w:val="es-ES"/>
        </w:rPr>
      </w:pPr>
    </w:p>
    <w:p w14:paraId="0E60C238" w14:textId="77777777" w:rsidR="002E0DE9" w:rsidRPr="000B6D85" w:rsidRDefault="002E0DE9" w:rsidP="002E0DE9">
      <w:pPr>
        <w:spacing w:after="0" w:line="240" w:lineRule="auto"/>
        <w:rPr>
          <w:rFonts w:cs="Arial"/>
          <w:lang w:val="es-ES"/>
        </w:rPr>
      </w:pPr>
    </w:p>
    <w:p w14:paraId="310799B0" w14:textId="77777777" w:rsidR="002E0DE9" w:rsidRPr="000B6D85" w:rsidRDefault="002E0DE9" w:rsidP="002E0DE9">
      <w:pPr>
        <w:spacing w:after="0" w:line="240" w:lineRule="auto"/>
        <w:rPr>
          <w:rFonts w:cs="Arial"/>
          <w:lang w:val="es-ES"/>
        </w:rPr>
      </w:pPr>
    </w:p>
    <w:p w14:paraId="0B9FC963" w14:textId="77777777" w:rsidR="002E0DE9" w:rsidRPr="000B6D85" w:rsidRDefault="002E0DE9" w:rsidP="002E0DE9">
      <w:pPr>
        <w:spacing w:after="0" w:line="240" w:lineRule="auto"/>
        <w:rPr>
          <w:rFonts w:cs="Arial"/>
          <w:lang w:val="es-ES"/>
        </w:rPr>
      </w:pPr>
    </w:p>
    <w:p w14:paraId="0BFD8348" w14:textId="77777777" w:rsidR="002E0DE9" w:rsidRPr="000B6D85" w:rsidRDefault="002E0DE9" w:rsidP="002E0DE9">
      <w:pPr>
        <w:spacing w:after="0" w:line="240" w:lineRule="auto"/>
        <w:rPr>
          <w:rFonts w:cs="Arial"/>
          <w:lang w:val="es-ES"/>
        </w:rPr>
      </w:pPr>
    </w:p>
    <w:p w14:paraId="27673F5E" w14:textId="77777777" w:rsidR="007C0BF6" w:rsidRPr="000B6D85" w:rsidRDefault="007C0BF6" w:rsidP="002E0DE9">
      <w:pPr>
        <w:spacing w:after="0" w:line="240" w:lineRule="auto"/>
        <w:rPr>
          <w:rFonts w:cs="Arial"/>
          <w:lang w:val="es-ES"/>
        </w:rPr>
      </w:pPr>
    </w:p>
    <w:p w14:paraId="18C7C21C" w14:textId="77777777" w:rsidR="007C0BF6" w:rsidRPr="000B6D85" w:rsidRDefault="007C0BF6" w:rsidP="002E0DE9">
      <w:pPr>
        <w:spacing w:after="0" w:line="240" w:lineRule="auto"/>
        <w:rPr>
          <w:rFonts w:cs="Arial"/>
          <w:lang w:val="es-ES"/>
        </w:rPr>
      </w:pPr>
    </w:p>
    <w:p w14:paraId="20D963A6" w14:textId="77777777" w:rsidR="007C0BF6" w:rsidRPr="000B6D85" w:rsidRDefault="007C0BF6" w:rsidP="002E0DE9">
      <w:pPr>
        <w:spacing w:after="0" w:line="240" w:lineRule="auto"/>
        <w:rPr>
          <w:rFonts w:cs="Arial"/>
          <w:lang w:val="es-ES"/>
        </w:rPr>
      </w:pPr>
    </w:p>
    <w:p w14:paraId="34D2C504" w14:textId="77777777" w:rsidR="007C0BF6" w:rsidRPr="000B6D85" w:rsidRDefault="007C0BF6" w:rsidP="002E0DE9">
      <w:pPr>
        <w:spacing w:after="0" w:line="240" w:lineRule="auto"/>
        <w:rPr>
          <w:rFonts w:cs="Arial"/>
          <w:lang w:val="es-ES"/>
        </w:rPr>
      </w:pPr>
    </w:p>
    <w:p w14:paraId="7A236F25" w14:textId="77777777" w:rsidR="007C0BF6" w:rsidRPr="000B6D85" w:rsidRDefault="007C0BF6" w:rsidP="002E0DE9">
      <w:pPr>
        <w:spacing w:after="0" w:line="240" w:lineRule="auto"/>
        <w:rPr>
          <w:rFonts w:cs="Arial"/>
          <w:lang w:val="es-ES"/>
        </w:rPr>
      </w:pPr>
    </w:p>
    <w:p w14:paraId="0FB6C3CC" w14:textId="77777777" w:rsidR="007C0BF6" w:rsidRPr="000B6D85" w:rsidRDefault="007C0BF6" w:rsidP="002E0DE9">
      <w:pPr>
        <w:spacing w:after="0" w:line="240" w:lineRule="auto"/>
        <w:rPr>
          <w:rFonts w:cs="Arial"/>
          <w:lang w:val="es-ES"/>
        </w:rPr>
      </w:pPr>
    </w:p>
    <w:p w14:paraId="49625964" w14:textId="77777777" w:rsidR="007C0BF6" w:rsidRPr="000B6D85" w:rsidRDefault="007C0BF6" w:rsidP="002E0DE9">
      <w:pPr>
        <w:spacing w:after="0" w:line="240" w:lineRule="auto"/>
        <w:rPr>
          <w:rFonts w:cs="Arial"/>
          <w:lang w:val="es-ES"/>
        </w:rPr>
      </w:pPr>
    </w:p>
    <w:p w14:paraId="3F8930C6" w14:textId="0A2EA31E" w:rsidR="00A2772F" w:rsidRPr="00830C68" w:rsidRDefault="00A2772F" w:rsidP="00231B66">
      <w:pPr>
        <w:widowControl w:val="0"/>
        <w:suppressAutoHyphens/>
        <w:autoSpaceDE w:val="0"/>
        <w:autoSpaceDN w:val="0"/>
        <w:spacing w:after="0" w:line="240" w:lineRule="auto"/>
        <w:jc w:val="both"/>
        <w:textAlignment w:val="baseline"/>
        <w:rPr>
          <w:rFonts w:eastAsia="Times New Roman" w:cs="Arial"/>
          <w:lang w:val="es-ES" w:eastAsia="es-ES"/>
        </w:rPr>
      </w:pPr>
      <w:r w:rsidRPr="00830C68">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sidR="00231B66">
        <w:rPr>
          <w:rFonts w:eastAsia="Times New Roman" w:cs="Arial"/>
          <w:sz w:val="18"/>
          <w:szCs w:val="18"/>
          <w:lang w:val="es-ES"/>
        </w:rPr>
        <w:t>.</w:t>
      </w:r>
    </w:p>
    <w:p w14:paraId="2DABE7E2" w14:textId="756B6B47" w:rsidR="00E87B52" w:rsidRPr="00A2772F" w:rsidRDefault="00A2772F" w:rsidP="00E87B52">
      <w:pPr>
        <w:widowControl w:val="0"/>
        <w:suppressAutoHyphens/>
        <w:autoSpaceDE w:val="0"/>
        <w:autoSpaceDN w:val="0"/>
        <w:spacing w:after="0" w:line="240" w:lineRule="auto"/>
        <w:jc w:val="both"/>
        <w:textAlignment w:val="baseline"/>
        <w:rPr>
          <w:rFonts w:eastAsia="Calibri" w:cs="Arial"/>
          <w:lang w:val="es-ES"/>
        </w:rPr>
        <w:sectPr w:rsidR="00E87B52" w:rsidRPr="00A2772F" w:rsidSect="00066CAE">
          <w:headerReference w:type="even" r:id="rId12"/>
          <w:headerReference w:type="default" r:id="rId13"/>
          <w:footerReference w:type="even" r:id="rId14"/>
          <w:footerReference w:type="default" r:id="rId15"/>
          <w:headerReference w:type="first" r:id="rId16"/>
          <w:endnotePr>
            <w:numFmt w:val="decimal"/>
          </w:endnotePr>
          <w:pgSz w:w="11905" w:h="16837" w:code="9"/>
          <w:pgMar w:top="1440" w:right="1440" w:bottom="1440" w:left="1440" w:header="432" w:footer="432" w:gutter="0"/>
          <w:cols w:space="720"/>
          <w:titlePg/>
        </w:sectPr>
      </w:pPr>
      <w:r>
        <w:rPr>
          <w:rFonts w:eastAsia="Calibri" w:cs="Arial"/>
          <w:lang w:val="es-ES"/>
        </w:rPr>
        <w:t>.</w:t>
      </w:r>
    </w:p>
    <w:p w14:paraId="18E80D6D" w14:textId="7F6A1B2F" w:rsidR="00E87B52" w:rsidRPr="000B6D85" w:rsidRDefault="00E87B52" w:rsidP="00066C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B6D85">
        <w:rPr>
          <w:rFonts w:eastAsia="Times New Roman" w:cs="Arial"/>
          <w:b/>
          <w:bCs/>
          <w:lang w:val="es-ES"/>
        </w:rPr>
        <w:lastRenderedPageBreak/>
        <w:t xml:space="preserve">INFORME SOBRE LA APLICACIÓN DE LA ACCIÓN CONCERTADA </w:t>
      </w:r>
    </w:p>
    <w:p w14:paraId="1957D9D4" w14:textId="407526FF" w:rsidR="00E87B52" w:rsidRPr="000B6D85" w:rsidRDefault="00E87B52" w:rsidP="00066C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s-ES"/>
        </w:rPr>
      </w:pPr>
      <w:r w:rsidRPr="000B6D85">
        <w:rPr>
          <w:rFonts w:eastAsia="Times New Roman" w:cs="Arial"/>
          <w:b/>
          <w:bCs/>
          <w:lang w:val="es-ES"/>
        </w:rPr>
        <w:t xml:space="preserve">PARA EL TIBURÓN AZUL </w:t>
      </w:r>
      <w:r w:rsidR="00492DFC" w:rsidRPr="000B6D85">
        <w:rPr>
          <w:rFonts w:eastAsia="Calibri" w:cs="Arial"/>
          <w:b/>
          <w:i/>
          <w:iCs/>
          <w:lang w:val="es-ES"/>
        </w:rPr>
        <w:t>(Prionace glauca</w:t>
      </w:r>
      <w:r w:rsidR="00492DFC" w:rsidRPr="000B6D85">
        <w:rPr>
          <w:rFonts w:eastAsia="Calibri" w:cs="Arial"/>
          <w:b/>
          <w:lang w:val="es-ES"/>
        </w:rPr>
        <w:t>)</w:t>
      </w:r>
    </w:p>
    <w:p w14:paraId="5A4C5B94" w14:textId="6965E0F2" w:rsidR="00E87B52" w:rsidRPr="000B6D85" w:rsidRDefault="00E87B52" w:rsidP="00066CAE">
      <w:pPr>
        <w:suppressAutoHyphens/>
        <w:autoSpaceDN w:val="0"/>
        <w:spacing w:after="0" w:line="240" w:lineRule="auto"/>
        <w:jc w:val="center"/>
        <w:textAlignment w:val="baseline"/>
        <w:rPr>
          <w:rFonts w:eastAsia="Calibri" w:cs="Arial"/>
          <w:lang w:val="es-ES"/>
        </w:rPr>
      </w:pPr>
      <w:r w:rsidRPr="000B6D85">
        <w:rPr>
          <w:rFonts w:eastAsia="Calibri" w:cs="Arial"/>
          <w:lang w:val="es-ES"/>
        </w:rPr>
        <w:t>UNEP/CMS/ ACCIÓN CONCERTADA 14.6</w:t>
      </w:r>
    </w:p>
    <w:p w14:paraId="3E621422" w14:textId="77777777" w:rsidR="00E87B52" w:rsidRPr="000B6D85" w:rsidRDefault="00E87B52" w:rsidP="00066CAE">
      <w:pPr>
        <w:suppressAutoHyphens/>
        <w:autoSpaceDN w:val="0"/>
        <w:spacing w:after="0" w:line="240" w:lineRule="auto"/>
        <w:textAlignment w:val="baseline"/>
        <w:rPr>
          <w:rFonts w:eastAsia="Calibri" w:cs="Arial"/>
          <w:lang w:val="es-ES"/>
        </w:rPr>
      </w:pPr>
    </w:p>
    <w:p w14:paraId="53AB2E3F" w14:textId="77777777" w:rsidR="00E87B52" w:rsidRPr="000B6D85" w:rsidRDefault="00E87B52" w:rsidP="00066CAE">
      <w:pPr>
        <w:suppressAutoHyphens/>
        <w:autoSpaceDN w:val="0"/>
        <w:spacing w:after="0" w:line="240" w:lineRule="auto"/>
        <w:textAlignment w:val="baseline"/>
        <w:rPr>
          <w:rFonts w:eastAsia="Calibri" w:cs="Arial"/>
          <w:lang w:val="es-ES"/>
        </w:rPr>
      </w:pPr>
    </w:p>
    <w:p w14:paraId="42B16DFE" w14:textId="77777777" w:rsidR="00F55BC2" w:rsidRPr="000B6D85" w:rsidRDefault="00E87B52" w:rsidP="00066CAE">
      <w:pPr>
        <w:spacing w:after="0" w:line="240" w:lineRule="auto"/>
        <w:rPr>
          <w:rFonts w:eastAsia="Calibri" w:cs="Arial"/>
          <w:b/>
          <w:bCs/>
          <w:lang w:val="es-ES"/>
        </w:rPr>
      </w:pPr>
      <w:r w:rsidRPr="000B6D85">
        <w:rPr>
          <w:rFonts w:eastAsia="Calibri" w:cs="Arial"/>
          <w:b/>
          <w:bCs/>
          <w:lang w:val="es-ES"/>
        </w:rPr>
        <w:t>ACCIÓN CONCERTADA</w:t>
      </w:r>
    </w:p>
    <w:p w14:paraId="691A152E" w14:textId="6A4F2C94" w:rsidR="00E87B52" w:rsidRPr="000B6D85" w:rsidRDefault="00E87B52" w:rsidP="00066CAE">
      <w:pPr>
        <w:spacing w:after="0" w:line="240" w:lineRule="auto"/>
        <w:rPr>
          <w:rFonts w:eastAsia="Calibri" w:cs="Arial"/>
          <w:lang w:val="es-ES"/>
        </w:rPr>
      </w:pPr>
    </w:p>
    <w:p w14:paraId="28AB6DF0" w14:textId="0B82B919" w:rsidR="00E87B52" w:rsidRPr="000B6D85" w:rsidRDefault="00E87B52" w:rsidP="00066CAE">
      <w:pPr>
        <w:suppressAutoHyphens/>
        <w:autoSpaceDN w:val="0"/>
        <w:spacing w:after="0" w:line="240" w:lineRule="auto"/>
        <w:textAlignment w:val="baseline"/>
        <w:rPr>
          <w:rFonts w:eastAsia="Calibri" w:cs="Arial"/>
          <w:lang w:val="es-ES"/>
        </w:rPr>
      </w:pPr>
      <w:r w:rsidRPr="000B6D85">
        <w:rPr>
          <w:rFonts w:eastAsia="Calibri" w:cs="Arial"/>
          <w:lang w:val="es-ES"/>
        </w:rPr>
        <w:t xml:space="preserve">Título: Acción Concertada para el tiburón azul </w:t>
      </w:r>
      <w:r w:rsidR="008A2253" w:rsidRPr="000B6D85">
        <w:rPr>
          <w:rFonts w:eastAsia="Calibri" w:cs="Arial"/>
          <w:i/>
          <w:iCs/>
          <w:lang w:val="es-ES"/>
        </w:rPr>
        <w:t>(Prionace glauca</w:t>
      </w:r>
      <w:r w:rsidR="000E2590" w:rsidRPr="000B6D85">
        <w:rPr>
          <w:rFonts w:eastAsia="Calibri" w:cs="Arial"/>
          <w:lang w:val="es-ES"/>
        </w:rPr>
        <w:t>)</w:t>
      </w:r>
    </w:p>
    <w:p w14:paraId="37815350" w14:textId="77777777" w:rsidR="00F55BC2" w:rsidRPr="000B6D85" w:rsidRDefault="00F55BC2" w:rsidP="00066CAE">
      <w:pPr>
        <w:suppressAutoHyphens/>
        <w:autoSpaceDN w:val="0"/>
        <w:spacing w:after="0" w:line="240" w:lineRule="auto"/>
        <w:textAlignment w:val="baseline"/>
        <w:rPr>
          <w:rFonts w:eastAsia="Calibri" w:cs="Arial"/>
          <w:lang w:val="es-ES"/>
        </w:rPr>
      </w:pPr>
    </w:p>
    <w:p w14:paraId="53A55D10" w14:textId="43DC974B" w:rsidR="00E87B52" w:rsidRPr="000B6D85" w:rsidRDefault="00E87B52" w:rsidP="00066CAE">
      <w:pPr>
        <w:suppressAutoHyphens/>
        <w:autoSpaceDN w:val="0"/>
        <w:spacing w:after="0" w:line="240" w:lineRule="auto"/>
        <w:textAlignment w:val="baseline"/>
        <w:rPr>
          <w:rFonts w:eastAsia="Calibri" w:cs="Arial"/>
          <w:i/>
          <w:lang w:val="es-ES"/>
        </w:rPr>
      </w:pPr>
      <w:r w:rsidRPr="000B6D85">
        <w:rPr>
          <w:rFonts w:eastAsia="Calibri" w:cs="Arial"/>
          <w:lang w:val="es-ES"/>
        </w:rPr>
        <w:t>Número del documento:</w:t>
      </w:r>
      <w:r w:rsidRPr="000B6D85">
        <w:rPr>
          <w:rFonts w:eastAsia="Calibri" w:cs="Arial"/>
          <w:i/>
          <w:lang w:val="es-ES"/>
        </w:rPr>
        <w:t xml:space="preserve"> Acción Concertada 14.6</w:t>
      </w:r>
    </w:p>
    <w:p w14:paraId="69B72493" w14:textId="77777777" w:rsidR="00E87B52" w:rsidRPr="000B6D85" w:rsidRDefault="00E87B5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32030AAC" w14:textId="04739BBA" w:rsidR="00E87B52" w:rsidRPr="000B6D85" w:rsidRDefault="000E2590" w:rsidP="00066CAE">
      <w:pPr>
        <w:spacing w:after="0" w:line="240" w:lineRule="auto"/>
        <w:rPr>
          <w:rFonts w:eastAsia="Calibri" w:cs="Arial"/>
          <w:lang w:val="es-ES"/>
        </w:rPr>
      </w:pPr>
      <w:r w:rsidRPr="000B6D85">
        <w:rPr>
          <w:rFonts w:eastAsia="Calibri" w:cs="Arial"/>
          <w:lang w:val="es-ES"/>
        </w:rPr>
        <w:t>Fundación para la Investigación y Conservación Marina (MARECO)</w:t>
      </w:r>
    </w:p>
    <w:p w14:paraId="6CE89C4F" w14:textId="77777777" w:rsidR="00F55BC2" w:rsidRPr="000B6D85" w:rsidRDefault="00F55BC2" w:rsidP="00066CAE">
      <w:pPr>
        <w:spacing w:after="0" w:line="240" w:lineRule="auto"/>
        <w:rPr>
          <w:rFonts w:eastAsia="Calibri" w:cs="Arial"/>
          <w:lang w:val="es-ES"/>
        </w:rPr>
      </w:pPr>
    </w:p>
    <w:p w14:paraId="59300FCD" w14:textId="32C17DF5" w:rsidR="00E87B52" w:rsidRPr="000B6D85" w:rsidRDefault="00E87B52" w:rsidP="00066CAE">
      <w:pPr>
        <w:spacing w:after="0" w:line="240" w:lineRule="auto"/>
        <w:rPr>
          <w:rFonts w:eastAsia="Calibri" w:cs="Arial"/>
          <w:b/>
          <w:bCs/>
          <w:lang w:val="es-ES"/>
        </w:rPr>
      </w:pPr>
      <w:r w:rsidRPr="000B6D85">
        <w:rPr>
          <w:rFonts w:eastAsia="Calibri" w:cs="Arial"/>
          <w:b/>
          <w:bCs/>
          <w:lang w:val="es-ES"/>
        </w:rPr>
        <w:t>ESPECIE/POBLACIÓN OBJETIVO</w:t>
      </w:r>
    </w:p>
    <w:p w14:paraId="6F203478" w14:textId="77777777" w:rsidR="00AC06A1" w:rsidRPr="000B6D85" w:rsidRDefault="00AC06A1" w:rsidP="00066CAE">
      <w:pPr>
        <w:spacing w:after="0" w:line="240" w:lineRule="auto"/>
        <w:ind w:left="540"/>
        <w:rPr>
          <w:rFonts w:eastAsia="Calibri" w:cs="Arial"/>
          <w:lang w:val="es-ES"/>
        </w:rPr>
      </w:pPr>
    </w:p>
    <w:p w14:paraId="23DB13DA" w14:textId="3251C45E"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Clase: Condrictios</w:t>
      </w:r>
    </w:p>
    <w:p w14:paraId="269546A6" w14:textId="58518CD9"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Familia: Carcharhinidae</w:t>
      </w:r>
    </w:p>
    <w:p w14:paraId="47C4077A" w14:textId="430C2726"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Orden: Carcharhiniformes</w:t>
      </w:r>
    </w:p>
    <w:p w14:paraId="465F9D80" w14:textId="05183BB1"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 xml:space="preserve">Especie: </w:t>
      </w:r>
      <w:r w:rsidR="00D416E5" w:rsidRPr="000B6D85">
        <w:rPr>
          <w:rFonts w:eastAsia="Calibri" w:cs="Arial"/>
          <w:i/>
          <w:iCs/>
          <w:lang w:val="es-ES"/>
        </w:rPr>
        <w:t>Prionace glauca</w:t>
      </w:r>
    </w:p>
    <w:p w14:paraId="5D2A0A98" w14:textId="41E9B307" w:rsidR="00E87B52" w:rsidRPr="000B6D85" w:rsidRDefault="00E87B52" w:rsidP="00066CAE">
      <w:pPr>
        <w:suppressAutoHyphens/>
        <w:autoSpaceDN w:val="0"/>
        <w:spacing w:after="0" w:line="240" w:lineRule="auto"/>
        <w:textAlignment w:val="baseline"/>
        <w:rPr>
          <w:rFonts w:eastAsia="Calibri" w:cs="Arial"/>
          <w:lang w:val="es-ES"/>
        </w:rPr>
      </w:pPr>
      <w:r w:rsidRPr="000B6D85">
        <w:rPr>
          <w:rFonts w:eastAsia="Calibri" w:cs="Arial"/>
          <w:lang w:val="es-ES"/>
        </w:rPr>
        <w:t>Población: Mundial</w:t>
      </w:r>
    </w:p>
    <w:p w14:paraId="0FCFF2AC" w14:textId="77777777" w:rsidR="00492DFC" w:rsidRPr="000B6D85" w:rsidRDefault="00492DFC" w:rsidP="00066CAE">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s-ES"/>
        </w:rPr>
      </w:pPr>
    </w:p>
    <w:p w14:paraId="467AC084" w14:textId="6E067F65" w:rsidR="00E87B52" w:rsidRPr="000B6D85" w:rsidRDefault="00E87B52" w:rsidP="00066CAE">
      <w:pPr>
        <w:spacing w:after="0" w:line="240" w:lineRule="auto"/>
        <w:rPr>
          <w:rFonts w:eastAsia="Calibri" w:cs="Arial"/>
          <w:b/>
          <w:bCs/>
          <w:lang w:val="es-ES"/>
        </w:rPr>
      </w:pPr>
      <w:r w:rsidRPr="000B6D85">
        <w:rPr>
          <w:rFonts w:eastAsia="Calibri" w:cs="Arial"/>
          <w:b/>
          <w:bCs/>
          <w:lang w:val="es-ES"/>
        </w:rPr>
        <w:t xml:space="preserve">PROGRESO DE LAS ACTIVIDADES </w:t>
      </w:r>
    </w:p>
    <w:p w14:paraId="2E45F6AE" w14:textId="77777777" w:rsidR="00D858C4" w:rsidRPr="000B6D85" w:rsidRDefault="00D858C4"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38350875" w14:textId="2C8F373C" w:rsidR="00AE4128" w:rsidRPr="000B6D85" w:rsidRDefault="009968B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t>Actividades actuales completadas y en curso:</w:t>
      </w:r>
    </w:p>
    <w:p w14:paraId="016202A4" w14:textId="77777777" w:rsidR="00044EE2" w:rsidRPr="000B6D85" w:rsidRDefault="00044EE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2DE4E4F9" w14:textId="685990E7" w:rsidR="002A12FA" w:rsidRPr="000B6D85" w:rsidRDefault="002A12FA"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Evaluación en la Lista Verde de la UICN – planificación de la recuperación de la especie</w:t>
      </w:r>
      <w:r w:rsidR="008A2253" w:rsidRPr="000B6D85">
        <w:rPr>
          <w:rFonts w:eastAsia="Calibri" w:cs="Arial"/>
          <w:lang w:val="es-ES"/>
        </w:rPr>
        <w:t xml:space="preserve"> (véase Polo-Silva et al. 2025).</w:t>
      </w:r>
    </w:p>
    <w:p w14:paraId="7EFAE538" w14:textId="674D40F6" w:rsidR="00903DDB" w:rsidRPr="000B6D85" w:rsidRDefault="009968B2"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Identificación de las ISRA (Áreas Importantes para Tiburones y Rayas) para los tiburones azules a través del proceso de consulta del Grupo de Especi</w:t>
      </w:r>
      <w:r w:rsidR="008A2253" w:rsidRPr="000B6D85">
        <w:rPr>
          <w:rFonts w:eastAsia="Calibri" w:cs="Arial"/>
          <w:lang w:val="es-ES"/>
        </w:rPr>
        <w:t>alistas en Tiburones de la UICN.</w:t>
      </w:r>
    </w:p>
    <w:p w14:paraId="74EC000F" w14:textId="203A2DD1" w:rsidR="00013781" w:rsidRPr="000B6D85" w:rsidRDefault="00DF42F0"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 xml:space="preserve">Investigación en curso sobre la captura incidental del tiburón azul, y las medidas de mitigación y gestión relevantes para esta AC y para los Estados del </w:t>
      </w:r>
      <w:r w:rsidR="008A2253" w:rsidRPr="000B6D85">
        <w:rPr>
          <w:rFonts w:eastAsia="Calibri" w:cs="Arial"/>
          <w:lang w:val="es-ES"/>
        </w:rPr>
        <w:t>área de distribución</w:t>
      </w:r>
      <w:r w:rsidRPr="000B6D85">
        <w:rPr>
          <w:rFonts w:eastAsia="Calibri" w:cs="Arial"/>
          <w:lang w:val="es-ES"/>
        </w:rPr>
        <w:t xml:space="preserve"> (</w:t>
      </w:r>
      <w:r w:rsidR="008A2253" w:rsidRPr="000B6D85">
        <w:rPr>
          <w:rFonts w:eastAsia="Calibri" w:cs="Arial"/>
          <w:lang w:val="es-ES"/>
        </w:rPr>
        <w:t>por ejemplo, Lucas et al. 2025).</w:t>
      </w:r>
    </w:p>
    <w:p w14:paraId="76A12952" w14:textId="7823C24F" w:rsidR="004D07C7" w:rsidRPr="000B6D85" w:rsidRDefault="004D07C7"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 xml:space="preserve">Se consultó a las partes interesadas de diferentes operaciones turísticas relacionadas con los tiburones en todo el mundo con el fin de identificar las buenas prácticas, incluidas aquellas relacionadas con el tiburón azul. En el Reino Unido está previsto celebrar un taller para elaborar directrices mundiales sobre el tiburón azul, si bien actualmente carece de financiación. La gestión correrá probablemente a cargo de MARECO en el Reino Unido. </w:t>
      </w:r>
    </w:p>
    <w:p w14:paraId="44D27542" w14:textId="46A1E494" w:rsidR="00AE4128" w:rsidRPr="000B6D85" w:rsidRDefault="009968B2"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t>Estudios genómicos mundiales y rutas comerciales del tiburón azul en curso (investigación/análisis en curso).</w:t>
      </w:r>
    </w:p>
    <w:p w14:paraId="16025AC6" w14:textId="77777777" w:rsidR="00AE4128" w:rsidRPr="000B6D85" w:rsidRDefault="00AE4128"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6E710826" w14:textId="77777777" w:rsidR="00AE4128" w:rsidRPr="000B6D85" w:rsidRDefault="00AE4128"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2F1C6024" w14:textId="77777777" w:rsidR="00F2372B" w:rsidRPr="000B6D85" w:rsidRDefault="00F2372B"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sectPr w:rsidR="00F2372B" w:rsidRPr="000B6D85" w:rsidSect="00066CAE">
          <w:headerReference w:type="even" r:id="rId17"/>
          <w:headerReference w:type="first" r:id="rId18"/>
          <w:endnotePr>
            <w:numFmt w:val="decimal"/>
          </w:endnotePr>
          <w:pgSz w:w="11905" w:h="16837" w:code="9"/>
          <w:pgMar w:top="1440" w:right="1440" w:bottom="1440" w:left="1440" w:header="432" w:footer="432" w:gutter="0"/>
          <w:cols w:space="720"/>
          <w:docGrid w:linePitch="299"/>
        </w:sectPr>
      </w:pPr>
    </w:p>
    <w:p w14:paraId="696845F0" w14:textId="6F585119" w:rsidR="00D858C4" w:rsidRPr="000B6D85" w:rsidRDefault="009968B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lastRenderedPageBreak/>
        <w:t>Anexo 1 del documento original de la AC:</w:t>
      </w:r>
    </w:p>
    <w:p w14:paraId="0419F838" w14:textId="77777777" w:rsidR="00D858C4" w:rsidRPr="000B6D85" w:rsidRDefault="00D858C4"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tbl>
      <w:tblPr>
        <w:tblStyle w:val="TableGrid1"/>
        <w:tblW w:w="0" w:type="auto"/>
        <w:tblLook w:val="04A0" w:firstRow="1" w:lastRow="0" w:firstColumn="1" w:lastColumn="0" w:noHBand="0" w:noVBand="1"/>
      </w:tblPr>
      <w:tblGrid>
        <w:gridCol w:w="412"/>
        <w:gridCol w:w="2039"/>
        <w:gridCol w:w="2246"/>
        <w:gridCol w:w="1277"/>
        <w:gridCol w:w="1170"/>
        <w:gridCol w:w="1871"/>
      </w:tblGrid>
      <w:tr w:rsidR="00F2372B" w:rsidRPr="000B6D85" w14:paraId="0966F41D" w14:textId="77777777" w:rsidTr="00C13098">
        <w:trPr>
          <w:tblHeader/>
        </w:trPr>
        <w:tc>
          <w:tcPr>
            <w:tcW w:w="562" w:type="dxa"/>
          </w:tcPr>
          <w:p w14:paraId="71211E5D" w14:textId="77777777" w:rsidR="00AB6ABD" w:rsidRPr="000B6D85" w:rsidRDefault="00AB6ABD" w:rsidP="00066CAE">
            <w:pPr>
              <w:suppressAutoHyphens/>
              <w:rPr>
                <w:rFonts w:ascii="Arial" w:eastAsia="Calibri" w:hAnsi="Arial" w:cs="Arial"/>
                <w:b/>
                <w:sz w:val="20"/>
                <w:szCs w:val="20"/>
                <w:lang w:val="es-ES"/>
              </w:rPr>
            </w:pPr>
          </w:p>
        </w:tc>
        <w:tc>
          <w:tcPr>
            <w:tcW w:w="4111" w:type="dxa"/>
          </w:tcPr>
          <w:p w14:paraId="7AE2735F" w14:textId="29565C56"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Actividad</w:t>
            </w:r>
          </w:p>
        </w:tc>
        <w:tc>
          <w:tcPr>
            <w:tcW w:w="3686" w:type="dxa"/>
          </w:tcPr>
          <w:p w14:paraId="5C710523"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Resultados esperados</w:t>
            </w:r>
          </w:p>
        </w:tc>
        <w:tc>
          <w:tcPr>
            <w:tcW w:w="1417" w:type="dxa"/>
          </w:tcPr>
          <w:p w14:paraId="76DEF2B1"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Calendario original</w:t>
            </w:r>
          </w:p>
        </w:tc>
        <w:tc>
          <w:tcPr>
            <w:tcW w:w="1559" w:type="dxa"/>
          </w:tcPr>
          <w:p w14:paraId="62116E7A"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Progreso</w:t>
            </w:r>
          </w:p>
        </w:tc>
        <w:tc>
          <w:tcPr>
            <w:tcW w:w="2552" w:type="dxa"/>
          </w:tcPr>
          <w:p w14:paraId="51C83A07"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Cambios o soluciones</w:t>
            </w:r>
          </w:p>
        </w:tc>
      </w:tr>
      <w:tr w:rsidR="00F2372B" w:rsidRPr="000B6D85" w14:paraId="145D93DA" w14:textId="77777777" w:rsidTr="00C13098">
        <w:tc>
          <w:tcPr>
            <w:tcW w:w="13887" w:type="dxa"/>
            <w:gridSpan w:val="6"/>
          </w:tcPr>
          <w:p w14:paraId="4A9A167D" w14:textId="603703E3" w:rsidR="002A75F0" w:rsidRPr="000B6D85" w:rsidRDefault="002A75F0" w:rsidP="00066CAE">
            <w:pPr>
              <w:suppressAutoHyphens/>
              <w:rPr>
                <w:rFonts w:ascii="Arial" w:eastAsia="Calibri" w:hAnsi="Arial" w:cs="Arial"/>
                <w:b/>
                <w:bCs/>
                <w:sz w:val="20"/>
                <w:szCs w:val="20"/>
                <w:lang w:val="es-ES"/>
              </w:rPr>
            </w:pPr>
            <w:r w:rsidRPr="000B6D85">
              <w:rPr>
                <w:rFonts w:ascii="Arial" w:hAnsi="Arial" w:cs="Arial"/>
                <w:b/>
                <w:bCs/>
                <w:sz w:val="20"/>
                <w:szCs w:val="20"/>
                <w:lang w:val="es-ES"/>
              </w:rPr>
              <w:t>Gestión</w:t>
            </w:r>
          </w:p>
        </w:tc>
      </w:tr>
      <w:tr w:rsidR="00F2372B" w:rsidRPr="00231B66" w14:paraId="7BFC2102" w14:textId="77777777" w:rsidTr="00C13098">
        <w:tc>
          <w:tcPr>
            <w:tcW w:w="562" w:type="dxa"/>
          </w:tcPr>
          <w:p w14:paraId="445905E6" w14:textId="579782BA" w:rsidR="00AB6ABD" w:rsidRPr="000B6D85" w:rsidRDefault="00AB6ABD" w:rsidP="00066CAE">
            <w:pPr>
              <w:pStyle w:val="p1"/>
              <w:rPr>
                <w:rFonts w:ascii="Arial" w:hAnsi="Arial"/>
                <w:color w:val="auto"/>
                <w:sz w:val="20"/>
                <w:szCs w:val="20"/>
                <w:lang w:val="es-ES"/>
              </w:rPr>
            </w:pPr>
            <w:r w:rsidRPr="000B6D85">
              <w:rPr>
                <w:rFonts w:ascii="Arial" w:hAnsi="Arial"/>
                <w:color w:val="auto"/>
                <w:sz w:val="20"/>
                <w:szCs w:val="20"/>
                <w:lang w:val="es-ES"/>
              </w:rPr>
              <w:t>1.</w:t>
            </w:r>
          </w:p>
        </w:tc>
        <w:tc>
          <w:tcPr>
            <w:tcW w:w="4111" w:type="dxa"/>
          </w:tcPr>
          <w:p w14:paraId="4DAFC0A5" w14:textId="2A307F23"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 xml:space="preserve">Alentar a las Partes a seguir colaborando con otros acuerdos multilaterales sobre medioambiente, órganos regionales de pesca y otras entidades pertinentes para mejorar la gestión del tiburón azul, incluido el desarrollo de una Estrategia y Plan de Acción para la Conservación de Tiburones y Rayas Pelágicos del Grupo de Especialistas en Tiburones de la Comisión de Supervivencia de Especies de la UICN (SSG de la CSE de la UICN), en cooperación con el Memorando de Entendimiento </w:t>
            </w:r>
            <w:r w:rsidR="00CD2A27" w:rsidRPr="000B6D85">
              <w:rPr>
                <w:rFonts w:ascii="Arial" w:hAnsi="Arial"/>
                <w:color w:val="auto"/>
                <w:sz w:val="20"/>
                <w:szCs w:val="20"/>
                <w:lang w:val="es-ES"/>
              </w:rPr>
              <w:t>sobre los Tiburones (MdE sobre t</w:t>
            </w:r>
            <w:r w:rsidRPr="000B6D85">
              <w:rPr>
                <w:rFonts w:ascii="Arial" w:hAnsi="Arial"/>
                <w:color w:val="auto"/>
                <w:sz w:val="20"/>
                <w:szCs w:val="20"/>
                <w:lang w:val="es-ES"/>
              </w:rPr>
              <w:t>iburones).</w:t>
            </w:r>
          </w:p>
        </w:tc>
        <w:tc>
          <w:tcPr>
            <w:tcW w:w="3686" w:type="dxa"/>
          </w:tcPr>
          <w:p w14:paraId="6A7E580D" w14:textId="50398BF4"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Mayor atención a las necesidades de conservación del tiburón azul.</w:t>
            </w:r>
          </w:p>
        </w:tc>
        <w:tc>
          <w:tcPr>
            <w:tcW w:w="1417" w:type="dxa"/>
          </w:tcPr>
          <w:p w14:paraId="0C04C9F6" w14:textId="440F1F88" w:rsidR="00AB6AB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2024-2026</w:t>
            </w:r>
          </w:p>
        </w:tc>
        <w:tc>
          <w:tcPr>
            <w:tcW w:w="1559" w:type="dxa"/>
          </w:tcPr>
          <w:p w14:paraId="2EC490AD" w14:textId="583110EE"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45EEFA10" w14:textId="1CDAB64E"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Esta debería ser una actividad continua, no puntual.</w:t>
            </w:r>
          </w:p>
        </w:tc>
      </w:tr>
      <w:tr w:rsidR="00F2372B" w:rsidRPr="000B6D85" w14:paraId="3375FBB4" w14:textId="77777777" w:rsidTr="00C13098">
        <w:tc>
          <w:tcPr>
            <w:tcW w:w="13887" w:type="dxa"/>
            <w:gridSpan w:val="6"/>
          </w:tcPr>
          <w:p w14:paraId="15ECAB58" w14:textId="72ABDEAE" w:rsidR="002A75F0" w:rsidRPr="000B6D85" w:rsidRDefault="002A75F0" w:rsidP="00A2772F">
            <w:pPr>
              <w:suppressAutoHyphens/>
              <w:jc w:val="both"/>
              <w:rPr>
                <w:rFonts w:ascii="Arial" w:eastAsia="Calibri" w:hAnsi="Arial" w:cs="Arial"/>
                <w:b/>
                <w:bCs/>
                <w:sz w:val="20"/>
                <w:szCs w:val="20"/>
                <w:lang w:val="es-ES"/>
              </w:rPr>
            </w:pPr>
            <w:r w:rsidRPr="000B6D85">
              <w:rPr>
                <w:rFonts w:ascii="Arial" w:hAnsi="Arial" w:cs="Arial"/>
                <w:b/>
                <w:bCs/>
                <w:sz w:val="20"/>
                <w:szCs w:val="20"/>
                <w:lang w:val="es-ES"/>
              </w:rPr>
              <w:t>Turismo sostenible</w:t>
            </w:r>
          </w:p>
        </w:tc>
      </w:tr>
      <w:tr w:rsidR="00F2372B" w:rsidRPr="00231B66" w14:paraId="6BCA2896" w14:textId="77777777" w:rsidTr="00C13098">
        <w:tc>
          <w:tcPr>
            <w:tcW w:w="562" w:type="dxa"/>
          </w:tcPr>
          <w:p w14:paraId="426ADAB1" w14:textId="33E692BD" w:rsidR="00AB6ABD" w:rsidRPr="000B6D85" w:rsidRDefault="00AB6ABD" w:rsidP="00066CAE">
            <w:pPr>
              <w:pStyle w:val="p1"/>
              <w:rPr>
                <w:rFonts w:ascii="Arial" w:hAnsi="Arial"/>
                <w:color w:val="auto"/>
                <w:sz w:val="20"/>
                <w:szCs w:val="20"/>
                <w:lang w:val="es-ES"/>
              </w:rPr>
            </w:pPr>
            <w:r w:rsidRPr="000B6D85">
              <w:rPr>
                <w:rFonts w:ascii="Arial" w:hAnsi="Arial"/>
                <w:color w:val="auto"/>
                <w:sz w:val="20"/>
                <w:szCs w:val="20"/>
                <w:lang w:val="es-ES"/>
              </w:rPr>
              <w:t>2.</w:t>
            </w:r>
          </w:p>
        </w:tc>
        <w:tc>
          <w:tcPr>
            <w:tcW w:w="4111" w:type="dxa"/>
          </w:tcPr>
          <w:p w14:paraId="128B4AD5" w14:textId="59D88518"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Desarrollar directrices internacionales de países con turismo de tiburones azules consolidado (por ejemplo, Azores, Reino Unido, Sudáfrica).</w:t>
            </w:r>
          </w:p>
        </w:tc>
        <w:tc>
          <w:tcPr>
            <w:tcW w:w="3686" w:type="dxa"/>
          </w:tcPr>
          <w:p w14:paraId="04C27FA9" w14:textId="3CB5DBEB"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Establecer protocolos para una interacción turística responsable con el tiburón azul.</w:t>
            </w:r>
          </w:p>
        </w:tc>
        <w:tc>
          <w:tcPr>
            <w:tcW w:w="1417" w:type="dxa"/>
          </w:tcPr>
          <w:p w14:paraId="34A8254D" w14:textId="3D241682" w:rsidR="00AB6AB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2024-2025</w:t>
            </w:r>
          </w:p>
        </w:tc>
        <w:tc>
          <w:tcPr>
            <w:tcW w:w="1559" w:type="dxa"/>
          </w:tcPr>
          <w:p w14:paraId="31ABC993" w14:textId="154A8AF8"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2660D4A3" w14:textId="3C417603"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Se consultó a las partes interesadas en diferentes zonas geográficas. A la espera de financiación para la organización de un taller destinado a elaborar un documento global para ser adoptado.</w:t>
            </w:r>
          </w:p>
        </w:tc>
      </w:tr>
      <w:tr w:rsidR="00F2372B" w:rsidRPr="000B6D85" w14:paraId="0C8C7591" w14:textId="77777777" w:rsidTr="00C13098">
        <w:tc>
          <w:tcPr>
            <w:tcW w:w="13887" w:type="dxa"/>
            <w:gridSpan w:val="6"/>
          </w:tcPr>
          <w:p w14:paraId="30858001" w14:textId="74FB7E12" w:rsidR="002A75F0" w:rsidRPr="000B6D85" w:rsidRDefault="002A75F0" w:rsidP="00A2772F">
            <w:pPr>
              <w:suppressAutoHyphens/>
              <w:jc w:val="both"/>
              <w:rPr>
                <w:rFonts w:ascii="Arial" w:eastAsia="Calibri" w:hAnsi="Arial" w:cs="Arial"/>
                <w:b/>
                <w:bCs/>
                <w:sz w:val="20"/>
                <w:szCs w:val="20"/>
                <w:lang w:val="es-ES"/>
              </w:rPr>
            </w:pPr>
            <w:r w:rsidRPr="000B6D85">
              <w:rPr>
                <w:rFonts w:ascii="Arial" w:eastAsia="Calibri" w:hAnsi="Arial" w:cs="Arial"/>
                <w:b/>
                <w:bCs/>
                <w:sz w:val="20"/>
                <w:szCs w:val="20"/>
                <w:lang w:val="es-ES"/>
              </w:rPr>
              <w:t>Investigación</w:t>
            </w:r>
          </w:p>
        </w:tc>
      </w:tr>
      <w:tr w:rsidR="00F2372B" w:rsidRPr="000B6D85" w14:paraId="53373764" w14:textId="77777777" w:rsidTr="00C13098">
        <w:tc>
          <w:tcPr>
            <w:tcW w:w="562" w:type="dxa"/>
          </w:tcPr>
          <w:p w14:paraId="7B980227" w14:textId="170576A1" w:rsidR="00297CAD" w:rsidRPr="000B6D85" w:rsidRDefault="00297CAD"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3.</w:t>
            </w:r>
          </w:p>
        </w:tc>
        <w:tc>
          <w:tcPr>
            <w:tcW w:w="4111" w:type="dxa"/>
          </w:tcPr>
          <w:p w14:paraId="0386EEEE" w14:textId="05A86A45" w:rsidR="00297CAD" w:rsidRPr="000B6D85" w:rsidRDefault="00297CAD" w:rsidP="00A2772F">
            <w:pPr>
              <w:pStyle w:val="p1"/>
              <w:jc w:val="both"/>
              <w:rPr>
                <w:rFonts w:ascii="Arial" w:eastAsia="Calibri" w:hAnsi="Arial"/>
                <w:sz w:val="20"/>
                <w:szCs w:val="20"/>
                <w:lang w:val="es-ES"/>
              </w:rPr>
            </w:pPr>
            <w:r w:rsidRPr="000B6D85">
              <w:rPr>
                <w:rFonts w:ascii="Arial" w:hAnsi="Arial"/>
                <w:color w:val="auto"/>
                <w:sz w:val="20"/>
                <w:szCs w:val="20"/>
                <w:lang w:val="es-ES"/>
              </w:rPr>
              <w:t>Apoyar la evaluación del impacto de la pesca en las interacciones con el tiburón azul (mortalidad inducida por la pesca, descartes</w:t>
            </w:r>
            <w:r w:rsidR="000A5764" w:rsidRPr="000B6D85">
              <w:rPr>
                <w:rFonts w:ascii="Arial" w:hAnsi="Arial"/>
                <w:color w:val="auto"/>
                <w:sz w:val="20"/>
                <w:szCs w:val="20"/>
                <w:lang w:val="es-ES"/>
              </w:rPr>
              <w:t>)</w:t>
            </w:r>
            <w:r w:rsidRPr="000B6D85">
              <w:rPr>
                <w:rFonts w:ascii="Arial" w:hAnsi="Arial"/>
                <w:color w:val="auto"/>
                <w:sz w:val="20"/>
                <w:szCs w:val="20"/>
                <w:lang w:val="es-ES"/>
              </w:rPr>
              <w:t xml:space="preserve"> para diseñar estrategias de mitigación y facilitar la </w:t>
            </w:r>
            <w:r w:rsidRPr="000B6D85">
              <w:rPr>
                <w:rFonts w:ascii="Arial" w:hAnsi="Arial"/>
                <w:color w:val="auto"/>
                <w:sz w:val="20"/>
                <w:szCs w:val="20"/>
                <w:lang w:val="es-ES"/>
              </w:rPr>
              <w:lastRenderedPageBreak/>
              <w:t>evaluación de la mortalidad tras su liberación en todas las regiones, grupo</w:t>
            </w:r>
            <w:r w:rsidR="000A5764" w:rsidRPr="000B6D85">
              <w:rPr>
                <w:rFonts w:ascii="Arial" w:hAnsi="Arial"/>
                <w:color w:val="auto"/>
                <w:sz w:val="20"/>
                <w:szCs w:val="20"/>
                <w:lang w:val="es-ES"/>
              </w:rPr>
              <w:t>s demográficos y artes de pesca</w:t>
            </w:r>
            <w:r w:rsidR="008A2253" w:rsidRPr="000B6D85">
              <w:rPr>
                <w:rFonts w:ascii="Arial" w:hAnsi="Arial"/>
                <w:color w:val="auto"/>
                <w:sz w:val="20"/>
                <w:szCs w:val="20"/>
                <w:lang w:val="es-ES"/>
              </w:rPr>
              <w:t>.</w:t>
            </w:r>
          </w:p>
        </w:tc>
        <w:tc>
          <w:tcPr>
            <w:tcW w:w="3686" w:type="dxa"/>
          </w:tcPr>
          <w:p w14:paraId="1D462CAC" w14:textId="43C7085C" w:rsidR="001334A5" w:rsidRPr="000B6D85" w:rsidRDefault="001334A5"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lastRenderedPageBreak/>
              <w:t>Determinación de las tasas de incidencia y mortalidad de las interacciones;</w:t>
            </w:r>
          </w:p>
          <w:p w14:paraId="30CC3621" w14:textId="31E58FC1" w:rsidR="00F2372B" w:rsidRPr="000B6D85" w:rsidRDefault="001334A5"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Propuestas para reducir el riesgo de interacciones producidas con los tiburones azules;</w:t>
            </w:r>
          </w:p>
          <w:p w14:paraId="5469A0EE" w14:textId="09D947F0" w:rsidR="00F2372B" w:rsidRPr="000B6D85" w:rsidRDefault="001334A5"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lastRenderedPageBreak/>
              <w:t>Evaluación de los efectos de la interacción pesquera en las poblaciones de tiburón azul;</w:t>
            </w:r>
          </w:p>
          <w:p w14:paraId="6A88DD3A" w14:textId="70F08082" w:rsidR="00297CAD" w:rsidRPr="000B6D85" w:rsidRDefault="001334A5" w:rsidP="00A2772F">
            <w:pPr>
              <w:pStyle w:val="p1"/>
              <w:numPr>
                <w:ilvl w:val="0"/>
                <w:numId w:val="8"/>
              </w:numPr>
              <w:ind w:left="462" w:hanging="462"/>
              <w:jc w:val="both"/>
              <w:rPr>
                <w:rFonts w:ascii="Arial" w:eastAsia="Calibri" w:hAnsi="Arial"/>
                <w:sz w:val="20"/>
                <w:szCs w:val="20"/>
                <w:lang w:val="es-ES"/>
              </w:rPr>
            </w:pPr>
            <w:r w:rsidRPr="000B6D85">
              <w:rPr>
                <w:rFonts w:ascii="Arial" w:hAnsi="Arial"/>
                <w:color w:val="auto"/>
                <w:sz w:val="20"/>
                <w:szCs w:val="20"/>
                <w:lang w:val="es-ES"/>
              </w:rPr>
              <w:t>Determinación de la supervivencia de los tiburones azules tras su liberación.</w:t>
            </w:r>
          </w:p>
        </w:tc>
        <w:tc>
          <w:tcPr>
            <w:tcW w:w="1417" w:type="dxa"/>
          </w:tcPr>
          <w:p w14:paraId="1F9BDFD3" w14:textId="775CB3C6" w:rsidR="00297CA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lastRenderedPageBreak/>
              <w:t>2024-2026</w:t>
            </w:r>
          </w:p>
        </w:tc>
        <w:tc>
          <w:tcPr>
            <w:tcW w:w="1559" w:type="dxa"/>
          </w:tcPr>
          <w:p w14:paraId="39E66EC1" w14:textId="3C3F2ECE" w:rsidR="00297CA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5833B86E" w14:textId="26953CC3" w:rsidR="00297CAD"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Proceso en curso.</w:t>
            </w:r>
          </w:p>
        </w:tc>
      </w:tr>
      <w:tr w:rsidR="00F2372B" w:rsidRPr="00231B66" w14:paraId="534E2509" w14:textId="77777777" w:rsidTr="00C13098">
        <w:tc>
          <w:tcPr>
            <w:tcW w:w="562" w:type="dxa"/>
          </w:tcPr>
          <w:p w14:paraId="74682755" w14:textId="1C8B9562" w:rsidR="00297CAD" w:rsidRPr="000B6D85" w:rsidRDefault="00297CAD"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4.</w:t>
            </w:r>
          </w:p>
        </w:tc>
        <w:tc>
          <w:tcPr>
            <w:tcW w:w="4111" w:type="dxa"/>
          </w:tcPr>
          <w:p w14:paraId="0854D298" w14:textId="59581899" w:rsidR="00297CAD" w:rsidRPr="000B6D85" w:rsidRDefault="00A66104" w:rsidP="00A2772F">
            <w:pPr>
              <w:pStyle w:val="p1"/>
              <w:jc w:val="both"/>
              <w:rPr>
                <w:rFonts w:ascii="Arial" w:eastAsia="Calibri" w:hAnsi="Arial"/>
                <w:sz w:val="20"/>
                <w:szCs w:val="20"/>
                <w:lang w:val="es-ES"/>
              </w:rPr>
            </w:pPr>
            <w:r w:rsidRPr="000B6D85">
              <w:rPr>
                <w:rFonts w:ascii="Arial" w:hAnsi="Arial"/>
                <w:color w:val="auto"/>
                <w:sz w:val="20"/>
                <w:szCs w:val="20"/>
                <w:lang w:val="es-ES"/>
              </w:rPr>
              <w:t>Apoyar la identificación de subpoblaciones y diferencias genéticas (para respaldar los TAC regionales mediante datos independientes de la pesca)</w:t>
            </w:r>
            <w:r w:rsidR="008A2253" w:rsidRPr="000B6D85">
              <w:rPr>
                <w:rFonts w:ascii="Arial" w:hAnsi="Arial"/>
                <w:color w:val="auto"/>
                <w:sz w:val="20"/>
                <w:szCs w:val="20"/>
                <w:lang w:val="es-ES"/>
              </w:rPr>
              <w:t>.</w:t>
            </w:r>
          </w:p>
        </w:tc>
        <w:tc>
          <w:tcPr>
            <w:tcW w:w="3686" w:type="dxa"/>
          </w:tcPr>
          <w:p w14:paraId="391FCDD6" w14:textId="7D68C316" w:rsidR="00297CAD" w:rsidRPr="000B6D85" w:rsidRDefault="005D57F2" w:rsidP="00A2772F">
            <w:pPr>
              <w:pStyle w:val="p1"/>
              <w:jc w:val="both"/>
              <w:rPr>
                <w:rFonts w:ascii="Arial" w:eastAsia="Calibri" w:hAnsi="Arial"/>
                <w:sz w:val="20"/>
                <w:szCs w:val="20"/>
                <w:lang w:val="es-ES"/>
              </w:rPr>
            </w:pPr>
            <w:r w:rsidRPr="000B6D85">
              <w:rPr>
                <w:rFonts w:ascii="Arial" w:hAnsi="Arial"/>
                <w:color w:val="auto"/>
                <w:sz w:val="20"/>
                <w:szCs w:val="20"/>
                <w:lang w:val="es-ES"/>
              </w:rPr>
              <w:t>Subpoblaciones identificadas.</w:t>
            </w:r>
          </w:p>
        </w:tc>
        <w:tc>
          <w:tcPr>
            <w:tcW w:w="1417" w:type="dxa"/>
          </w:tcPr>
          <w:p w14:paraId="14286290" w14:textId="76B34632" w:rsidR="00297CA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2025</w:t>
            </w:r>
          </w:p>
        </w:tc>
        <w:tc>
          <w:tcPr>
            <w:tcW w:w="1559" w:type="dxa"/>
          </w:tcPr>
          <w:p w14:paraId="6C59DD4A" w14:textId="13ACF932" w:rsidR="00297CAD"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4E8B5BD0" w14:textId="461381AA" w:rsidR="00297CAD"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Se han obtenido muestras de diferentes zonas geográficas y se ha completado la secuenciación. Análisis en curso, complementados con la identificación de rutas comerciales mediante estos métodos.</w:t>
            </w:r>
          </w:p>
        </w:tc>
      </w:tr>
      <w:tr w:rsidR="00F2372B" w:rsidRPr="00231B66" w14:paraId="2BD4A8CC" w14:textId="77777777" w:rsidTr="00C13098">
        <w:tc>
          <w:tcPr>
            <w:tcW w:w="562" w:type="dxa"/>
          </w:tcPr>
          <w:p w14:paraId="5EAF0101" w14:textId="4D3A3D13" w:rsidR="00443618" w:rsidRPr="000B6D85" w:rsidRDefault="00443618"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5.</w:t>
            </w:r>
          </w:p>
        </w:tc>
        <w:tc>
          <w:tcPr>
            <w:tcW w:w="4111" w:type="dxa"/>
          </w:tcPr>
          <w:p w14:paraId="77EFA860" w14:textId="20E84431" w:rsidR="00443618" w:rsidRPr="000B6D85" w:rsidRDefault="00443618" w:rsidP="00A2772F">
            <w:pPr>
              <w:pStyle w:val="p1"/>
              <w:jc w:val="both"/>
              <w:rPr>
                <w:rFonts w:ascii="Arial" w:eastAsia="Calibri" w:hAnsi="Arial"/>
                <w:sz w:val="20"/>
                <w:szCs w:val="20"/>
                <w:lang w:val="es-ES"/>
              </w:rPr>
            </w:pPr>
            <w:r w:rsidRPr="000B6D85">
              <w:rPr>
                <w:rFonts w:ascii="Arial" w:hAnsi="Arial"/>
                <w:color w:val="auto"/>
                <w:sz w:val="20"/>
                <w:szCs w:val="20"/>
                <w:lang w:val="es-ES"/>
              </w:rPr>
              <w:t xml:space="preserve">Identificar incoherencias en el nivel de protección garantizado por los distintos </w:t>
            </w:r>
            <w:proofErr w:type="gramStart"/>
            <w:r w:rsidRPr="000B6D85">
              <w:rPr>
                <w:rFonts w:ascii="Arial" w:hAnsi="Arial"/>
                <w:color w:val="auto"/>
                <w:sz w:val="20"/>
                <w:szCs w:val="20"/>
                <w:lang w:val="es-ES"/>
              </w:rPr>
              <w:t>Estados Partes</w:t>
            </w:r>
            <w:proofErr w:type="gramEnd"/>
            <w:r w:rsidRPr="000B6D85">
              <w:rPr>
                <w:rFonts w:ascii="Arial" w:hAnsi="Arial"/>
                <w:color w:val="auto"/>
                <w:sz w:val="20"/>
                <w:szCs w:val="20"/>
                <w:lang w:val="es-ES"/>
              </w:rPr>
              <w:t xml:space="preserve"> del área de distribución.</w:t>
            </w:r>
          </w:p>
        </w:tc>
        <w:tc>
          <w:tcPr>
            <w:tcW w:w="3686" w:type="dxa"/>
          </w:tcPr>
          <w:p w14:paraId="401B7079" w14:textId="357A2D23" w:rsidR="00443618" w:rsidRPr="000B6D85" w:rsidRDefault="00443618" w:rsidP="00A2772F">
            <w:pPr>
              <w:suppressAutoHyphens/>
              <w:jc w:val="both"/>
              <w:rPr>
                <w:rFonts w:ascii="Arial" w:eastAsia="Calibri" w:hAnsi="Arial" w:cs="Arial"/>
                <w:sz w:val="20"/>
                <w:szCs w:val="20"/>
                <w:lang w:val="es-ES"/>
              </w:rPr>
            </w:pPr>
            <w:r w:rsidRPr="000B6D85">
              <w:rPr>
                <w:rFonts w:ascii="Arial" w:hAnsi="Arial" w:cs="Arial"/>
                <w:sz w:val="20"/>
                <w:szCs w:val="20"/>
                <w:lang w:val="es-ES" w:eastAsia="es-ES"/>
              </w:rPr>
              <w:t xml:space="preserve">Análisis de las carencias en materia de protección. </w:t>
            </w:r>
          </w:p>
        </w:tc>
        <w:tc>
          <w:tcPr>
            <w:tcW w:w="1417" w:type="dxa"/>
          </w:tcPr>
          <w:p w14:paraId="77B6A6B3" w14:textId="03A340B6" w:rsidR="00443618"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w:t>
            </w:r>
          </w:p>
        </w:tc>
        <w:tc>
          <w:tcPr>
            <w:tcW w:w="1559" w:type="dxa"/>
          </w:tcPr>
          <w:p w14:paraId="35260B94" w14:textId="3D650DEB"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0F96EB7C" w14:textId="403BB846"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Se ha completado la consulta con expertos en políticas. La finalización del trabajo depende de la financiación.</w:t>
            </w:r>
          </w:p>
        </w:tc>
      </w:tr>
      <w:tr w:rsidR="00F2372B" w:rsidRPr="00231B66" w14:paraId="38B306F5" w14:textId="77777777" w:rsidTr="00C13098">
        <w:tc>
          <w:tcPr>
            <w:tcW w:w="562" w:type="dxa"/>
          </w:tcPr>
          <w:p w14:paraId="3E800160" w14:textId="18E19105" w:rsidR="00443618" w:rsidRPr="000B6D85" w:rsidRDefault="00443618"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6.</w:t>
            </w:r>
          </w:p>
        </w:tc>
        <w:tc>
          <w:tcPr>
            <w:tcW w:w="4111" w:type="dxa"/>
          </w:tcPr>
          <w:p w14:paraId="185C6F28" w14:textId="098CC520" w:rsidR="00443618" w:rsidRPr="000B6D85" w:rsidRDefault="00D14177" w:rsidP="00A2772F">
            <w:pPr>
              <w:pStyle w:val="p1"/>
              <w:jc w:val="both"/>
              <w:rPr>
                <w:rFonts w:ascii="Arial" w:eastAsia="Calibri" w:hAnsi="Arial"/>
                <w:sz w:val="20"/>
                <w:szCs w:val="20"/>
                <w:lang w:val="es-ES"/>
              </w:rPr>
            </w:pPr>
            <w:r w:rsidRPr="000B6D85">
              <w:rPr>
                <w:rFonts w:ascii="Arial" w:hAnsi="Arial"/>
                <w:color w:val="auto"/>
                <w:sz w:val="20"/>
                <w:szCs w:val="20"/>
                <w:lang w:val="es-ES"/>
              </w:rPr>
              <w:t>Identificar hábitats críticos y comprender la conectividad y las migraciones.</w:t>
            </w:r>
          </w:p>
        </w:tc>
        <w:tc>
          <w:tcPr>
            <w:tcW w:w="3686" w:type="dxa"/>
          </w:tcPr>
          <w:p w14:paraId="0DC3960C" w14:textId="7821DFE0" w:rsidR="00FE58B0" w:rsidRPr="000B6D85" w:rsidRDefault="00FE58B0"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Identificación de las áreas críticas;</w:t>
            </w:r>
          </w:p>
          <w:p w14:paraId="35492487" w14:textId="5BC68C31" w:rsidR="00FE58B0" w:rsidRPr="000B6D85" w:rsidRDefault="00FE58B0"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Identificación de las rutas migratorias;</w:t>
            </w:r>
          </w:p>
          <w:p w14:paraId="3EB1D213" w14:textId="7A71E73B" w:rsidR="00F2372B" w:rsidRPr="000B6D85" w:rsidRDefault="00FE58B0"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Identificación de las áreas prioritarias para la conservación (PAC);</w:t>
            </w:r>
          </w:p>
          <w:p w14:paraId="2D210B3A" w14:textId="4C803702" w:rsidR="00443618" w:rsidRPr="000B6D85" w:rsidRDefault="00FE58B0" w:rsidP="00A2772F">
            <w:pPr>
              <w:pStyle w:val="p1"/>
              <w:numPr>
                <w:ilvl w:val="0"/>
                <w:numId w:val="8"/>
              </w:numPr>
              <w:ind w:left="462" w:hanging="462"/>
              <w:jc w:val="both"/>
              <w:rPr>
                <w:rFonts w:ascii="Arial" w:eastAsia="Calibri" w:hAnsi="Arial"/>
                <w:sz w:val="20"/>
                <w:szCs w:val="20"/>
                <w:lang w:val="es-ES"/>
              </w:rPr>
            </w:pPr>
            <w:r w:rsidRPr="000B6D85">
              <w:rPr>
                <w:rFonts w:ascii="Arial" w:hAnsi="Arial"/>
                <w:color w:val="auto"/>
                <w:sz w:val="20"/>
                <w:szCs w:val="20"/>
                <w:lang w:val="es-ES"/>
              </w:rPr>
              <w:t>E-Atlas/otros resultados del Sistema de Información Geográfica (SIG) de hábitats críticos.</w:t>
            </w:r>
          </w:p>
        </w:tc>
        <w:tc>
          <w:tcPr>
            <w:tcW w:w="1417" w:type="dxa"/>
          </w:tcPr>
          <w:p w14:paraId="67B884AA" w14:textId="70D2A076" w:rsidR="00443618"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2024-2025</w:t>
            </w:r>
          </w:p>
        </w:tc>
        <w:tc>
          <w:tcPr>
            <w:tcW w:w="1559" w:type="dxa"/>
          </w:tcPr>
          <w:p w14:paraId="2CC64A5F" w14:textId="531A0DED"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4E1FE578" w14:textId="2A1214A8"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Investigación en curso en diversas localidades con el fin de recopilar estos datos.</w:t>
            </w:r>
          </w:p>
        </w:tc>
      </w:tr>
      <w:tr w:rsidR="00F2372B" w:rsidRPr="000B6D85" w14:paraId="57379276" w14:textId="77777777" w:rsidTr="00C13098">
        <w:tc>
          <w:tcPr>
            <w:tcW w:w="562" w:type="dxa"/>
          </w:tcPr>
          <w:p w14:paraId="3F35B0F8" w14:textId="4A9B021B" w:rsidR="00443618" w:rsidRPr="000B6D85" w:rsidRDefault="00443618"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7.</w:t>
            </w:r>
          </w:p>
        </w:tc>
        <w:tc>
          <w:tcPr>
            <w:tcW w:w="4111" w:type="dxa"/>
          </w:tcPr>
          <w:p w14:paraId="471EC117" w14:textId="334CEC44" w:rsidR="00443618" w:rsidRPr="000B6D85" w:rsidRDefault="00037836" w:rsidP="00A2772F">
            <w:pPr>
              <w:pStyle w:val="p1"/>
              <w:jc w:val="both"/>
              <w:rPr>
                <w:rFonts w:ascii="Arial" w:eastAsia="Calibri" w:hAnsi="Arial"/>
                <w:sz w:val="20"/>
                <w:szCs w:val="20"/>
                <w:lang w:val="es-ES"/>
              </w:rPr>
            </w:pPr>
            <w:r w:rsidRPr="000B6D85">
              <w:rPr>
                <w:rFonts w:ascii="Arial" w:hAnsi="Arial"/>
                <w:color w:val="auto"/>
                <w:sz w:val="20"/>
                <w:szCs w:val="20"/>
                <w:lang w:val="es-ES"/>
              </w:rPr>
              <w:t>Apoyar las evaluaciones de los efectos del cambio climático en los tiburones azules por población o región.</w:t>
            </w:r>
          </w:p>
        </w:tc>
        <w:tc>
          <w:tcPr>
            <w:tcW w:w="3686" w:type="dxa"/>
          </w:tcPr>
          <w:p w14:paraId="01E27244" w14:textId="5AC8E413" w:rsidR="00443618" w:rsidRPr="000B6D85" w:rsidRDefault="00B434BA" w:rsidP="00A2772F">
            <w:pPr>
              <w:pStyle w:val="p1"/>
              <w:jc w:val="both"/>
              <w:rPr>
                <w:rFonts w:ascii="Arial" w:eastAsia="Calibri" w:hAnsi="Arial"/>
                <w:sz w:val="20"/>
                <w:szCs w:val="20"/>
                <w:lang w:val="es-ES"/>
              </w:rPr>
            </w:pPr>
            <w:r w:rsidRPr="000B6D85">
              <w:rPr>
                <w:rFonts w:ascii="Arial" w:hAnsi="Arial"/>
                <w:color w:val="auto"/>
                <w:sz w:val="20"/>
                <w:szCs w:val="20"/>
                <w:lang w:val="es-ES"/>
              </w:rPr>
              <w:t>Mejor comprensión de la vulnerabilidad y los efectos del cambio climático en las poblaciones de tiburón azul.</w:t>
            </w:r>
          </w:p>
        </w:tc>
        <w:tc>
          <w:tcPr>
            <w:tcW w:w="1417" w:type="dxa"/>
          </w:tcPr>
          <w:p w14:paraId="6746452F" w14:textId="15955EFE" w:rsidR="00443618"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2025</w:t>
            </w:r>
          </w:p>
        </w:tc>
        <w:tc>
          <w:tcPr>
            <w:tcW w:w="1559" w:type="dxa"/>
          </w:tcPr>
          <w:p w14:paraId="0DD91BE8" w14:textId="5C5840F9"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5D10591D" w14:textId="7CBD48C5"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Requiere datos similares</w:t>
            </w:r>
            <w:r w:rsidR="00FE0367" w:rsidRPr="000B6D85">
              <w:rPr>
                <w:rFonts w:ascii="Arial" w:eastAsia="Calibri" w:hAnsi="Arial" w:cs="Arial"/>
                <w:sz w:val="20"/>
                <w:szCs w:val="20"/>
                <w:lang w:val="es-ES"/>
              </w:rPr>
              <w:t xml:space="preserve"> a los de la Actividad </w:t>
            </w:r>
            <w:r w:rsidRPr="000B6D85">
              <w:rPr>
                <w:rFonts w:ascii="Arial" w:eastAsia="Calibri" w:hAnsi="Arial" w:cs="Arial"/>
                <w:sz w:val="20"/>
                <w:szCs w:val="20"/>
                <w:lang w:val="es-ES"/>
              </w:rPr>
              <w:t>6 para llevar a cabo un análisis completo. La finalización del trabajo depende de la financiación.</w:t>
            </w:r>
          </w:p>
        </w:tc>
      </w:tr>
    </w:tbl>
    <w:p w14:paraId="7E94CB66" w14:textId="77777777" w:rsidR="002A75F0" w:rsidRPr="000B6D85" w:rsidRDefault="002A75F0"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7E3B0607" w14:textId="77777777" w:rsidR="00F2372B" w:rsidRPr="000B6D85" w:rsidRDefault="00F2372B" w:rsidP="0017210D">
      <w:pPr>
        <w:suppressAutoHyphens/>
        <w:autoSpaceDN w:val="0"/>
        <w:spacing w:after="0" w:line="240" w:lineRule="auto"/>
        <w:textAlignment w:val="baseline"/>
        <w:rPr>
          <w:rFonts w:eastAsia="Calibri" w:cs="Arial"/>
          <w:lang w:val="es-ES"/>
        </w:rPr>
        <w:sectPr w:rsidR="00F2372B" w:rsidRPr="000B6D85" w:rsidSect="00066CAE">
          <w:headerReference w:type="first" r:id="rId19"/>
          <w:footerReference w:type="first" r:id="rId20"/>
          <w:endnotePr>
            <w:numFmt w:val="decimal"/>
          </w:endnotePr>
          <w:pgSz w:w="11905" w:h="16837" w:code="9"/>
          <w:pgMar w:top="1440" w:right="1440" w:bottom="1440" w:left="1440" w:header="432" w:footer="432" w:gutter="0"/>
          <w:cols w:space="720"/>
          <w:titlePg/>
          <w:docGrid w:linePitch="299"/>
        </w:sectPr>
      </w:pPr>
    </w:p>
    <w:p w14:paraId="3941022C" w14:textId="351B77F2" w:rsidR="00E87B52" w:rsidRPr="000B6D85" w:rsidRDefault="00E87B52" w:rsidP="00066CAE">
      <w:pPr>
        <w:spacing w:after="0" w:line="240" w:lineRule="auto"/>
        <w:rPr>
          <w:rFonts w:eastAsia="Calibri" w:cs="Arial"/>
          <w:b/>
          <w:bCs/>
          <w:lang w:val="es-ES"/>
        </w:rPr>
      </w:pPr>
      <w:r w:rsidRPr="000B6D85">
        <w:rPr>
          <w:rFonts w:eastAsia="Calibri" w:cs="Arial"/>
          <w:b/>
          <w:bCs/>
          <w:lang w:val="es-ES"/>
        </w:rPr>
        <w:lastRenderedPageBreak/>
        <w:t>CAMBIOS REALIZADOS EN LA ACCIÓN CONCERTADA (SI LOS HUBIERA)</w:t>
      </w:r>
    </w:p>
    <w:p w14:paraId="79D54A5D" w14:textId="77777777" w:rsidR="00F55BC2" w:rsidRPr="000B6D85" w:rsidRDefault="00F55BC2" w:rsidP="00F55BC2">
      <w:pPr>
        <w:spacing w:after="0" w:line="240" w:lineRule="auto"/>
        <w:rPr>
          <w:rFonts w:eastAsia="Calibri" w:cs="Arial"/>
          <w:lang w:val="es-ES"/>
        </w:rPr>
      </w:pPr>
    </w:p>
    <w:p w14:paraId="171BEECD" w14:textId="44FFF228" w:rsidR="00081D08" w:rsidRPr="000B6D85" w:rsidRDefault="004D07C7"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t>Consultar la Tabla del Anexo 1 anterior.</w:t>
      </w:r>
    </w:p>
    <w:p w14:paraId="1E42E4C1" w14:textId="77777777" w:rsidR="00E87B52" w:rsidRPr="000B6D85" w:rsidRDefault="00E87B52" w:rsidP="0017210D">
      <w:pPr>
        <w:suppressAutoHyphens/>
        <w:autoSpaceDN w:val="0"/>
        <w:spacing w:after="0" w:line="240" w:lineRule="auto"/>
        <w:textAlignment w:val="baseline"/>
        <w:rPr>
          <w:rFonts w:eastAsia="Calibri" w:cs="Arial"/>
          <w:lang w:val="es-ES"/>
        </w:rPr>
      </w:pPr>
    </w:p>
    <w:p w14:paraId="074E7C82" w14:textId="00F6CA5B" w:rsidR="00E87B52" w:rsidRPr="00231B66" w:rsidRDefault="00E87B52" w:rsidP="00066CAE">
      <w:pPr>
        <w:spacing w:after="0" w:line="240" w:lineRule="auto"/>
        <w:rPr>
          <w:rFonts w:eastAsia="Calibri" w:cs="Arial"/>
          <w:b/>
          <w:bCs/>
          <w:lang w:val="es-ES"/>
        </w:rPr>
      </w:pPr>
      <w:r w:rsidRPr="00231B66">
        <w:rPr>
          <w:rFonts w:eastAsia="Calibri" w:cs="Arial"/>
          <w:b/>
          <w:bCs/>
          <w:lang w:val="es-ES"/>
        </w:rPr>
        <w:t>REFERENC</w:t>
      </w:r>
      <w:r w:rsidR="001E7D9D" w:rsidRPr="00231B66">
        <w:rPr>
          <w:rFonts w:eastAsia="Calibri" w:cs="Arial"/>
          <w:b/>
          <w:bCs/>
          <w:lang w:val="es-ES"/>
        </w:rPr>
        <w:t>IAS</w:t>
      </w:r>
    </w:p>
    <w:p w14:paraId="5C36A87E" w14:textId="77777777" w:rsidR="00F55BC2" w:rsidRPr="00231B66" w:rsidRDefault="00F55BC2" w:rsidP="006070D8">
      <w:pPr>
        <w:spacing w:after="0" w:line="240" w:lineRule="auto"/>
        <w:jc w:val="both"/>
        <w:rPr>
          <w:rFonts w:eastAsia="Calibri" w:cs="Arial"/>
          <w:lang w:val="es-ES"/>
        </w:rPr>
      </w:pPr>
    </w:p>
    <w:p w14:paraId="3D6F2266" w14:textId="32F51DCE" w:rsidR="00DF42F0" w:rsidRPr="001E7D9D" w:rsidRDefault="00DF42F0" w:rsidP="006070D8">
      <w:pPr>
        <w:spacing w:after="80" w:line="240" w:lineRule="auto"/>
        <w:ind w:left="547" w:hanging="547"/>
        <w:jc w:val="both"/>
        <w:rPr>
          <w:rFonts w:eastAsia="Calibri" w:cs="Arial"/>
          <w:sz w:val="20"/>
          <w:szCs w:val="20"/>
          <w:lang w:val="es-ES"/>
        </w:rPr>
      </w:pPr>
      <w:r w:rsidRPr="00231B66">
        <w:rPr>
          <w:rFonts w:eastAsia="Calibri" w:cs="Arial"/>
          <w:sz w:val="20"/>
          <w:szCs w:val="20"/>
          <w:lang w:val="es-ES"/>
        </w:rPr>
        <w:t xml:space="preserve">Lucas, S., Araujo, G., Bown, R.M.K., …Berggren, P. 2025. </w:t>
      </w:r>
      <w:r w:rsidRPr="001E7D9D">
        <w:rPr>
          <w:rFonts w:eastAsia="Calibri" w:cs="Arial"/>
          <w:sz w:val="20"/>
          <w:szCs w:val="20"/>
        </w:rPr>
        <w:t>Ferrite magnets do not deter blue sharks (</w:t>
      </w:r>
      <w:r w:rsidRPr="001E7D9D">
        <w:rPr>
          <w:rFonts w:eastAsia="Calibri" w:cs="Arial"/>
          <w:i/>
          <w:iCs/>
          <w:sz w:val="20"/>
          <w:szCs w:val="20"/>
        </w:rPr>
        <w:t>Prionace glauca</w:t>
      </w:r>
      <w:r w:rsidRPr="001E7D9D">
        <w:rPr>
          <w:rFonts w:eastAsia="Calibri" w:cs="Arial"/>
          <w:sz w:val="20"/>
          <w:szCs w:val="20"/>
        </w:rPr>
        <w:t xml:space="preserve">) from bait strikes in behavioural trials. </w:t>
      </w:r>
      <w:r w:rsidRPr="001E7D9D">
        <w:rPr>
          <w:rFonts w:eastAsia="Calibri" w:cs="Arial"/>
          <w:sz w:val="20"/>
          <w:szCs w:val="20"/>
          <w:lang w:val="es-ES"/>
        </w:rPr>
        <w:t>Fisheries Research 291, 11-2025, 107561, https://doi.org/10.1016/j.fishres.2025.107561.</w:t>
      </w:r>
    </w:p>
    <w:p w14:paraId="3C99685A" w14:textId="67E2A682" w:rsidR="00E34F26" w:rsidRPr="00BC63E0" w:rsidRDefault="004A6737" w:rsidP="006070D8">
      <w:pPr>
        <w:spacing w:after="0" w:line="240" w:lineRule="auto"/>
        <w:ind w:left="540" w:hanging="540"/>
        <w:jc w:val="both"/>
        <w:rPr>
          <w:rFonts w:cs="Arial"/>
          <w:sz w:val="20"/>
          <w:szCs w:val="20"/>
          <w:shd w:val="clear" w:color="auto" w:fill="FFFFFF"/>
        </w:rPr>
      </w:pPr>
      <w:r w:rsidRPr="001E7D9D">
        <w:rPr>
          <w:rFonts w:cs="Arial"/>
          <w:sz w:val="20"/>
          <w:szCs w:val="20"/>
          <w:bdr w:val="none" w:sz="0" w:space="0" w:color="auto" w:frame="1"/>
          <w:lang w:val="es-ES"/>
        </w:rPr>
        <w:t>Polo-Silva, C.J., Blanco-Parra, M.P., Barrera-Garcia, A., Araujo, G. &amp; Scotts, G. 2025.</w:t>
      </w:r>
      <w:r w:rsidRPr="001E7D9D">
        <w:rPr>
          <w:rStyle w:val="apple-converted-space"/>
          <w:rFonts w:cs="Arial"/>
          <w:sz w:val="20"/>
          <w:szCs w:val="20"/>
          <w:bdr w:val="none" w:sz="0" w:space="0" w:color="auto" w:frame="1"/>
          <w:lang w:val="es-ES"/>
        </w:rPr>
        <w:t> </w:t>
      </w:r>
      <w:r w:rsidRPr="001E7D9D">
        <w:rPr>
          <w:rFonts w:cs="Arial"/>
          <w:i/>
          <w:iCs/>
          <w:sz w:val="20"/>
          <w:szCs w:val="20"/>
          <w:bdr w:val="none" w:sz="0" w:space="0" w:color="auto" w:frame="1"/>
        </w:rPr>
        <w:t>Prionace glauca</w:t>
      </w:r>
      <w:r w:rsidRPr="001E7D9D">
        <w:rPr>
          <w:rStyle w:val="apple-converted-space"/>
          <w:rFonts w:cs="Arial"/>
          <w:sz w:val="20"/>
          <w:szCs w:val="20"/>
          <w:bdr w:val="none" w:sz="0" w:space="0" w:color="auto" w:frame="1"/>
        </w:rPr>
        <w:t> </w:t>
      </w:r>
      <w:r w:rsidRPr="001E7D9D">
        <w:rPr>
          <w:rFonts w:cs="Arial"/>
          <w:sz w:val="20"/>
          <w:szCs w:val="20"/>
          <w:bdr w:val="none" w:sz="0" w:space="0" w:color="auto" w:frame="1"/>
        </w:rPr>
        <w:t>(Green Status assessment).</w:t>
      </w:r>
      <w:r w:rsidRPr="001E7D9D">
        <w:rPr>
          <w:rStyle w:val="apple-converted-space"/>
          <w:rFonts w:cs="Arial"/>
          <w:sz w:val="20"/>
          <w:szCs w:val="20"/>
          <w:bdr w:val="none" w:sz="0" w:space="0" w:color="auto" w:frame="1"/>
        </w:rPr>
        <w:t> </w:t>
      </w:r>
      <w:r w:rsidRPr="001E7D9D">
        <w:rPr>
          <w:rFonts w:cs="Arial"/>
          <w:i/>
          <w:iCs/>
          <w:sz w:val="20"/>
          <w:szCs w:val="20"/>
          <w:bdr w:val="none" w:sz="0" w:space="0" w:color="auto" w:frame="1"/>
        </w:rPr>
        <w:t>The IUCN Red List of Threatened Species</w:t>
      </w:r>
      <w:r w:rsidRPr="001E7D9D">
        <w:rPr>
          <w:rStyle w:val="apple-converted-space"/>
          <w:rFonts w:cs="Arial"/>
          <w:sz w:val="20"/>
          <w:szCs w:val="20"/>
          <w:bdr w:val="none" w:sz="0" w:space="0" w:color="auto" w:frame="1"/>
        </w:rPr>
        <w:t> </w:t>
      </w:r>
      <w:r w:rsidRPr="001E7D9D">
        <w:rPr>
          <w:rFonts w:cs="Arial"/>
          <w:sz w:val="20"/>
          <w:szCs w:val="20"/>
          <w:bdr w:val="none" w:sz="0" w:space="0" w:color="auto" w:frame="1"/>
        </w:rPr>
        <w:t xml:space="preserve">2025: </w:t>
      </w:r>
      <w:proofErr w:type="gramStart"/>
      <w:r w:rsidRPr="001E7D9D">
        <w:rPr>
          <w:rFonts w:cs="Arial"/>
          <w:sz w:val="20"/>
          <w:szCs w:val="20"/>
          <w:bdr w:val="none" w:sz="0" w:space="0" w:color="auto" w:frame="1"/>
        </w:rPr>
        <w:t>e.T39381A3938120252.</w:t>
      </w:r>
      <w:r w:rsidRPr="001E7D9D">
        <w:rPr>
          <w:rFonts w:cs="Arial"/>
          <w:sz w:val="20"/>
          <w:szCs w:val="20"/>
          <w:shd w:val="clear" w:color="auto" w:fill="FFFFFF"/>
        </w:rPr>
        <w:t>Accessed</w:t>
      </w:r>
      <w:proofErr w:type="gramEnd"/>
      <w:r w:rsidRPr="001E7D9D">
        <w:rPr>
          <w:rFonts w:cs="Arial"/>
          <w:sz w:val="20"/>
          <w:szCs w:val="20"/>
          <w:shd w:val="clear" w:color="auto" w:fill="FFFFFF"/>
        </w:rPr>
        <w:t xml:space="preserve"> on</w:t>
      </w:r>
      <w:r w:rsidR="00C13098" w:rsidRPr="001E7D9D">
        <w:rPr>
          <w:rStyle w:val="apple-converted-space"/>
          <w:rFonts w:cs="Arial"/>
          <w:sz w:val="20"/>
          <w:szCs w:val="20"/>
          <w:shd w:val="clear" w:color="auto" w:fill="FFFFFF"/>
        </w:rPr>
        <w:t xml:space="preserve"> </w:t>
      </w:r>
      <w:r w:rsidRPr="001E7D9D">
        <w:rPr>
          <w:rFonts w:cs="Arial"/>
          <w:sz w:val="20"/>
          <w:szCs w:val="20"/>
          <w:shd w:val="clear" w:color="auto" w:fill="FFFFFF"/>
        </w:rPr>
        <w:t>20 October 2025.</w:t>
      </w:r>
    </w:p>
    <w:p w14:paraId="7128026B" w14:textId="77777777" w:rsidR="00E87B52" w:rsidRPr="00BC63E0" w:rsidRDefault="00E87B52" w:rsidP="00066CAE">
      <w:pPr>
        <w:suppressAutoHyphens/>
        <w:autoSpaceDN w:val="0"/>
        <w:spacing w:after="0" w:line="240" w:lineRule="auto"/>
        <w:textAlignment w:val="baseline"/>
        <w:rPr>
          <w:rFonts w:eastAsia="Calibri" w:cs="Arial"/>
        </w:rPr>
      </w:pPr>
    </w:p>
    <w:p w14:paraId="40CC47F7" w14:textId="43C7779C" w:rsidR="006D7B10" w:rsidRPr="000B6D85" w:rsidRDefault="00E87B52" w:rsidP="006070D8">
      <w:pPr>
        <w:spacing w:after="0" w:line="240" w:lineRule="auto"/>
        <w:rPr>
          <w:rFonts w:eastAsia="Calibri" w:cs="Arial"/>
          <w:b/>
          <w:bCs/>
          <w:lang w:val="es-ES"/>
        </w:rPr>
      </w:pPr>
      <w:r w:rsidRPr="000B6D85">
        <w:rPr>
          <w:rFonts w:eastAsia="Calibri" w:cs="Arial"/>
          <w:b/>
          <w:bCs/>
          <w:lang w:val="es-ES"/>
        </w:rPr>
        <w:t>ACCIÓN</w:t>
      </w:r>
    </w:p>
    <w:p w14:paraId="1885B4FC" w14:textId="77777777" w:rsidR="0053782B" w:rsidRPr="000B6D85" w:rsidRDefault="0053782B" w:rsidP="00066CAE">
      <w:pPr>
        <w:spacing w:after="0" w:line="240" w:lineRule="auto"/>
        <w:rPr>
          <w:rFonts w:eastAsia="Calibri" w:cs="Arial"/>
          <w:b/>
          <w:bCs/>
          <w:lang w:val="es-ES"/>
        </w:rPr>
      </w:pPr>
    </w:p>
    <w:p w14:paraId="745AD511" w14:textId="061BD660" w:rsidR="005D33C4" w:rsidRPr="000B6D85" w:rsidRDefault="0036157E" w:rsidP="006070D8">
      <w:pPr>
        <w:suppressAutoHyphens/>
        <w:autoSpaceDN w:val="0"/>
        <w:spacing w:after="0" w:line="240" w:lineRule="auto"/>
        <w:jc w:val="both"/>
        <w:textAlignment w:val="baseline"/>
        <w:rPr>
          <w:rFonts w:eastAsia="Calibri" w:cs="Arial"/>
          <w:bCs/>
          <w:lang w:val="es-ES"/>
        </w:rPr>
      </w:pPr>
      <w:r w:rsidRPr="000B6D85">
        <w:rPr>
          <w:rFonts w:eastAsia="Calibri" w:cs="Arial"/>
          <w:bCs/>
          <w:lang w:val="es-ES"/>
        </w:rPr>
        <w:t xml:space="preserve">Se propone continuar con la Acción Concertada para el tiburón azul durante el siguiente período entre sesiones, con el fin de garantizar la ejecución de las actividades pendientes y la aplicación de los nuevos resultados en materia de conservación. </w:t>
      </w:r>
    </w:p>
    <w:p w14:paraId="05447138" w14:textId="77777777" w:rsidR="006070D8" w:rsidRPr="000B6D85" w:rsidRDefault="006070D8" w:rsidP="006070D8">
      <w:pPr>
        <w:suppressAutoHyphens/>
        <w:autoSpaceDN w:val="0"/>
        <w:spacing w:after="0" w:line="240" w:lineRule="auto"/>
        <w:jc w:val="both"/>
        <w:textAlignment w:val="baseline"/>
        <w:rPr>
          <w:rFonts w:eastAsia="Calibri" w:cs="Arial"/>
          <w:bCs/>
          <w:lang w:val="es-ES"/>
        </w:rPr>
      </w:pPr>
    </w:p>
    <w:p w14:paraId="23C815F0" w14:textId="264A2E78" w:rsidR="006D7B10" w:rsidRPr="00FE0367" w:rsidRDefault="00CD4105" w:rsidP="006070D8">
      <w:pPr>
        <w:suppressAutoHyphens/>
        <w:autoSpaceDN w:val="0"/>
        <w:spacing w:after="0" w:line="240" w:lineRule="auto"/>
        <w:jc w:val="both"/>
        <w:textAlignment w:val="baseline"/>
        <w:rPr>
          <w:rFonts w:eastAsia="Calibri" w:cs="Arial"/>
          <w:i/>
          <w:lang w:val="es-ES"/>
        </w:rPr>
      </w:pPr>
      <w:r w:rsidRPr="000B6D85">
        <w:rPr>
          <w:rFonts w:eastAsia="Calibri" w:cs="Arial"/>
          <w:bCs/>
          <w:lang w:val="es-ES"/>
        </w:rPr>
        <w:t>Esta ampliación reforzará la coordinación entre los Estados del área de distribución, impulsará la gestión con base científica y fortalecerá las sinerg</w:t>
      </w:r>
      <w:r w:rsidR="00CD2A27" w:rsidRPr="000B6D85">
        <w:rPr>
          <w:rFonts w:eastAsia="Calibri" w:cs="Arial"/>
          <w:bCs/>
          <w:lang w:val="es-ES"/>
        </w:rPr>
        <w:t>ias entre la CMS, el MdE sobre t</w:t>
      </w:r>
      <w:r w:rsidRPr="000B6D85">
        <w:rPr>
          <w:rFonts w:eastAsia="Calibri" w:cs="Arial"/>
          <w:bCs/>
          <w:lang w:val="es-ES"/>
        </w:rPr>
        <w:t>iburones y las Organizaciones Regionales de Ordenación Pesquera (OROP).</w:t>
      </w:r>
      <w:r w:rsidR="004D07C7" w:rsidRPr="000B6D85">
        <w:rPr>
          <w:rFonts w:eastAsia="Calibri" w:cs="Arial"/>
          <w:i/>
          <w:lang w:val="es-ES"/>
        </w:rPr>
        <w:t xml:space="preserve"> </w:t>
      </w:r>
    </w:p>
    <w:sectPr w:rsidR="006D7B10" w:rsidRPr="00FE0367" w:rsidSect="00066CAE">
      <w:headerReference w:type="first" r:id="rId21"/>
      <w:endnotePr>
        <w:numFmt w:val="decimal"/>
      </w:endnotePr>
      <w:pgSz w:w="11905" w:h="16837" w:code="9"/>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EA9B" w14:textId="77777777" w:rsidR="002446C7" w:rsidRDefault="002446C7" w:rsidP="002E0DE9">
      <w:pPr>
        <w:spacing w:after="0" w:line="240" w:lineRule="auto"/>
      </w:pPr>
      <w:r>
        <w:separator/>
      </w:r>
    </w:p>
  </w:endnote>
  <w:endnote w:type="continuationSeparator" w:id="0">
    <w:p w14:paraId="2C33A8E8" w14:textId="77777777" w:rsidR="002446C7" w:rsidRDefault="002446C7" w:rsidP="002E0DE9">
      <w:pPr>
        <w:spacing w:after="0" w:line="240" w:lineRule="auto"/>
      </w:pPr>
      <w:r>
        <w:continuationSeparator/>
      </w:r>
    </w:p>
  </w:endnote>
  <w:endnote w:type="continuationNotice" w:id="1">
    <w:p w14:paraId="39FBE0DE" w14:textId="77777777" w:rsidR="002446C7" w:rsidRDefault="00244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23302"/>
      <w:docPartObj>
        <w:docPartGallery w:val="Page Numbers (Bottom of Page)"/>
        <w:docPartUnique/>
      </w:docPartObj>
    </w:sdtPr>
    <w:sdtEndPr>
      <w:rPr>
        <w:noProof/>
        <w:sz w:val="18"/>
        <w:szCs w:val="18"/>
      </w:rPr>
    </w:sdtEndPr>
    <w:sdtContent>
      <w:p w14:paraId="129E2D2E" w14:textId="67CEFC8C" w:rsidR="00F2372B" w:rsidRPr="000B6D85" w:rsidRDefault="00F2372B">
        <w:pPr>
          <w:pStyle w:val="Footer"/>
          <w:jc w:val="center"/>
          <w:rPr>
            <w:sz w:val="18"/>
            <w:szCs w:val="18"/>
          </w:rPr>
        </w:pPr>
        <w:r w:rsidRPr="000B6D85">
          <w:rPr>
            <w:sz w:val="18"/>
            <w:szCs w:val="18"/>
          </w:rPr>
          <w:fldChar w:fldCharType="begin"/>
        </w:r>
        <w:r w:rsidRPr="000B6D85">
          <w:rPr>
            <w:sz w:val="18"/>
            <w:szCs w:val="18"/>
          </w:rPr>
          <w:instrText xml:space="preserve"> PAGE   \* MERGEFORMAT </w:instrText>
        </w:r>
        <w:r w:rsidRPr="000B6D85">
          <w:rPr>
            <w:sz w:val="18"/>
            <w:szCs w:val="18"/>
          </w:rPr>
          <w:fldChar w:fldCharType="separate"/>
        </w:r>
        <w:r w:rsidR="001E31A0" w:rsidRPr="000B6D85">
          <w:rPr>
            <w:noProof/>
            <w:sz w:val="18"/>
            <w:szCs w:val="18"/>
          </w:rPr>
          <w:t>4</w:t>
        </w:r>
        <w:r w:rsidRPr="000B6D8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5780250B" w:rsidR="00E87B52" w:rsidRPr="000B6D85" w:rsidRDefault="00E87B52">
    <w:pPr>
      <w:pStyle w:val="Footer"/>
      <w:ind w:right="-367"/>
      <w:jc w:val="center"/>
    </w:pPr>
    <w:r w:rsidRPr="000B6D85">
      <w:rPr>
        <w:rFonts w:cs="Arial"/>
      </w:rPr>
      <w:fldChar w:fldCharType="begin"/>
    </w:r>
    <w:r w:rsidRPr="000B6D85">
      <w:rPr>
        <w:rFonts w:cs="Arial"/>
      </w:rPr>
      <w:instrText xml:space="preserve"> PAGE </w:instrText>
    </w:r>
    <w:r w:rsidRPr="000B6D85">
      <w:rPr>
        <w:rFonts w:cs="Arial"/>
      </w:rPr>
      <w:fldChar w:fldCharType="separate"/>
    </w:r>
    <w:r w:rsidR="001E31A0" w:rsidRPr="000B6D85">
      <w:rPr>
        <w:rFonts w:cs="Arial"/>
        <w:noProof/>
      </w:rPr>
      <w:t>5</w:t>
    </w:r>
    <w:r w:rsidRPr="000B6D85">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54781"/>
      <w:docPartObj>
        <w:docPartGallery w:val="Page Numbers (Bottom of Page)"/>
        <w:docPartUnique/>
      </w:docPartObj>
    </w:sdtPr>
    <w:sdtEndPr>
      <w:rPr>
        <w:noProof/>
        <w:sz w:val="18"/>
        <w:szCs w:val="18"/>
      </w:rPr>
    </w:sdtEndPr>
    <w:sdtContent>
      <w:p w14:paraId="49168438" w14:textId="239D907F" w:rsidR="003E01C0" w:rsidRPr="000B6D85" w:rsidRDefault="003E01C0">
        <w:pPr>
          <w:pStyle w:val="Footer"/>
          <w:jc w:val="center"/>
          <w:rPr>
            <w:sz w:val="18"/>
            <w:szCs w:val="18"/>
          </w:rPr>
        </w:pPr>
        <w:r w:rsidRPr="000B6D85">
          <w:rPr>
            <w:sz w:val="18"/>
            <w:szCs w:val="18"/>
          </w:rPr>
          <w:fldChar w:fldCharType="begin"/>
        </w:r>
        <w:r w:rsidRPr="000B6D85">
          <w:rPr>
            <w:sz w:val="18"/>
            <w:szCs w:val="18"/>
          </w:rPr>
          <w:instrText xml:space="preserve"> PAGE   \* MERGEFORMAT </w:instrText>
        </w:r>
        <w:r w:rsidRPr="000B6D85">
          <w:rPr>
            <w:sz w:val="18"/>
            <w:szCs w:val="18"/>
          </w:rPr>
          <w:fldChar w:fldCharType="separate"/>
        </w:r>
        <w:r w:rsidR="001E31A0" w:rsidRPr="000B6D85">
          <w:rPr>
            <w:noProof/>
            <w:sz w:val="18"/>
            <w:szCs w:val="18"/>
          </w:rPr>
          <w:t>3</w:t>
        </w:r>
        <w:r w:rsidRPr="000B6D8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222E" w14:textId="77777777" w:rsidR="002446C7" w:rsidRDefault="002446C7" w:rsidP="002E0DE9">
      <w:pPr>
        <w:spacing w:after="0" w:line="240" w:lineRule="auto"/>
      </w:pPr>
      <w:r>
        <w:separator/>
      </w:r>
    </w:p>
  </w:footnote>
  <w:footnote w:type="continuationSeparator" w:id="0">
    <w:p w14:paraId="7C08AEF9" w14:textId="77777777" w:rsidR="002446C7" w:rsidRDefault="002446C7" w:rsidP="002E0DE9">
      <w:pPr>
        <w:spacing w:after="0" w:line="240" w:lineRule="auto"/>
      </w:pPr>
      <w:r>
        <w:continuationSeparator/>
      </w:r>
    </w:p>
  </w:footnote>
  <w:footnote w:type="continuationNotice" w:id="1">
    <w:p w14:paraId="115A55BB" w14:textId="77777777" w:rsidR="002446C7" w:rsidRDefault="00244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1D5" w14:textId="2B096DC6" w:rsidR="00B856C5" w:rsidRPr="000B6D85" w:rsidRDefault="00C13098" w:rsidP="007C0BF6">
    <w:pPr>
      <w:pStyle w:val="Header"/>
      <w:pBdr>
        <w:bottom w:val="single" w:sz="4" w:space="1" w:color="auto"/>
      </w:pBdr>
    </w:pPr>
    <w:r w:rsidRPr="000B6D85">
      <w:rPr>
        <w:rFonts w:eastAsia="Times New Roman" w:cs="Arial"/>
        <w:i/>
        <w:sz w:val="18"/>
        <w:szCs w:val="18"/>
        <w:lang w:val="es-ES"/>
      </w:rPr>
      <w:t>UNEP/CMS/COP15/Doc.31.2.10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0B6D85" w:rsidRDefault="00E87B52">
    <w:pPr>
      <w:pStyle w:val="Heading1"/>
      <w:keepNext w:val="0"/>
      <w:pBdr>
        <w:bottom w:val="single" w:sz="4" w:space="1" w:color="000000"/>
      </w:pBdr>
      <w:ind w:left="261" w:right="-277" w:hanging="261"/>
      <w:jc w:val="right"/>
      <w:rPr>
        <w:lang w:val="fr-FR"/>
      </w:rPr>
    </w:pPr>
    <w:r w:rsidRPr="000B6D85">
      <w:rPr>
        <w:rFonts w:cs="Arial"/>
        <w:i/>
        <w:sz w:val="18"/>
        <w:szCs w:val="18"/>
        <w:lang w:val="fr-FR"/>
      </w:rPr>
      <w:t>UNEP/CMS/COP12/Doc.x/x</w:t>
    </w:r>
  </w:p>
  <w:p w14:paraId="05FCAA13" w14:textId="77777777" w:rsidR="00E87B52" w:rsidRPr="000B6D85" w:rsidRDefault="00E87B5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8031" w14:textId="4CB66F71" w:rsidR="00BC63E0" w:rsidRPr="00002A97" w:rsidRDefault="00BC63E0" w:rsidP="00BC63E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6AC75457" wp14:editId="5BF56C08">
          <wp:simplePos x="0" y="0"/>
          <wp:positionH relativeFrom="column">
            <wp:posOffset>774305</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7822989C" wp14:editId="01E6C230">
          <wp:simplePos x="0" y="0"/>
          <wp:positionH relativeFrom="column">
            <wp:posOffset>40329</wp:posOffset>
          </wp:positionH>
          <wp:positionV relativeFrom="paragraph">
            <wp:posOffset>-76020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23B5F329" wp14:editId="0AC60DD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49E2C299" w14:textId="77777777" w:rsidR="000B6D85" w:rsidRDefault="000B6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2DA2" w14:textId="77777777" w:rsidR="007C0BF6" w:rsidRPr="000B6D85" w:rsidRDefault="007C0BF6" w:rsidP="007C0BF6">
    <w:pPr>
      <w:pStyle w:val="Header"/>
      <w:pBdr>
        <w:bottom w:val="single" w:sz="4" w:space="1" w:color="auto"/>
      </w:pBdr>
    </w:pPr>
    <w:r w:rsidRPr="000B6D85">
      <w:rPr>
        <w:rFonts w:eastAsia="Times New Roman" w:cs="Arial"/>
        <w:i/>
        <w:sz w:val="18"/>
        <w:szCs w:val="18"/>
        <w:lang w:val="es-ES"/>
      </w:rPr>
      <w:t>UNEP/CMS/COP15/Doc.31.2.10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47F478CE" w:rsidR="00AE4A6B" w:rsidRPr="000B6D85" w:rsidRDefault="00AE4A6B" w:rsidP="00E87B52">
    <w:pPr>
      <w:pStyle w:val="Header"/>
      <w:pBdr>
        <w:bottom w:val="single" w:sz="4" w:space="1" w:color="auto"/>
      </w:pBdr>
      <w:rPr>
        <w:i/>
        <w:sz w:val="18"/>
        <w:szCs w:val="18"/>
      </w:rPr>
    </w:pPr>
    <w:r w:rsidRPr="000B6D85">
      <w:rPr>
        <w:rFonts w:eastAsia="Times New Roman" w:cs="Arial"/>
        <w:i/>
        <w:sz w:val="18"/>
        <w:szCs w:val="18"/>
        <w:lang w:val="es-ES"/>
      </w:rPr>
      <w:t>UNEP/CMS/COP15/Doc./Anexo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E17C" w14:textId="67A2EC37" w:rsidR="00F2372B" w:rsidRPr="000B6D85" w:rsidRDefault="00F2372B" w:rsidP="00066CAE">
    <w:pPr>
      <w:pStyle w:val="Header"/>
      <w:pBdr>
        <w:bottom w:val="single" w:sz="4" w:space="1" w:color="auto"/>
      </w:pBdr>
      <w:jc w:val="right"/>
      <w:rPr>
        <w:i/>
        <w:sz w:val="18"/>
        <w:szCs w:val="18"/>
      </w:rPr>
    </w:pPr>
    <w:r w:rsidRPr="000B6D85">
      <w:rPr>
        <w:rFonts w:eastAsia="Times New Roman" w:cs="Arial"/>
        <w:i/>
        <w:sz w:val="18"/>
        <w:szCs w:val="18"/>
        <w:lang w:val="es-ES"/>
      </w:rPr>
      <w:t>UNEP/CMS/COP15/Doc.31.2.10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98B" w14:textId="076E9251" w:rsidR="00F2372B" w:rsidRPr="000B6D85" w:rsidRDefault="00F2372B" w:rsidP="006070D8">
    <w:pPr>
      <w:pStyle w:val="Header"/>
      <w:pBdr>
        <w:bottom w:val="single" w:sz="4" w:space="1" w:color="auto"/>
      </w:pBdr>
      <w:jc w:val="right"/>
      <w:rPr>
        <w:i/>
        <w:sz w:val="18"/>
        <w:szCs w:val="18"/>
      </w:rPr>
    </w:pPr>
    <w:r w:rsidRPr="000B6D85">
      <w:rPr>
        <w:rFonts w:eastAsia="Times New Roman" w:cs="Arial"/>
        <w:i/>
        <w:sz w:val="18"/>
        <w:szCs w:val="18"/>
        <w:lang w:val="es-ES"/>
      </w:rPr>
      <w:t>UNEP/CMS/COP15/Doc.31.2.10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8396385"/>
    <w:multiLevelType w:val="hybridMultilevel"/>
    <w:tmpl w:val="4ED0016E"/>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40413"/>
    <w:multiLevelType w:val="hybridMultilevel"/>
    <w:tmpl w:val="C6646AEE"/>
    <w:lvl w:ilvl="0" w:tplc="84D8F0CE">
      <w:start w:val="202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368AD0B2"/>
    <w:lvl w:ilvl="0" w:tplc="2000000F">
      <w:start w:val="1"/>
      <w:numFmt w:val="decimal"/>
      <w:lvlText w:val="%1."/>
      <w:lvlJc w:val="left"/>
      <w:pPr>
        <w:ind w:left="990" w:hanging="720"/>
      </w:pPr>
      <w:rPr>
        <w:rFonts w:hint="default"/>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4685540">
    <w:abstractNumId w:val="2"/>
  </w:num>
  <w:num w:numId="2" w16cid:durableId="1850018656">
    <w:abstractNumId w:val="6"/>
  </w:num>
  <w:num w:numId="3" w16cid:durableId="2089040157">
    <w:abstractNumId w:val="0"/>
  </w:num>
  <w:num w:numId="4" w16cid:durableId="807473541">
    <w:abstractNumId w:val="5"/>
  </w:num>
  <w:num w:numId="5" w16cid:durableId="297224912">
    <w:abstractNumId w:val="7"/>
  </w:num>
  <w:num w:numId="6" w16cid:durableId="700978415">
    <w:abstractNumId w:val="4"/>
  </w:num>
  <w:num w:numId="7" w16cid:durableId="436026057">
    <w:abstractNumId w:val="3"/>
  </w:num>
  <w:num w:numId="8" w16cid:durableId="14216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13781"/>
    <w:rsid w:val="00037836"/>
    <w:rsid w:val="00044EE2"/>
    <w:rsid w:val="00063648"/>
    <w:rsid w:val="000661B2"/>
    <w:rsid w:val="00066CAE"/>
    <w:rsid w:val="00081D08"/>
    <w:rsid w:val="0008424E"/>
    <w:rsid w:val="000A5764"/>
    <w:rsid w:val="000B60DE"/>
    <w:rsid w:val="000B6D85"/>
    <w:rsid w:val="000C3243"/>
    <w:rsid w:val="000E2590"/>
    <w:rsid w:val="000E71F1"/>
    <w:rsid w:val="0011042C"/>
    <w:rsid w:val="001139D3"/>
    <w:rsid w:val="00124693"/>
    <w:rsid w:val="00130C51"/>
    <w:rsid w:val="001334A5"/>
    <w:rsid w:val="0015124D"/>
    <w:rsid w:val="0015276D"/>
    <w:rsid w:val="0017210D"/>
    <w:rsid w:val="00176082"/>
    <w:rsid w:val="0018099C"/>
    <w:rsid w:val="001B5C49"/>
    <w:rsid w:val="001C1947"/>
    <w:rsid w:val="001C6931"/>
    <w:rsid w:val="001D763A"/>
    <w:rsid w:val="001E31A0"/>
    <w:rsid w:val="001E7D9D"/>
    <w:rsid w:val="001F6213"/>
    <w:rsid w:val="00231B66"/>
    <w:rsid w:val="00236050"/>
    <w:rsid w:val="002446C7"/>
    <w:rsid w:val="002577D2"/>
    <w:rsid w:val="002701FB"/>
    <w:rsid w:val="00297CAD"/>
    <w:rsid w:val="002A12FA"/>
    <w:rsid w:val="002A75F0"/>
    <w:rsid w:val="002B2806"/>
    <w:rsid w:val="002E0DE9"/>
    <w:rsid w:val="002E414A"/>
    <w:rsid w:val="0030267F"/>
    <w:rsid w:val="00316EC3"/>
    <w:rsid w:val="00331D38"/>
    <w:rsid w:val="003354A0"/>
    <w:rsid w:val="0035024E"/>
    <w:rsid w:val="0036157E"/>
    <w:rsid w:val="003B582E"/>
    <w:rsid w:val="003C569E"/>
    <w:rsid w:val="003E01C0"/>
    <w:rsid w:val="0044352F"/>
    <w:rsid w:val="00443618"/>
    <w:rsid w:val="004456DC"/>
    <w:rsid w:val="00454EF0"/>
    <w:rsid w:val="004714F5"/>
    <w:rsid w:val="00476A40"/>
    <w:rsid w:val="00490AFE"/>
    <w:rsid w:val="00492DFC"/>
    <w:rsid w:val="004A6737"/>
    <w:rsid w:val="004C2D96"/>
    <w:rsid w:val="004C6DA1"/>
    <w:rsid w:val="004D07C7"/>
    <w:rsid w:val="004D3FC4"/>
    <w:rsid w:val="004D5029"/>
    <w:rsid w:val="004E4C62"/>
    <w:rsid w:val="004F7D19"/>
    <w:rsid w:val="005201A6"/>
    <w:rsid w:val="005330F7"/>
    <w:rsid w:val="0053782B"/>
    <w:rsid w:val="0053789A"/>
    <w:rsid w:val="005525A3"/>
    <w:rsid w:val="00563598"/>
    <w:rsid w:val="00566033"/>
    <w:rsid w:val="005B1F6F"/>
    <w:rsid w:val="005B2C28"/>
    <w:rsid w:val="005B3D6A"/>
    <w:rsid w:val="005C28E8"/>
    <w:rsid w:val="005C469B"/>
    <w:rsid w:val="005C4CFE"/>
    <w:rsid w:val="005C77FC"/>
    <w:rsid w:val="005C7FBE"/>
    <w:rsid w:val="005D33C4"/>
    <w:rsid w:val="005D4231"/>
    <w:rsid w:val="005D57F2"/>
    <w:rsid w:val="005E6D3C"/>
    <w:rsid w:val="005F738C"/>
    <w:rsid w:val="005F7689"/>
    <w:rsid w:val="006070D8"/>
    <w:rsid w:val="00633893"/>
    <w:rsid w:val="0065154C"/>
    <w:rsid w:val="00683B57"/>
    <w:rsid w:val="00684EF3"/>
    <w:rsid w:val="006A7DC4"/>
    <w:rsid w:val="006B1883"/>
    <w:rsid w:val="006D752A"/>
    <w:rsid w:val="006D7B10"/>
    <w:rsid w:val="006F5B78"/>
    <w:rsid w:val="006F771C"/>
    <w:rsid w:val="00715220"/>
    <w:rsid w:val="007460F9"/>
    <w:rsid w:val="007610DF"/>
    <w:rsid w:val="007745FF"/>
    <w:rsid w:val="00782475"/>
    <w:rsid w:val="007A369D"/>
    <w:rsid w:val="007C0BF6"/>
    <w:rsid w:val="007E7FBE"/>
    <w:rsid w:val="007F1FC6"/>
    <w:rsid w:val="00842B75"/>
    <w:rsid w:val="00872FF8"/>
    <w:rsid w:val="0088545C"/>
    <w:rsid w:val="008A2189"/>
    <w:rsid w:val="008A2253"/>
    <w:rsid w:val="008B0AC3"/>
    <w:rsid w:val="008B224D"/>
    <w:rsid w:val="008D2E27"/>
    <w:rsid w:val="00903DDB"/>
    <w:rsid w:val="0092671C"/>
    <w:rsid w:val="00927E3B"/>
    <w:rsid w:val="00933B90"/>
    <w:rsid w:val="0094098B"/>
    <w:rsid w:val="0095098A"/>
    <w:rsid w:val="00960239"/>
    <w:rsid w:val="00975F46"/>
    <w:rsid w:val="00984BDA"/>
    <w:rsid w:val="009968B2"/>
    <w:rsid w:val="009C0681"/>
    <w:rsid w:val="009C437B"/>
    <w:rsid w:val="00A130F6"/>
    <w:rsid w:val="00A2772F"/>
    <w:rsid w:val="00A347D2"/>
    <w:rsid w:val="00A44ED2"/>
    <w:rsid w:val="00A66104"/>
    <w:rsid w:val="00A82E07"/>
    <w:rsid w:val="00A9675B"/>
    <w:rsid w:val="00AA6139"/>
    <w:rsid w:val="00AA6742"/>
    <w:rsid w:val="00AA6BE3"/>
    <w:rsid w:val="00AB1048"/>
    <w:rsid w:val="00AB6ABD"/>
    <w:rsid w:val="00AC06A1"/>
    <w:rsid w:val="00AC56BB"/>
    <w:rsid w:val="00AC7FE0"/>
    <w:rsid w:val="00AE4128"/>
    <w:rsid w:val="00AE4A6B"/>
    <w:rsid w:val="00B22CD6"/>
    <w:rsid w:val="00B22CE5"/>
    <w:rsid w:val="00B434BA"/>
    <w:rsid w:val="00B51A11"/>
    <w:rsid w:val="00B716B8"/>
    <w:rsid w:val="00B856C5"/>
    <w:rsid w:val="00BA192A"/>
    <w:rsid w:val="00BB5DE1"/>
    <w:rsid w:val="00BB7FAE"/>
    <w:rsid w:val="00BC0150"/>
    <w:rsid w:val="00BC63E0"/>
    <w:rsid w:val="00BD5091"/>
    <w:rsid w:val="00BE06FA"/>
    <w:rsid w:val="00C10173"/>
    <w:rsid w:val="00C107D5"/>
    <w:rsid w:val="00C13098"/>
    <w:rsid w:val="00C42EC9"/>
    <w:rsid w:val="00C433FF"/>
    <w:rsid w:val="00C7409D"/>
    <w:rsid w:val="00CA5CFB"/>
    <w:rsid w:val="00CA7C24"/>
    <w:rsid w:val="00CB7C2B"/>
    <w:rsid w:val="00CC3AC4"/>
    <w:rsid w:val="00CD2A27"/>
    <w:rsid w:val="00CD4105"/>
    <w:rsid w:val="00CE1DD0"/>
    <w:rsid w:val="00CE3D23"/>
    <w:rsid w:val="00CF5D3B"/>
    <w:rsid w:val="00D14177"/>
    <w:rsid w:val="00D15DB8"/>
    <w:rsid w:val="00D416E5"/>
    <w:rsid w:val="00D55AA8"/>
    <w:rsid w:val="00D63549"/>
    <w:rsid w:val="00D858C4"/>
    <w:rsid w:val="00D93628"/>
    <w:rsid w:val="00DA1C8A"/>
    <w:rsid w:val="00DB0E8A"/>
    <w:rsid w:val="00DC23E6"/>
    <w:rsid w:val="00DF42F0"/>
    <w:rsid w:val="00E0256F"/>
    <w:rsid w:val="00E15D63"/>
    <w:rsid w:val="00E16D5C"/>
    <w:rsid w:val="00E3300C"/>
    <w:rsid w:val="00E34F26"/>
    <w:rsid w:val="00E54BF3"/>
    <w:rsid w:val="00E87B52"/>
    <w:rsid w:val="00ED35A1"/>
    <w:rsid w:val="00ED44B2"/>
    <w:rsid w:val="00F1251D"/>
    <w:rsid w:val="00F20B11"/>
    <w:rsid w:val="00F2372B"/>
    <w:rsid w:val="00F55BC2"/>
    <w:rsid w:val="00FD0C02"/>
    <w:rsid w:val="00FE0367"/>
    <w:rsid w:val="00FE58B0"/>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220"/>
    <w:pPr>
      <w:spacing w:after="0" w:line="240" w:lineRule="auto"/>
    </w:pPr>
  </w:style>
  <w:style w:type="character" w:styleId="CommentReference">
    <w:name w:val="annotation reference"/>
    <w:basedOn w:val="DefaultParagraphFont"/>
    <w:uiPriority w:val="99"/>
    <w:semiHidden/>
    <w:unhideWhenUsed/>
    <w:rsid w:val="00476A40"/>
    <w:rPr>
      <w:sz w:val="16"/>
      <w:szCs w:val="16"/>
    </w:rPr>
  </w:style>
  <w:style w:type="paragraph" w:styleId="CommentText">
    <w:name w:val="annotation text"/>
    <w:basedOn w:val="Normal"/>
    <w:link w:val="CommentTextChar"/>
    <w:uiPriority w:val="99"/>
    <w:unhideWhenUsed/>
    <w:rsid w:val="00476A40"/>
    <w:pPr>
      <w:spacing w:line="240" w:lineRule="auto"/>
    </w:pPr>
    <w:rPr>
      <w:sz w:val="20"/>
      <w:szCs w:val="20"/>
    </w:rPr>
  </w:style>
  <w:style w:type="character" w:customStyle="1" w:styleId="CommentTextChar">
    <w:name w:val="Comment Text Char"/>
    <w:basedOn w:val="DefaultParagraphFont"/>
    <w:link w:val="CommentText"/>
    <w:uiPriority w:val="99"/>
    <w:rsid w:val="00476A40"/>
    <w:rPr>
      <w:sz w:val="20"/>
      <w:szCs w:val="20"/>
    </w:rPr>
  </w:style>
  <w:style w:type="paragraph" w:styleId="CommentSubject">
    <w:name w:val="annotation subject"/>
    <w:basedOn w:val="CommentText"/>
    <w:next w:val="CommentText"/>
    <w:link w:val="CommentSubjectChar"/>
    <w:uiPriority w:val="99"/>
    <w:semiHidden/>
    <w:unhideWhenUsed/>
    <w:rsid w:val="00476A40"/>
    <w:rPr>
      <w:b/>
      <w:bCs/>
    </w:rPr>
  </w:style>
  <w:style w:type="character" w:customStyle="1" w:styleId="CommentSubjectChar">
    <w:name w:val="Comment Subject Char"/>
    <w:basedOn w:val="CommentTextChar"/>
    <w:link w:val="CommentSubject"/>
    <w:uiPriority w:val="99"/>
    <w:semiHidden/>
    <w:rsid w:val="00476A40"/>
    <w:rPr>
      <w:b/>
      <w:bCs/>
      <w:sz w:val="20"/>
      <w:szCs w:val="20"/>
    </w:rPr>
  </w:style>
  <w:style w:type="paragraph" w:customStyle="1" w:styleId="p1">
    <w:name w:val="p1"/>
    <w:basedOn w:val="Normal"/>
    <w:rsid w:val="00454EF0"/>
    <w:pPr>
      <w:spacing w:after="0" w:line="240" w:lineRule="auto"/>
    </w:pPr>
    <w:rPr>
      <w:rFonts w:eastAsia="Times New Roman" w:cs="Arial"/>
      <w:color w:val="000000"/>
      <w:sz w:val="17"/>
      <w:szCs w:val="17"/>
      <w:lang w:val="en-GB" w:eastAsia="en-GB"/>
    </w:rPr>
  </w:style>
  <w:style w:type="character" w:customStyle="1" w:styleId="s1">
    <w:name w:val="s1"/>
    <w:basedOn w:val="DefaultParagraphFont"/>
    <w:rsid w:val="001334A5"/>
    <w:rPr>
      <w:rFonts w:ascii="Courier New" w:hAnsi="Courier New" w:cs="Courier New" w:hint="default"/>
      <w:sz w:val="17"/>
      <w:szCs w:val="17"/>
    </w:rPr>
  </w:style>
  <w:style w:type="character" w:customStyle="1" w:styleId="apple-converted-space">
    <w:name w:val="apple-converted-space"/>
    <w:basedOn w:val="DefaultParagraphFont"/>
    <w:rsid w:val="004A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70977-B8A2-4D08-AE18-9D7F2DF43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3.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05415F2E-BE62-46B4-95B4-1FFE7F063C47}">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1031</Words>
  <Characters>5883</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cp:revision>
  <dcterms:created xsi:type="dcterms:W3CDTF">2025-11-06T10:16:00Z</dcterms:created>
  <dcterms:modified xsi:type="dcterms:W3CDTF">2025-11-21T13:02:00Z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