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A520BF" w14:paraId="77F5F746"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781EEFB4"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A520BF">
              <w:rPr>
                <w:rFonts w:eastAsia="Times New Roman" w:cs="Arial"/>
                <w:szCs w:val="24"/>
                <w:lang w:val="es-ES" w:eastAsia="es-ES"/>
              </w:rPr>
              <w:t>30.2.9</w:t>
            </w:r>
          </w:p>
          <w:p w14:paraId="5F9B9DE6" w14:textId="2F6EEF5B" w:rsidR="00002A97" w:rsidRPr="00B26725" w:rsidRDefault="00A520BF"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w:t>
            </w:r>
            <w:r w:rsidR="00640F43">
              <w:rPr>
                <w:rFonts w:eastAsia="Times New Roman" w:cs="Arial"/>
                <w:szCs w:val="24"/>
                <w:lang w:val="es-ES" w:eastAsia="es-ES"/>
              </w:rPr>
              <w:t>7</w:t>
            </w:r>
            <w:r>
              <w:rPr>
                <w:rFonts w:eastAsia="Times New Roman" w:cs="Arial"/>
                <w:szCs w:val="24"/>
                <w:lang w:val="es-ES" w:eastAsia="es-ES"/>
              </w:rPr>
              <w:t xml:space="preserve">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0946EE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520BF">
        <w:rPr>
          <w:rFonts w:eastAsia="Times New Roman" w:cs="Arial"/>
          <w:szCs w:val="24"/>
          <w:lang w:val="es-ES" w:eastAsia="es-ES"/>
        </w:rPr>
        <w:t>30.2.9</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94FFA96" w14:textId="77777777" w:rsidR="00A520BF" w:rsidRDefault="00A520BF" w:rsidP="00A520BF">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90" w:right="-367"/>
        <w:jc w:val="center"/>
        <w:outlineLvl w:val="1"/>
        <w:rPr>
          <w:rFonts w:eastAsia="Times New Roman" w:cs="Arial"/>
          <w:b/>
          <w:bCs/>
          <w:lang w:val="es-ES"/>
        </w:rPr>
      </w:pPr>
      <w:r>
        <w:rPr>
          <w:rFonts w:eastAsia="Times New Roman" w:cs="Arial"/>
          <w:b/>
          <w:bCs/>
          <w:lang w:val="es-ES"/>
        </w:rPr>
        <w:t>PROPUESTA DE INCLUSIÓN DEL PATIGUALDO CHICO</w:t>
      </w:r>
    </w:p>
    <w:p w14:paraId="4C4D2CED" w14:textId="77777777" w:rsidR="00A520BF" w:rsidRDefault="00A520BF" w:rsidP="00A520BF">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90" w:right="-367"/>
        <w:jc w:val="center"/>
        <w:outlineLvl w:val="1"/>
        <w:rPr>
          <w:rFonts w:eastAsia="Times New Roman" w:cs="Arial"/>
          <w:b/>
          <w:bCs/>
          <w:lang w:val="es-ES"/>
        </w:rPr>
      </w:pPr>
      <w:r>
        <w:rPr>
          <w:rFonts w:eastAsia="Times New Roman" w:cs="Arial"/>
          <w:b/>
          <w:bCs/>
          <w:lang w:val="es-ES"/>
        </w:rPr>
        <w:t xml:space="preserve"> </w:t>
      </w:r>
      <w:r>
        <w:rPr>
          <w:rFonts w:eastAsia="Times New Roman" w:cs="Arial"/>
          <w:b/>
          <w:bCs/>
          <w:i/>
          <w:lang w:val="es-ES"/>
        </w:rPr>
        <w:t>Tringa flavipes</w:t>
      </w:r>
    </w:p>
    <w:p w14:paraId="649BC530" w14:textId="3A87B5F9" w:rsidR="00002A97" w:rsidRPr="00002A97" w:rsidRDefault="00A520BF" w:rsidP="00A520BF">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b/>
          <w:bCs/>
          <w:lang w:val="es-ES"/>
        </w:rPr>
        <w:t>EN EL APÉNDICE I</w:t>
      </w:r>
      <w:r>
        <w:rPr>
          <w:rFonts w:eastAsia="Times New Roman" w:cs="Arial"/>
          <w:b/>
          <w:bCs/>
          <w:caps/>
          <w:lang w:val="es-ES"/>
        </w:rPr>
        <w:t xml:space="preserve"> DE LA CONVENCIÓN*</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04553DC">
                <wp:simplePos x="0" y="0"/>
                <wp:positionH relativeFrom="column">
                  <wp:posOffset>974785</wp:posOffset>
                </wp:positionH>
                <wp:positionV relativeFrom="paragraph">
                  <wp:posOffset>149489</wp:posOffset>
                </wp:positionV>
                <wp:extent cx="4304666" cy="1112807"/>
                <wp:effectExtent l="0" t="0" r="19685" b="11430"/>
                <wp:wrapNone/>
                <wp:docPr id="5" name="Text Box 4"/>
                <wp:cNvGraphicFramePr/>
                <a:graphic xmlns:a="http://schemas.openxmlformats.org/drawingml/2006/main">
                  <a:graphicData uri="http://schemas.microsoft.com/office/word/2010/wordprocessingShape">
                    <wps:wsp>
                      <wps:cNvSpPr txBox="1"/>
                      <wps:spPr>
                        <a:xfrm>
                          <a:off x="0" y="0"/>
                          <a:ext cx="4304666" cy="1112807"/>
                        </a:xfrm>
                        <a:prstGeom prst="rect">
                          <a:avLst/>
                        </a:prstGeom>
                        <a:solidFill>
                          <a:srgbClr val="FFFFFF"/>
                        </a:solidFill>
                        <a:ln w="3172">
                          <a:solidFill>
                            <a:srgbClr val="000000"/>
                          </a:solidFill>
                          <a:prstDash val="solid"/>
                        </a:ln>
                      </wps:spPr>
                      <wps:txbx>
                        <w:txbxContent>
                          <w:p w14:paraId="78EFDF6D" w14:textId="1DCE26E8" w:rsidR="002D5F2A" w:rsidRPr="00583625" w:rsidRDefault="002D5F2A" w:rsidP="00A520BF">
                            <w:pPr>
                              <w:spacing w:after="0" w:line="240" w:lineRule="auto"/>
                              <w:jc w:val="both"/>
                              <w:rPr>
                                <w:lang w:val="es-ES"/>
                              </w:rPr>
                            </w:pPr>
                            <w:r w:rsidRPr="00583625">
                              <w:rPr>
                                <w:rFonts w:eastAsia="Arial" w:cs="Arial"/>
                                <w:lang w:val="es-ES"/>
                              </w:rPr>
                              <w:t>Resumen:</w:t>
                            </w:r>
                          </w:p>
                          <w:p w14:paraId="255B4E63" w14:textId="77777777" w:rsidR="002D5F2A" w:rsidRPr="00583625" w:rsidRDefault="002D5F2A" w:rsidP="00A520BF">
                            <w:pPr>
                              <w:spacing w:after="0" w:line="240" w:lineRule="auto"/>
                              <w:jc w:val="both"/>
                              <w:rPr>
                                <w:rFonts w:cs="Arial"/>
                                <w:lang w:val="es-ES"/>
                              </w:rPr>
                            </w:pPr>
                          </w:p>
                          <w:p w14:paraId="05390D28" w14:textId="78BA74E5" w:rsidR="00A520BF" w:rsidRPr="00A520BF" w:rsidRDefault="00A520BF" w:rsidP="00A520BF">
                            <w:pPr>
                              <w:spacing w:after="0" w:line="240" w:lineRule="auto"/>
                              <w:jc w:val="both"/>
                              <w:rPr>
                                <w:rFonts w:cs="Arial"/>
                                <w:lang w:val="es-ES"/>
                              </w:rPr>
                            </w:pPr>
                            <w:r w:rsidRPr="00A520BF">
                              <w:rPr>
                                <w:rFonts w:eastAsia="Times New Roman" w:cs="Arial"/>
                                <w:lang w:val="es-ES"/>
                              </w:rPr>
                              <w:t xml:space="preserve">El Gobierno de Uruguay ha presentado la propuesta adjunta* para la inclusión de </w:t>
                            </w:r>
                            <w:r w:rsidRPr="00A520BF">
                              <w:rPr>
                                <w:rFonts w:eastAsia="Times New Roman" w:cs="Arial"/>
                                <w:i/>
                                <w:lang w:val="es-ES"/>
                              </w:rPr>
                              <w:t>Tringa flavipes</w:t>
                            </w:r>
                            <w:r w:rsidRPr="00A520BF">
                              <w:rPr>
                                <w:rFonts w:eastAsia="Times New Roman" w:cs="Arial"/>
                                <w:lang w:val="es-ES"/>
                              </w:rPr>
                              <w:t xml:space="preserve"> en el Apéndice I de la CMS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75pt;width:338.95pt;height:87.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" strokeweight=".08811mm">
                <v:textbox>
                  <w:txbxContent>
                    <w:p w14:paraId="78EFDF6D" w14:textId="1DCE26E8" w:rsidR="002D5F2A" w:rsidRPr="00583625" w:rsidRDefault="002D5F2A" w:rsidP="00A520BF">
                      <w:pPr>
                        <w:spacing w:after="0" w:line="240" w:lineRule="auto"/>
                        <w:jc w:val="both"/>
                        <w:rPr>
                          <w:lang w:val="es-ES"/>
                        </w:rPr>
                      </w:pPr>
                      <w:r w:rsidRPr="00583625">
                        <w:rPr>
                          <w:rFonts w:eastAsia="Arial" w:cs="Arial"/>
                          <w:lang w:val="es-ES"/>
                        </w:rPr>
                        <w:t>Resumen:</w:t>
                      </w:r>
                    </w:p>
                    <w:p w14:paraId="255B4E63" w14:textId="77777777" w:rsidR="002D5F2A" w:rsidRPr="00583625" w:rsidRDefault="002D5F2A" w:rsidP="00A520BF">
                      <w:pPr>
                        <w:spacing w:after="0" w:line="240" w:lineRule="auto"/>
                        <w:jc w:val="both"/>
                        <w:rPr>
                          <w:rFonts w:cs="Arial"/>
                          <w:lang w:val="es-ES"/>
                        </w:rPr>
                      </w:pPr>
                    </w:p>
                    <w:p w14:paraId="05390D28" w14:textId="78BA74E5" w:rsidR="00A520BF" w:rsidRPr="00A520BF" w:rsidRDefault="00A520BF" w:rsidP="00A520BF">
                      <w:pPr>
                        <w:spacing w:after="0" w:line="240" w:lineRule="auto"/>
                        <w:jc w:val="both"/>
                        <w:rPr>
                          <w:rFonts w:cs="Arial"/>
                          <w:lang w:val="es-ES"/>
                        </w:rPr>
                      </w:pPr>
                      <w:r w:rsidRPr="00A520BF">
                        <w:rPr>
                          <w:rFonts w:eastAsia="Times New Roman" w:cs="Arial"/>
                          <w:lang w:val="es-ES"/>
                        </w:rPr>
                        <w:t xml:space="preserve">El Gobierno de Uruguay ha presentado la propuesta adjunta* para la inclusión de </w:t>
                      </w:r>
                      <w:r w:rsidRPr="00A520BF">
                        <w:rPr>
                          <w:rFonts w:eastAsia="Times New Roman" w:cs="Arial"/>
                          <w:i/>
                          <w:lang w:val="es-ES"/>
                        </w:rPr>
                        <w:t>Tringa flavipes</w:t>
                      </w:r>
                      <w:r w:rsidRPr="00A520BF">
                        <w:rPr>
                          <w:rFonts w:eastAsia="Times New Roman" w:cs="Arial"/>
                          <w:lang w:val="es-ES"/>
                        </w:rPr>
                        <w:t xml:space="preserve"> en el Apéndice I de la CMS</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DAC13BA" w14:textId="77777777" w:rsidR="00A520BF" w:rsidRDefault="00A520BF" w:rsidP="00002A97">
      <w:pPr>
        <w:widowControl w:val="0"/>
        <w:suppressAutoHyphens/>
        <w:autoSpaceDE w:val="0"/>
        <w:autoSpaceDN w:val="0"/>
        <w:spacing w:after="0" w:line="240" w:lineRule="auto"/>
        <w:textAlignment w:val="baseline"/>
        <w:rPr>
          <w:rFonts w:eastAsia="Times New Roman" w:cs="Arial"/>
          <w:lang w:val="es-ES" w:eastAsia="es-ES"/>
        </w:rPr>
      </w:pPr>
    </w:p>
    <w:p w14:paraId="059703CE" w14:textId="77777777" w:rsidR="00A520BF" w:rsidRDefault="00A520BF" w:rsidP="00002A97">
      <w:pPr>
        <w:widowControl w:val="0"/>
        <w:suppressAutoHyphens/>
        <w:autoSpaceDE w:val="0"/>
        <w:autoSpaceDN w:val="0"/>
        <w:spacing w:after="0" w:line="240" w:lineRule="auto"/>
        <w:textAlignment w:val="baseline"/>
        <w:rPr>
          <w:rFonts w:eastAsia="Times New Roman" w:cs="Arial"/>
          <w:lang w:val="es-ES" w:eastAsia="es-ES"/>
        </w:rPr>
      </w:pPr>
    </w:p>
    <w:p w14:paraId="10D1232F" w14:textId="77777777" w:rsidR="00A520BF" w:rsidRDefault="00A520BF" w:rsidP="00002A97">
      <w:pPr>
        <w:widowControl w:val="0"/>
        <w:suppressAutoHyphens/>
        <w:autoSpaceDE w:val="0"/>
        <w:autoSpaceDN w:val="0"/>
        <w:spacing w:after="0" w:line="240" w:lineRule="auto"/>
        <w:textAlignment w:val="baseline"/>
        <w:rPr>
          <w:rFonts w:eastAsia="Times New Roman" w:cs="Arial"/>
          <w:lang w:val="es-ES" w:eastAsia="es-ES"/>
        </w:rPr>
      </w:pPr>
    </w:p>
    <w:p w14:paraId="18EC241F" w14:textId="77777777" w:rsidR="00A520BF" w:rsidRDefault="00A520BF" w:rsidP="00002A97">
      <w:pPr>
        <w:widowControl w:val="0"/>
        <w:suppressAutoHyphens/>
        <w:autoSpaceDE w:val="0"/>
        <w:autoSpaceDN w:val="0"/>
        <w:spacing w:after="0" w:line="240" w:lineRule="auto"/>
        <w:textAlignment w:val="baseline"/>
        <w:rPr>
          <w:rFonts w:eastAsia="Times New Roman" w:cs="Arial"/>
          <w:lang w:val="es-ES" w:eastAsia="es-ES"/>
        </w:rPr>
      </w:pPr>
    </w:p>
    <w:p w14:paraId="46D5E817" w14:textId="77777777" w:rsidR="00A520BF" w:rsidRDefault="00A520BF"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5F7E6B1C" w:rsidR="00002A97" w:rsidRDefault="00A520BF" w:rsidP="00A520BF">
      <w:pPr>
        <w:widowControl w:val="0"/>
        <w:suppressAutoHyphens/>
        <w:autoSpaceDE w:val="0"/>
        <w:autoSpaceDN w:val="0"/>
        <w:spacing w:after="0" w:line="240" w:lineRule="auto"/>
        <w:jc w:val="both"/>
        <w:textAlignment w:val="baseline"/>
        <w:rPr>
          <w:rFonts w:eastAsia="Times New Roman" w:cs="Arial"/>
          <w:lang w:val="es-ES" w:eastAsia="es-ES"/>
        </w:rPr>
      </w:pPr>
      <w:r>
        <w:rPr>
          <w:rFonts w:eastAsia="Times New Roman" w:cs="Arial"/>
          <w:sz w:val="18"/>
          <w:szCs w:val="18"/>
          <w:lang w:val="es-ES"/>
        </w:rPr>
        <w:t>*Las designaciones geográficas empleadas en este documento no implican, de parte de la Secretaría de la CMS (o del Programa de las Naciones Unidas para el Programa de Medio Ambiente), juicio alguno sobre la condición jurídica de ningún país, territorio o área, ni sobre la delimitación de su frontera o fronteras. La responsabilidad del contenido del documento recae exclusivamente en su autor.</w:t>
      </w: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45BC4E05" w14:textId="77777777" w:rsidR="00A520BF" w:rsidRDefault="00A520BF" w:rsidP="00A520BF">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90" w:right="-367"/>
        <w:jc w:val="center"/>
        <w:outlineLvl w:val="1"/>
        <w:rPr>
          <w:rFonts w:eastAsia="Times New Roman" w:cs="Arial"/>
          <w:b/>
          <w:bCs/>
          <w:i/>
          <w:lang w:val="es-ES"/>
        </w:rPr>
      </w:pPr>
      <w:r>
        <w:rPr>
          <w:rFonts w:eastAsia="Times New Roman" w:cs="Arial"/>
          <w:b/>
          <w:bCs/>
          <w:lang w:val="es-ES"/>
        </w:rPr>
        <w:lastRenderedPageBreak/>
        <w:t xml:space="preserve">PROPUESTA DE INCLUSIÓN DE </w:t>
      </w:r>
      <w:r>
        <w:rPr>
          <w:rFonts w:eastAsia="Times New Roman" w:cs="Arial"/>
          <w:b/>
          <w:bCs/>
          <w:i/>
          <w:lang w:val="es-ES"/>
        </w:rPr>
        <w:t>Tringa flavipes</w:t>
      </w:r>
    </w:p>
    <w:p w14:paraId="6409F57F" w14:textId="77777777" w:rsidR="00A520BF" w:rsidRPr="004779D9" w:rsidRDefault="00A520BF" w:rsidP="00A520BF">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90" w:right="-367"/>
        <w:jc w:val="center"/>
        <w:outlineLvl w:val="1"/>
        <w:rPr>
          <w:rFonts w:eastAsia="Times New Roman" w:cs="Arial"/>
          <w:b/>
          <w:bCs/>
          <w:caps/>
          <w:lang w:val="es-ES"/>
        </w:rPr>
      </w:pPr>
      <w:r>
        <w:rPr>
          <w:rFonts w:eastAsia="Times New Roman" w:cs="Arial"/>
          <w:b/>
          <w:bCs/>
          <w:lang w:val="es-ES"/>
        </w:rPr>
        <w:t>EN EL APÉNDICE I</w:t>
      </w:r>
      <w:r>
        <w:rPr>
          <w:rFonts w:eastAsia="Times New Roman" w:cs="Arial"/>
          <w:b/>
          <w:bCs/>
          <w:caps/>
          <w:lang w:val="es-ES"/>
        </w:rPr>
        <w:t xml:space="preserve"> DE LA CONVENCIÓN</w:t>
      </w:r>
    </w:p>
    <w:p w14:paraId="6D1C079D" w14:textId="77777777" w:rsidR="00A520BF" w:rsidRDefault="00A520BF" w:rsidP="00A520BF">
      <w:pPr>
        <w:widowControl w:val="0"/>
        <w:autoSpaceDE w:val="0"/>
        <w:spacing w:after="0" w:line="240" w:lineRule="auto"/>
        <w:jc w:val="center"/>
        <w:rPr>
          <w:rFonts w:eastAsia="Times New Roman" w:cs="Arial"/>
          <w:b/>
          <w:lang w:val="es-ES" w:eastAsia="es-ES"/>
        </w:rPr>
      </w:pPr>
    </w:p>
    <w:p w14:paraId="0D55C55C" w14:textId="77777777" w:rsidR="00A520BF" w:rsidRDefault="00A520BF" w:rsidP="00A520BF">
      <w:pPr>
        <w:widowControl w:val="0"/>
        <w:autoSpaceDE w:val="0"/>
        <w:spacing w:after="0" w:line="240" w:lineRule="auto"/>
        <w:jc w:val="center"/>
        <w:rPr>
          <w:rFonts w:eastAsia="Times New Roman" w:cs="Arial"/>
          <w:b/>
          <w:lang w:val="es-ES" w:eastAsia="es-ES"/>
        </w:rPr>
      </w:pPr>
    </w:p>
    <w:p w14:paraId="675D0340" w14:textId="4BB8E88D" w:rsidR="00A520BF" w:rsidRPr="00A520BF" w:rsidRDefault="00A520BF" w:rsidP="00A520BF">
      <w:pPr>
        <w:pStyle w:val="ListParagraph"/>
        <w:numPr>
          <w:ilvl w:val="0"/>
          <w:numId w:val="14"/>
        </w:numPr>
        <w:autoSpaceDE w:val="0"/>
        <w:adjustRightInd w:val="0"/>
        <w:spacing w:after="0" w:line="240" w:lineRule="auto"/>
        <w:ind w:left="540" w:hanging="540"/>
        <w:jc w:val="both"/>
        <w:rPr>
          <w:rFonts w:cs="Arial"/>
          <w:b/>
          <w:bCs/>
          <w:lang w:val="es-419"/>
        </w:rPr>
      </w:pPr>
      <w:r w:rsidRPr="00A520BF">
        <w:rPr>
          <w:rFonts w:cs="Arial"/>
          <w:b/>
          <w:bCs/>
          <w:lang w:val="es-419"/>
        </w:rPr>
        <w:t>PROPUESTA</w:t>
      </w:r>
    </w:p>
    <w:p w14:paraId="43D489D7" w14:textId="77777777" w:rsidR="00A520BF" w:rsidRPr="00A520BF" w:rsidRDefault="00A520BF" w:rsidP="00A520BF">
      <w:pPr>
        <w:autoSpaceDE w:val="0"/>
        <w:adjustRightInd w:val="0"/>
        <w:spacing w:after="0" w:line="240" w:lineRule="auto"/>
        <w:jc w:val="both"/>
        <w:rPr>
          <w:rFonts w:cs="Arial"/>
          <w:b/>
          <w:bCs/>
          <w:lang w:val="es-419"/>
        </w:rPr>
      </w:pPr>
    </w:p>
    <w:p w14:paraId="765299C5" w14:textId="77777777" w:rsidR="00A520BF" w:rsidRPr="00A520BF" w:rsidRDefault="00A520BF" w:rsidP="00A520BF">
      <w:pPr>
        <w:autoSpaceDE w:val="0"/>
        <w:adjustRightInd w:val="0"/>
        <w:spacing w:after="0" w:line="240" w:lineRule="auto"/>
        <w:jc w:val="both"/>
        <w:rPr>
          <w:rFonts w:cs="Arial"/>
          <w:lang w:val="es-ES"/>
        </w:rPr>
      </w:pPr>
      <w:r w:rsidRPr="00A520BF">
        <w:rPr>
          <w:rFonts w:cs="Arial"/>
          <w:lang w:val="es-ES"/>
        </w:rPr>
        <w:t xml:space="preserve">Este documento, que será presentado ante la Convención sobre la Conservación de las Especies Migratorias de Animales Silvestres (CMS), recopila evidencias y propone la inclusión de </w:t>
      </w:r>
      <w:r w:rsidRPr="00A520BF">
        <w:rPr>
          <w:rFonts w:cs="Arial"/>
          <w:i/>
          <w:iCs/>
          <w:lang w:val="es-ES"/>
        </w:rPr>
        <w:t xml:space="preserve">Tringa flavipes </w:t>
      </w:r>
      <w:r w:rsidRPr="00A520BF">
        <w:rPr>
          <w:rFonts w:cs="Arial"/>
          <w:lang w:val="es-ES"/>
        </w:rPr>
        <w:t>en el Apéndice I de la Convención. Esta especie migratoria ha sido recientemente reevaluada por la Lista Roja de Especies Amenazadas de la UICN y actualmente figura como Vulnerable</w:t>
      </w:r>
      <w:r w:rsidRPr="00A520BF">
        <w:rPr>
          <w:rFonts w:cs="Arial"/>
        </w:rPr>
        <w:fldChar w:fldCharType="begin"/>
      </w:r>
      <w:r w:rsidRPr="00A520BF">
        <w:rPr>
          <w:rFonts w:cs="Arial"/>
          <w:lang w:val="es-419"/>
        </w:rPr>
        <w:instrText xml:space="preserve"> ADDIN ZOTERO_ITEM CSL_CITATION {"citationID":"05qQuHU6","properties":{"formattedCitation":"(BirdLife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flavipes","URL":"https://dx.doi.org/10.2305/IUCN.UK.2024- 2.RLTS.T22693235A208218115.en","author":[{"family":"BirdLife International","given":""}],"issued":{"date-parts":[["2024"]]}}}],"schema":"https://github.com/citation-style-language/schema/raw/master/csl-citation.json"} </w:instrText>
      </w:r>
      <w:r w:rsidRPr="00A520BF">
        <w:rPr>
          <w:rFonts w:cs="Arial"/>
        </w:rPr>
        <w:fldChar w:fldCharType="separate"/>
      </w:r>
      <w:r w:rsidRPr="00A520BF">
        <w:rPr>
          <w:rFonts w:cs="Arial"/>
          <w:lang w:val="es-ES"/>
        </w:rPr>
        <w:t xml:space="preserve"> (BirdLife International 2024a)</w:t>
      </w:r>
      <w:r w:rsidRPr="00A520BF">
        <w:rPr>
          <w:rFonts w:cs="Arial"/>
        </w:rPr>
        <w:fldChar w:fldCharType="end"/>
      </w:r>
      <w:r w:rsidRPr="00A520BF">
        <w:rPr>
          <w:rFonts w:cs="Arial"/>
          <w:lang w:val="es-ES"/>
        </w:rPr>
        <w:t>.</w:t>
      </w:r>
    </w:p>
    <w:p w14:paraId="4B9F0FC3" w14:textId="77777777" w:rsidR="00A520BF" w:rsidRPr="00A520BF" w:rsidRDefault="00A520BF" w:rsidP="00A520BF">
      <w:pPr>
        <w:autoSpaceDE w:val="0"/>
        <w:adjustRightInd w:val="0"/>
        <w:spacing w:after="0" w:line="240" w:lineRule="auto"/>
        <w:jc w:val="both"/>
        <w:rPr>
          <w:rFonts w:cs="Arial"/>
          <w:lang w:val="es-419"/>
        </w:rPr>
      </w:pPr>
    </w:p>
    <w:p w14:paraId="59E20D81" w14:textId="05092A0E" w:rsidR="00A520BF" w:rsidRPr="00A520BF" w:rsidRDefault="00A520BF" w:rsidP="00A520BF">
      <w:pPr>
        <w:autoSpaceDE w:val="0"/>
        <w:adjustRightInd w:val="0"/>
        <w:spacing w:after="0" w:line="240" w:lineRule="auto"/>
        <w:jc w:val="both"/>
        <w:rPr>
          <w:rFonts w:cs="Arial"/>
          <w:lang w:val="es-419"/>
        </w:rPr>
      </w:pPr>
      <w:r w:rsidRPr="00A520BF">
        <w:rPr>
          <w:rFonts w:cs="Arial"/>
          <w:lang w:val="es-419"/>
        </w:rPr>
        <w:t xml:space="preserve">Las poblaciones de </w:t>
      </w:r>
      <w:r w:rsidRPr="00A520BF">
        <w:rPr>
          <w:rFonts w:cs="Arial"/>
          <w:i/>
          <w:iCs/>
          <w:lang w:val="es-419"/>
        </w:rPr>
        <w:t>Tringa flavipes</w:t>
      </w:r>
      <w:r w:rsidRPr="00A520BF">
        <w:rPr>
          <w:rFonts w:cs="Arial"/>
          <w:lang w:val="es-419"/>
        </w:rPr>
        <w:t xml:space="preserve"> se extienden desde América del Norte hasta América del Sur, abarcando más de 50 territorios, de los cuales 32 son partes contratantes de la Convención. Si se incluye en el Apéndice I, todas las poblaciones de esta especie podrían beneficiarse de la coordinación internacional que proporciona la CMS. La Convención puede proporcionar una base jurídica para la protección internacional de la especie, así como establecer objetivos y obligaciones colectivas para que las partes contratantes aúnen sus fuerzas en la protección de esta especie.</w:t>
      </w:r>
    </w:p>
    <w:p w14:paraId="0118B52C" w14:textId="77777777" w:rsidR="00A520BF" w:rsidRPr="00A520BF" w:rsidRDefault="00A520BF" w:rsidP="00A520BF">
      <w:pPr>
        <w:autoSpaceDE w:val="0"/>
        <w:adjustRightInd w:val="0"/>
        <w:spacing w:after="0" w:line="240" w:lineRule="auto"/>
        <w:jc w:val="both"/>
        <w:rPr>
          <w:rFonts w:cs="Arial"/>
          <w:lang w:val="es-ES"/>
        </w:rPr>
      </w:pPr>
    </w:p>
    <w:p w14:paraId="502D0047" w14:textId="52507115" w:rsidR="00A520BF" w:rsidRPr="00A520BF" w:rsidRDefault="00A520BF" w:rsidP="00A520BF">
      <w:pPr>
        <w:pStyle w:val="ListParagraph"/>
        <w:keepNext/>
        <w:numPr>
          <w:ilvl w:val="0"/>
          <w:numId w:val="14"/>
        </w:numPr>
        <w:autoSpaceDE w:val="0"/>
        <w:adjustRightInd w:val="0"/>
        <w:spacing w:after="0" w:line="240" w:lineRule="auto"/>
        <w:ind w:left="540" w:hanging="540"/>
        <w:jc w:val="both"/>
        <w:rPr>
          <w:rFonts w:cs="Arial"/>
          <w:b/>
          <w:bCs/>
          <w:lang w:val="es-419"/>
        </w:rPr>
      </w:pPr>
      <w:r w:rsidRPr="00A520BF">
        <w:rPr>
          <w:rFonts w:cs="Arial"/>
          <w:b/>
          <w:bCs/>
          <w:lang w:val="es-419"/>
        </w:rPr>
        <w:t>PROPONENTE</w:t>
      </w:r>
    </w:p>
    <w:p w14:paraId="291D2B13" w14:textId="77777777" w:rsidR="00A520BF" w:rsidRPr="00A520BF" w:rsidRDefault="00A520BF" w:rsidP="00A520BF">
      <w:pPr>
        <w:autoSpaceDE w:val="0"/>
        <w:adjustRightInd w:val="0"/>
        <w:spacing w:after="0" w:line="240" w:lineRule="auto"/>
        <w:jc w:val="both"/>
        <w:rPr>
          <w:rFonts w:cs="Arial"/>
          <w:lang w:val="es-419"/>
        </w:rPr>
      </w:pPr>
    </w:p>
    <w:p w14:paraId="69708BA4" w14:textId="39D12FA2" w:rsidR="00A520BF" w:rsidRPr="00A520BF" w:rsidRDefault="00A520BF" w:rsidP="00A520BF">
      <w:pPr>
        <w:autoSpaceDE w:val="0"/>
        <w:adjustRightInd w:val="0"/>
        <w:spacing w:after="0" w:line="240" w:lineRule="auto"/>
        <w:jc w:val="both"/>
        <w:rPr>
          <w:rFonts w:cs="Arial"/>
          <w:lang w:val="es-419"/>
        </w:rPr>
      </w:pPr>
      <w:r w:rsidRPr="00A520BF">
        <w:rPr>
          <w:rFonts w:cs="Arial"/>
          <w:lang w:val="es-419"/>
        </w:rPr>
        <w:t>República Oriental del Uruguay</w:t>
      </w:r>
    </w:p>
    <w:p w14:paraId="29593E6C" w14:textId="77777777" w:rsidR="00A520BF" w:rsidRPr="00A520BF" w:rsidRDefault="00A520BF" w:rsidP="00A520BF">
      <w:pPr>
        <w:autoSpaceDE w:val="0"/>
        <w:adjustRightInd w:val="0"/>
        <w:spacing w:after="0" w:line="240" w:lineRule="auto"/>
        <w:jc w:val="both"/>
        <w:rPr>
          <w:rFonts w:cs="Arial"/>
          <w:lang w:val="es-419"/>
        </w:rPr>
      </w:pPr>
    </w:p>
    <w:p w14:paraId="1DAA0958" w14:textId="3AFC6DEF" w:rsidR="00A520BF" w:rsidRPr="00A520BF" w:rsidRDefault="00A520BF" w:rsidP="00A520BF">
      <w:pPr>
        <w:pStyle w:val="ListParagraph"/>
        <w:keepNext/>
        <w:numPr>
          <w:ilvl w:val="0"/>
          <w:numId w:val="14"/>
        </w:numPr>
        <w:autoSpaceDE w:val="0"/>
        <w:adjustRightInd w:val="0"/>
        <w:spacing w:after="0" w:line="240" w:lineRule="auto"/>
        <w:ind w:left="540" w:hanging="540"/>
        <w:jc w:val="both"/>
        <w:rPr>
          <w:rFonts w:cs="Arial"/>
          <w:b/>
          <w:bCs/>
          <w:lang w:val="es-419"/>
        </w:rPr>
      </w:pPr>
      <w:r w:rsidRPr="00A520BF">
        <w:rPr>
          <w:rFonts w:cs="Arial"/>
          <w:b/>
          <w:bCs/>
          <w:lang w:val="es-419"/>
        </w:rPr>
        <w:t>FUNDAMENTACIÓN DE LA PROPUESTA</w:t>
      </w:r>
    </w:p>
    <w:p w14:paraId="5792EF8A" w14:textId="77777777" w:rsidR="00A520BF" w:rsidRPr="00A520BF" w:rsidRDefault="00A520BF" w:rsidP="00A520BF">
      <w:pPr>
        <w:keepNext/>
        <w:autoSpaceDE w:val="0"/>
        <w:adjustRightInd w:val="0"/>
        <w:spacing w:after="0" w:line="240" w:lineRule="auto"/>
        <w:jc w:val="both"/>
        <w:rPr>
          <w:rFonts w:cs="Arial"/>
          <w:b/>
          <w:bCs/>
          <w:lang w:val="es-419"/>
        </w:rPr>
      </w:pPr>
    </w:p>
    <w:p w14:paraId="1F3524A0" w14:textId="77777777" w:rsidR="00A520BF" w:rsidRPr="00A520BF" w:rsidRDefault="00A520BF" w:rsidP="00A520BF">
      <w:pPr>
        <w:keepNext/>
        <w:autoSpaceDE w:val="0"/>
        <w:adjustRightInd w:val="0"/>
        <w:spacing w:after="0" w:line="240" w:lineRule="auto"/>
        <w:jc w:val="both"/>
        <w:rPr>
          <w:rFonts w:cs="Arial"/>
          <w:b/>
          <w:bCs/>
          <w:lang w:val="es-419"/>
        </w:rPr>
      </w:pPr>
      <w:r w:rsidRPr="00A520BF">
        <w:rPr>
          <w:rFonts w:cs="Arial"/>
          <w:b/>
          <w:bCs/>
          <w:lang w:val="es-419"/>
        </w:rPr>
        <w:t>1. Taxonomía</w:t>
      </w:r>
    </w:p>
    <w:p w14:paraId="54CAD5AE" w14:textId="77777777" w:rsidR="00A520BF" w:rsidRPr="00A520BF" w:rsidRDefault="00A520BF" w:rsidP="00A520BF">
      <w:pPr>
        <w:keepNext/>
        <w:autoSpaceDE w:val="0"/>
        <w:adjustRightInd w:val="0"/>
        <w:spacing w:after="80" w:line="240" w:lineRule="auto"/>
        <w:jc w:val="both"/>
        <w:rPr>
          <w:rFonts w:cs="Arial"/>
          <w:lang w:val="es-419"/>
        </w:rPr>
      </w:pPr>
      <w:r w:rsidRPr="00A520BF">
        <w:rPr>
          <w:rFonts w:cs="Arial"/>
          <w:lang w:val="es-419"/>
        </w:rPr>
        <w:tab/>
        <w:t>1.1 Clase: Aves.</w:t>
      </w:r>
    </w:p>
    <w:p w14:paraId="7F921B7B" w14:textId="77777777" w:rsidR="00A520BF" w:rsidRPr="00A520BF" w:rsidRDefault="00A520BF" w:rsidP="00A520BF">
      <w:pPr>
        <w:autoSpaceDE w:val="0"/>
        <w:adjustRightInd w:val="0"/>
        <w:spacing w:after="80" w:line="240" w:lineRule="auto"/>
        <w:jc w:val="both"/>
        <w:rPr>
          <w:rFonts w:cs="Arial"/>
          <w:lang w:val="es-419"/>
        </w:rPr>
      </w:pPr>
      <w:r w:rsidRPr="00A520BF">
        <w:rPr>
          <w:rFonts w:cs="Arial"/>
          <w:lang w:val="es-419"/>
        </w:rPr>
        <w:tab/>
        <w:t>1.2 Orden: Charadriiformes.</w:t>
      </w:r>
    </w:p>
    <w:p w14:paraId="4E62CA51" w14:textId="77777777" w:rsidR="00A520BF" w:rsidRPr="00A520BF" w:rsidRDefault="00A520BF" w:rsidP="00A520BF">
      <w:pPr>
        <w:autoSpaceDE w:val="0"/>
        <w:adjustRightInd w:val="0"/>
        <w:spacing w:after="80" w:line="240" w:lineRule="auto"/>
        <w:jc w:val="both"/>
        <w:rPr>
          <w:rFonts w:cs="Arial"/>
          <w:lang w:val="pt-BR"/>
        </w:rPr>
      </w:pPr>
      <w:r w:rsidRPr="00A520BF">
        <w:rPr>
          <w:rFonts w:cs="Arial"/>
          <w:lang w:val="es-419"/>
        </w:rPr>
        <w:tab/>
      </w:r>
      <w:r w:rsidRPr="00A520BF">
        <w:rPr>
          <w:rFonts w:cs="Arial"/>
          <w:lang w:val="pt-BR"/>
        </w:rPr>
        <w:t>1.3 Familia: Scolopacidae.</w:t>
      </w:r>
    </w:p>
    <w:p w14:paraId="57A839AE" w14:textId="77777777" w:rsidR="00A520BF" w:rsidRPr="00A520BF" w:rsidRDefault="00A520BF" w:rsidP="00A520BF">
      <w:pPr>
        <w:autoSpaceDE w:val="0"/>
        <w:adjustRightInd w:val="0"/>
        <w:spacing w:after="80" w:line="240" w:lineRule="auto"/>
        <w:jc w:val="both"/>
        <w:rPr>
          <w:rFonts w:cs="Arial"/>
          <w:lang w:val="pt-BR"/>
        </w:rPr>
      </w:pPr>
      <w:r w:rsidRPr="00A520BF">
        <w:rPr>
          <w:rFonts w:cs="Arial"/>
          <w:lang w:val="pt-BR"/>
        </w:rPr>
        <w:tab/>
        <w:t xml:space="preserve">1.4 Género, especie o subespecie: </w:t>
      </w:r>
      <w:r w:rsidRPr="00A520BF">
        <w:rPr>
          <w:rFonts w:cs="Arial"/>
          <w:i/>
          <w:iCs/>
          <w:lang w:val="pt-BR"/>
        </w:rPr>
        <w:t xml:space="preserve">Tringa flavipes </w:t>
      </w:r>
      <w:r w:rsidRPr="00A520BF">
        <w:rPr>
          <w:rFonts w:cs="Arial"/>
          <w:lang w:val="pt-BR"/>
        </w:rPr>
        <w:t>(Gmelin, 1789).</w:t>
      </w:r>
    </w:p>
    <w:p w14:paraId="4AB30818" w14:textId="77777777" w:rsidR="00A520BF" w:rsidRPr="00A520BF" w:rsidRDefault="00A520BF" w:rsidP="00A520BF">
      <w:pPr>
        <w:autoSpaceDE w:val="0"/>
        <w:adjustRightInd w:val="0"/>
        <w:spacing w:after="80" w:line="240" w:lineRule="auto"/>
        <w:ind w:left="720"/>
        <w:jc w:val="both"/>
        <w:rPr>
          <w:rFonts w:cs="Arial"/>
          <w:lang w:val="es-419"/>
        </w:rPr>
      </w:pPr>
      <w:r w:rsidRPr="00A520BF">
        <w:rPr>
          <w:rFonts w:cs="Arial"/>
          <w:lang w:val="es-419"/>
        </w:rPr>
        <w:t xml:space="preserve">1.5 Sinónimos científicos: No hay sinónimos científicos actuales, solo dos obsoletos: </w:t>
      </w:r>
      <w:r w:rsidRPr="00A520BF">
        <w:rPr>
          <w:rFonts w:cs="Arial"/>
          <w:i/>
          <w:iCs/>
          <w:lang w:val="es-419"/>
        </w:rPr>
        <w:t xml:space="preserve">Totanus fuscocapillus </w:t>
      </w:r>
      <w:r w:rsidRPr="00A520BF">
        <w:rPr>
          <w:rFonts w:cs="Arial"/>
          <w:lang w:val="es-419"/>
        </w:rPr>
        <w:t xml:space="preserve">y </w:t>
      </w:r>
      <w:r w:rsidRPr="00A520BF">
        <w:rPr>
          <w:rFonts w:cs="Arial"/>
          <w:i/>
          <w:iCs/>
          <w:lang w:val="es-419"/>
        </w:rPr>
        <w:t>Scolopax flavipes</w:t>
      </w:r>
      <w:r w:rsidRPr="00A520BF">
        <w:rPr>
          <w:rFonts w:cs="Arial"/>
          <w:lang w:val="es-419"/>
        </w:rPr>
        <w:t>.</w:t>
      </w:r>
    </w:p>
    <w:p w14:paraId="2CC5EE85" w14:textId="77777777" w:rsidR="00A520BF" w:rsidRPr="00A520BF" w:rsidRDefault="00A520BF" w:rsidP="00A520BF">
      <w:pPr>
        <w:autoSpaceDE w:val="0"/>
        <w:adjustRightInd w:val="0"/>
        <w:spacing w:after="0" w:line="240" w:lineRule="auto"/>
        <w:ind w:left="720"/>
        <w:jc w:val="both"/>
        <w:rPr>
          <w:rFonts w:cs="Arial"/>
          <w:lang w:val="fr-FR"/>
        </w:rPr>
      </w:pPr>
      <w:r w:rsidRPr="00A520BF">
        <w:rPr>
          <w:rFonts w:cs="Arial"/>
          <w:lang w:val="fr-FR"/>
        </w:rPr>
        <w:t xml:space="preserve">1.6 Nombres comunes: </w:t>
      </w:r>
    </w:p>
    <w:p w14:paraId="405C2787" w14:textId="77777777" w:rsidR="00A520BF" w:rsidRPr="00A520BF" w:rsidRDefault="00A520BF" w:rsidP="00A520BF">
      <w:pPr>
        <w:autoSpaceDE w:val="0"/>
        <w:adjustRightInd w:val="0"/>
        <w:spacing w:after="0" w:line="240" w:lineRule="auto"/>
        <w:ind w:left="720" w:firstLine="720"/>
        <w:jc w:val="both"/>
        <w:rPr>
          <w:rFonts w:cs="Arial"/>
          <w:lang w:val="fr-FR"/>
        </w:rPr>
      </w:pPr>
      <w:r w:rsidRPr="00A520BF">
        <w:rPr>
          <w:rFonts w:cs="Arial"/>
          <w:lang w:val="fr-FR"/>
        </w:rPr>
        <w:t>Inglés: Lesser yellowlegs, Long leg.</w:t>
      </w:r>
    </w:p>
    <w:p w14:paraId="2A653D43" w14:textId="77777777" w:rsidR="00A520BF" w:rsidRPr="00A520BF" w:rsidRDefault="00A520BF" w:rsidP="00A520BF">
      <w:pPr>
        <w:autoSpaceDE w:val="0"/>
        <w:adjustRightInd w:val="0"/>
        <w:spacing w:after="0" w:line="240" w:lineRule="auto"/>
        <w:ind w:left="720" w:firstLine="720"/>
        <w:jc w:val="both"/>
        <w:rPr>
          <w:rFonts w:cs="Arial"/>
          <w:lang w:val="fr-FR"/>
        </w:rPr>
      </w:pPr>
      <w:r w:rsidRPr="00A520BF">
        <w:rPr>
          <w:rFonts w:cs="Arial"/>
          <w:lang w:val="fr-FR"/>
        </w:rPr>
        <w:t>Francés: Petit Chevalier, Pattes jaunes.</w:t>
      </w:r>
    </w:p>
    <w:p w14:paraId="08EBF74E" w14:textId="77777777" w:rsidR="00A520BF" w:rsidRPr="00A520BF" w:rsidRDefault="00A520BF" w:rsidP="00A520BF">
      <w:pPr>
        <w:autoSpaceDE w:val="0"/>
        <w:adjustRightInd w:val="0"/>
        <w:spacing w:after="0" w:line="240" w:lineRule="auto"/>
        <w:ind w:left="720" w:firstLine="720"/>
        <w:jc w:val="both"/>
        <w:rPr>
          <w:rFonts w:cs="Arial"/>
          <w:lang w:val="es-ES"/>
        </w:rPr>
      </w:pPr>
      <w:r w:rsidRPr="00A520BF">
        <w:rPr>
          <w:rFonts w:cs="Arial"/>
          <w:lang w:val="es-ES"/>
        </w:rPr>
        <w:t>Español: Pata Amarilla Menor.</w:t>
      </w:r>
    </w:p>
    <w:p w14:paraId="5F7B1525" w14:textId="77777777" w:rsidR="00A520BF" w:rsidRPr="00A520BF" w:rsidRDefault="00A520BF" w:rsidP="00A520BF">
      <w:pPr>
        <w:autoSpaceDE w:val="0"/>
        <w:adjustRightInd w:val="0"/>
        <w:spacing w:after="0" w:line="240" w:lineRule="auto"/>
        <w:ind w:left="720" w:firstLine="720"/>
        <w:jc w:val="both"/>
        <w:rPr>
          <w:rFonts w:cs="Arial"/>
          <w:lang w:val="es-ES"/>
        </w:rPr>
      </w:pPr>
      <w:r w:rsidRPr="00A520BF">
        <w:rPr>
          <w:rFonts w:cs="Arial"/>
          <w:lang w:val="es-ES"/>
        </w:rPr>
        <w:t>Portugués: Maçarico-de-perna-amarela.</w:t>
      </w:r>
    </w:p>
    <w:p w14:paraId="0FE713EC" w14:textId="77777777" w:rsidR="00A520BF" w:rsidRPr="00A520BF" w:rsidRDefault="00A520BF" w:rsidP="00A520BF">
      <w:pPr>
        <w:autoSpaceDE w:val="0"/>
        <w:adjustRightInd w:val="0"/>
        <w:spacing w:after="0" w:line="240" w:lineRule="auto"/>
        <w:jc w:val="both"/>
        <w:rPr>
          <w:rFonts w:cs="Arial"/>
          <w:lang w:val="es-ES"/>
        </w:rPr>
      </w:pPr>
    </w:p>
    <w:p w14:paraId="2EF3F24B" w14:textId="77777777" w:rsidR="00A520BF" w:rsidRPr="00A520BF" w:rsidRDefault="00A520BF" w:rsidP="00A520BF">
      <w:pPr>
        <w:keepNext/>
        <w:autoSpaceDE w:val="0"/>
        <w:adjustRightInd w:val="0"/>
        <w:spacing w:after="0" w:line="240" w:lineRule="auto"/>
        <w:jc w:val="both"/>
        <w:rPr>
          <w:rFonts w:cs="Arial"/>
          <w:b/>
          <w:bCs/>
          <w:lang w:val="es-419"/>
        </w:rPr>
      </w:pPr>
      <w:r w:rsidRPr="00A520BF">
        <w:rPr>
          <w:rFonts w:cs="Arial"/>
          <w:b/>
          <w:bCs/>
          <w:lang w:val="es-419"/>
        </w:rPr>
        <w:t>2. Descripción general</w:t>
      </w:r>
    </w:p>
    <w:p w14:paraId="0CF73F26" w14:textId="77777777" w:rsidR="00A520BF" w:rsidRPr="00A520BF" w:rsidRDefault="00A520BF" w:rsidP="00A520BF">
      <w:pPr>
        <w:spacing w:after="0" w:line="240" w:lineRule="auto"/>
        <w:jc w:val="both"/>
        <w:rPr>
          <w:rFonts w:cs="Arial"/>
          <w:lang w:val="es-ES"/>
        </w:rPr>
      </w:pPr>
    </w:p>
    <w:p w14:paraId="5FA2EB81" w14:textId="281D73FB" w:rsidR="00A520BF" w:rsidRPr="00A520BF" w:rsidRDefault="00A520BF" w:rsidP="00A520BF">
      <w:pPr>
        <w:spacing w:after="0" w:line="240" w:lineRule="auto"/>
        <w:jc w:val="both"/>
        <w:rPr>
          <w:rFonts w:cs="Arial"/>
          <w:lang w:val="es-ES"/>
        </w:rPr>
      </w:pPr>
      <w:r w:rsidRPr="00A520BF">
        <w:rPr>
          <w:rFonts w:cs="Arial"/>
          <w:lang w:val="es-ES"/>
        </w:rPr>
        <w:t>El pata amarilla menor (</w:t>
      </w:r>
      <w:r w:rsidRPr="00A520BF">
        <w:rPr>
          <w:rFonts w:cs="Arial"/>
          <w:i/>
          <w:iCs/>
          <w:lang w:val="es-ES"/>
        </w:rPr>
        <w:t xml:space="preserve">Tringa flavipes </w:t>
      </w:r>
      <w:r w:rsidRPr="00A520BF">
        <w:rPr>
          <w:rFonts w:cs="Arial"/>
          <w:lang w:val="es-ES"/>
        </w:rPr>
        <w:t>Gmelin, 1789) es un ave playera migratoria de larga distancia de la familia Scolopacidae. Esta especie se reproduce en bosques boreales abiertos y semiabiertos de Alaska y Canadá, y pasa la temporada no reproductiva en el sur de Estados Unidos, México, América Central y América del Sur. La mayor concentración observada fuera de la temporada de cría se presenta en la Pampa argentina. Durante la migración, la especie depende de diversos hábitats de humedales en la ruta migratoria Mid-continental y la del Atlántico, por lo que está presente en más de 50 territorios diferentes. Las poblaciones de esta especie han disminuido en aproximadamente un 60 % en las últimas tres generaciones, figurando como Vulnerable en la Lista Roja de Especies Amenazadas de la UICN de 2024. Las principales amenazas identificadas para esta especie son la pérdida de hábitat debido a la agricultura y al cambio climático, así como la contaminación y la cacería, especialmente durante la migración y la temporada no reproductiva en el Caribe.</w:t>
      </w:r>
    </w:p>
    <w:p w14:paraId="08319FEA" w14:textId="77777777" w:rsidR="00A520BF" w:rsidRPr="00A520BF" w:rsidRDefault="00A520BF" w:rsidP="00A520BF">
      <w:pPr>
        <w:autoSpaceDE w:val="0"/>
        <w:adjustRightInd w:val="0"/>
        <w:spacing w:after="0" w:line="240" w:lineRule="auto"/>
        <w:jc w:val="both"/>
        <w:rPr>
          <w:rFonts w:cs="Arial"/>
          <w:lang w:val="es-419"/>
        </w:rPr>
      </w:pPr>
    </w:p>
    <w:p w14:paraId="72D084A2" w14:textId="77777777" w:rsidR="00A520BF" w:rsidRPr="00A520BF" w:rsidRDefault="00A520BF" w:rsidP="00A520BF">
      <w:pPr>
        <w:keepNext/>
        <w:autoSpaceDE w:val="0"/>
        <w:adjustRightInd w:val="0"/>
        <w:spacing w:after="0" w:line="240" w:lineRule="auto"/>
        <w:jc w:val="both"/>
        <w:rPr>
          <w:rFonts w:cs="Arial"/>
          <w:b/>
          <w:bCs/>
          <w:lang w:val="es-419"/>
        </w:rPr>
      </w:pPr>
      <w:r w:rsidRPr="00A520BF">
        <w:rPr>
          <w:rFonts w:cs="Arial"/>
          <w:b/>
          <w:bCs/>
          <w:lang w:val="es-419"/>
        </w:rPr>
        <w:t>3. Migraciones</w:t>
      </w:r>
    </w:p>
    <w:p w14:paraId="6758E1F1" w14:textId="77777777" w:rsidR="00A520BF" w:rsidRPr="00A520BF" w:rsidRDefault="00A520BF" w:rsidP="00A520BF">
      <w:pPr>
        <w:keepNext/>
        <w:autoSpaceDE w:val="0"/>
        <w:adjustRightInd w:val="0"/>
        <w:spacing w:after="0" w:line="240" w:lineRule="auto"/>
        <w:jc w:val="both"/>
        <w:rPr>
          <w:rFonts w:cs="Arial"/>
          <w:lang w:val="es-419"/>
        </w:rPr>
      </w:pPr>
    </w:p>
    <w:p w14:paraId="447D36A2" w14:textId="043E5BEA"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3.1 </w:t>
      </w:r>
      <w:r w:rsidRPr="00A520BF">
        <w:rPr>
          <w:rFonts w:cs="Arial"/>
          <w:u w:val="single"/>
          <w:lang w:val="es-419"/>
        </w:rPr>
        <w:t>Tipos de movimiento, distancia, naturaleza cíclica y predecible de la migración</w:t>
      </w:r>
    </w:p>
    <w:p w14:paraId="674EFA21" w14:textId="77777777" w:rsidR="00A520BF" w:rsidRPr="00A520BF" w:rsidRDefault="00A520BF" w:rsidP="00A520BF">
      <w:pPr>
        <w:autoSpaceDE w:val="0"/>
        <w:adjustRightInd w:val="0"/>
        <w:spacing w:after="0" w:line="240" w:lineRule="auto"/>
        <w:jc w:val="both"/>
        <w:rPr>
          <w:rFonts w:cs="Arial"/>
          <w:lang w:val="es-ES"/>
        </w:rPr>
      </w:pPr>
    </w:p>
    <w:p w14:paraId="12A5C164" w14:textId="57E0D4C2" w:rsidR="00A520BF" w:rsidRPr="00A520BF" w:rsidRDefault="00A520BF" w:rsidP="00A520BF">
      <w:pPr>
        <w:autoSpaceDE w:val="0"/>
        <w:adjustRightInd w:val="0"/>
        <w:spacing w:after="0" w:line="240" w:lineRule="auto"/>
        <w:jc w:val="both"/>
        <w:rPr>
          <w:rFonts w:cs="Arial"/>
          <w:lang w:val="es-ES"/>
        </w:rPr>
      </w:pPr>
      <w:r w:rsidRPr="00A520BF">
        <w:rPr>
          <w:rFonts w:cs="Arial"/>
          <w:lang w:val="es-ES"/>
        </w:rPr>
        <w:t>El pata amarilla menor (</w:t>
      </w:r>
      <w:r w:rsidRPr="00A520BF">
        <w:rPr>
          <w:rFonts w:cs="Arial"/>
          <w:i/>
          <w:iCs/>
          <w:lang w:val="es-ES"/>
        </w:rPr>
        <w:t>Tringa flavipes)</w:t>
      </w:r>
      <w:r w:rsidRPr="00A520BF">
        <w:rPr>
          <w:rFonts w:cs="Arial"/>
          <w:lang w:val="es-ES"/>
        </w:rPr>
        <w:t xml:space="preserve"> es un ave playera migratoria de larga distancia que realiza una migración cíclica entre las zonas de reproducción y las zonas no reproductivas cada año. De febrero a mayo, abandonan las zonas no reproductivas en América del Sur/Central y el sur de América del Norte para migrar a sus zonas de reproducción en Canadá y Alaska. La migración hacia el sur, de regreso a las zonas de no reproducción, suele tener lugar desde finales de junio hasta octubre</w:t>
      </w:r>
      <w:r w:rsidRPr="00A520BF">
        <w:rPr>
          <w:rFonts w:cs="Arial"/>
        </w:rPr>
        <w:fldChar w:fldCharType="begin"/>
      </w:r>
      <w:r w:rsidRPr="00A520BF">
        <w:rPr>
          <w:rFonts w:cs="Arial"/>
          <w:lang w:val="es-419"/>
        </w:rPr>
        <w:instrText xml:space="preserve"> ADDIN ZOTERO_ITEM CSL_CITATION {"citationID":"5NHiKkFq","properties":{"formattedCitation":"(McDuffie et al. 2022b)","plainCitation":"(McDuffie et al. 2022b)","noteIndex":0},"citationItems":[{"id":1342,"uris":["http://zotero.org/users/11283305/items/3AI3VCMY"],"itemData":{"id":1342,"type":"article-journal","abstract":"Many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A."}],"issued":{"date-parts":[["2022"]]}}}],"schema":"https://github.com/citation-style-language/schema/raw/master/csl-citation.json"} </w:instrText>
      </w:r>
      <w:r w:rsidRPr="00A520BF">
        <w:rPr>
          <w:rFonts w:cs="Arial"/>
        </w:rPr>
        <w:fldChar w:fldCharType="separate"/>
      </w:r>
      <w:r w:rsidRPr="00A520BF">
        <w:rPr>
          <w:rFonts w:cs="Arial"/>
          <w:noProof/>
          <w:lang w:val="es-ES"/>
        </w:rPr>
        <w:t xml:space="preserve"> (McDuffie </w:t>
      </w:r>
      <w:r w:rsidRPr="00A520BF">
        <w:rPr>
          <w:rFonts w:cs="Arial"/>
          <w:i/>
          <w:iCs/>
          <w:noProof/>
          <w:lang w:val="es-ES"/>
        </w:rPr>
        <w:t>et al</w:t>
      </w:r>
      <w:r w:rsidRPr="00A520BF">
        <w:rPr>
          <w:rFonts w:cs="Arial"/>
          <w:noProof/>
          <w:lang w:val="es-ES"/>
        </w:rPr>
        <w:t>. 2022b)</w:t>
      </w:r>
      <w:r w:rsidRPr="00A520BF">
        <w:rPr>
          <w:rFonts w:cs="Arial"/>
        </w:rPr>
        <w:fldChar w:fldCharType="end"/>
      </w:r>
      <w:r w:rsidRPr="00A520BF">
        <w:rPr>
          <w:rFonts w:cs="Arial"/>
          <w:lang w:val="es-ES"/>
        </w:rPr>
        <w:t>. Durante la migración, dependen de los humedales costeros y continentales de toda América, utilizando las rutas migratorias Mid-continental y del Atlántico</w:t>
      </w:r>
      <w:r w:rsidRPr="00A520BF">
        <w:rPr>
          <w:rFonts w:cs="Arial"/>
        </w:rPr>
        <w:fldChar w:fldCharType="begin"/>
      </w:r>
      <w:r w:rsidRPr="00A520BF">
        <w:rPr>
          <w:rFonts w:cs="Arial"/>
          <w:lang w:val="es-419"/>
        </w:rPr>
        <w:instrText xml:space="preserve"> ADDIN ZOTERO_ITEM CSL_CITATION {"citationID":"QgEAARTE","properties":{"formattedCitation":"(McDuffie et al. 2022b; Linscott et al. 2024)","plainCitation":"(McDuffie et al. 2022b; Linscott et al. 2024)","noteIndex":0},"citationItems":[{"id":173,"uris":["http://zotero.org/users/11283305/items/9JDBT8HB"],"itemData":{"id":173,"type":"article-journal","abstract":"Identifying the migration routes and stopover sites used by declining species is critical for developing targeted conservation actions. Long-distance migratory shorebirds are among the groups of birds declining most rapidly, yet we frequently lack detailed knowledge about the routes and stopover sites they use during their hemisphere-spanning migrations. This is especially true for species that migrate through mid-continental regions in the Western Hemisphere. We therefore used satellite transmitters to track 212 individuals of 6 shorebird species during their southward migrations—Pluvialis dominica (American Golden-Plover), Limosa haemastica (Hudsonian Godwit), Tringa flavipes (Lesser Yellowlegs), Calidris subruficollis (Buff-breasted Sandpiper), C. melanotos (Pectoral Sandpiper), and Bartramia longicauda (Upland Sandpiper)—as they crossed the Amazon Basin of South America, a region from which reports of shorebird numbers are increasing but remain relatively rare. Our results make clear that the Amazon Basin provides stopover habitat for a large number of shorebirds: more than 74% of individuals tracked crossing the Amazon Basin stopped over in the region for an average of 2–14 days, with some spending the entire nonbreeding season there. All species selected stopover sites along the region’s many rivers and lakes, while within stopover sites each species exhibited distinct habitat preferences. The timing of stopovers within sub-basins of the Amazon Basin also coincided with periods of low water, when the muddy, shallow water habitats preferred by most shorebirds are likely plentiful. Together, our results highlight the need for detailed investigations into shorebird abundance and distribution within the Amazon Basin, threats to shorebirds within particular subbasins, and links between shorebird conservation efforts and those targeting the myriad other species that inhabit this dynamic, hyper-diverse region.• Long-distance migratory shorebirds are declining worldwide. For many of these species, we lack essential information about their habitats throughout the year, including the stopover sites they use during migration.• In the Western Hemisphere, information is particularly lacking for the midcontinent of South America, a region that several shorebird species may cross during their southward migrations.• We examine satellite tracking data from 6 shorebird species to show that stops in the Amazon Basin are surprisingly common, occurring in more than 74% of southward migratory tracks.• Shorebirds selected stopover sites along rivers and lakes and exhibited distinct local-scale habitat preferences. These results highlight the need for detailed investigations into shorebird abundance and stopover site characteristics within the Amazon Basin, as well as potential links to broader conservation efforts.","container-title":"Ornithological Applications","DOI":"10.1093/ornithapp/duae034","ISSN":"0010-5422","journalAbbreviation":"Ornithological Applications","page":"duae034","source":"Silverchair","title":"The Amazon Basin’s rivers and lakes support Nearctic-breeding shorebirds during southward migration","author":[{"family":"Linscott","given":"Jennifer A"},{"family":"Basso","given":"Enzo"},{"family":"Bathrick","given":"Rosalyn"},{"family":"Bosi de Almeida","given":"Juliana"},{"family":"Anderson","given":"Alexandra M"},{"family":"Angulo-Pratolongo","given":"Fernando"},{"family":"Ballard","given":"Bart M"},{"family":"Bêty","given":"Joël"},{"family":"Brown","given":"Stephen C"},{"family":"Christie","given":"Katherine S"},{"family":"Clements","given":"Sarah J"},{"family":"Friis","given":"Christian"},{"family":"Gesmundo","given":"Callie"},{"family":"Giroux","given":"Marie-Andrée"},{"family":"Harrison","given":"Autumn-Lynn"},{"family":"Harwood","given":"Christopher M"},{"family":"Hill","given":"Jason M"},{"family":"Johnson","given":"James A"},{"family":"Kempenaers","given":"Bart"},{"family":"Laliberté","given":"Benoit"},{"family":"Lamarre","given":"Jean-Francois"},{"family":"Lanctot","given":"Richard B"},{"family":"Latty","given":"Christopher"},{"family":"Lecomte","given":"Nicolas"},{"family":"McDuffie","given":"Laura A"},{"family":"Navedo","given":"Juan G"},{"family":"Nol","given":"Erica"},{"family":"Pohlen","given":"Zachary M"},{"family":"Rausch","given":"Jennie"},{"family":"Renfrew","given":"Rosalind B"},{"family":"Ruiz","given":"Jorge"},{"family":"Russell","given":"Mike"},{"family":"Ruthrauff","given":"Daniel R"},{"family":"Saalfeld","given":"Sarah T"},{"family":"Sandercock","given":"Brett K"},{"family":"Schulte","given":"Shiloh A"},{"family":"Smith","given":"Paul A"},{"family":"Taylor","given":"Audrey R"},{"family":"Tibbitts","given":"T Lee"},{"family":"Valcu","given":"Mihai"},{"family":"Weegman","given":"Mitch D"},{"family":"Wright","given":"James R"},{"family":"Senner","given":"Nathan R"}],"issued":{"date-parts":[["2024",8,9]]}}},{"id":1342,"uris":["http://zotero.org/users/11283305/items/3AI3VCMY"],"itemData":{"id":1342,"type":"article-journal","abstract":"Many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A."}],"issued":{"date-parts":[["2022"]]}}}],"schema":"https://github.com/citation-style-language/schema/raw/master/csl-citation.json"} </w:instrText>
      </w:r>
      <w:r w:rsidRPr="00A520BF">
        <w:rPr>
          <w:rFonts w:cs="Arial"/>
        </w:rPr>
        <w:fldChar w:fldCharType="separate"/>
      </w:r>
      <w:r w:rsidRPr="00A520BF">
        <w:rPr>
          <w:rFonts w:cs="Arial"/>
          <w:noProof/>
          <w:lang w:val="es-ES"/>
        </w:rPr>
        <w:t xml:space="preserve"> (McDuffie et al. 2022b; Linscott et al. 2024)</w:t>
      </w:r>
      <w:r w:rsidRPr="00A520BF">
        <w:rPr>
          <w:rFonts w:cs="Arial"/>
        </w:rPr>
        <w:fldChar w:fldCharType="end"/>
      </w:r>
      <w:r w:rsidRPr="00A520BF">
        <w:rPr>
          <w:rFonts w:cs="Arial"/>
          <w:lang w:val="es-ES"/>
        </w:rPr>
        <w:t>, por lo que están presentes en más de 50 territorios diferentes.</w:t>
      </w:r>
    </w:p>
    <w:p w14:paraId="09B23927" w14:textId="77777777" w:rsidR="00A520BF" w:rsidRPr="00A520BF" w:rsidRDefault="00A520BF" w:rsidP="00A520BF">
      <w:pPr>
        <w:autoSpaceDE w:val="0"/>
        <w:adjustRightInd w:val="0"/>
        <w:spacing w:after="0" w:line="240" w:lineRule="auto"/>
        <w:jc w:val="both"/>
        <w:rPr>
          <w:rFonts w:cs="Arial"/>
          <w:lang w:val="es-ES"/>
        </w:rPr>
      </w:pPr>
    </w:p>
    <w:p w14:paraId="7BF8D950"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3.2 </w:t>
      </w:r>
      <w:r w:rsidRPr="00A520BF">
        <w:rPr>
          <w:rFonts w:cs="Arial"/>
          <w:u w:val="single"/>
          <w:lang w:val="es-419"/>
        </w:rPr>
        <w:t>Proporción de la población que migra y por qué se trata de una proporción significativa</w:t>
      </w:r>
    </w:p>
    <w:p w14:paraId="69654D2A" w14:textId="77777777" w:rsidR="00A520BF" w:rsidRPr="00A520BF" w:rsidRDefault="00A520BF" w:rsidP="00A520BF">
      <w:pPr>
        <w:autoSpaceDE w:val="0"/>
        <w:adjustRightInd w:val="0"/>
        <w:spacing w:after="0" w:line="240" w:lineRule="auto"/>
        <w:jc w:val="both"/>
        <w:rPr>
          <w:rFonts w:cs="Arial"/>
          <w:lang w:val="es-ES"/>
        </w:rPr>
      </w:pPr>
    </w:p>
    <w:p w14:paraId="14B5D6EA" w14:textId="15473FBF" w:rsidR="00A520BF" w:rsidRPr="00A520BF" w:rsidRDefault="00A520BF" w:rsidP="00A520BF">
      <w:pPr>
        <w:autoSpaceDE w:val="0"/>
        <w:adjustRightInd w:val="0"/>
        <w:spacing w:after="0" w:line="240" w:lineRule="auto"/>
        <w:jc w:val="both"/>
        <w:rPr>
          <w:rFonts w:cs="Arial"/>
          <w:lang w:val="es-ES"/>
        </w:rPr>
      </w:pPr>
      <w:r w:rsidRPr="00A520BF">
        <w:rPr>
          <w:rFonts w:cs="Arial"/>
          <w:lang w:val="es-ES"/>
        </w:rPr>
        <w:t xml:space="preserve">Todos los individuos de </w:t>
      </w:r>
      <w:r w:rsidRPr="00A520BF">
        <w:rPr>
          <w:rFonts w:cs="Arial"/>
          <w:i/>
          <w:iCs/>
          <w:lang w:val="es-ES"/>
        </w:rPr>
        <w:t>Tringa flavipes</w:t>
      </w:r>
      <w:r w:rsidRPr="00A520BF">
        <w:rPr>
          <w:rFonts w:cs="Arial"/>
          <w:lang w:val="es-ES"/>
        </w:rPr>
        <w:t xml:space="preserve"> son migrantes de larga distancia</w:t>
      </w:r>
      <w:r w:rsidRPr="00A520BF">
        <w:rPr>
          <w:rFonts w:cs="Arial"/>
        </w:rPr>
        <w:fldChar w:fldCharType="begin"/>
      </w:r>
      <w:r w:rsidRPr="00A520BF">
        <w:rPr>
          <w:rFonts w:cs="Arial"/>
          <w:lang w:val="es-ES"/>
        </w:rPr>
        <w:instrText xml:space="preserve"> ADDIN ZOTERO_ITEM CSL_CITATION {"citationID":"APEeIacn","properties":{"formattedCitation":"(Tibbitts and Moskoff 2020; McDuffie et al. 2022b)","plainCitation":"(Tibbitts and Moskoff 2020; McDuffie et al. 2022b)","noteIndex":0},"citationItems":[{"id":1342,"uris":["http://zotero.org/users/11283305/items/3AI3VCMY"],"itemData":{"id":1342,"type":"article-journal","abstract":"Many populations of long-distance migrant shorebirds are declining rapidly. Since the 1970s, the lesser yellowlegs (Tringa flavipes) has experienced a pronounced reduction in abundance of 63%. The potential causes of the species' decline are complex and interrelated. Understanding the timing of migration, seasonal routes, and important stopover and non-breeding locations used by this species will aid in directing conservation planning to address potential threats. During 2018–2022, we tracked 118 adult lesser yellowlegs using GPS satellite tags deployed on birds from five breeding and two migratory stopover locations spanning the boreal forest of North America from Alaska to Eastern Canada. Our objectives were to identify migratory routes, quantify migratory connectivity, and describe key stopover and non-breeding locations. We also evaluated predictors of southbound migratory departure date and migration distance. Individuals tagged in Alaska and Central Canada followed similar southbound migratory routes, stopping to refuel in the Prairie Pothole Region of North America, whereas birds tagged in Eastern Canada completed multi-day transoceanic flights covering distances of &gt;4000 km across the Atlantic between North and South America. Upon reaching their non-breeding locations, lesser yellowlegs populations overlapped, resulting in weak migratory connectivity. Sex and population origin were significantly associated with the timing of migratory departure from breeding locations, and body mass at the time of GPS-tag deployment was the best predictor of southbound migratory distance. Our findings suggest that lesser yellowlegs travel long distances and traverse numerous political boundaries each year, and breeding location likely has the greatest influence on migratory routes and therefore the threats birds experience during migration. Further, the species' dependence on wetlands in agricultural landscapes during migration and the non-breeding period may make them vulnerable to threats related to agricultural practices, such as pesticide exposure.","container-title":"Ecology and Evolution","DOI":"10.1002/ece3.9495","ISSN":"2045-7758","issue":"11","language":"en","license":"© 2022 His Majesty the King in Right of Canada and The Authors. Ecology and Evolution published by John Wiley &amp; Sons Ltd. Reproduced with the permission of the Minister of Environment and Climate Change Canada. This article has been contributed to by U.S. Government employees and their work is in the public domain in the USA.","note":"_eprint: https://onlinelibrary.wiley.com/doi/pdf/10.1002/ece3.9495","page":"e9495","source":"Wiley Online Library","title":"Flyway-scale GPS tracking reveals migratory routes and key stopover and non-breeding locations of lesser yellowlegs","volume":"12","author":[{"family":"McDuffie","given":"Laura A."},{"family":"Christie","given":"Katherine S."},{"family":"Taylor","given":"Audrey R."},{"family":"Nol","given":"Erica"},{"family":"Friis","given":"Christian"},{"family":"Harwood","given":"Christopher M."},{"family":"Rausch","given":"Jennie"},{"family":"Laliberte","given":"Benoit"},{"family":"Gesmundo","given":"Callie"},{"family":"Wright","given":"James R."},{"family":"Johnson","given":"James A."}],"issued":{"date-parts":[["2022"]]}}},{"id":1333,"uris":["http://zotero.org/users/11283305/items/LXPPU6U8"],"itemData":{"id":1333,"type":"article-journal","abstract":"Species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A520BF">
        <w:rPr>
          <w:rFonts w:cs="Arial"/>
        </w:rPr>
        <w:fldChar w:fldCharType="separate"/>
      </w:r>
      <w:r w:rsidRPr="00A520BF">
        <w:rPr>
          <w:rFonts w:cs="Arial"/>
          <w:lang w:val="es-ES"/>
        </w:rPr>
        <w:t xml:space="preserve"> (Tibbitts y Moskoff 2020; McDuffie </w:t>
      </w:r>
      <w:r w:rsidRPr="00A520BF">
        <w:rPr>
          <w:rFonts w:cs="Arial"/>
          <w:i/>
          <w:iCs/>
          <w:lang w:val="es-ES"/>
        </w:rPr>
        <w:t>et al.</w:t>
      </w:r>
      <w:r w:rsidRPr="00A520BF">
        <w:rPr>
          <w:rFonts w:cs="Arial"/>
          <w:lang w:val="es-ES"/>
        </w:rPr>
        <w:t xml:space="preserve"> 2022b)</w:t>
      </w:r>
      <w:r w:rsidRPr="00A520BF">
        <w:rPr>
          <w:rFonts w:cs="Arial"/>
        </w:rPr>
        <w:fldChar w:fldCharType="end"/>
      </w:r>
      <w:r w:rsidRPr="00A520BF">
        <w:rPr>
          <w:rFonts w:cs="Arial"/>
          <w:lang w:val="es-ES"/>
        </w:rPr>
        <w:t>.</w:t>
      </w:r>
    </w:p>
    <w:p w14:paraId="477DA464" w14:textId="77777777" w:rsidR="00A520BF" w:rsidRPr="00A520BF" w:rsidRDefault="00A520BF" w:rsidP="00A520BF">
      <w:pPr>
        <w:autoSpaceDE w:val="0"/>
        <w:adjustRightInd w:val="0"/>
        <w:spacing w:after="0" w:line="240" w:lineRule="auto"/>
        <w:jc w:val="both"/>
        <w:rPr>
          <w:rFonts w:cs="Arial"/>
          <w:lang w:val="es-ES"/>
        </w:rPr>
      </w:pPr>
    </w:p>
    <w:p w14:paraId="1F02846F" w14:textId="77777777" w:rsidR="00A520BF" w:rsidRPr="00A520BF" w:rsidRDefault="00A520BF" w:rsidP="00A520BF">
      <w:pPr>
        <w:keepNext/>
        <w:autoSpaceDE w:val="0"/>
        <w:adjustRightInd w:val="0"/>
        <w:spacing w:after="0" w:line="240" w:lineRule="auto"/>
        <w:jc w:val="both"/>
        <w:rPr>
          <w:rFonts w:cs="Arial"/>
          <w:b/>
          <w:bCs/>
          <w:lang w:val="es-419"/>
        </w:rPr>
      </w:pPr>
      <w:r w:rsidRPr="00A520BF">
        <w:rPr>
          <w:rFonts w:cs="Arial"/>
          <w:b/>
          <w:bCs/>
          <w:lang w:val="es-419"/>
        </w:rPr>
        <w:t>4. Datos biológicos (distintos de la migración)</w:t>
      </w:r>
    </w:p>
    <w:p w14:paraId="5426D6E1" w14:textId="77777777" w:rsidR="00A520BF" w:rsidRPr="00A520BF" w:rsidRDefault="00A520BF" w:rsidP="00A520BF">
      <w:pPr>
        <w:keepNext/>
        <w:autoSpaceDE w:val="0"/>
        <w:adjustRightInd w:val="0"/>
        <w:spacing w:after="0" w:line="240" w:lineRule="auto"/>
        <w:jc w:val="both"/>
        <w:rPr>
          <w:rFonts w:cs="Arial"/>
          <w:b/>
          <w:bCs/>
          <w:lang w:val="es-419"/>
        </w:rPr>
      </w:pPr>
    </w:p>
    <w:p w14:paraId="3E9F5D5B" w14:textId="77777777" w:rsidR="00A520BF" w:rsidRPr="00A520BF" w:rsidRDefault="00A520BF" w:rsidP="00A520BF">
      <w:pPr>
        <w:keepNext/>
        <w:autoSpaceDE w:val="0"/>
        <w:adjustRightInd w:val="0"/>
        <w:spacing w:after="0" w:line="240" w:lineRule="auto"/>
        <w:jc w:val="both"/>
        <w:rPr>
          <w:rFonts w:cs="Arial"/>
          <w:u w:val="single"/>
          <w:lang w:val="es-419"/>
        </w:rPr>
      </w:pPr>
      <w:r w:rsidRPr="00A520BF">
        <w:rPr>
          <w:rFonts w:cs="Arial"/>
          <w:lang w:val="es-419"/>
        </w:rPr>
        <w:t xml:space="preserve">4.1 </w:t>
      </w:r>
      <w:r w:rsidRPr="00A520BF">
        <w:rPr>
          <w:rFonts w:cs="Arial"/>
          <w:u w:val="single"/>
          <w:lang w:val="es-419"/>
        </w:rPr>
        <w:t xml:space="preserve">Distribución </w:t>
      </w:r>
    </w:p>
    <w:p w14:paraId="507F4ADD" w14:textId="77777777" w:rsidR="00A520BF" w:rsidRPr="00A520BF" w:rsidRDefault="00A520BF" w:rsidP="00A520BF">
      <w:pPr>
        <w:keepNext/>
        <w:autoSpaceDE w:val="0"/>
        <w:adjustRightInd w:val="0"/>
        <w:spacing w:after="0" w:line="240" w:lineRule="auto"/>
        <w:jc w:val="both"/>
        <w:rPr>
          <w:rFonts w:cs="Arial"/>
          <w:lang w:val="es-419"/>
        </w:rPr>
      </w:pPr>
    </w:p>
    <w:p w14:paraId="02CD4D65" w14:textId="77777777" w:rsidR="00A520BF" w:rsidRPr="00A520BF" w:rsidRDefault="00A520BF" w:rsidP="00A520BF">
      <w:pPr>
        <w:autoSpaceDE w:val="0"/>
        <w:adjustRightInd w:val="0"/>
        <w:spacing w:after="0" w:line="240" w:lineRule="auto"/>
        <w:jc w:val="both"/>
        <w:rPr>
          <w:rFonts w:cs="Arial"/>
          <w:lang w:val="es-ES"/>
        </w:rPr>
      </w:pPr>
      <w:r w:rsidRPr="00A520BF">
        <w:rPr>
          <w:rFonts w:cs="Arial"/>
          <w:lang w:val="es-ES"/>
        </w:rPr>
        <w:t>El pata amarilla menor (</w:t>
      </w:r>
      <w:r w:rsidRPr="00A520BF">
        <w:rPr>
          <w:rFonts w:cs="Arial"/>
          <w:i/>
          <w:iCs/>
          <w:lang w:val="es-ES"/>
        </w:rPr>
        <w:t>Tringa flavipes</w:t>
      </w:r>
      <w:r w:rsidRPr="00A520BF">
        <w:rPr>
          <w:rFonts w:cs="Arial"/>
          <w:lang w:val="es-ES"/>
        </w:rPr>
        <w:t xml:space="preserve">) se reproduce en todo Canadá (80 % del área de reproducción) y Alaska (Figura 1). El área actual no reproductiva de esta especie abarca las costas sur del Atlántico, el Golfo y el Pacífico de los Estados Unidos, México, América Central y América del Sur. La región de la Pampa argentina (Argentina, Uruguay y sur de Brasil) es el principal lugar de no reproducción de esta especie, donde el 44 % de los individuos estudiados por McDuffie </w:t>
      </w:r>
      <w:r w:rsidRPr="00A520BF">
        <w:rPr>
          <w:rFonts w:cs="Arial"/>
          <w:i/>
          <w:iCs/>
          <w:lang w:val="es-ES"/>
        </w:rPr>
        <w:t>et al</w:t>
      </w:r>
      <w:r w:rsidRPr="00A520BF">
        <w:rPr>
          <w:rFonts w:cs="Arial"/>
          <w:lang w:val="es-ES"/>
        </w:rPr>
        <w:t xml:space="preserve"> (2022) pasaron la temporada de no reproducción. Otros lugares importantes son la costa de Venezuela, a lo largo de la costa noroeste de Brasil y Ecuador (McDuffie </w:t>
      </w:r>
      <w:r w:rsidRPr="00A520BF">
        <w:rPr>
          <w:rFonts w:cs="Arial"/>
          <w:i/>
          <w:iCs/>
          <w:lang w:val="es-ES"/>
        </w:rPr>
        <w:t>et al.</w:t>
      </w:r>
      <w:r w:rsidRPr="00A520BF">
        <w:rPr>
          <w:rFonts w:cs="Arial"/>
          <w:lang w:val="es-ES"/>
        </w:rPr>
        <w:t xml:space="preserve"> 2022b). Una pequeña parte de las poblaciones pasa la temporada no reproductiva en el sur de Estados Unidos, México y el Caribe (Tibbitts y Moskoff 2020). Las poblaciones reproductivas del este de Canadá suelen realizar una migración ininterrumpida hacia el sur, desde la costa canadiense hasta el norte de América del Sur, desde donde pueden continuar hacia el sur. Las poblaciones reproductivas de Alaska suelen migrar hacia el sur a través de la ruta Mid-continental, utilizando la región de las Praderas Bacheadas (Prairie Pothole) como importante sitio de parada (McDuffie </w:t>
      </w:r>
      <w:r w:rsidRPr="00A520BF">
        <w:rPr>
          <w:rFonts w:cs="Arial"/>
          <w:i/>
          <w:iCs/>
          <w:lang w:val="es-ES"/>
        </w:rPr>
        <w:t>et al</w:t>
      </w:r>
      <w:r w:rsidRPr="00A520BF">
        <w:rPr>
          <w:rFonts w:cs="Arial"/>
          <w:lang w:val="es-ES"/>
        </w:rPr>
        <w:t xml:space="preserve">. 2022b). En la migración hacia el norte, la llanura aluvial del Misisipi es la zona de parada conocida que alberga el mayor número de </w:t>
      </w:r>
      <w:r w:rsidRPr="00A520BF">
        <w:rPr>
          <w:rFonts w:cs="Arial"/>
          <w:i/>
          <w:iCs/>
          <w:lang w:val="es-ES"/>
        </w:rPr>
        <w:t>Tringa flavipes</w:t>
      </w:r>
      <w:r w:rsidRPr="00A520BF">
        <w:rPr>
          <w:rFonts w:cs="Arial"/>
          <w:lang w:val="es-ES"/>
        </w:rPr>
        <w:t xml:space="preserve"> (McDuffie </w:t>
      </w:r>
      <w:r w:rsidRPr="00A520BF">
        <w:rPr>
          <w:rFonts w:cs="Arial"/>
          <w:i/>
          <w:iCs/>
          <w:lang w:val="es-ES"/>
        </w:rPr>
        <w:t>et al</w:t>
      </w:r>
      <w:r w:rsidRPr="00A520BF">
        <w:rPr>
          <w:rFonts w:cs="Arial"/>
          <w:lang w:val="es-ES"/>
        </w:rPr>
        <w:t>. 2022). Sin embargo, hay pruebas de una reducción histórica en la distribución reproductiva de esta especie, ya que en el siglo XIX la especie solía reproducirse más al sur que en el área de distribución actual (Tibbitts y Moskoff 2020).</w:t>
      </w:r>
    </w:p>
    <w:p w14:paraId="191ECD4C" w14:textId="77777777" w:rsidR="00A520BF" w:rsidRPr="00A520BF" w:rsidRDefault="00A520BF" w:rsidP="00A520BF">
      <w:pPr>
        <w:spacing w:after="0" w:line="240" w:lineRule="auto"/>
        <w:jc w:val="both"/>
        <w:rPr>
          <w:rFonts w:cs="Arial"/>
          <w:lang w:val="es-ES"/>
        </w:rPr>
      </w:pPr>
    </w:p>
    <w:p w14:paraId="4DB69987" w14:textId="77777777" w:rsidR="00A520BF" w:rsidRPr="00A520BF" w:rsidRDefault="00A520BF" w:rsidP="00A520BF">
      <w:pPr>
        <w:spacing w:after="0" w:line="240" w:lineRule="auto"/>
        <w:jc w:val="both"/>
        <w:rPr>
          <w:rFonts w:cs="Arial"/>
          <w:lang w:val="es-ES"/>
        </w:rPr>
      </w:pPr>
      <w:r w:rsidRPr="00A520BF">
        <w:rPr>
          <w:rFonts w:cs="Arial"/>
          <w:noProof/>
          <w:lang w:val="es-ES" w:eastAsia="es-ES"/>
        </w:rPr>
        <w:lastRenderedPageBreak/>
        <w:drawing>
          <wp:inline distT="0" distB="0" distL="0" distR="0" wp14:anchorId="5CB975BD" wp14:editId="51E6BE48">
            <wp:extent cx="4629150" cy="5725528"/>
            <wp:effectExtent l="0" t="0" r="0" b="8890"/>
            <wp:docPr id="1692475109" name="drawing"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75109" name="drawing" descr="A map of the worl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4352" cy="5731962"/>
                    </a:xfrm>
                    <a:prstGeom prst="rect">
                      <a:avLst/>
                    </a:prstGeom>
                  </pic:spPr>
                </pic:pic>
              </a:graphicData>
            </a:graphic>
          </wp:inline>
        </w:drawing>
      </w:r>
    </w:p>
    <w:p w14:paraId="5B1082AB"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4.2 </w:t>
      </w:r>
      <w:r w:rsidRPr="00A520BF">
        <w:rPr>
          <w:rFonts w:cs="Arial"/>
          <w:u w:val="single"/>
          <w:lang w:val="es-419"/>
        </w:rPr>
        <w:t xml:space="preserve">Población </w:t>
      </w:r>
    </w:p>
    <w:p w14:paraId="3EE04A64" w14:textId="77777777" w:rsidR="00A520BF" w:rsidRPr="00A520BF" w:rsidRDefault="00A520BF" w:rsidP="00A520BF">
      <w:pPr>
        <w:autoSpaceDE w:val="0"/>
        <w:adjustRightInd w:val="0"/>
        <w:spacing w:after="0" w:line="240" w:lineRule="auto"/>
        <w:jc w:val="both"/>
        <w:rPr>
          <w:rFonts w:cs="Arial"/>
          <w:lang w:val="es-ES"/>
        </w:rPr>
      </w:pPr>
    </w:p>
    <w:p w14:paraId="2371B22A" w14:textId="37C94170" w:rsidR="00A520BF" w:rsidRPr="00A520BF" w:rsidRDefault="00A520BF" w:rsidP="00A520BF">
      <w:pPr>
        <w:autoSpaceDE w:val="0"/>
        <w:adjustRightInd w:val="0"/>
        <w:spacing w:after="0" w:line="240" w:lineRule="auto"/>
        <w:jc w:val="both"/>
        <w:rPr>
          <w:rFonts w:cs="Arial"/>
          <w:lang w:val="es-ES"/>
        </w:rPr>
      </w:pPr>
      <w:r w:rsidRPr="00A520BF">
        <w:rPr>
          <w:rFonts w:cs="Arial"/>
          <w:lang w:val="es-ES"/>
        </w:rPr>
        <w:t xml:space="preserve">Actualmente existen dos estimaciones contradictorias sobre el número total de individuos de </w:t>
      </w:r>
      <w:r w:rsidRPr="00A520BF">
        <w:rPr>
          <w:rFonts w:cs="Arial"/>
          <w:i/>
          <w:iCs/>
          <w:lang w:val="es-ES"/>
        </w:rPr>
        <w:t>Tringa flavipes.</w:t>
      </w:r>
      <w:r w:rsidRPr="00A520BF">
        <w:rPr>
          <w:rFonts w:cs="Arial"/>
          <w:lang w:val="es-ES"/>
        </w:rPr>
        <w:t xml:space="preserve"> La primera, que tiene en cuenta todas las poblaciones de esta especie, estima que hay 650.000 individuos maduros</w:t>
      </w:r>
      <w:r w:rsidRPr="00A520BF">
        <w:rPr>
          <w:rFonts w:cs="Arial"/>
        </w:rPr>
        <w:fldChar w:fldCharType="begin"/>
      </w:r>
      <w:r w:rsidRPr="00A520BF">
        <w:rPr>
          <w:rFonts w:cs="Arial"/>
          <w:lang w:val="es-419"/>
        </w:rPr>
        <w:instrText xml:space="preserve"> ADDIN ZOTERO_ITEM CSL_CITATION {"citationID":"Iww5OeTm","properties":{"formattedCitation":"(Andres et al. 2012)","plainCitation":"(Andres et al. 2012)","noteIndex":0},"citationItems":[{"id":1280,"uris":["http://zotero.org/users/11283305/items/LRENLANH"],"itemData":{"id":1280,"type":"article-journal","container-title":"Wader Study Group Bulletin","issue":"3","page":"178-194","title":"Population estimates of North American shorebirds, 2012","volume":"119","author":[{"family":"Andres","given":"Brad"},{"family":"Smith","given":"Paul A."},{"family":"Morrison","given":"R I Guy"},{"family":"Gratto-Trevor","given":"Cheri"},{"family":"Brown","given":"Stephen"},{"family":"Friis","given":"Christian"}],"issued":{"date-parts":[["2012"]]}}}],"schema":"https://github.com/citation-style-language/schema/raw/master/csl-citation.json"} </w:instrText>
      </w:r>
      <w:r w:rsidRPr="00A520BF">
        <w:rPr>
          <w:rFonts w:cs="Arial"/>
        </w:rPr>
        <w:fldChar w:fldCharType="separate"/>
      </w:r>
      <w:r w:rsidRPr="00A520BF">
        <w:rPr>
          <w:rFonts w:cs="Arial"/>
          <w:lang w:val="es-ES"/>
        </w:rPr>
        <w:t xml:space="preserve"> (Andres </w:t>
      </w:r>
      <w:r w:rsidRPr="00A520BF">
        <w:rPr>
          <w:rFonts w:cs="Arial"/>
          <w:i/>
          <w:iCs/>
          <w:lang w:val="es-ES"/>
        </w:rPr>
        <w:t>et a</w:t>
      </w:r>
      <w:r w:rsidRPr="00A520BF">
        <w:rPr>
          <w:rFonts w:cs="Arial"/>
          <w:lang w:val="es-ES"/>
        </w:rPr>
        <w:t>l. 2012)</w:t>
      </w:r>
      <w:r w:rsidRPr="00A520BF">
        <w:rPr>
          <w:rFonts w:cs="Arial"/>
        </w:rPr>
        <w:fldChar w:fldCharType="end"/>
      </w:r>
      <w:r w:rsidRPr="00A520BF">
        <w:rPr>
          <w:rFonts w:cs="Arial"/>
          <w:lang w:val="es-ES"/>
        </w:rPr>
        <w:t>. Sin embargo, una estimación más reciente que considera por separado las aves que se reproducen en Canadá sugiere que hay 7,6 millones de individuos maduros solo en Canadá, lo que probablemente sea una sobreestimación</w:t>
      </w:r>
      <w:r w:rsidRPr="00A520BF">
        <w:rPr>
          <w:rFonts w:cs="Arial"/>
        </w:rPr>
        <w:fldChar w:fldCharType="begin"/>
      </w:r>
      <w:r w:rsidRPr="00A520BF">
        <w:rPr>
          <w:rFonts w:cs="Arial"/>
          <w:lang w:val="es-419"/>
        </w:rPr>
        <w:instrText xml:space="preserve"> ADDIN ZOTERO_ITEM CSL_CITATION {"citationID":"00bYG4Wa","properties":{"formattedCitation":"(BirdLife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A520BF">
        <w:rPr>
          <w:rFonts w:cs="Arial"/>
        </w:rPr>
        <w:fldChar w:fldCharType="separate"/>
      </w:r>
      <w:r w:rsidRPr="00A520BF">
        <w:rPr>
          <w:rFonts w:cs="Arial"/>
          <w:lang w:val="es-ES"/>
        </w:rPr>
        <w:t xml:space="preserve"> (BirdLife International 2024b)</w:t>
      </w:r>
      <w:r w:rsidRPr="00A520BF">
        <w:rPr>
          <w:rFonts w:cs="Arial"/>
        </w:rPr>
        <w:fldChar w:fldCharType="end"/>
      </w:r>
      <w:r w:rsidRPr="00A520BF">
        <w:rPr>
          <w:rFonts w:cs="Arial"/>
          <w:lang w:val="es-ES"/>
        </w:rPr>
        <w:t>.</w:t>
      </w:r>
    </w:p>
    <w:p w14:paraId="41681304" w14:textId="77777777" w:rsidR="00A520BF" w:rsidRPr="00A520BF" w:rsidRDefault="00A520BF" w:rsidP="00A520BF">
      <w:pPr>
        <w:autoSpaceDE w:val="0"/>
        <w:adjustRightInd w:val="0"/>
        <w:spacing w:after="0" w:line="240" w:lineRule="auto"/>
        <w:jc w:val="both"/>
        <w:rPr>
          <w:rFonts w:cs="Arial"/>
          <w:lang w:val="es-ES"/>
        </w:rPr>
      </w:pPr>
    </w:p>
    <w:p w14:paraId="5BCCB924" w14:textId="3D92BCF7" w:rsidR="00A520BF" w:rsidRDefault="00A520BF" w:rsidP="00A520BF">
      <w:pPr>
        <w:autoSpaceDE w:val="0"/>
        <w:adjustRightInd w:val="0"/>
        <w:spacing w:after="0" w:line="240" w:lineRule="auto"/>
        <w:jc w:val="both"/>
        <w:rPr>
          <w:rFonts w:cs="Arial"/>
          <w:lang w:val="es-ES"/>
        </w:rPr>
      </w:pPr>
      <w:r w:rsidRPr="00A520BF">
        <w:rPr>
          <w:rFonts w:cs="Arial"/>
          <w:lang w:val="es-ES"/>
        </w:rPr>
        <w:t>Sin embargo, la población de esta especie ha disminuido en aproximadamente un 60 % en las últimas tres generaciones</w:t>
      </w:r>
      <w:r w:rsidRPr="00A520BF">
        <w:rPr>
          <w:rFonts w:cs="Arial"/>
        </w:rPr>
        <w:fldChar w:fldCharType="begin"/>
      </w:r>
      <w:r w:rsidRPr="00A520BF">
        <w:rPr>
          <w:rFonts w:cs="Arial"/>
          <w:lang w:val="es-419"/>
        </w:rPr>
        <w:instrText xml:space="preserve"> ADDIN ZOTERO_ITEM CSL_CITATION {"citationID":"YFr1iOyD","properties":{"formattedCitation":"(Smith et al. 2023)","plainCitation":"(Smith et al. 2023)","noteIndex":0},"citationItems":[{"id":378,"uris":["http://zotero.org/users/11283305/items/UFZ9SKSC"],"itemData":{"id":378,"type":"article-journal","abstract":"Shorebirds are declining to a greater extent than many other avian taxa around the world. In North America, shorebirds, along with aerial insectivores and grassland birds, have some of the highest proportions of declining species of any group. Here, we apply a new hierarchical Bayesian model to analyze shorebird migration monitoring data from across North America, from 1980 to 2019, and present the most recent available estimates of trends for 28 species. Point estimates for survey-wide trends in abundance were negative for 26 of 28 species (93%). Despite challenges with low precision associated with migration count data, trends for 19 species had 95% credible intervals that were entirely negative. More than half of the species were estimated to have lost &amp;gt;50% of their abundance. Furthermore, estimated rates of decline have accelerated during the last three generations for most species. Point estimates of trend were more negative for 18 species (64%) during the most recent three-generation period in comparison to the previous three-generation period. Many species now exceed international criteria for threatened species listing. The analytic approach used here allows us to model regional variation in trends, although survey coverage and strength of inference were greatest in the eastern portions of North America (east of 100°W). We found the greatest declines at staging sites along the Atlantic Coast from North Carolina to Nova Scotia, and lesser declines along the Gulf Coast and in the midcontinental United States. The declines in shorebird populations reported here are worrisome and signal the urgent need for conservation action. In addition, it would be beneficial to validate these results through the collection and analysis of complementary data, and to initiate demographic studies throughout the annual cycle to determine where and when declines are most likely to originate. This improved information will allow for the development of more targeted efforts to reverse declines through conservation action.• Surveys of North American shorebirds during fall migration, carried out largely by volunteers, are used to monitor trends in the abundance of their populations.• Between 1980 and 2019, 26 of the 28 shorebird species analyzed were found to be declining with more than half of the species losing more than half of their abundance.• Declines were greatest along the Atlantic coast from Nova Scotia to North Carolina, and less severe along the Gulf coast and in the Midcontinent.• Declines are worsening in recent years. These large and accelerating declines mean that many species now exceed international criteria for threatened species listing.• Urgent conservation action is needed to slow and eventually reverse declines. Targeted research, and in particular studies of survival throughout the year, could help to pinpoint where shorebirds are most strongly impacted, so that conservation attention can be focused where it is most needed.","container-title":"Ornithological Applications","DOI":"10.1093/ornithapp/duad003","ISSN":"0010-5422","issue":"2","journalAbbreviation":"Ornithological Applications","page":"duad003","source":"Silverchair","title":"Accelerating declines of North America’s shorebirds signal the need for urgent conservation action","volume":"125","author":[{"family":"Smith","given":"Paul A"},{"family":"Smith","given":"Adam C"},{"family":"Andres","given":"Brad"},{"family":"Francis","given":"Charles M"},{"family":"Harrington","given":"Brian"},{"family":"Friis","given":"Christian"},{"family":"Morrison","given":"R I Guy"},{"family":"Paquet","given":"Julie"},{"family":"Winn","given":"Brad"},{"family":"Brown","given":"Stephen"}],"issued":{"date-parts":[["2023",5,1]]}}}],"schema":"https://github.com/citation-style-language/schema/raw/master/csl-citation.json"} </w:instrText>
      </w:r>
      <w:r w:rsidRPr="00A520BF">
        <w:rPr>
          <w:rFonts w:cs="Arial"/>
        </w:rPr>
        <w:fldChar w:fldCharType="separate"/>
      </w:r>
      <w:r w:rsidRPr="00A520BF">
        <w:rPr>
          <w:rFonts w:cs="Arial"/>
          <w:noProof/>
          <w:lang w:val="es-ES"/>
        </w:rPr>
        <w:t xml:space="preserve"> (Smith </w:t>
      </w:r>
      <w:r w:rsidRPr="00A520BF">
        <w:rPr>
          <w:rFonts w:cs="Arial"/>
          <w:i/>
          <w:iCs/>
          <w:noProof/>
          <w:lang w:val="es-ES"/>
        </w:rPr>
        <w:t>et al</w:t>
      </w:r>
      <w:r w:rsidRPr="00A520BF">
        <w:rPr>
          <w:rFonts w:cs="Arial"/>
          <w:noProof/>
          <w:lang w:val="es-ES"/>
        </w:rPr>
        <w:t>. 2023)</w:t>
      </w:r>
      <w:r w:rsidRPr="00A520BF">
        <w:rPr>
          <w:rFonts w:cs="Arial"/>
        </w:rPr>
        <w:fldChar w:fldCharType="end"/>
      </w:r>
      <w:r w:rsidRPr="00A520BF">
        <w:rPr>
          <w:rFonts w:cs="Arial"/>
          <w:lang w:val="es-ES"/>
        </w:rPr>
        <w:t xml:space="preserve"> . La tasa de disminución es más pronunciada en los últimos años, y se estima que las poblaciones han disminuido en un 77 % desde 1980. Smith </w:t>
      </w:r>
      <w:r w:rsidRPr="00A520BF">
        <w:rPr>
          <w:rFonts w:cs="Arial"/>
          <w:i/>
          <w:iCs/>
          <w:lang w:val="es-ES"/>
        </w:rPr>
        <w:t>et al</w:t>
      </w:r>
      <w:r w:rsidRPr="00A520BF">
        <w:rPr>
          <w:rFonts w:cs="Arial"/>
          <w:lang w:val="es-ES"/>
        </w:rPr>
        <w:t xml:space="preserve">. (2023) estimaron la disminución de la población considerando el tiempo de generación como la edad media de los padres de la cohorte actual, que es de 4,06 años (Bird </w:t>
      </w:r>
      <w:r w:rsidRPr="00A520BF">
        <w:rPr>
          <w:rFonts w:cs="Arial"/>
          <w:i/>
          <w:iCs/>
          <w:lang w:val="es-ES"/>
        </w:rPr>
        <w:t>et al.</w:t>
      </w:r>
      <w:r w:rsidRPr="00A520BF">
        <w:rPr>
          <w:rFonts w:cs="Arial"/>
          <w:lang w:val="es-ES"/>
        </w:rPr>
        <w:t xml:space="preserve"> 2020). Los autores utilizaron datos de recuento de poblaciones del Censo Internacional de Aves Playeras, el Censo de Aves Playeras del Atlántico Canadiense y el Censo de Aves Playeras de Ontario. Estos programas de monitoreo se iniciaron en el este de Estados Unidos y Canadá, por lo que el esfuerzo de estudio es mayor en estas regiones, aunque hay datos tanto de las poblaciones reproductivas de Alaska y Canadá. No obstante, otras fuentes </w:t>
      </w:r>
      <w:r w:rsidRPr="00A520BF">
        <w:rPr>
          <w:rFonts w:cs="Arial"/>
          <w:lang w:val="es-ES"/>
        </w:rPr>
        <w:lastRenderedPageBreak/>
        <w:t>confirmaron la disminución de las poblaciones de la especie</w:t>
      </w:r>
      <w:r w:rsidRPr="00A520BF">
        <w:rPr>
          <w:rFonts w:cs="Arial"/>
        </w:rPr>
        <w:fldChar w:fldCharType="begin"/>
      </w:r>
      <w:r w:rsidRPr="00A520BF">
        <w:rPr>
          <w:rFonts w:cs="Arial"/>
          <w:lang w:val="es-419"/>
        </w:rPr>
        <w:instrText xml:space="preserve"> ADDIN ZOTERO_ITEM CSL_CITATION {"citationID":"O5O4ZM0v","properties":{"formattedCitation":"(BirdLife International 2024b)","plainCitation":"(BirdLife International 2024b)","noteIndex":0},"citationItems":[{"id":1347,"uris":["http://zotero.org/users/11283305/items/YXRQG88J"],"itemData":{"id":1347,"type":"report","abstract":"People are destroying and consuming nature at a devastating rate. Birds are our early warning system. BirdLife International is the largest international Partnership for nature conservation.","language":"en","title":"Species factsheet: Lesser Yellowlegs Tringa flavipes","URL":"https://datazone.birdlife.org/species/factsheet/lesser-yellowlegs-tringa-flavipes","author":[{"family":"BirdLife International","given":""}],"accessed":{"date-parts":[["2025",10,9]]},"issued":{"date-parts":[["2024"]]}}}],"schema":"https://github.com/citation-style-language/schema/raw/master/csl-citation.json"} </w:instrText>
      </w:r>
      <w:r w:rsidRPr="00A520BF">
        <w:rPr>
          <w:rFonts w:cs="Arial"/>
        </w:rPr>
        <w:fldChar w:fldCharType="separate"/>
      </w:r>
      <w:r w:rsidRPr="00A520BF">
        <w:rPr>
          <w:rFonts w:cs="Arial"/>
          <w:noProof/>
          <w:lang w:val="es-ES"/>
        </w:rPr>
        <w:t xml:space="preserve"> (BirdLife International 2024b)</w:t>
      </w:r>
      <w:r w:rsidRPr="00A520BF">
        <w:rPr>
          <w:rFonts w:cs="Arial"/>
        </w:rPr>
        <w:fldChar w:fldCharType="end"/>
      </w:r>
      <w:r w:rsidRPr="00A520BF">
        <w:rPr>
          <w:rFonts w:cs="Arial"/>
          <w:lang w:val="es-ES"/>
        </w:rPr>
        <w:t>,  lo que colectivamente llevó a la inclusión de la especie en la lista de especies amenazadas como Vulnerable</w:t>
      </w:r>
      <w:r w:rsidRPr="00A520BF">
        <w:rPr>
          <w:rFonts w:cs="Arial"/>
        </w:rPr>
        <w:fldChar w:fldCharType="begin"/>
      </w:r>
      <w:r w:rsidRPr="00A520BF">
        <w:rPr>
          <w:rFonts w:cs="Arial"/>
          <w:lang w:val="es-419"/>
        </w:rPr>
        <w:instrText xml:space="preserve"> ADDIN ZOTERO_ITEM CSL_CITATION {"citationID":"O1kfiHDG","properties":{"formattedCitation":"(BirdLife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flavipes","URL":"https://dx.doi.org/10.2305/IUCN.UK.2024- 2.RLTS.T22693235A208218115.en","author":[{"family":"BirdLife International","given":""}],"issued":{"date-parts":[["2024"]]}}}],"schema":"https://github.com/citation-style-language/schema/raw/master/csl-citation.json"} </w:instrText>
      </w:r>
      <w:r w:rsidRPr="00A520BF">
        <w:rPr>
          <w:rFonts w:cs="Arial"/>
        </w:rPr>
        <w:fldChar w:fldCharType="separate"/>
      </w:r>
      <w:r w:rsidRPr="00A520BF">
        <w:rPr>
          <w:rFonts w:cs="Arial"/>
          <w:noProof/>
          <w:lang w:val="es-ES"/>
        </w:rPr>
        <w:t xml:space="preserve"> (BirdLife International 2024a)</w:t>
      </w:r>
      <w:r w:rsidRPr="00A520BF">
        <w:rPr>
          <w:rFonts w:cs="Arial"/>
        </w:rPr>
        <w:fldChar w:fldCharType="end"/>
      </w:r>
      <w:r w:rsidRPr="00A520BF">
        <w:rPr>
          <w:rFonts w:cs="Arial"/>
          <w:lang w:val="es-ES"/>
        </w:rPr>
        <w:t>.</w:t>
      </w:r>
    </w:p>
    <w:p w14:paraId="4764FEC1" w14:textId="77777777" w:rsidR="00A520BF" w:rsidRPr="00A520BF" w:rsidRDefault="00A520BF" w:rsidP="00A520BF">
      <w:pPr>
        <w:autoSpaceDE w:val="0"/>
        <w:adjustRightInd w:val="0"/>
        <w:spacing w:after="0" w:line="240" w:lineRule="auto"/>
        <w:jc w:val="both"/>
        <w:rPr>
          <w:rFonts w:cs="Arial"/>
          <w:lang w:val="es-ES"/>
        </w:rPr>
      </w:pPr>
    </w:p>
    <w:p w14:paraId="57E789A5"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4.3 </w:t>
      </w:r>
      <w:r w:rsidRPr="00A520BF">
        <w:rPr>
          <w:rFonts w:cs="Arial"/>
          <w:u w:val="single"/>
          <w:lang w:val="es-419"/>
        </w:rPr>
        <w:t xml:space="preserve">Hábitat </w:t>
      </w:r>
    </w:p>
    <w:p w14:paraId="4E252D86" w14:textId="77777777" w:rsidR="00A520BF" w:rsidRDefault="00A520BF" w:rsidP="00A520BF">
      <w:pPr>
        <w:autoSpaceDE w:val="0"/>
        <w:adjustRightInd w:val="0"/>
        <w:spacing w:after="0" w:line="240" w:lineRule="auto"/>
        <w:jc w:val="both"/>
        <w:rPr>
          <w:rFonts w:cs="Arial"/>
          <w:lang w:val="es-ES"/>
        </w:rPr>
      </w:pPr>
    </w:p>
    <w:p w14:paraId="68986A89" w14:textId="088E176C" w:rsidR="00A520BF" w:rsidRPr="00A520BF" w:rsidRDefault="00A520BF" w:rsidP="00A520BF">
      <w:pPr>
        <w:autoSpaceDE w:val="0"/>
        <w:adjustRightInd w:val="0"/>
        <w:spacing w:after="0" w:line="240" w:lineRule="auto"/>
        <w:jc w:val="both"/>
        <w:rPr>
          <w:rFonts w:cs="Arial"/>
          <w:lang w:val="es-ES"/>
        </w:rPr>
      </w:pPr>
      <w:r w:rsidRPr="00A520BF">
        <w:rPr>
          <w:rFonts w:cs="Arial"/>
          <w:lang w:val="es-ES"/>
        </w:rPr>
        <w:t>La especie se reproduce en bosques boreales abiertos y semiabiertos, y en la transición entre los hábitats boscosos y la tundra</w:t>
      </w:r>
      <w:r w:rsidRPr="00A520BF">
        <w:rPr>
          <w:rFonts w:cs="Arial"/>
        </w:rPr>
        <w:fldChar w:fldCharType="begin"/>
      </w:r>
      <w:r w:rsidRPr="00A520BF">
        <w:rPr>
          <w:rFonts w:cs="Arial"/>
          <w:lang w:val="es-419"/>
        </w:rPr>
        <w:instrText xml:space="preserve"> ADDIN ZOTERO_ITEM CSL_CITATION {"citationID":"3nAzfKQu","properties":{"formattedCitation":"(Tibbitts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A520BF">
        <w:rPr>
          <w:rFonts w:cs="Arial"/>
        </w:rPr>
        <w:fldChar w:fldCharType="separate"/>
      </w:r>
      <w:r w:rsidRPr="00A520BF">
        <w:rPr>
          <w:rFonts w:cs="Arial"/>
          <w:lang w:val="es-ES"/>
        </w:rPr>
        <w:t xml:space="preserve"> (Tibbitts y Moskoff 2020)</w:t>
      </w:r>
      <w:r w:rsidRPr="00A520BF">
        <w:rPr>
          <w:rFonts w:cs="Arial"/>
        </w:rPr>
        <w:fldChar w:fldCharType="end"/>
      </w:r>
      <w:r w:rsidRPr="00A520BF">
        <w:rPr>
          <w:rFonts w:cs="Arial"/>
          <w:lang w:val="es-ES"/>
        </w:rPr>
        <w:t>. Esta especie también depende de hábitats marino-costeros y de agua dulce continentales durante la migración, probablemente para acceder a diferentes recursos críticos</w:t>
      </w:r>
      <w:r w:rsidRPr="00A520BF">
        <w:rPr>
          <w:rFonts w:cs="Arial"/>
        </w:rPr>
        <w:fldChar w:fldCharType="begin"/>
      </w:r>
      <w:r w:rsidRPr="00A520BF">
        <w:rPr>
          <w:rFonts w:cs="Arial"/>
          <w:lang w:val="es-419"/>
        </w:rPr>
        <w:instrText xml:space="preserve"> ADDIN ZOTERO_ITEM CSL_CITATION {"citationID":"dvLJ02yb","properties":{"formattedCitation":"(Danyk et al. 2025)","plainCitation":"(Danyk et al. 2025)","noteIndex":0},"citationItems":[{"id":1345,"uris":["http://zotero.org/users/11283305/items/I7NZR8VR"],"itemData":{"id":1345,"type":"article-journal","abstract":"Staging sites provide essential resources for migratory birds to build the energy stores required to fuel long-distance travel between breeding and non-breeding sites. Atlantic Canada is an important staging region for many high-latitude breeding shorebirds during southbound migration. In this region, Lesser Yellowlegs (Tringa flavipes) is observed in both marine coastal and inland freshwater habitats; however, a lack of understanding of how these different habitats are used makes it difficult to make effective species and habitat conservation decisions. We characterized local movement, habitat use, and foraging behavior of Lesser Yellowlegs at marine coastal sites near the Northumberland Strait and freshwater inland sites near the Bay of Fundy using automated radiotelemetry, focal behavioral observations, prey availability samples, and citizen science eBird data. Daily distance moved and overall minimum length of stay did not differ between individuals tagged at marine coastal and freshwater inland sites and individuals were rarely detected moving between the Bay of Fundy and Northumberland Strait, indicating potentially different migratory subpopulations. Coastal sites were used mainly for foraging, whereas roosting behavior predominated at freshwater inland sites. Despite higher proportions of time spent foraging at coastal sites, mean foraging rates when actively searching were similar across all sites, varying only with environmental variables, like cloud cover. Stable isotope analysis of blood plasma suggests similar diets, dominated by marine-derived prey, for all individuals regardless of tagging location. Taken together, these results suggest that staging Lesser Yellowlegs are using both coastal and inland habitat within localized areas to access different critical resources (i.e., foraging vs. resting). The use of multiple sites suggests the potential for flexible staging behavior spread across habitat types that may provide some resilience to climate and land-use change. However, the different functional uses of these sites for access to habitat-specific resources highlights the importance of retaining multiple habitat types across the landscape. This study broadens our understanding of Lesser Yellowlegs staging ecology in a region with little-to-no prior data on this species. We highlight the need to understand functional reliance on different habitats and consider staging site heterogeneity in conservation.","container-title":"Journal of Field Ornithology","DOI":"10.5751/JFO-00659-960305","ISSN":"1557-9263","issue":"3","language":"en","license":"© 2025 by the author(s)","note":"publisher: The Resilience Alliance","source":"journal.afonet.org","title":"Habitat use and local movement of staging Lesser Yellowlegs (&lt;em&gt;Tringa flavipes&lt;/em&gt;) differ between coastal and inland habitat in Atlantic Canada","URL":"https://journal.afonet.org/vol96/iss3/art5/","volume":"96","author":[{"family":"Danyk","given":"Kathryn A. R."},{"family":"Zwaan","given":"Devin R.","dropping-particle":"de"},{"family":"Paquet","given":"Julie"},{"family":"Hamilton","given":"Diana J."}],"accessed":{"date-parts":[["2025",10,9]]},"issued":{"date-parts":[["2025",9,29]]}}}],"schema":"https://github.com/citation-style-language/schema/raw/master/csl-citation.json"} </w:instrText>
      </w:r>
      <w:r w:rsidRPr="00A520BF">
        <w:rPr>
          <w:rFonts w:cs="Arial"/>
        </w:rPr>
        <w:fldChar w:fldCharType="separate"/>
      </w:r>
      <w:r w:rsidRPr="00A520BF">
        <w:rPr>
          <w:rFonts w:cs="Arial"/>
          <w:lang w:val="es-ES"/>
        </w:rPr>
        <w:t xml:space="preserve"> (Danyk </w:t>
      </w:r>
      <w:r w:rsidRPr="00A520BF">
        <w:rPr>
          <w:rFonts w:cs="Arial"/>
          <w:i/>
          <w:iCs/>
          <w:lang w:val="es-ES"/>
        </w:rPr>
        <w:t>et a</w:t>
      </w:r>
      <w:r w:rsidRPr="00A520BF">
        <w:rPr>
          <w:rFonts w:cs="Arial"/>
          <w:lang w:val="es-ES"/>
        </w:rPr>
        <w:t>l. 2025)</w:t>
      </w:r>
      <w:r w:rsidRPr="00A520BF">
        <w:rPr>
          <w:rFonts w:cs="Arial"/>
        </w:rPr>
        <w:fldChar w:fldCharType="end"/>
      </w:r>
      <w:r w:rsidRPr="00A520BF">
        <w:rPr>
          <w:rFonts w:cs="Arial"/>
          <w:lang w:val="es-ES"/>
        </w:rPr>
        <w:t xml:space="preserve">. </w:t>
      </w:r>
      <w:r w:rsidRPr="00A520BF">
        <w:rPr>
          <w:rFonts w:eastAsia="Arial" w:cs="Arial"/>
          <w:lang w:val="es-ES"/>
        </w:rPr>
        <w:t>En la temporada no reproductiva, utiliza una amplia variedad de hábitats de humedales, como orillas de ríos, marismas de agua salada y dulce, manglares, planos lodosos, humedales de pradera y salares</w:t>
      </w:r>
      <w:r w:rsidRPr="00A520BF">
        <w:rPr>
          <w:rFonts w:cs="Arial"/>
        </w:rPr>
        <w:fldChar w:fldCharType="begin"/>
      </w:r>
      <w:r w:rsidRPr="00A520BF">
        <w:rPr>
          <w:rFonts w:cs="Arial"/>
          <w:lang w:val="es-419"/>
        </w:rPr>
        <w:instrText xml:space="preserve"> ADDIN ZOTERO_ITEM CSL_CITATION {"citationID":"YDD7VMP6","properties":{"formattedCitation":"(Tibbitts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A520BF">
        <w:rPr>
          <w:rFonts w:cs="Arial"/>
        </w:rPr>
        <w:fldChar w:fldCharType="separate"/>
      </w:r>
      <w:r w:rsidRPr="00A520BF">
        <w:rPr>
          <w:rFonts w:cs="Arial"/>
          <w:lang w:val="es-ES"/>
        </w:rPr>
        <w:t xml:space="preserve"> (Tibbitts y Moskoff 2020)</w:t>
      </w:r>
      <w:r w:rsidRPr="00A520BF">
        <w:rPr>
          <w:rFonts w:cs="Arial"/>
        </w:rPr>
        <w:fldChar w:fldCharType="end"/>
      </w:r>
      <w:r w:rsidRPr="00A520BF">
        <w:rPr>
          <w:rFonts w:cs="Arial"/>
          <w:lang w:val="es-ES"/>
        </w:rPr>
        <w:t>.</w:t>
      </w:r>
    </w:p>
    <w:p w14:paraId="3D020664" w14:textId="77777777" w:rsidR="00A520BF" w:rsidRDefault="00A520BF" w:rsidP="00A520BF">
      <w:pPr>
        <w:autoSpaceDE w:val="0"/>
        <w:adjustRightInd w:val="0"/>
        <w:spacing w:after="0" w:line="240" w:lineRule="auto"/>
        <w:jc w:val="both"/>
        <w:rPr>
          <w:rFonts w:cs="Arial"/>
          <w:lang w:val="es-ES"/>
        </w:rPr>
      </w:pPr>
    </w:p>
    <w:p w14:paraId="3A3C03AE" w14:textId="03505CBA" w:rsidR="00A520BF" w:rsidRDefault="00A520BF" w:rsidP="00A520BF">
      <w:pPr>
        <w:autoSpaceDE w:val="0"/>
        <w:adjustRightInd w:val="0"/>
        <w:spacing w:after="0" w:line="240" w:lineRule="auto"/>
        <w:jc w:val="both"/>
        <w:rPr>
          <w:rFonts w:cs="Arial"/>
          <w:lang w:val="es-ES"/>
        </w:rPr>
      </w:pPr>
      <w:r w:rsidRPr="00A520BF">
        <w:rPr>
          <w:rFonts w:cs="Arial"/>
          <w:lang w:val="es-ES"/>
        </w:rPr>
        <w:t xml:space="preserve">Teniendo en cuenta que los individuos de </w:t>
      </w:r>
      <w:r w:rsidRPr="00A520BF">
        <w:rPr>
          <w:rFonts w:cs="Arial"/>
          <w:i/>
          <w:iCs/>
          <w:lang w:val="es-ES"/>
        </w:rPr>
        <w:t xml:space="preserve">Tringa flavipes </w:t>
      </w:r>
      <w:r w:rsidRPr="00A520BF">
        <w:rPr>
          <w:rFonts w:cs="Arial"/>
          <w:lang w:val="es-ES"/>
        </w:rPr>
        <w:t>dependen de muchos hábitats de humedales diferentes, la mayoría de los cuales se han visto gravemente afectados en las últimas décadas</w:t>
      </w:r>
      <w:r w:rsidRPr="00A520BF">
        <w:rPr>
          <w:rFonts w:cs="Arial"/>
        </w:rPr>
        <w:fldChar w:fldCharType="begin"/>
      </w:r>
      <w:r w:rsidRPr="00A520BF">
        <w:rPr>
          <w:rFonts w:cs="Arial"/>
          <w:lang w:val="es-419"/>
        </w:rPr>
        <w:instrText xml:space="preserve"> ADDIN ZOTERO_ITEM CSL_CITATION {"citationID":"2FHF5Q60","properties":{"formattedCitation":"(Ballut-Dajud et al. 2022)","plainCitation":"(Ballut-Dajud et al. 2022)","noteIndex":0},"citationItems":[{"id":196,"uris":["http://zotero.org/users/11283305/items/HNIGD995"],"itemData":{"id":196,"type":"article-journal","abstract":"Despite occupying an area no greater than 8% of the earth’s surface, natural wetland ecosystems fulfill multiple ecological functions: 1. Soil formation and stabilization support, 2. Food, water, and plant biomass supply, 3. Cultural/recreational services, landscape, and ecological tourism, 4. Climate regulation, and 5. Carbon sequestration; with the last one being its most important function. They are subject to direct and indirect incident factors that affect plant productivity and the sequestration of carbon from the soil. Thus, the objective of this review was to identify the incident factors in the loss of area and carbon sequestration in marine, coastal, and continental wetlands that have had an impact on climate change in the last 14 years, globally. The methodology consisted of conducting a literature review in international databases, analyzing a sample of 134 research studies from 37 countries, organized in tables and figures supported by descriptive statistics and content analysis. Global results indicate that agriculture (25%), urbanization (16.8%), aquaculture (10.7%), and industry (7.6%) are incident factors that promote wetlands effective loss affecting continental wetlands more than coastal and marine ones. Regarding carbon sequestration, this is reduced by vegetation loss since GHG emissions raise because the soil is exposed to sun rays, increasing surface temperature and oxidation, and raising organic matter decomposition and the eutrophication phenomenon caused by the previous incident factors that generate wastewater rich in nutrients in their different activities, thus creating biomass and plant growth imbalances, either at the foliage or root levels and altering the accumulation of organic matter and carbon. It is possible to affirm in conclusion that the most affected types of wetlands are: mangroves (25.7%), lagoons (19.11%), and marine waters (11.7%). Furthermore, it was identified that agriculture has a greater incidence in the loss of wetlands, followed by urbanization and industry in a lower percentage.","container-title":"Land","DOI":"10.3390/land11030434","ISSN":"2073-445X","issue":"3","language":"en","license":"http://creativecommons.org/licenses/by/3.0/","note":"number: 3\npublisher: Multidisciplinary Digital Publishing Institute","page":"434","source":"www.mdpi.com","title":"Factors Affecting Wetland Loss: A Review","title-short":"Factors Affecting Wetland Loss","volume":"11","author":[{"family":"Ballut-Dajud","given":"Gastón Antonio"},{"family":"Sandoval Herazo","given":"Luis Carlos"},{"family":"Fernández-Lambert","given":"Gregorio"},{"family":"Marín-Muñiz","given":"José Luis"},{"family":"López Méndez","given":"María Cristina"},{"family":"Betanzo-Torres","given":"Erick Arturo"}],"issued":{"date-parts":[["2022",3]]}}}],"schema":"https://github.com/citation-style-language/schema/raw/master/csl-citation.json"} </w:instrText>
      </w:r>
      <w:r w:rsidRPr="00A520BF">
        <w:rPr>
          <w:rFonts w:cs="Arial"/>
        </w:rPr>
        <w:fldChar w:fldCharType="separate"/>
      </w:r>
      <w:r w:rsidRPr="00A520BF">
        <w:rPr>
          <w:rFonts w:cs="Arial"/>
          <w:lang w:val="es-ES"/>
        </w:rPr>
        <w:t xml:space="preserve"> (Ballut-Dajud </w:t>
      </w:r>
      <w:r w:rsidRPr="00A520BF">
        <w:rPr>
          <w:rFonts w:cs="Arial"/>
          <w:i/>
          <w:iCs/>
          <w:lang w:val="es-ES"/>
        </w:rPr>
        <w:t>et al.</w:t>
      </w:r>
      <w:r w:rsidRPr="00A520BF">
        <w:rPr>
          <w:rFonts w:cs="Arial"/>
          <w:lang w:val="es-ES"/>
        </w:rPr>
        <w:t xml:space="preserve"> 2022)</w:t>
      </w:r>
      <w:r w:rsidRPr="00A520BF">
        <w:rPr>
          <w:rFonts w:cs="Arial"/>
        </w:rPr>
        <w:fldChar w:fldCharType="end"/>
      </w:r>
      <w:r w:rsidRPr="00A520BF">
        <w:rPr>
          <w:rFonts w:cs="Arial"/>
          <w:lang w:val="es-ES"/>
        </w:rPr>
        <w:t>, se supone que la pérdida y degradación del hábitat es uno de los factores que impulsan la disminución poblacional en esta especie</w:t>
      </w:r>
      <w:r w:rsidRPr="00A520BF">
        <w:rPr>
          <w:rFonts w:cs="Arial"/>
        </w:rPr>
        <w:fldChar w:fldCharType="begin"/>
      </w:r>
      <w:r w:rsidRPr="00A520BF">
        <w:rPr>
          <w:rFonts w:cs="Arial"/>
          <w:lang w:val="es-419"/>
        </w:rPr>
        <w:instrText xml:space="preserve"> ADDIN ZOTERO_ITEM CSL_CITATION {"citationID":"IWFtPLAt","properties":{"formattedCitation":"(Clay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A520BF">
        <w:rPr>
          <w:rFonts w:cs="Arial"/>
        </w:rPr>
        <w:fldChar w:fldCharType="separate"/>
      </w:r>
      <w:r w:rsidRPr="00A520BF">
        <w:rPr>
          <w:rFonts w:cs="Arial"/>
          <w:lang w:val="es-ES"/>
        </w:rPr>
        <w:t xml:space="preserve"> (Clay </w:t>
      </w:r>
      <w:r w:rsidRPr="00A520BF">
        <w:rPr>
          <w:rFonts w:cs="Arial"/>
          <w:i/>
          <w:iCs/>
          <w:lang w:val="es-ES"/>
        </w:rPr>
        <w:t>et a</w:t>
      </w:r>
      <w:r w:rsidRPr="00A520BF">
        <w:rPr>
          <w:rFonts w:cs="Arial"/>
          <w:lang w:val="es-ES"/>
        </w:rPr>
        <w:t>l. 2012)</w:t>
      </w:r>
      <w:r w:rsidRPr="00A520BF">
        <w:rPr>
          <w:rFonts w:cs="Arial"/>
        </w:rPr>
        <w:fldChar w:fldCharType="end"/>
      </w:r>
      <w:r w:rsidRPr="00A520BF">
        <w:rPr>
          <w:rFonts w:cs="Arial"/>
          <w:lang w:val="es-ES"/>
        </w:rPr>
        <w:t xml:space="preserve">. </w:t>
      </w:r>
      <w:r w:rsidRPr="00A520BF">
        <w:rPr>
          <w:rFonts w:eastAsia="Arial" w:cs="Arial"/>
          <w:lang w:val="es-ES"/>
        </w:rPr>
        <w:t xml:space="preserve">En las áreas no reproductivas, uno de los factores más importantes que contribuyen a la pérdida de hábitat es la expansión de los cultivos de soja, especialmente en la región Pampeana argentina, donde los humedales y los cultivos inundados han sido reemplazados de manera constante </w:t>
      </w:r>
      <w:r w:rsidRPr="00A520BF">
        <w:rPr>
          <w:rFonts w:cs="Arial"/>
        </w:rPr>
        <w:fldChar w:fldCharType="begin"/>
      </w:r>
      <w:r w:rsidRPr="00A520BF">
        <w:rPr>
          <w:rFonts w:cs="Arial"/>
          <w:lang w:val="es-419"/>
        </w:rPr>
        <w:instrText xml:space="preserve"> ADDIN ZOTERO_ITEM CSL_CITATION {"citationID":"2M6246JD","properties":{"formattedCitation":"(Urcola et al. 2015)","plainCitation":"(Urcola et al. 2015)","noteIndex":0},"citationItems":[{"id":1349,"uris":["http://zotero.org/users/11283305/items/3L36YUXQ"],"itemData":{"id":1349,"type":"article-journal","abstract":"In Argentina, the recent expansion of agriculture has turned into an extreme process almost completely dominated by soybean. The magnitude and speed of soybean expansion are believed to be the main drivers behind social, organizational and economic changes, including the displacement of small-scale producers out of agriculture. Under these transformations, land leasing is a critical management practice and constitutes a link among agricultural actors. This study analyzes changes in land tenancy patterns considering the recent agriculturization process but also older drivers of change. Our results indicate that the expansion of agriculture affects small- and large-scale farms differently, as land renting practices and productive orientation show clear differences by size. In the land leasing market, local producers are the main tenants while sowing pools rent about one quarter of the leased </w:instrText>
      </w:r>
      <w:r w:rsidRPr="00A520BF">
        <w:rPr>
          <w:rFonts w:cs="Arial"/>
          <w:lang w:val="es-ES"/>
        </w:rPr>
        <w:instrText xml:space="preserve">land. The competition for leasing farmland appears to operate within farm sizes. Small- and medium-scale producers compete among them for land, while large-scale local producers compete with sowing pools for the larger plots. Sowing pools do not appear to be the main drivers of land tenancy changes as they are no more relevant than local actors in the land leasing market. However, results suggest that small-scale landowners renting out their land for several years are the ones with higher probabilities of selling their lands. This segment of producers appears to be the one most negatively affected by soybeanization.","container-title":"Journal of Rural Studies","DOI":"10.1016/j.jrurstud.2015.03.001","ISSN":"0743-0167","journalAbbreviation":"Journal of Rural Studies","page":"32-40","source":"ScienceDirect","title":"Land tenancy, soybean, actors and transformations in the pampas: A district balance","title-short":"Land tenancy, soybean, actors and transformations in the pampas","volume":"39","author":[{"family":"Urcola","given":"Hernán A."},{"family":"Sartre","given":"Xavier Arnauld","non-dropping-particle":"de"},{"family":"Veiga","given":"Iran"},{"family":"Elverdin","given":"Julio"},{"family":"Albaladejo","given":"Christophe"}],"issued":{"date-parts":[["2015",6,1]]}}}],"schema":"https://github.com/citation-style-language/schema/raw/master/csl-citation.json"} </w:instrText>
      </w:r>
      <w:r w:rsidRPr="00A520BF">
        <w:rPr>
          <w:rFonts w:cs="Arial"/>
        </w:rPr>
        <w:fldChar w:fldCharType="separate"/>
      </w:r>
      <w:r w:rsidRPr="00A520BF">
        <w:rPr>
          <w:rFonts w:cs="Arial"/>
          <w:lang w:val="es-ES"/>
        </w:rPr>
        <w:t xml:space="preserve">(Urcola </w:t>
      </w:r>
      <w:r w:rsidRPr="00A520BF">
        <w:rPr>
          <w:rFonts w:cs="Arial"/>
          <w:i/>
          <w:iCs/>
          <w:lang w:val="es-ES"/>
        </w:rPr>
        <w:t>et al.</w:t>
      </w:r>
      <w:r w:rsidRPr="00A520BF">
        <w:rPr>
          <w:rFonts w:cs="Arial"/>
          <w:lang w:val="es-ES"/>
        </w:rPr>
        <w:t xml:space="preserve"> 2015)</w:t>
      </w:r>
      <w:r w:rsidRPr="00A520BF">
        <w:rPr>
          <w:rFonts w:cs="Arial"/>
        </w:rPr>
        <w:fldChar w:fldCharType="end"/>
      </w:r>
      <w:r w:rsidRPr="00A520BF">
        <w:rPr>
          <w:rFonts w:cs="Arial"/>
          <w:lang w:val="es-ES"/>
        </w:rPr>
        <w:t>.</w:t>
      </w:r>
    </w:p>
    <w:p w14:paraId="729A4995" w14:textId="77777777" w:rsidR="00A520BF" w:rsidRPr="00A520BF" w:rsidRDefault="00A520BF" w:rsidP="00A520BF">
      <w:pPr>
        <w:autoSpaceDE w:val="0"/>
        <w:adjustRightInd w:val="0"/>
        <w:spacing w:after="0" w:line="240" w:lineRule="auto"/>
        <w:jc w:val="both"/>
        <w:rPr>
          <w:rFonts w:cs="Arial"/>
          <w:lang w:val="es-ES"/>
        </w:rPr>
      </w:pPr>
    </w:p>
    <w:p w14:paraId="2B65F1FE"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4.4 </w:t>
      </w:r>
      <w:r w:rsidRPr="00A520BF">
        <w:rPr>
          <w:rFonts w:cs="Arial"/>
          <w:u w:val="single"/>
          <w:lang w:val="es-419"/>
        </w:rPr>
        <w:t>Características biológicas</w:t>
      </w:r>
    </w:p>
    <w:p w14:paraId="0C16CA2B" w14:textId="77777777" w:rsidR="00A520BF" w:rsidRDefault="00A520BF" w:rsidP="00A520BF">
      <w:pPr>
        <w:autoSpaceDE w:val="0"/>
        <w:adjustRightInd w:val="0"/>
        <w:spacing w:after="0" w:line="240" w:lineRule="auto"/>
        <w:jc w:val="both"/>
        <w:rPr>
          <w:rFonts w:cs="Arial"/>
          <w:lang w:val="es-ES"/>
        </w:rPr>
      </w:pPr>
    </w:p>
    <w:p w14:paraId="01017791" w14:textId="2405C301" w:rsidR="00A520BF" w:rsidRDefault="00A520BF" w:rsidP="00A520BF">
      <w:pPr>
        <w:autoSpaceDE w:val="0"/>
        <w:adjustRightInd w:val="0"/>
        <w:spacing w:after="0" w:line="240" w:lineRule="auto"/>
        <w:jc w:val="both"/>
        <w:rPr>
          <w:rFonts w:cs="Arial"/>
          <w:lang w:val="es-ES"/>
        </w:rPr>
      </w:pPr>
      <w:r w:rsidRPr="00A520BF">
        <w:rPr>
          <w:rFonts w:cs="Arial"/>
          <w:lang w:val="es-ES"/>
        </w:rPr>
        <w:t>Los individuos suelen migrar en pequeñas bandadas, aunque pueden concentrarse en grandes cantidades en lugares donde no se reproducen. Esta especie es muy fiel a sus lugares de reproducción</w:t>
      </w:r>
      <w:r w:rsidRPr="00A520BF">
        <w:rPr>
          <w:rFonts w:cs="Arial"/>
        </w:rPr>
        <w:fldChar w:fldCharType="begin"/>
      </w:r>
      <w:r w:rsidRPr="00A520BF">
        <w:rPr>
          <w:rFonts w:cs="Arial"/>
          <w:lang w:val="es-419"/>
        </w:rPr>
        <w:instrText xml:space="preserve"> ADDIN ZOTERO_ITEM CSL_CITATION {"citationID":"ygxVoLKZ","properties":{"formattedCitation":"(Christie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 median dispersal distance of 629 m. While our telemetry data revealed limited breeding dispersal in adults, genetic data uncovered significant interconnectedness across the species’ range. Very little genetic structure was estimated at ddRAD autosomal (</w:instrText>
      </w:r>
      <w:r w:rsidRPr="00A520BF">
        <w:rPr>
          <w:rFonts w:cs="Arial"/>
        </w:rPr>
        <w:instrText>Φ</w:instrText>
      </w:r>
      <w:r w:rsidRPr="00A520BF">
        <w:rPr>
          <w:rFonts w:cs="Arial"/>
          <w:lang w:val="es-419"/>
        </w:rPr>
        <w:instrText>ST = 0.001), Z-linked (</w:instrText>
      </w:r>
      <w:r w:rsidRPr="00A520BF">
        <w:rPr>
          <w:rFonts w:cs="Arial"/>
        </w:rPr>
        <w:instrText>Φ</w:instrText>
      </w:r>
      <w:r w:rsidRPr="00A520BF">
        <w:rPr>
          <w:rFonts w:cs="Arial"/>
          <w:lang w:val="es-419"/>
        </w:rPr>
        <w:instrText>ST = 0.001), and mtDNA loci (</w:instrText>
      </w:r>
      <w:r w:rsidRPr="00A520BF">
        <w:rPr>
          <w:rFonts w:cs="Arial"/>
        </w:rPr>
        <w:instrText>Φ</w:instrText>
      </w:r>
      <w:r w:rsidRPr="00A520BF">
        <w:rPr>
          <w:rFonts w:cs="Arial"/>
          <w:lang w:val="es-419"/>
        </w:rPr>
        <w:instrText xml:space="preserve">ST = 0.020), and maximum likelihood-based clustering methods placed all individuals in a single cluster regardless of capture location, indicating the species is panmictic. Our data indicate that large-scale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A."}],"issued":{"date-parts":[["2023",5]]}}}],"schema":"https://github.com/citation-style-language/schema/raw/master/csl-citation.json"} </w:instrText>
      </w:r>
      <w:r w:rsidRPr="00A520BF">
        <w:rPr>
          <w:rFonts w:cs="Arial"/>
        </w:rPr>
        <w:fldChar w:fldCharType="separate"/>
      </w:r>
      <w:r w:rsidRPr="00A520BF">
        <w:rPr>
          <w:rFonts w:cs="Arial"/>
          <w:lang w:val="es-ES"/>
        </w:rPr>
        <w:t xml:space="preserve"> (Christie </w:t>
      </w:r>
      <w:r w:rsidRPr="00A520BF">
        <w:rPr>
          <w:rFonts w:cs="Arial"/>
          <w:i/>
          <w:iCs/>
          <w:lang w:val="es-ES"/>
        </w:rPr>
        <w:t>et al</w:t>
      </w:r>
      <w:r w:rsidRPr="00A520BF">
        <w:rPr>
          <w:rFonts w:cs="Arial"/>
          <w:lang w:val="es-ES"/>
        </w:rPr>
        <w:t>. 2023)</w:t>
      </w:r>
      <w:r w:rsidRPr="00A520BF">
        <w:rPr>
          <w:rFonts w:cs="Arial"/>
        </w:rPr>
        <w:fldChar w:fldCharType="end"/>
      </w:r>
      <w:r w:rsidRPr="00A520BF">
        <w:rPr>
          <w:rFonts w:cs="Arial"/>
          <w:lang w:val="es-ES"/>
        </w:rPr>
        <w:t>, y forman parejas a los pocos días de llegar a las zonas de reproducción, poniendo los huevos unas dos semanas más tarde. Anidan en el suelo y suelen poner cuatro huevos. La incubación la comparten ambos sexos. Los polluelos son precoces y abandonan el nido a las pocas horas de la eclosión de todos los huevos. Se alimentan por sí mismos después de abandonar el nido, aunque ambos padres los llevan a las zonas de alimentación. Los individuos juveniles se dispersan ampliamente</w:t>
      </w:r>
      <w:r w:rsidRPr="00A520BF">
        <w:rPr>
          <w:rFonts w:cs="Arial"/>
        </w:rPr>
        <w:fldChar w:fldCharType="begin"/>
      </w:r>
      <w:r w:rsidRPr="00A520BF">
        <w:rPr>
          <w:rFonts w:cs="Arial"/>
          <w:lang w:val="es-ES"/>
        </w:rPr>
        <w:instrText xml:space="preserve"> ADDIN ZOTERO_ITEM CSL_CITATION {"citationID":"lWgXEfI1","properties":{"formattedCitation":"(Christie et al. 2023)","plainCitation":"(Christie et al. 2023)","noteIndex":0},"citationItems":[{"id":1337,"uris":["http://zotero.org/users/11283305/items/22E3LVUR"],"itemData":{"id":1337,"type":"article-journal","abstract":"Integrating tracking technology and molecular approaches provides a comprehensive picture of contemporary and evolutionary mechanisms promoting connectivity. We used mitochondrial DNA and double digest restriction-site associated DNA (ddRAD) sequencing combined with satellite telemetry to investigate the connectivity of geographically disparate breeding populations of a declining boreal shorebird, the lesser yellowlegs (Tringa flavipes). We were able to track 33 individuals on their round-trip migrations to Central and South America and back to the boreal wetlands of North America. Nearly all (93%) adults captured on the breeding grounds returned to within 5 km of the original capture site, with a median dispersal distance of 629 m. While our telemetry data revealed limited breeding dispersal in adults, genetic data uncovered significant interconnectedness across the species’ range. Very little genetic structure was estimated at ddRAD autosomal (</w:instrText>
      </w:r>
      <w:r w:rsidRPr="00A520BF">
        <w:rPr>
          <w:rFonts w:cs="Arial"/>
        </w:rPr>
        <w:instrText>Φ</w:instrText>
      </w:r>
      <w:r w:rsidRPr="00A520BF">
        <w:rPr>
          <w:rFonts w:cs="Arial"/>
          <w:lang w:val="es-ES"/>
        </w:rPr>
        <w:instrText>ST = 0.001), Z-linked (</w:instrText>
      </w:r>
      <w:r w:rsidRPr="00A520BF">
        <w:rPr>
          <w:rFonts w:cs="Arial"/>
        </w:rPr>
        <w:instrText>Φ</w:instrText>
      </w:r>
      <w:r w:rsidRPr="00A520BF">
        <w:rPr>
          <w:rFonts w:cs="Arial"/>
          <w:lang w:val="es-ES"/>
        </w:rPr>
        <w:instrText>ST = 0.001), and mtDNA loci (</w:instrText>
      </w:r>
      <w:r w:rsidRPr="00A520BF">
        <w:rPr>
          <w:rFonts w:cs="Arial"/>
        </w:rPr>
        <w:instrText>Φ</w:instrText>
      </w:r>
      <w:r w:rsidRPr="00A520BF">
        <w:rPr>
          <w:rFonts w:cs="Arial"/>
          <w:lang w:val="es-ES"/>
        </w:rPr>
        <w:instrText xml:space="preserve">ST = 0.020), and maximum likelihood-based clustering methods placed all individuals in a single cluster regardless of capture location, indicating the species is panmictic. Our data indicate that large-scale juvenile dispersal is the main mechanism maintaining connectivity in this species, resulting in the absence of genomic structure.","container-title":"Diversity","DOI":"10.3390/d15050595","ISSN":"1424-2818","issue":"5","language":"en","license":"http://creativecommons.org/licenses/by/3.0/","note":"publisher: Multidisciplinary Digital Publishing Institute","page":"595","source":"www.mdpi.com","title":"Movement and Genomic Methods Reveal Mechanisms Promoting Connectivity in a Declining Shorebird: The Lesser Yellowlegs","title-short":"Movement and Genomic Methods Reveal Mechanisms Promoting Connectivity in a Declining Shorebird","volume":"15","author":[{"family":"Christie","given":"Katherine"},{"family":"Wilson","given":"Robert E."},{"family":"Johnson","given":"James A."},{"family":"Friis","given":"Christian"},{"family":"Harwood","given":"Christopher M."},{"family":"McDuffie","given":"Laura A."},{"family":"Nol","given":"Erica"},{"family":"Sonsthagen","given":"Sarah A."}],"issued":{"date-parts":[["2023",5]]}}}],"schema":"https://github.com/citation-style-language/schema/raw/master/csl-citation.json"} </w:instrText>
      </w:r>
      <w:r w:rsidRPr="00A520BF">
        <w:rPr>
          <w:rFonts w:cs="Arial"/>
        </w:rPr>
        <w:fldChar w:fldCharType="separate"/>
      </w:r>
      <w:r w:rsidRPr="00A520BF">
        <w:rPr>
          <w:rFonts w:cs="Arial"/>
          <w:lang w:val="es-ES"/>
        </w:rPr>
        <w:t xml:space="preserve"> (Christie </w:t>
      </w:r>
      <w:r w:rsidRPr="00A520BF">
        <w:rPr>
          <w:rFonts w:cs="Arial"/>
          <w:i/>
          <w:iCs/>
          <w:lang w:val="es-ES"/>
        </w:rPr>
        <w:t>et al</w:t>
      </w:r>
      <w:r w:rsidRPr="00A520BF">
        <w:rPr>
          <w:rFonts w:cs="Arial"/>
          <w:lang w:val="es-ES"/>
        </w:rPr>
        <w:t>. 2023)</w:t>
      </w:r>
      <w:r w:rsidRPr="00A520BF">
        <w:rPr>
          <w:rFonts w:cs="Arial"/>
        </w:rPr>
        <w:fldChar w:fldCharType="end"/>
      </w:r>
      <w:r w:rsidRPr="00A520BF">
        <w:rPr>
          <w:rFonts w:cs="Arial"/>
          <w:lang w:val="es-ES"/>
        </w:rPr>
        <w:t>. La especie se alimenta de vertebrados acuáticos y terrestres, como moscas y escarabajos</w:t>
      </w:r>
      <w:r w:rsidRPr="00A520BF">
        <w:rPr>
          <w:rFonts w:cs="Arial"/>
        </w:rPr>
        <w:fldChar w:fldCharType="begin"/>
      </w:r>
      <w:r w:rsidRPr="00A520BF">
        <w:rPr>
          <w:rFonts w:cs="Arial"/>
          <w:lang w:val="es-419"/>
        </w:rPr>
        <w:instrText xml:space="preserve"> ADDIN ZOTERO_ITEM CSL_CITATION {"citationID":"l8SmGKmc","properties":{"formattedCitation":"(Tibbitts and Moskoff 2020)","plainCitation":"(Tibbitts and Moskoff 2020)","noteIndex":0},"citationItems":[{"id":1333,"uris":["http://zotero.org/users/11283305/items/LXPPU6U8"],"itemData":{"id":1333,"type":"article-journal","abstract":"Species accounts for all the birds of the world.","container-title":"Birds of the World","DOI":"10.2173/bow.lesyel.01","ISSN":"2771-3105","language":"en","note":"publisher: Cornell Lab of Ornithology, Ithaca, NY, USA","source":"birdsoftheworld-org.proxy.birdsoftheworld.org","title":"Lesser Yellowlegs (Tringa flavipes), version 1.0","URL":"https://birdsoftheworld-org.proxy.birdsoftheworld.org/bow/species/lesyel/cur/introduction","author":[{"family":"Tibbitts","given":"T. Lee"},{"family":"Moskoff","given":"William"}],"accessed":{"date-parts":[["2025",10,8]]},"issued":{"date-parts":[["2020"]]}}}],"schema":"https://github.com/citation-style-language/schema/raw/master/csl-citation.json"} </w:instrText>
      </w:r>
      <w:r w:rsidRPr="00A520BF">
        <w:rPr>
          <w:rFonts w:cs="Arial"/>
        </w:rPr>
        <w:fldChar w:fldCharType="separate"/>
      </w:r>
      <w:r w:rsidRPr="00A520BF">
        <w:rPr>
          <w:rFonts w:cs="Arial"/>
          <w:lang w:val="es-ES"/>
        </w:rPr>
        <w:t xml:space="preserve"> (Tibbitts y Moskoff 2020)</w:t>
      </w:r>
      <w:r w:rsidRPr="00A520BF">
        <w:rPr>
          <w:rFonts w:cs="Arial"/>
        </w:rPr>
        <w:fldChar w:fldCharType="end"/>
      </w:r>
      <w:r w:rsidRPr="00A520BF">
        <w:rPr>
          <w:rFonts w:cs="Arial"/>
          <w:lang w:val="es-ES"/>
        </w:rPr>
        <w:t xml:space="preserve">. </w:t>
      </w:r>
    </w:p>
    <w:p w14:paraId="5094EFBA" w14:textId="77777777" w:rsidR="00A520BF" w:rsidRPr="00A520BF" w:rsidRDefault="00A520BF" w:rsidP="00A520BF">
      <w:pPr>
        <w:autoSpaceDE w:val="0"/>
        <w:adjustRightInd w:val="0"/>
        <w:spacing w:after="0" w:line="240" w:lineRule="auto"/>
        <w:jc w:val="both"/>
        <w:rPr>
          <w:rFonts w:cs="Arial"/>
          <w:lang w:val="es-ES"/>
        </w:rPr>
      </w:pPr>
    </w:p>
    <w:p w14:paraId="3054A46F"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4.5 </w:t>
      </w:r>
      <w:r w:rsidRPr="00A520BF">
        <w:rPr>
          <w:rFonts w:cs="Arial"/>
          <w:u w:val="single"/>
          <w:lang w:val="es-419"/>
        </w:rPr>
        <w:t xml:space="preserve">Función del taxón en su ecosistema </w:t>
      </w:r>
    </w:p>
    <w:p w14:paraId="0EBD89F3" w14:textId="77777777" w:rsidR="00A520BF" w:rsidRDefault="00A520BF" w:rsidP="00A520BF">
      <w:pPr>
        <w:autoSpaceDE w:val="0"/>
        <w:adjustRightInd w:val="0"/>
        <w:spacing w:after="0" w:line="240" w:lineRule="auto"/>
        <w:jc w:val="both"/>
        <w:rPr>
          <w:rFonts w:cs="Arial"/>
          <w:lang w:val="es-ES"/>
        </w:rPr>
      </w:pPr>
    </w:p>
    <w:p w14:paraId="3A34F6FD" w14:textId="7CBD8C55" w:rsidR="00A520BF" w:rsidRDefault="00A520BF" w:rsidP="00A520BF">
      <w:pPr>
        <w:autoSpaceDE w:val="0"/>
        <w:adjustRightInd w:val="0"/>
        <w:spacing w:after="0" w:line="240" w:lineRule="auto"/>
        <w:jc w:val="both"/>
        <w:rPr>
          <w:rFonts w:cs="Arial"/>
          <w:lang w:val="es-ES"/>
        </w:rPr>
      </w:pPr>
      <w:r w:rsidRPr="00A520BF">
        <w:rPr>
          <w:rFonts w:cs="Arial"/>
          <w:lang w:val="es-ES"/>
        </w:rPr>
        <w:t>La especie se alimenta de invertebrados, como insectos, por lo que desempeña principalmente la función de controlar la abundancia de estos taxa</w:t>
      </w:r>
      <w:r w:rsidRPr="00A520BF">
        <w:rPr>
          <w:rFonts w:cs="Arial"/>
        </w:rPr>
        <w:fldChar w:fldCharType="begin"/>
      </w:r>
      <w:r w:rsidRPr="00A520BF">
        <w:rPr>
          <w:rFonts w:cs="Arial"/>
          <w:lang w:val="es-419"/>
        </w:rPr>
        <w:instrText xml:space="preserve"> ADDIN ZOTERO_ITEM CSL_CITATION {"citationID":"YsJAnt5P","properties":{"formattedCitation":"(Sekercioglu 2006)","plainCitation":"(Sekercioglu 2006)","noteIndex":0},"citationItems":[{"id":636,"uris":["http://zotero.org/users/11283305/items/LPTEANHT"],"itemData":{"id":636,"type":"article-journal","abstract":"Birds are one of the most diverse groups of ecosystem service providers, whose ecological functions range from creating soil to shaping primate behavior, Nevertheless, the impression that birds have little influence on ecological processes has been hard to change. Given the ongoing declines in avian functional groups, there is a pressing need to compare avian ecological functions to those of other taxa, to understand how these functions translate to ecosystem services and to estimate the ecological implications of bird declines. Here, I review the ecological functions of birds, link them to ecosystem services and outline research priorities for understanding avian contributions to ecosystem functioning.","container-title":"Trends in Ecology &amp; Evolution","DOI":"10.1016/j.tree.2006.05.007","ISSN":"0169-5347","issue":"8","journalAbbreviation":"Trends in Ecology &amp; Evolution","page":"464-471","source":"ScienceDirect","title":"Increasing awareness of avian ecological function","volume":"21","author":[{"family":"Sekercioglu","given":"Cagan H."}],"issued":{"date-parts":[["2006",8,1]]}}}],"schema":"https://github.com/citation-style-language/schema/raw/master/csl-citation.json"} </w:instrText>
      </w:r>
      <w:r w:rsidRPr="00A520BF">
        <w:rPr>
          <w:rFonts w:cs="Arial"/>
        </w:rPr>
        <w:fldChar w:fldCharType="separate"/>
      </w:r>
      <w:r w:rsidRPr="00A520BF">
        <w:rPr>
          <w:rFonts w:cs="Arial"/>
          <w:lang w:val="es-ES"/>
        </w:rPr>
        <w:t xml:space="preserve"> (Sekercioglu 2006)</w:t>
      </w:r>
      <w:r w:rsidRPr="00A520BF">
        <w:rPr>
          <w:rFonts w:cs="Arial"/>
        </w:rPr>
        <w:fldChar w:fldCharType="end"/>
      </w:r>
      <w:r w:rsidRPr="00A520BF">
        <w:rPr>
          <w:rFonts w:cs="Arial"/>
          <w:lang w:val="es-ES"/>
        </w:rPr>
        <w:t>. Al ser aves playeras migratorias de larga distancia, también desempeñan un papel importante en el ciclo de los nutrientes y conectan los diferentes ecosistemas de los que dependen</w:t>
      </w:r>
      <w:r w:rsidRPr="00A520BF">
        <w:rPr>
          <w:rFonts w:cs="Arial"/>
        </w:rPr>
        <w:fldChar w:fldCharType="begin"/>
      </w:r>
      <w:r w:rsidRPr="00A520BF">
        <w:rPr>
          <w:rFonts w:cs="Arial"/>
          <w:lang w:val="es-419"/>
        </w:rPr>
        <w:instrText xml:space="preserve"> ADDIN ZOTERO_ITEM CSL_CITATION {"citationID":"cYXERmtL","properties":{"formattedCitation":"(Buelow and Sheaves 2015)","plainCitation":"(Buelow and Sheaves 2015)","noteIndex":0},"citationItems":[{"id":687,"uris":["http://zotero.org/users/11283305/items/WTJDS4LJ"],"itemData":{"id":687,"type":"article-journal","abstract":"Considerable advances in understanding of biological connectivity have flowed from studies of fish-facilitated connectivity within the coastal ecosystem mosaic. However, there are limits to the information that fish can provide on connectivity. Mangrove-bird communities have the potential to connect coastal habitats in different ways and at different scales than fish, so incorporation of these links into our models of coastal ecosystem mosaics affords the opportunity to greatly increase the breadth of our understanding. We review the habitat and foraging requirements of mangrove-bird functional groups to understand how bird use of mangroves facilitates biological connectivity in coastal ecosystem mosaics, and how that connectivity adds to the diversity and complexity of ecological processes in mangrove ecosystems. Avian biological connectivity is primarily characterized by foraging behavior and habitat/resource requirements. Therefore, the consequence of bird links for coastal ecosystem functioning largely depends on patterns of habitat use and foraging, and potentially influences nutrient cycling, top–down control and genetic information linkage. Habitats that experience concentrated bird guano deposition have high levels of nitrogen and phosphorus, placing particular importance on the consequences of avian nutrient translocation and subsidization for coastal ecosystem functioning. High mobility allows mangrove-bird communities to link mangrove forests to other mangrove, terrestrial and marine-pelagic systems. Therefore, the spatial scale of coastal connectivity facilitated by birds is substantially more extensive than fish-facilitated connectivity. In particular, migratory birds link habitats at regional, continental and inter-continental scales as they travel among seasonally available feeding areas from breeding grounds to non-breeding grounds; scales at which there are few fish equivalents. Knowledge of the nature and patterns of fish connectivity have contributed to shifting the initial, historical perception of mangrove-ecosystem functioning from that of a simple system based on nutrient and energy retention, to a view that includes fish-facilitated energy export. In a similar way, understanding the nature and implications of mangrove connectivity through bird movements and migrations affords new possibilities for revising our view of the extent of functional links between mangroves and other ecosystems.","container-title":"Estuarine, Coastal and Shelf Science","DOI":"10.1016/j.ecss.2014.10.014","ISSN":"0272-7714","journalAbbreviation":"Estuarine, Coastal and Shelf Science","page":"33-43","source":"ScienceDirect","title":"A birds-eye view of biological connectivity in mangrove systems","volume":"152","author":[{"family":"Buelow","given":"Christina"},{"family":"Sheaves","given":"Marcus"}],"issued":{"date-parts":[["2015",1,5]]}}}],"schema":"https://github.com/citation-style-language/schema/raw/master/csl-citation.json"} </w:instrText>
      </w:r>
      <w:r w:rsidRPr="00A520BF">
        <w:rPr>
          <w:rFonts w:cs="Arial"/>
        </w:rPr>
        <w:fldChar w:fldCharType="separate"/>
      </w:r>
      <w:r w:rsidRPr="00A520BF">
        <w:rPr>
          <w:rFonts w:cs="Arial"/>
          <w:lang w:val="es-ES"/>
        </w:rPr>
        <w:t xml:space="preserve"> (Buelow y Sheaves 2015)</w:t>
      </w:r>
      <w:r w:rsidRPr="00A520BF">
        <w:rPr>
          <w:rFonts w:cs="Arial"/>
        </w:rPr>
        <w:fldChar w:fldCharType="end"/>
      </w:r>
      <w:r w:rsidRPr="00A520BF">
        <w:rPr>
          <w:rFonts w:cs="Arial"/>
          <w:lang w:val="es-ES"/>
        </w:rPr>
        <w:t>.</w:t>
      </w:r>
    </w:p>
    <w:p w14:paraId="7ED49151" w14:textId="77777777" w:rsidR="00A520BF" w:rsidRPr="00A520BF" w:rsidRDefault="00A520BF" w:rsidP="00A520BF">
      <w:pPr>
        <w:autoSpaceDE w:val="0"/>
        <w:adjustRightInd w:val="0"/>
        <w:spacing w:after="0" w:line="240" w:lineRule="auto"/>
        <w:jc w:val="both"/>
        <w:rPr>
          <w:rFonts w:cs="Arial"/>
          <w:lang w:val="es-ES"/>
        </w:rPr>
      </w:pPr>
    </w:p>
    <w:p w14:paraId="1CF423E3" w14:textId="77777777" w:rsidR="00A520BF" w:rsidRPr="00A520BF" w:rsidRDefault="00A520BF" w:rsidP="00A520BF">
      <w:pPr>
        <w:keepNext/>
        <w:autoSpaceDE w:val="0"/>
        <w:adjustRightInd w:val="0"/>
        <w:spacing w:after="0" w:line="240" w:lineRule="auto"/>
        <w:jc w:val="both"/>
        <w:rPr>
          <w:rFonts w:cs="Arial"/>
          <w:b/>
          <w:bCs/>
          <w:lang w:val="es-419"/>
        </w:rPr>
      </w:pPr>
      <w:r w:rsidRPr="00A520BF">
        <w:rPr>
          <w:rFonts w:cs="Arial"/>
          <w:b/>
          <w:bCs/>
          <w:lang w:val="es-419"/>
        </w:rPr>
        <w:t xml:space="preserve">5. Estado de conservación y amenazas </w:t>
      </w:r>
    </w:p>
    <w:p w14:paraId="5F381B95" w14:textId="77777777" w:rsidR="00A520BF" w:rsidRDefault="00A520BF" w:rsidP="00A520BF">
      <w:pPr>
        <w:keepNext/>
        <w:autoSpaceDE w:val="0"/>
        <w:adjustRightInd w:val="0"/>
        <w:spacing w:after="0" w:line="240" w:lineRule="auto"/>
        <w:jc w:val="both"/>
        <w:rPr>
          <w:rFonts w:cs="Arial"/>
          <w:lang w:val="es-419"/>
        </w:rPr>
      </w:pPr>
    </w:p>
    <w:p w14:paraId="5D1180B2" w14:textId="3BD7C1F1"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5.1 </w:t>
      </w:r>
      <w:r w:rsidRPr="00A520BF">
        <w:rPr>
          <w:rFonts w:cs="Arial"/>
          <w:u w:val="single"/>
          <w:lang w:val="es-419"/>
        </w:rPr>
        <w:t>Evaluación de la Lista Roja de la UICN</w:t>
      </w:r>
    </w:p>
    <w:p w14:paraId="04EE18E6" w14:textId="77777777" w:rsidR="00A520BF" w:rsidRDefault="00A520BF" w:rsidP="00A520BF">
      <w:pPr>
        <w:autoSpaceDE w:val="0"/>
        <w:adjustRightInd w:val="0"/>
        <w:spacing w:after="0" w:line="240" w:lineRule="auto"/>
        <w:jc w:val="both"/>
        <w:rPr>
          <w:rFonts w:cs="Arial"/>
          <w:i/>
          <w:iCs/>
          <w:lang w:val="es-ES"/>
        </w:rPr>
      </w:pPr>
    </w:p>
    <w:p w14:paraId="03832694" w14:textId="06870597" w:rsidR="00A520BF" w:rsidRDefault="00A520BF" w:rsidP="00A520BF">
      <w:pPr>
        <w:autoSpaceDE w:val="0"/>
        <w:adjustRightInd w:val="0"/>
        <w:spacing w:after="0" w:line="240" w:lineRule="auto"/>
        <w:jc w:val="both"/>
        <w:rPr>
          <w:rFonts w:cs="Arial"/>
          <w:lang w:val="es-ES"/>
        </w:rPr>
      </w:pPr>
      <w:r w:rsidRPr="00A520BF">
        <w:rPr>
          <w:rFonts w:cs="Arial"/>
          <w:i/>
          <w:iCs/>
          <w:lang w:val="es-ES"/>
        </w:rPr>
        <w:t>Tringa flavipes</w:t>
      </w:r>
      <w:r w:rsidRPr="00A520BF">
        <w:rPr>
          <w:rFonts w:cs="Arial"/>
          <w:lang w:val="es-ES"/>
        </w:rPr>
        <w:t xml:space="preserve"> está clasificado como Vulnerable en la última evaluación de la Lista Roja de la UICN</w:t>
      </w:r>
      <w:r w:rsidRPr="00A520BF">
        <w:rPr>
          <w:rFonts w:cs="Arial"/>
        </w:rPr>
        <w:fldChar w:fldCharType="begin"/>
      </w:r>
      <w:r w:rsidRPr="00A520BF">
        <w:rPr>
          <w:rFonts w:cs="Arial"/>
          <w:lang w:val="es-419"/>
        </w:rPr>
        <w:instrText xml:space="preserve"> ADDIN ZOTERO_ITEM CSL_CITATION {"citationID":"R5vnuoZw","properties":{"formattedCitation":"(BirdLife International 2024a)","plainCitation":"(BirdLife International 2024a)","noteIndex":0},"citationItems":[{"id":1332,"uris":["http://zotero.org/users/11283305/items/TR9DAB32"],"itemData":{"id":1332,"type":"report","collection-title":"The IUCN Red List of Threatened Species 2024","title":"Tringa flavipes","URL":"https://dx.doi.org/10.2305/IUCN.UK.2024- 2.RLTS.T22693235A208218115.en","author":[{"family":"BirdLife International","given":""}],"issued":{"date-parts":[["2024"]]}}}],"schema":"https://github.com/citation-style-language/schema/raw/master/csl-citation.json"} </w:instrText>
      </w:r>
      <w:r w:rsidRPr="00A520BF">
        <w:rPr>
          <w:rFonts w:cs="Arial"/>
        </w:rPr>
        <w:fldChar w:fldCharType="separate"/>
      </w:r>
      <w:r w:rsidRPr="00A520BF">
        <w:rPr>
          <w:rFonts w:cs="Arial"/>
          <w:lang w:val="es-ES"/>
        </w:rPr>
        <w:t xml:space="preserve"> (BirdLife International 2024a)</w:t>
      </w:r>
      <w:r w:rsidRPr="00A520BF">
        <w:rPr>
          <w:rFonts w:cs="Arial"/>
        </w:rPr>
        <w:fldChar w:fldCharType="end"/>
      </w:r>
      <w:r w:rsidRPr="00A520BF">
        <w:rPr>
          <w:rFonts w:cs="Arial"/>
          <w:lang w:val="es-ES"/>
        </w:rPr>
        <w:t>. En evaluaciones anteriores, la especie estaba clasificada como de Preocupación Menor, y el reciente cambio de categoría se debe a la acumulación de pruebas de la disminución poblacional.</w:t>
      </w:r>
    </w:p>
    <w:p w14:paraId="0821F3C4" w14:textId="77777777" w:rsidR="00A520BF" w:rsidRPr="00A520BF" w:rsidRDefault="00A520BF" w:rsidP="00A520BF">
      <w:pPr>
        <w:autoSpaceDE w:val="0"/>
        <w:adjustRightInd w:val="0"/>
        <w:spacing w:after="0" w:line="240" w:lineRule="auto"/>
        <w:jc w:val="both"/>
        <w:rPr>
          <w:rFonts w:cs="Arial"/>
          <w:lang w:val="es-ES"/>
        </w:rPr>
      </w:pPr>
    </w:p>
    <w:p w14:paraId="596B9D2F"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5.2 </w:t>
      </w:r>
      <w:r w:rsidRPr="00A520BF">
        <w:rPr>
          <w:rFonts w:eastAsia="Arial" w:cs="Arial"/>
          <w:u w:val="single"/>
          <w:lang w:val="es-419"/>
        </w:rPr>
        <w:t>Información equivalente relevante para la evaluación del estado de conservación</w:t>
      </w:r>
    </w:p>
    <w:p w14:paraId="789A54D6" w14:textId="77777777" w:rsidR="00A520BF" w:rsidRDefault="00A520BF" w:rsidP="00A520BF">
      <w:pPr>
        <w:autoSpaceDE w:val="0"/>
        <w:adjustRightInd w:val="0"/>
        <w:spacing w:after="0" w:line="240" w:lineRule="auto"/>
        <w:jc w:val="both"/>
        <w:rPr>
          <w:rFonts w:cs="Arial"/>
          <w:lang w:val="es-ES"/>
        </w:rPr>
      </w:pPr>
    </w:p>
    <w:p w14:paraId="1079EE5E" w14:textId="19915C9B" w:rsidR="00A520BF" w:rsidRPr="00A520BF" w:rsidRDefault="00A520BF" w:rsidP="00A520BF">
      <w:pPr>
        <w:autoSpaceDE w:val="0"/>
        <w:adjustRightInd w:val="0"/>
        <w:spacing w:after="0" w:line="240" w:lineRule="auto"/>
        <w:jc w:val="both"/>
        <w:rPr>
          <w:rFonts w:cs="Arial"/>
          <w:lang w:val="es-ES"/>
        </w:rPr>
      </w:pPr>
      <w:r w:rsidRPr="00A520BF">
        <w:rPr>
          <w:rFonts w:cs="Arial"/>
          <w:lang w:val="es-ES"/>
        </w:rPr>
        <w:lastRenderedPageBreak/>
        <w:t xml:space="preserve">En las tres últimas generaciones, la especie ha disminuido en aproximadamente un 60 % (véanse más detalles en la sección 4.2 de la Fundamentación de la propuesta; Smith </w:t>
      </w:r>
      <w:r w:rsidRPr="00A520BF">
        <w:rPr>
          <w:rFonts w:cs="Arial"/>
          <w:i/>
          <w:iCs/>
          <w:lang w:val="es-ES"/>
        </w:rPr>
        <w:t>et al</w:t>
      </w:r>
      <w:r w:rsidRPr="00A520BF">
        <w:rPr>
          <w:rFonts w:cs="Arial"/>
          <w:lang w:val="es-ES"/>
        </w:rPr>
        <w:t>. 2023). Esta especie también se considera de gran interés para la conservación en Estados Unidos</w:t>
      </w:r>
      <w:r w:rsidRPr="00A520BF">
        <w:rPr>
          <w:rFonts w:cs="Arial"/>
        </w:rPr>
        <w:fldChar w:fldCharType="begin"/>
      </w:r>
      <w:r w:rsidRPr="00A520BF">
        <w:rPr>
          <w:rFonts w:cs="Arial"/>
          <w:lang w:val="es-419"/>
        </w:rPr>
        <w:instrText xml:space="preserve"> ADDIN ZOTERO_ITEM CSL_CITATION {"citationID":"xplhP4Km","properties":{"formattedCitation":"(U.S. Shorebird Conservation Plan Partnership 2016)","plainCitation":"(U.S. Shorebird Conservation Plan Partnership 2016)","noteIndex":0},"citationItems":[{"id":1323,"uris":["http://zotero.org/users/11283305/items/7D64PY53"],"itemData":{"id":1323,"type":"article-journal","title":"Shorebirds of Conservation Concern in the United States of America ─ 2016","URL":"http://www.shorebirdplan.org/science/assessment-conservation-status-shorebirds/","author":[{"family":"U.S. Shorebird Conservation Plan Partnership","given":""}],"issued":{"date-parts":[["2016"]]}}}],"schema":"https://github.com/citation-style-language/schema/raw/master/csl-citation.json"} </w:instrText>
      </w:r>
      <w:r w:rsidRPr="00A520BF">
        <w:rPr>
          <w:rFonts w:cs="Arial"/>
        </w:rPr>
        <w:fldChar w:fldCharType="separate"/>
      </w:r>
      <w:r w:rsidRPr="00A520BF">
        <w:rPr>
          <w:rFonts w:cs="Arial"/>
          <w:lang w:val="es-ES"/>
        </w:rPr>
        <w:t xml:space="preserve"> (U.S. Shorebird Conservation Plan Partnership 2016)</w:t>
      </w:r>
      <w:r w:rsidRPr="00A520BF">
        <w:rPr>
          <w:rFonts w:cs="Arial"/>
        </w:rPr>
        <w:fldChar w:fldCharType="end"/>
      </w:r>
      <w:r w:rsidRPr="00A520BF">
        <w:rPr>
          <w:rFonts w:cs="Arial"/>
          <w:lang w:val="es-ES"/>
        </w:rPr>
        <w:t xml:space="preserve"> y una especie amenazada en Canadá</w:t>
      </w:r>
      <w:r w:rsidRPr="00A520BF">
        <w:rPr>
          <w:rFonts w:cs="Arial"/>
        </w:rPr>
        <w:fldChar w:fldCharType="begin"/>
      </w:r>
      <w:r w:rsidRPr="00A520BF">
        <w:rPr>
          <w:rFonts w:cs="Arial"/>
          <w:lang w:val="es-419"/>
        </w:rPr>
        <w:instrText xml:space="preserve"> ADDIN ZOTERO_ITEM CSL_CITATION {"citationID":"UQnqxVAS","properties":{"formattedCitation":"(COSEWIC 2020)","plainCitation":"(COSEWIC 2020)","noteIndex":0},"citationItems":[{"id":1353,"uris":["http://zotero.org/users/11283305/items/7BKJSYNT"],"itemData":{"id":1353,"type":"report","collection-title":"Species at risk public registry","event-place":"Ottawa","page":"x + 64 pp","publisher":"Committee on the Status of Endangered Wildlife in Canada","publisher-place":"Ottawa","title":"COSEWIC assessment and status report on the Lesser Yellowlegs Tringa flavipes in Canada","URL":"https://www.canada.ca/en/environment-climate-change/services/species-risk-public-registry/cosewic-assessments-status-reports/lesser-yellowlegs-2020.html","author":[{"family":"COSEWIC","given":""}],"issued":{"date-parts":[["2020"]]}}}],"schema":"https://github.com/citation-style-language/schema/raw/master/csl-citation.json"} </w:instrText>
      </w:r>
      <w:r w:rsidRPr="00A520BF">
        <w:rPr>
          <w:rFonts w:cs="Arial"/>
        </w:rPr>
        <w:fldChar w:fldCharType="separate"/>
      </w:r>
      <w:r w:rsidRPr="00A520BF">
        <w:rPr>
          <w:rFonts w:cs="Arial"/>
          <w:lang w:val="es-ES"/>
        </w:rPr>
        <w:t xml:space="preserve"> (COSEWIC 2020)</w:t>
      </w:r>
      <w:r w:rsidRPr="00A520BF">
        <w:rPr>
          <w:rFonts w:cs="Arial"/>
        </w:rPr>
        <w:fldChar w:fldCharType="end"/>
      </w:r>
      <w:r w:rsidRPr="00A520BF">
        <w:rPr>
          <w:rFonts w:cs="Arial"/>
          <w:lang w:val="es-ES"/>
        </w:rPr>
        <w:t>.</w:t>
      </w:r>
    </w:p>
    <w:p w14:paraId="30BA3AE8" w14:textId="77777777" w:rsidR="00A520BF" w:rsidRPr="00A520BF" w:rsidRDefault="00A520BF" w:rsidP="00A520BF">
      <w:pPr>
        <w:autoSpaceDE w:val="0"/>
        <w:adjustRightInd w:val="0"/>
        <w:spacing w:after="0" w:line="240" w:lineRule="auto"/>
        <w:ind w:left="1418"/>
        <w:jc w:val="both"/>
        <w:rPr>
          <w:rFonts w:cs="Arial"/>
          <w:lang w:val="es-419"/>
        </w:rPr>
      </w:pPr>
    </w:p>
    <w:p w14:paraId="737296F1"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5.3 </w:t>
      </w:r>
      <w:r w:rsidRPr="00A520BF">
        <w:rPr>
          <w:rFonts w:cs="Arial"/>
          <w:u w:val="single"/>
          <w:lang w:val="es-419"/>
        </w:rPr>
        <w:t>Amenazas para la población</w:t>
      </w:r>
    </w:p>
    <w:p w14:paraId="771E23E7" w14:textId="77777777" w:rsidR="00A520BF" w:rsidRDefault="00A520BF" w:rsidP="00A520BF">
      <w:pPr>
        <w:autoSpaceDE w:val="0"/>
        <w:adjustRightInd w:val="0"/>
        <w:spacing w:after="0" w:line="240" w:lineRule="auto"/>
        <w:jc w:val="both"/>
        <w:rPr>
          <w:rFonts w:cs="Arial"/>
          <w:lang w:val="es-ES"/>
        </w:rPr>
      </w:pPr>
    </w:p>
    <w:p w14:paraId="0E159264" w14:textId="53B58E3A" w:rsidR="00A520BF" w:rsidRDefault="00A520BF" w:rsidP="00A520BF">
      <w:pPr>
        <w:autoSpaceDE w:val="0"/>
        <w:adjustRightInd w:val="0"/>
        <w:spacing w:after="0" w:line="240" w:lineRule="auto"/>
        <w:jc w:val="both"/>
        <w:rPr>
          <w:rFonts w:cs="Arial"/>
          <w:lang w:val="es-ES"/>
        </w:rPr>
      </w:pPr>
      <w:r w:rsidRPr="00A520BF">
        <w:rPr>
          <w:rFonts w:cs="Arial"/>
          <w:lang w:val="es-ES"/>
        </w:rPr>
        <w:t>La especie se enfrenta varias amenazas generalizadas a lo largo de su ciclo anual, como la pérdida y degradación de su hábitat tanto en las zonas de reproducción como en las de no reproducción, la contaminación y el cambio climático</w:t>
      </w:r>
      <w:r w:rsidRPr="00A520BF">
        <w:rPr>
          <w:rFonts w:cs="Arial"/>
        </w:rPr>
        <w:fldChar w:fldCharType="begin"/>
      </w:r>
      <w:r w:rsidRPr="00A520BF">
        <w:rPr>
          <w:rFonts w:cs="Arial"/>
          <w:lang w:val="es-419"/>
        </w:rPr>
        <w:instrText xml:space="preserve"> ADDIN ZOTERO_ITEM CSL_CITATION {"citationID":"b4YuxzFU","properties":{"formattedCitation":"(Clay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A520BF">
        <w:rPr>
          <w:rFonts w:cs="Arial"/>
        </w:rPr>
        <w:fldChar w:fldCharType="separate"/>
      </w:r>
      <w:r w:rsidRPr="00A520BF">
        <w:rPr>
          <w:rFonts w:cs="Arial"/>
          <w:noProof/>
          <w:lang w:val="es-ES"/>
        </w:rPr>
        <w:t xml:space="preserve"> (Clay </w:t>
      </w:r>
      <w:r w:rsidRPr="00A520BF">
        <w:rPr>
          <w:rFonts w:cs="Arial"/>
          <w:i/>
          <w:iCs/>
          <w:noProof/>
          <w:lang w:val="es-ES"/>
        </w:rPr>
        <w:t>et al</w:t>
      </w:r>
      <w:r w:rsidRPr="00A520BF">
        <w:rPr>
          <w:rFonts w:cs="Arial"/>
          <w:noProof/>
          <w:lang w:val="es-ES"/>
        </w:rPr>
        <w:t>. 2012)</w:t>
      </w:r>
      <w:r w:rsidRPr="00A520BF">
        <w:rPr>
          <w:rFonts w:cs="Arial"/>
        </w:rPr>
        <w:fldChar w:fldCharType="end"/>
      </w:r>
      <w:r w:rsidRPr="00A520BF">
        <w:rPr>
          <w:rFonts w:cs="Arial"/>
          <w:lang w:val="es-ES"/>
        </w:rPr>
        <w:t xml:space="preserve">. Sin embargo, una de las amenazas específicas para esta especie, especialmente para las poblaciones reproductivas del este de Canadá durante la migración, es la cacería </w:t>
      </w:r>
      <w:r w:rsidRPr="00A520BF">
        <w:rPr>
          <w:rFonts w:cs="Arial"/>
        </w:rPr>
        <w:fldChar w:fldCharType="begin"/>
      </w:r>
      <w:r w:rsidRPr="00A520BF">
        <w:rPr>
          <w:rFonts w:cs="Arial"/>
          <w:lang w:val="es-419"/>
        </w:rPr>
        <w:instrText xml:space="preserve"> ADDIN ZOTERO_ITEM CSL_CITATION {"citationID":"1q8KhM89","properties":{"formattedCitation":"(McDuffie et al. 2022a)","plainCitation":"(McDuffie et al. 2022a)","noteIndex":0},"citationItems":[{"id":1339,"uris":["http://zotero.org/users/11283305/items/EUV5PPPN"],"itemData":{"id":1339,"type":"article-journal","abstract":"Shorebirds have experienced a precipitous reduction in abundance over the past four decades. While some threats to shorebirds are widespread (e.g., habitat alteration), others are regional and may affect specific populations. Lesser Yellowlegs (Tringa flavipes) are long-distance migrants that breed across the North American boreal biome and have declined in abundance by 60–80% since the 1970s. The documented harvest of Lesser Yellowlegs in the Caribbean and northeastern South America during southward migration is a possible limiting factor for the species, but it is unknown to what extent birds from different breeding origins may be affected. To address the question of differential occurrence in harvest zones during southward migration, we used PinPoint GPS Argos transmitters to track the southward migrations of 85 adult Lesser Yellowlegs from across the species’ breeding range and 80° of longitude from Anchorage, Alaska, USA, to the Mingan Archipelago, Quebec, Canada. We classified migratory locations as inside or outside three zones with high levels of harvest (Caribbean, coastal Guianas, and coastal Brazil) and then fit generalized additive mixed models to estimate the probability of occurrence of Lesser Yellowlegs in harvest zones according to their breeding origin. Individuals from the Eastern Canada population had a higher probability of occurrence within one or more harvest zones and re</w:instrText>
      </w:r>
      <w:r w:rsidRPr="00A520BF">
        <w:rPr>
          <w:rFonts w:cs="Arial"/>
        </w:rPr>
        <w:instrText>mained in those zones longer than individuals breeding in Alaska and western Canada. Linear regressions also suggested that longitude of the breeding origin is an important predictor of occurrence in harvest zones during southward migration. Lastly, our findings, combined with other sources of evidence, suggest that current estimated harvest rates may exceed sustainable limits for Lesser Yellowlegs, which warrants further investigation.• The Lesser Yellowlegs is experiencing a steep population decline. Addressing longstanding knowledge gaps, such as the potential impact that unregulated harvest has on specific breeding populations, helps scientists and managers develop and implement ef</w:instrText>
      </w:r>
      <w:r w:rsidRPr="00A520BF">
        <w:rPr>
          <w:rFonts w:cs="Arial"/>
          <w:lang w:val="es-ES"/>
        </w:rPr>
        <w:instrText xml:space="preserve">fective conservation actions for this vulnerable species.• Using GPS telemetry, we tracked the southward migration of 85 adult Lesser Yellowlegs across the Western Hemisphere to establish the specific populations that migrate through areas with high harvest.• Lesser Yellowlegs originating from the eastern part of their migratory range were more likely than western-breeding birds to occur within jurisdictions in the Caribbean and northeastern South America where shorebird harvest occurs.• Without considering differential occurrence of Lesser Yellowlegs within harvest regions, their decline will likely continue, resulting in the loss of biodiversity and an important cultural resource.","container-title":"Ornithological Applications","DOI":"10.1093/ornithapp/duab061","ISSN":"0010-5422","issue":"1","journalAbbreviation":"Ornithological Applications","page":"duab061","source":"Silverchair","title":"Eastern-breeding Lesser Yellowlegs are more likely than western-breeding birds to visit areas with high shorebird hunting during southward migration","volume":"124","author":[{"family":"McDuffie","given":"Laura A"},{"family":"Christie","given":"Katherine S"},{"family":"Harrison","given":"Autumn-Lynn"},{"family":"Taylor","given":"Audrey R"},{"family":"Andres","given":"Brad A"},{"family":"Laliberté","given":"Benoit"},{"family":"Johnson","given":"James A"}],"issued":{"date-parts":[["2022",2,1]]}}}],"schema":"https://github.com/citation-style-language/schema/raw/master/csl-citation.json"} </w:instrText>
      </w:r>
      <w:r w:rsidRPr="00A520BF">
        <w:rPr>
          <w:rFonts w:cs="Arial"/>
        </w:rPr>
        <w:fldChar w:fldCharType="separate"/>
      </w:r>
      <w:r w:rsidRPr="00A520BF">
        <w:rPr>
          <w:rFonts w:cs="Arial"/>
          <w:noProof/>
          <w:lang w:val="es-ES"/>
        </w:rPr>
        <w:t xml:space="preserve">(Rivera-Milan 2023; McDuffie </w:t>
      </w:r>
      <w:r w:rsidRPr="00A520BF">
        <w:rPr>
          <w:rFonts w:cs="Arial"/>
          <w:i/>
          <w:iCs/>
          <w:noProof/>
          <w:lang w:val="es-ES"/>
        </w:rPr>
        <w:t>et al.</w:t>
      </w:r>
      <w:r w:rsidRPr="00A520BF">
        <w:rPr>
          <w:rFonts w:cs="Arial"/>
          <w:noProof/>
          <w:lang w:val="es-ES"/>
        </w:rPr>
        <w:t xml:space="preserve"> 2022a)</w:t>
      </w:r>
      <w:r w:rsidRPr="00A520BF">
        <w:rPr>
          <w:rFonts w:cs="Arial"/>
        </w:rPr>
        <w:fldChar w:fldCharType="end"/>
      </w:r>
      <w:r w:rsidRPr="00A520BF">
        <w:rPr>
          <w:rFonts w:cs="Arial"/>
          <w:lang w:val="es-ES"/>
        </w:rPr>
        <w:t>. Cada año se pueden abatir entre 7.000 y 15.000 ejemplares en Barbados, y hasta hace poco esta especie era también el ave playera más cazada tanto en Guadalupe como en Martinica</w:t>
      </w:r>
      <w:r w:rsidRPr="00A520BF">
        <w:rPr>
          <w:rFonts w:cs="Arial"/>
        </w:rPr>
        <w:fldChar w:fldCharType="begin"/>
      </w:r>
      <w:r w:rsidRPr="00A520BF">
        <w:rPr>
          <w:rFonts w:cs="Arial"/>
          <w:lang w:val="es-419"/>
        </w:rPr>
        <w:instrText xml:space="preserve"> ADDIN ZOTERO_ITEM CSL_CITATION {"citationID":"pRdwIRa9","properties":{"formattedCitation":"(Clay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A520BF">
        <w:rPr>
          <w:rFonts w:cs="Arial"/>
        </w:rPr>
        <w:fldChar w:fldCharType="separate"/>
      </w:r>
      <w:r w:rsidRPr="00A520BF">
        <w:rPr>
          <w:rFonts w:cs="Arial"/>
          <w:noProof/>
          <w:lang w:val="es-ES"/>
        </w:rPr>
        <w:t xml:space="preserve"> (Clay </w:t>
      </w:r>
      <w:r w:rsidRPr="00A520BF">
        <w:rPr>
          <w:rFonts w:cs="Arial"/>
          <w:i/>
          <w:iCs/>
          <w:noProof/>
          <w:lang w:val="es-ES"/>
        </w:rPr>
        <w:t>et al</w:t>
      </w:r>
      <w:r w:rsidRPr="00A520BF">
        <w:rPr>
          <w:rFonts w:cs="Arial"/>
          <w:noProof/>
          <w:lang w:val="es-ES"/>
        </w:rPr>
        <w:t xml:space="preserve">. 2012; Cox </w:t>
      </w:r>
      <w:r w:rsidRPr="00A520BF">
        <w:rPr>
          <w:rFonts w:cs="Arial"/>
          <w:i/>
          <w:iCs/>
          <w:noProof/>
          <w:lang w:val="es-ES"/>
        </w:rPr>
        <w:t>et al</w:t>
      </w:r>
      <w:r w:rsidRPr="00A520BF">
        <w:rPr>
          <w:rFonts w:cs="Arial"/>
          <w:noProof/>
          <w:lang w:val="es-ES"/>
        </w:rPr>
        <w:t>. en preparación)</w:t>
      </w:r>
      <w:r w:rsidRPr="00A520BF">
        <w:rPr>
          <w:rFonts w:cs="Arial"/>
        </w:rPr>
        <w:fldChar w:fldCharType="end"/>
      </w:r>
      <w:r w:rsidRPr="00A520BF">
        <w:rPr>
          <w:rFonts w:cs="Arial"/>
          <w:lang w:val="es-ES"/>
        </w:rPr>
        <w:t>. La cacería de esta especie también se practica legalmente en Guayana Francesa y Guyana, e ilegalmente en Surinam.</w:t>
      </w:r>
    </w:p>
    <w:p w14:paraId="709FF497" w14:textId="77777777" w:rsidR="00A520BF" w:rsidRPr="00A520BF" w:rsidRDefault="00A520BF" w:rsidP="00A520BF">
      <w:pPr>
        <w:autoSpaceDE w:val="0"/>
        <w:adjustRightInd w:val="0"/>
        <w:spacing w:after="0" w:line="240" w:lineRule="auto"/>
        <w:jc w:val="both"/>
        <w:rPr>
          <w:rFonts w:cs="Arial"/>
          <w:lang w:val="es-ES"/>
        </w:rPr>
      </w:pPr>
    </w:p>
    <w:p w14:paraId="6C9DBD19" w14:textId="77777777" w:rsidR="00A520BF" w:rsidRPr="00A520BF" w:rsidRDefault="00A520BF" w:rsidP="00A520BF">
      <w:pPr>
        <w:autoSpaceDE w:val="0"/>
        <w:adjustRightInd w:val="0"/>
        <w:spacing w:after="0" w:line="240" w:lineRule="auto"/>
        <w:jc w:val="both"/>
        <w:rPr>
          <w:rFonts w:cs="Arial"/>
          <w:lang w:val="es-419"/>
        </w:rPr>
      </w:pPr>
      <w:r w:rsidRPr="00A520BF">
        <w:rPr>
          <w:rFonts w:cs="Arial"/>
          <w:lang w:val="es-419"/>
        </w:rPr>
        <w:t xml:space="preserve">5.4 </w:t>
      </w:r>
      <w:r w:rsidRPr="00A520BF">
        <w:rPr>
          <w:rFonts w:cs="Arial"/>
          <w:u w:val="single"/>
          <w:lang w:val="es-419"/>
        </w:rPr>
        <w:t>Amenazas relacionadas especialmente con las migraciones</w:t>
      </w:r>
    </w:p>
    <w:p w14:paraId="4E79669C" w14:textId="77777777" w:rsidR="00A520BF" w:rsidRDefault="00A520BF" w:rsidP="00A520BF">
      <w:pPr>
        <w:spacing w:after="0" w:line="240" w:lineRule="auto"/>
        <w:jc w:val="both"/>
        <w:rPr>
          <w:rFonts w:cs="Arial"/>
          <w:lang w:val="es-419"/>
        </w:rPr>
      </w:pPr>
    </w:p>
    <w:p w14:paraId="7A6C5FD0" w14:textId="43773001" w:rsidR="00A520BF" w:rsidRDefault="00A520BF" w:rsidP="00A520BF">
      <w:pPr>
        <w:spacing w:after="0" w:line="240" w:lineRule="auto"/>
        <w:jc w:val="both"/>
        <w:rPr>
          <w:rFonts w:eastAsia="Arial" w:cs="Arial"/>
          <w:lang w:val="es-419"/>
        </w:rPr>
      </w:pPr>
      <w:r w:rsidRPr="00A520BF">
        <w:rPr>
          <w:rFonts w:cs="Arial"/>
          <w:lang w:val="es-419"/>
        </w:rPr>
        <w:t xml:space="preserve">Las amenazas para la especie pueden aumentar directamente la mortalidad durante la migración (cacería, condiciones meteorológicas extremas debido al cambio climático, contaminación por derrames de petróleo o pesticidas agrícolas) </w:t>
      </w:r>
      <w:r w:rsidRPr="00A520BF">
        <w:rPr>
          <w:rFonts w:eastAsia="Arial" w:cs="Arial"/>
          <w:lang w:val="es-419"/>
        </w:rPr>
        <w:t>o bien generar efectos subletales que comprometen la supervivencia individual y el éxito reproductivo futuro, como la pérdida y degradación del hábitat durante la migración, lo que reduce la disponibilidad de sitios de parada de alta calidad.</w:t>
      </w:r>
    </w:p>
    <w:p w14:paraId="329B17B3" w14:textId="77777777" w:rsidR="00A520BF" w:rsidRPr="00A520BF" w:rsidRDefault="00A520BF" w:rsidP="00A520BF">
      <w:pPr>
        <w:spacing w:after="0" w:line="240" w:lineRule="auto"/>
        <w:jc w:val="both"/>
        <w:rPr>
          <w:rFonts w:cs="Arial"/>
          <w:lang w:val="es-419"/>
        </w:rPr>
      </w:pPr>
    </w:p>
    <w:p w14:paraId="2AA4B8F5"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5.5 </w:t>
      </w:r>
      <w:r w:rsidRPr="00A520BF">
        <w:rPr>
          <w:rFonts w:cs="Arial"/>
          <w:u w:val="single"/>
          <w:lang w:val="es-419"/>
        </w:rPr>
        <w:t>Aprovechamiento nacional e internacional</w:t>
      </w:r>
    </w:p>
    <w:p w14:paraId="3DB225EC" w14:textId="77777777" w:rsidR="00A520BF" w:rsidRDefault="00A520BF" w:rsidP="00A520BF">
      <w:pPr>
        <w:autoSpaceDE w:val="0"/>
        <w:adjustRightInd w:val="0"/>
        <w:spacing w:after="0" w:line="240" w:lineRule="auto"/>
        <w:jc w:val="both"/>
        <w:rPr>
          <w:rFonts w:cs="Arial"/>
          <w:lang w:val="es-ES"/>
        </w:rPr>
      </w:pPr>
    </w:p>
    <w:p w14:paraId="0C58555D" w14:textId="02E8F2AA" w:rsidR="00A520BF" w:rsidRDefault="00A520BF" w:rsidP="00A520BF">
      <w:pPr>
        <w:autoSpaceDE w:val="0"/>
        <w:adjustRightInd w:val="0"/>
        <w:spacing w:after="0" w:line="240" w:lineRule="auto"/>
        <w:jc w:val="both"/>
        <w:rPr>
          <w:rFonts w:eastAsia="Arial" w:cs="Arial"/>
          <w:lang w:val="es-ES"/>
        </w:rPr>
      </w:pPr>
      <w:r w:rsidRPr="00A520BF">
        <w:rPr>
          <w:rFonts w:cs="Arial"/>
          <w:lang w:val="es-ES"/>
        </w:rPr>
        <w:t xml:space="preserve">Los individuos de </w:t>
      </w:r>
      <w:r w:rsidRPr="00A520BF">
        <w:rPr>
          <w:rFonts w:cs="Arial"/>
          <w:i/>
          <w:iCs/>
          <w:lang w:val="es-ES"/>
        </w:rPr>
        <w:t xml:space="preserve">Tringa flavipes </w:t>
      </w:r>
      <w:r w:rsidRPr="00A520BF">
        <w:rPr>
          <w:rFonts w:cs="Arial"/>
          <w:lang w:val="es-ES"/>
        </w:rPr>
        <w:t>se cazan para el consumo o por deporte en algunos países (por ejemplo,</w:t>
      </w:r>
      <w:r w:rsidRPr="00A520BF">
        <w:rPr>
          <w:rFonts w:cs="Arial"/>
          <w:i/>
          <w:iCs/>
          <w:lang w:val="es-ES"/>
        </w:rPr>
        <w:t xml:space="preserve"> </w:t>
      </w:r>
      <w:r w:rsidRPr="00A520BF">
        <w:rPr>
          <w:rFonts w:cs="Arial"/>
          <w:lang w:val="es-ES"/>
        </w:rPr>
        <w:t>Barbados, Guadalupe, Martinica y Guayana Francesa), aunque en Guadalupe y Martinica se ha aplicado una moratoria sobre su captura para la temporada de caza 2024-2025.</w:t>
      </w:r>
      <w:r w:rsidRPr="00A520BF">
        <w:rPr>
          <w:rFonts w:eastAsia="Arial" w:cs="Arial"/>
          <w:lang w:val="es-ES"/>
        </w:rPr>
        <w:t xml:space="preserve"> El aviturismo también implica el aprovechamiento de esta especie a nivel internacional.</w:t>
      </w:r>
    </w:p>
    <w:p w14:paraId="317D408F" w14:textId="77777777" w:rsidR="00A520BF" w:rsidRPr="00A520BF" w:rsidRDefault="00A520BF" w:rsidP="00A520BF">
      <w:pPr>
        <w:autoSpaceDE w:val="0"/>
        <w:adjustRightInd w:val="0"/>
        <w:spacing w:after="0" w:line="240" w:lineRule="auto"/>
        <w:jc w:val="both"/>
        <w:rPr>
          <w:rFonts w:cs="Arial"/>
          <w:lang w:val="es-ES"/>
        </w:rPr>
      </w:pPr>
    </w:p>
    <w:p w14:paraId="33CF99C4" w14:textId="77777777" w:rsidR="00A520BF" w:rsidRPr="00A520BF" w:rsidRDefault="00A520BF" w:rsidP="00A520BF">
      <w:pPr>
        <w:keepNext/>
        <w:autoSpaceDE w:val="0"/>
        <w:adjustRightInd w:val="0"/>
        <w:spacing w:after="0" w:line="240" w:lineRule="auto"/>
        <w:jc w:val="both"/>
        <w:rPr>
          <w:rFonts w:cs="Arial"/>
          <w:b/>
          <w:bCs/>
          <w:lang w:val="es-419"/>
        </w:rPr>
      </w:pPr>
      <w:r w:rsidRPr="00A520BF">
        <w:rPr>
          <w:rFonts w:cs="Arial"/>
          <w:b/>
          <w:bCs/>
          <w:lang w:val="es-419"/>
        </w:rPr>
        <w:t xml:space="preserve">6. Estado de protección y manejo de la especie </w:t>
      </w:r>
    </w:p>
    <w:p w14:paraId="1D284B71" w14:textId="77777777" w:rsidR="00A520BF" w:rsidRDefault="00A520BF" w:rsidP="00A520BF">
      <w:pPr>
        <w:keepNext/>
        <w:autoSpaceDE w:val="0"/>
        <w:adjustRightInd w:val="0"/>
        <w:spacing w:after="0" w:line="240" w:lineRule="auto"/>
        <w:jc w:val="both"/>
        <w:rPr>
          <w:rFonts w:cs="Arial"/>
          <w:lang w:val="es-419"/>
        </w:rPr>
      </w:pPr>
    </w:p>
    <w:p w14:paraId="3E4ACAE5" w14:textId="2D226FD0"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6.1 </w:t>
      </w:r>
      <w:r w:rsidRPr="00A520BF">
        <w:rPr>
          <w:rFonts w:cs="Arial"/>
          <w:u w:val="single"/>
          <w:lang w:val="es-419"/>
        </w:rPr>
        <w:t>Estado de protección nacional</w:t>
      </w:r>
    </w:p>
    <w:p w14:paraId="760971A8" w14:textId="77777777" w:rsidR="00A520BF" w:rsidRDefault="00A520BF" w:rsidP="00A520BF">
      <w:pPr>
        <w:autoSpaceDE w:val="0"/>
        <w:adjustRightInd w:val="0"/>
        <w:spacing w:after="0" w:line="240" w:lineRule="auto"/>
        <w:jc w:val="both"/>
        <w:rPr>
          <w:rFonts w:cs="Arial"/>
          <w:lang w:val="es-ES"/>
        </w:rPr>
      </w:pPr>
    </w:p>
    <w:p w14:paraId="17846107" w14:textId="77777777" w:rsidR="00A520BF" w:rsidRDefault="00A520BF" w:rsidP="00A520BF">
      <w:pPr>
        <w:autoSpaceDE w:val="0"/>
        <w:adjustRightInd w:val="0"/>
        <w:spacing w:after="0" w:line="240" w:lineRule="auto"/>
        <w:jc w:val="both"/>
        <w:rPr>
          <w:rFonts w:cs="Arial"/>
          <w:lang w:val="es-ES"/>
        </w:rPr>
      </w:pPr>
      <w:r w:rsidRPr="00A520BF">
        <w:rPr>
          <w:rFonts w:cs="Arial"/>
          <w:lang w:val="es-ES"/>
        </w:rPr>
        <w:t xml:space="preserve">En las zonas de reproducción, la especie está protegida en Canadá por la Ley de la Convención sobre Aves Migratorias y en los Estados Unidos por la Ley del Tratado sobre Aves Migratorias. Por lo tanto, la caza de esta especie es ilegal en estos dos países. Tanto en Argentina como en Brasil, dos países que </w:t>
      </w:r>
      <w:r w:rsidRPr="00A520BF">
        <w:rPr>
          <w:rFonts w:eastAsia="Arial" w:cs="Arial"/>
          <w:lang w:val="es-ES"/>
        </w:rPr>
        <w:t xml:space="preserve">albergan poblaciones no reproductivas de </w:t>
      </w:r>
      <w:r w:rsidRPr="00A520BF">
        <w:rPr>
          <w:rFonts w:eastAsia="Arial" w:cs="Arial"/>
          <w:i/>
          <w:iCs/>
          <w:lang w:val="es-ES"/>
        </w:rPr>
        <w:t>Tringa flavipes</w:t>
      </w:r>
      <w:r w:rsidRPr="00A520BF">
        <w:rPr>
          <w:rFonts w:cs="Arial"/>
          <w:lang w:val="es-ES"/>
        </w:rPr>
        <w:t xml:space="preserve">, todas las especies de fauna silvestre están protegidas por ley (Ley 22.421 en Argentina y Ley 5.197 en Brasil), y </w:t>
      </w:r>
      <w:r w:rsidRPr="00A520BF">
        <w:rPr>
          <w:rFonts w:cs="Arial"/>
          <w:i/>
          <w:iCs/>
          <w:lang w:val="es-ES"/>
        </w:rPr>
        <w:t xml:space="preserve">Tringa flavipes </w:t>
      </w:r>
      <w:r w:rsidRPr="00A520BF">
        <w:rPr>
          <w:rFonts w:cs="Arial"/>
          <w:lang w:val="es-ES"/>
        </w:rPr>
        <w:t>es también una especie focal de los planes nacionales de conservación de aves playeras de ambos países. Sin embargo, la cacería de esta especie está permitida en varios países dentro de su área de distribución (</w:t>
      </w:r>
      <w:r w:rsidRPr="00A520BF">
        <w:rPr>
          <w:rFonts w:cs="Arial"/>
          <w:i/>
          <w:iCs/>
          <w:lang w:val="es-ES"/>
        </w:rPr>
        <w:t>p</w:t>
      </w:r>
      <w:r w:rsidRPr="00A520BF">
        <w:rPr>
          <w:rFonts w:cs="Arial"/>
          <w:lang w:val="es-ES"/>
        </w:rPr>
        <w:t>or ejemplo, Barbados, Guyana, Guayana Francesa), con una moratoria aplicada para la temporada de caza 2024-2025 en Martinica y Guadalupe.</w:t>
      </w:r>
    </w:p>
    <w:p w14:paraId="56569319" w14:textId="635A3A88" w:rsidR="00A520BF" w:rsidRPr="00A520BF" w:rsidRDefault="00A520BF" w:rsidP="00A520BF">
      <w:pPr>
        <w:autoSpaceDE w:val="0"/>
        <w:adjustRightInd w:val="0"/>
        <w:spacing w:after="0" w:line="240" w:lineRule="auto"/>
        <w:jc w:val="both"/>
        <w:rPr>
          <w:rFonts w:cs="Arial"/>
          <w:lang w:val="es-ES"/>
        </w:rPr>
      </w:pPr>
      <w:r w:rsidRPr="00A520BF">
        <w:rPr>
          <w:rFonts w:cs="Arial"/>
          <w:lang w:val="es-ES"/>
        </w:rPr>
        <w:t xml:space="preserve"> </w:t>
      </w:r>
    </w:p>
    <w:p w14:paraId="5256131A" w14:textId="77777777" w:rsidR="00A520BF" w:rsidRPr="00A520BF" w:rsidRDefault="00A520BF" w:rsidP="00A520BF">
      <w:pPr>
        <w:keepNext/>
        <w:autoSpaceDE w:val="0"/>
        <w:adjustRightInd w:val="0"/>
        <w:spacing w:after="0" w:line="240" w:lineRule="auto"/>
        <w:jc w:val="both"/>
        <w:rPr>
          <w:rFonts w:cs="Arial"/>
          <w:u w:val="single"/>
          <w:lang w:val="es-419"/>
        </w:rPr>
      </w:pPr>
      <w:r w:rsidRPr="00A520BF">
        <w:rPr>
          <w:rFonts w:cs="Arial"/>
          <w:lang w:val="es-419"/>
        </w:rPr>
        <w:t xml:space="preserve">6.2 </w:t>
      </w:r>
      <w:r w:rsidRPr="00A520BF">
        <w:rPr>
          <w:rFonts w:cs="Arial"/>
          <w:u w:val="single"/>
          <w:lang w:val="es-419"/>
        </w:rPr>
        <w:t>Estado de la protección internacional</w:t>
      </w:r>
    </w:p>
    <w:p w14:paraId="0F5AE97A" w14:textId="77777777" w:rsidR="00A520BF" w:rsidRDefault="00A520BF" w:rsidP="00A520BF">
      <w:pPr>
        <w:autoSpaceDE w:val="0"/>
        <w:adjustRightInd w:val="0"/>
        <w:spacing w:after="0" w:line="240" w:lineRule="auto"/>
        <w:jc w:val="both"/>
        <w:rPr>
          <w:rFonts w:cs="Arial"/>
          <w:lang w:val="es-ES"/>
        </w:rPr>
      </w:pPr>
    </w:p>
    <w:p w14:paraId="4B27B14C" w14:textId="4C8B196B" w:rsidR="00A520BF" w:rsidRDefault="00A520BF" w:rsidP="00A520BF">
      <w:pPr>
        <w:autoSpaceDE w:val="0"/>
        <w:adjustRightInd w:val="0"/>
        <w:spacing w:after="0" w:line="240" w:lineRule="auto"/>
        <w:jc w:val="both"/>
        <w:rPr>
          <w:rFonts w:cs="Arial"/>
          <w:lang w:val="es-ES"/>
        </w:rPr>
      </w:pPr>
      <w:r w:rsidRPr="00A520BF">
        <w:rPr>
          <w:rFonts w:cs="Arial"/>
          <w:lang w:val="es-ES"/>
        </w:rPr>
        <w:t xml:space="preserve">Actualmente, la especie solo está protegida internacionalmente en virtud de la Ley del Tratado sobre Aves Migratorias (MBTA por sus siglas en inglés). Este tratado se promulgó en 1918 como ley federal de los Estados Unidos para proteger a las aves migratorias en cooperación </w:t>
      </w:r>
      <w:r w:rsidRPr="00A520BF">
        <w:rPr>
          <w:rFonts w:cs="Arial"/>
          <w:lang w:val="es-ES"/>
        </w:rPr>
        <w:lastRenderedPageBreak/>
        <w:t xml:space="preserve">internacional con Canadá, y recientemente se amplió para incluir a México, Japón y Rusia. Por lo tanto, </w:t>
      </w:r>
      <w:r w:rsidRPr="00A520BF">
        <w:rPr>
          <w:rFonts w:cs="Arial"/>
          <w:i/>
          <w:iCs/>
          <w:lang w:val="es-ES"/>
        </w:rPr>
        <w:t>Tringa flavipes</w:t>
      </w:r>
      <w:r w:rsidRPr="00A520BF">
        <w:rPr>
          <w:rFonts w:cs="Arial"/>
          <w:lang w:val="es-ES"/>
        </w:rPr>
        <w:t xml:space="preserve"> está protegida en los tres países de la MBTA dentro de su área de distribución (Canadá, Estados Unidos y México).</w:t>
      </w:r>
    </w:p>
    <w:p w14:paraId="13A9D18D" w14:textId="77777777" w:rsidR="00A520BF" w:rsidRPr="00A520BF" w:rsidRDefault="00A520BF" w:rsidP="00A520BF">
      <w:pPr>
        <w:autoSpaceDE w:val="0"/>
        <w:adjustRightInd w:val="0"/>
        <w:spacing w:after="0" w:line="240" w:lineRule="auto"/>
        <w:jc w:val="both"/>
        <w:rPr>
          <w:rFonts w:cs="Arial"/>
          <w:lang w:val="es-ES"/>
        </w:rPr>
      </w:pPr>
    </w:p>
    <w:p w14:paraId="4CC99D2E" w14:textId="77777777" w:rsidR="00A520BF" w:rsidRPr="00A520BF" w:rsidRDefault="00A520BF" w:rsidP="00A520BF">
      <w:pPr>
        <w:keepNext/>
        <w:autoSpaceDE w:val="0"/>
        <w:adjustRightInd w:val="0"/>
        <w:spacing w:after="0" w:line="240" w:lineRule="auto"/>
        <w:jc w:val="both"/>
        <w:rPr>
          <w:rFonts w:cs="Arial"/>
          <w:lang w:val="es-419"/>
        </w:rPr>
      </w:pPr>
      <w:r w:rsidRPr="00A520BF">
        <w:rPr>
          <w:rFonts w:cs="Arial"/>
          <w:lang w:val="es-419"/>
        </w:rPr>
        <w:t xml:space="preserve">6.3 </w:t>
      </w:r>
      <w:r w:rsidRPr="00A520BF">
        <w:rPr>
          <w:rFonts w:cs="Arial"/>
          <w:u w:val="single"/>
          <w:lang w:val="es-419"/>
        </w:rPr>
        <w:t>Medidas de manejo</w:t>
      </w:r>
    </w:p>
    <w:p w14:paraId="39A2EC2D" w14:textId="77777777" w:rsidR="00A520BF" w:rsidRDefault="00A520BF" w:rsidP="00A520BF">
      <w:pPr>
        <w:spacing w:after="0" w:line="240" w:lineRule="auto"/>
        <w:jc w:val="both"/>
        <w:rPr>
          <w:rFonts w:cs="Arial"/>
          <w:lang w:val="es-ES"/>
        </w:rPr>
      </w:pPr>
    </w:p>
    <w:p w14:paraId="6D9FCF1E" w14:textId="74D8BBA0" w:rsidR="00A520BF" w:rsidRPr="00A520BF" w:rsidRDefault="00A520BF" w:rsidP="00A520BF">
      <w:pPr>
        <w:spacing w:after="0" w:line="240" w:lineRule="auto"/>
        <w:jc w:val="both"/>
        <w:rPr>
          <w:rFonts w:cs="Arial"/>
          <w:lang w:val="es-ES"/>
        </w:rPr>
      </w:pPr>
      <w:r w:rsidRPr="00A520BF">
        <w:rPr>
          <w:rFonts w:cs="Arial"/>
          <w:lang w:val="es-ES"/>
        </w:rPr>
        <w:t xml:space="preserve">Debido a las diversas amenazas apremiantes y al consiguiente descenso de la población de </w:t>
      </w:r>
      <w:r w:rsidRPr="00A520BF">
        <w:rPr>
          <w:rFonts w:cs="Arial"/>
          <w:i/>
          <w:iCs/>
          <w:lang w:val="es-ES"/>
        </w:rPr>
        <w:t>Tringa flavipes</w:t>
      </w:r>
      <w:r w:rsidRPr="00A520BF">
        <w:rPr>
          <w:rFonts w:cs="Arial"/>
          <w:lang w:val="es-ES"/>
        </w:rPr>
        <w:t>, se ha elaborado un Plan de Conservación para esta especie</w:t>
      </w:r>
      <w:r w:rsidRPr="00A520BF">
        <w:rPr>
          <w:rFonts w:cs="Arial"/>
        </w:rPr>
        <w:fldChar w:fldCharType="begin"/>
      </w:r>
      <w:r w:rsidRPr="00A520BF">
        <w:rPr>
          <w:rFonts w:cs="Arial"/>
          <w:lang w:val="es-419"/>
        </w:rPr>
        <w:instrText xml:space="preserve"> ADDIN ZOTERO_ITEM CSL_CITATION {"citationID":"FrKxVPEY","properties":{"formattedCitation":"(Clay et al. 2012)","plainCitation":"(Clay et al. 2012)","noteIndex":0},"citationItems":[{"id":1336,"uris":["http://zotero.org/users/11283305/items/CBMUBZZA"],"itemData":{"id":1336,"type":"report","event-place":"Manomet Center for Conservation Sciences, Manomet, Massachusetts","language":"en","number":"Version 1.0","publisher-place":"Manomet Center for Conservation Sciences, Manomet, Massachusetts","source":"Zotero","title":"Conservation Plan for the Lesser Yellowlegs (Tringa flavipes)","author":[{"family":"Clay","given":"Robert P."},{"family":"Lesterhuis","given":"Arne"},{"family":"Centrón","given":"Silvia"}],"issued":{"date-parts":[["2012"]]}}}],"schema":"https://github.com/citation-style-language/schema/raw/master/csl-citation.json"} </w:instrText>
      </w:r>
      <w:r w:rsidRPr="00A520BF">
        <w:rPr>
          <w:rFonts w:cs="Arial"/>
        </w:rPr>
        <w:fldChar w:fldCharType="separate"/>
      </w:r>
      <w:r w:rsidRPr="00A520BF">
        <w:rPr>
          <w:rFonts w:cs="Arial"/>
          <w:lang w:val="es-ES"/>
        </w:rPr>
        <w:t xml:space="preserve"> (Clay </w:t>
      </w:r>
      <w:r w:rsidRPr="00A520BF">
        <w:rPr>
          <w:rFonts w:cs="Arial"/>
          <w:i/>
          <w:iCs/>
          <w:lang w:val="es-ES"/>
        </w:rPr>
        <w:t>et a</w:t>
      </w:r>
      <w:r w:rsidRPr="00A520BF">
        <w:rPr>
          <w:rFonts w:cs="Arial"/>
          <w:lang w:val="es-ES"/>
        </w:rPr>
        <w:t>l. 2012)</w:t>
      </w:r>
      <w:r w:rsidRPr="00A520BF">
        <w:rPr>
          <w:rFonts w:cs="Arial"/>
        </w:rPr>
        <w:fldChar w:fldCharType="end"/>
      </w:r>
      <w:r w:rsidRPr="00A520BF">
        <w:rPr>
          <w:rFonts w:cs="Arial"/>
          <w:lang w:val="es-ES"/>
        </w:rPr>
        <w:t xml:space="preserve"> y se está desarrollando un nuevo Plan de Acción por parte del Grupo Internacional formado en el marco de la iniciativa Road to Recovery (Road to Recovery 2022). El objetivo de estos planes es identificar los vacíos de conocimiento y orientar las actividades de manejo de esta especie mediante asociaciones y acciones multisectoriales.</w:t>
      </w:r>
    </w:p>
    <w:p w14:paraId="26D990D6" w14:textId="77777777" w:rsidR="00A520BF" w:rsidRPr="00A520BF" w:rsidRDefault="00A520BF" w:rsidP="00A520BF">
      <w:pPr>
        <w:autoSpaceDE w:val="0"/>
        <w:adjustRightInd w:val="0"/>
        <w:spacing w:after="0" w:line="240" w:lineRule="auto"/>
        <w:ind w:left="1418"/>
        <w:jc w:val="both"/>
        <w:rPr>
          <w:rFonts w:cs="Arial"/>
          <w:lang w:val="es-419"/>
        </w:rPr>
      </w:pPr>
    </w:p>
    <w:p w14:paraId="03961A9E" w14:textId="77777777" w:rsidR="00A520BF" w:rsidRDefault="00A520BF" w:rsidP="00A520BF">
      <w:pPr>
        <w:keepNext/>
        <w:autoSpaceDE w:val="0"/>
        <w:adjustRightInd w:val="0"/>
        <w:spacing w:after="0" w:line="240" w:lineRule="auto"/>
        <w:jc w:val="both"/>
        <w:rPr>
          <w:rFonts w:cs="Arial"/>
          <w:u w:val="single"/>
          <w:lang w:val="es-419"/>
        </w:rPr>
      </w:pPr>
      <w:r w:rsidRPr="00A520BF">
        <w:rPr>
          <w:rFonts w:cs="Arial"/>
          <w:lang w:val="es-419"/>
        </w:rPr>
        <w:t xml:space="preserve">6.4 </w:t>
      </w:r>
      <w:r w:rsidRPr="00A520BF">
        <w:rPr>
          <w:rFonts w:cs="Arial"/>
          <w:u w:val="single"/>
          <w:lang w:val="es-419"/>
        </w:rPr>
        <w:t>Conservación del hábitat</w:t>
      </w:r>
    </w:p>
    <w:p w14:paraId="75235B8A" w14:textId="77777777" w:rsidR="00A520BF" w:rsidRPr="00A520BF" w:rsidRDefault="00A520BF" w:rsidP="00A520BF">
      <w:pPr>
        <w:keepNext/>
        <w:autoSpaceDE w:val="0"/>
        <w:adjustRightInd w:val="0"/>
        <w:spacing w:after="0" w:line="240" w:lineRule="auto"/>
        <w:jc w:val="both"/>
        <w:rPr>
          <w:rFonts w:cs="Arial"/>
          <w:lang w:val="es-419"/>
        </w:rPr>
      </w:pPr>
    </w:p>
    <w:p w14:paraId="3087CDB5" w14:textId="77777777" w:rsidR="00A520BF" w:rsidRDefault="00A520BF" w:rsidP="00A520BF">
      <w:pPr>
        <w:spacing w:after="0" w:line="240" w:lineRule="auto"/>
        <w:jc w:val="both"/>
        <w:rPr>
          <w:rFonts w:cs="Arial"/>
          <w:lang w:val="es-ES"/>
        </w:rPr>
      </w:pPr>
      <w:r w:rsidRPr="00A520BF">
        <w:rPr>
          <w:rFonts w:cs="Arial"/>
          <w:lang w:val="es-ES"/>
        </w:rPr>
        <w:t xml:space="preserve">La Red Hemisférica de Reservas para Aves Playeras (RHRAP/WHSRN) está identificando y trabajando para proteger hábitats importantes para </w:t>
      </w:r>
      <w:r w:rsidRPr="00A520BF">
        <w:rPr>
          <w:rFonts w:cs="Arial"/>
          <w:i/>
          <w:iCs/>
          <w:lang w:val="es-ES"/>
        </w:rPr>
        <w:t>Tringa flavipes</w:t>
      </w:r>
      <w:r w:rsidRPr="00A520BF">
        <w:rPr>
          <w:rFonts w:cs="Arial"/>
          <w:lang w:val="es-ES"/>
        </w:rPr>
        <w:t>, como Laguna Mar Chiquita, un sitio de importancia hemisférica que alberga a 15.000 individuos de esta especie. Otros humedales de importancia internacional que también son utilizados por esta especie están protegidos por la Convención de Ramsar sobre los Humedales. Además, la conservación del hábitat mediante servidumbres ecológicas y otros incentivos en propiedades pequeñas, tanto privadas como públicas, en Canadá y Estados Unidos, puede contribuir a garantizar hábitats adecuados en momentos clave del ciclo de vida de la especie.</w:t>
      </w:r>
    </w:p>
    <w:p w14:paraId="6DE1E093" w14:textId="77777777" w:rsidR="00A520BF" w:rsidRPr="00A520BF" w:rsidRDefault="00A520BF" w:rsidP="00A520BF">
      <w:pPr>
        <w:spacing w:after="0" w:line="240" w:lineRule="auto"/>
        <w:jc w:val="both"/>
        <w:rPr>
          <w:rFonts w:cs="Arial"/>
          <w:lang w:val="es-ES"/>
        </w:rPr>
      </w:pPr>
    </w:p>
    <w:p w14:paraId="64EB55F8" w14:textId="77777777" w:rsidR="00A520BF" w:rsidRDefault="00A520BF" w:rsidP="00A520BF">
      <w:pPr>
        <w:keepNext/>
        <w:autoSpaceDE w:val="0"/>
        <w:adjustRightInd w:val="0"/>
        <w:spacing w:after="0" w:line="240" w:lineRule="auto"/>
        <w:jc w:val="both"/>
        <w:rPr>
          <w:rFonts w:cs="Arial"/>
          <w:u w:val="single"/>
          <w:lang w:val="es-419"/>
        </w:rPr>
      </w:pPr>
      <w:r w:rsidRPr="00A520BF">
        <w:rPr>
          <w:rFonts w:cs="Arial"/>
          <w:lang w:val="es-419"/>
        </w:rPr>
        <w:t xml:space="preserve">6.5 </w:t>
      </w:r>
      <w:r w:rsidRPr="00A520BF">
        <w:rPr>
          <w:rFonts w:cs="Arial"/>
          <w:u w:val="single"/>
          <w:lang w:val="es-419"/>
        </w:rPr>
        <w:t>Monitoreo de la población</w:t>
      </w:r>
    </w:p>
    <w:p w14:paraId="4EB54444" w14:textId="77777777" w:rsidR="00A520BF" w:rsidRPr="00A520BF" w:rsidRDefault="00A520BF" w:rsidP="00A520BF">
      <w:pPr>
        <w:keepNext/>
        <w:autoSpaceDE w:val="0"/>
        <w:adjustRightInd w:val="0"/>
        <w:spacing w:after="0" w:line="240" w:lineRule="auto"/>
        <w:jc w:val="both"/>
        <w:rPr>
          <w:rFonts w:cs="Arial"/>
          <w:lang w:val="es-419"/>
        </w:rPr>
      </w:pPr>
    </w:p>
    <w:p w14:paraId="334DF44B" w14:textId="77777777" w:rsidR="00A520BF" w:rsidRDefault="00A520BF" w:rsidP="00A520BF">
      <w:pPr>
        <w:spacing w:after="0" w:line="240" w:lineRule="auto"/>
        <w:jc w:val="both"/>
        <w:rPr>
          <w:rFonts w:eastAsia="Arial" w:cs="Arial"/>
          <w:lang w:val="es-ES"/>
        </w:rPr>
      </w:pPr>
      <w:r w:rsidRPr="00A520BF">
        <w:rPr>
          <w:rFonts w:cs="Arial"/>
          <w:lang w:val="es-ES"/>
        </w:rPr>
        <w:t xml:space="preserve">Las poblaciones de </w:t>
      </w:r>
      <w:r w:rsidRPr="00A520BF">
        <w:rPr>
          <w:rFonts w:cs="Arial"/>
          <w:i/>
          <w:iCs/>
          <w:lang w:val="es-ES"/>
        </w:rPr>
        <w:t xml:space="preserve">Tringa flavipes </w:t>
      </w:r>
      <w:r w:rsidRPr="00A520BF">
        <w:rPr>
          <w:rFonts w:eastAsia="Arial" w:cs="Arial"/>
          <w:lang w:val="es-ES"/>
        </w:rPr>
        <w:t>se monitorean actualmente en el marco de distintos Planes de Acción Nacionales, y a nivel internacional a través del Censo Internacional de Aves Playeras coordinado por Manomet Conservation Sciences (</w:t>
      </w:r>
      <w:hyperlink r:id="rId13">
        <w:r w:rsidRPr="00A520BF">
          <w:rPr>
            <w:rStyle w:val="Hyperlink"/>
            <w:rFonts w:eastAsia="Arial" w:cs="Arial"/>
            <w:lang w:val="es-ES"/>
          </w:rPr>
          <w:t>https://www.manomet.org/project/international-shorebird-survey/</w:t>
        </w:r>
      </w:hyperlink>
      <w:r w:rsidRPr="00A520BF">
        <w:rPr>
          <w:rFonts w:eastAsia="Arial" w:cs="Arial"/>
          <w:lang w:val="es-ES"/>
        </w:rPr>
        <w:t>). Este Censo ofrece un enfoque estandarizado de monitoreo para las poblaciones de aves playeras en todo el hemisferio occidental.</w:t>
      </w:r>
    </w:p>
    <w:p w14:paraId="3899D6A5" w14:textId="77777777" w:rsidR="00A520BF" w:rsidRPr="00A520BF" w:rsidRDefault="00A520BF" w:rsidP="00A520BF">
      <w:pPr>
        <w:spacing w:after="0" w:line="240" w:lineRule="auto"/>
        <w:jc w:val="both"/>
        <w:rPr>
          <w:rFonts w:eastAsia="Arial" w:cs="Arial"/>
          <w:lang w:val="es-ES"/>
        </w:rPr>
      </w:pPr>
    </w:p>
    <w:p w14:paraId="50A1BBFC" w14:textId="77777777" w:rsidR="00A520BF" w:rsidRDefault="00A520BF" w:rsidP="00A520BF">
      <w:pPr>
        <w:keepNext/>
        <w:spacing w:after="0" w:line="240" w:lineRule="auto"/>
        <w:rPr>
          <w:rFonts w:cs="Arial"/>
          <w:b/>
          <w:bCs/>
          <w:lang w:val="es-419"/>
        </w:rPr>
      </w:pPr>
      <w:r w:rsidRPr="00A520BF">
        <w:rPr>
          <w:rFonts w:cs="Arial"/>
          <w:b/>
          <w:bCs/>
          <w:lang w:val="es-419"/>
        </w:rPr>
        <w:t>7. Efectos de la enmienda propuesta</w:t>
      </w:r>
    </w:p>
    <w:p w14:paraId="37A12BE4" w14:textId="77777777" w:rsidR="00A520BF" w:rsidRPr="00A520BF" w:rsidRDefault="00A520BF" w:rsidP="00A520BF">
      <w:pPr>
        <w:keepNext/>
        <w:spacing w:after="0" w:line="240" w:lineRule="auto"/>
        <w:rPr>
          <w:rFonts w:cs="Arial"/>
          <w:b/>
          <w:bCs/>
          <w:lang w:val="es-419"/>
        </w:rPr>
      </w:pPr>
    </w:p>
    <w:p w14:paraId="67B58B1C" w14:textId="77777777" w:rsidR="00A520BF" w:rsidRDefault="00A520BF" w:rsidP="00A520BF">
      <w:pPr>
        <w:autoSpaceDE w:val="0"/>
        <w:adjustRightInd w:val="0"/>
        <w:spacing w:after="0" w:line="240" w:lineRule="auto"/>
        <w:jc w:val="both"/>
        <w:rPr>
          <w:rFonts w:cs="Arial"/>
          <w:u w:val="single"/>
          <w:lang w:val="es-419"/>
        </w:rPr>
      </w:pPr>
      <w:r w:rsidRPr="00A520BF">
        <w:rPr>
          <w:rFonts w:cs="Arial"/>
          <w:lang w:val="es-419"/>
        </w:rPr>
        <w:t xml:space="preserve">7.1 </w:t>
      </w:r>
      <w:r w:rsidRPr="00A520BF">
        <w:rPr>
          <w:rFonts w:cs="Arial"/>
          <w:u w:val="single"/>
          <w:lang w:val="es-419"/>
        </w:rPr>
        <w:t>Beneficios previstos de la enmienda</w:t>
      </w:r>
    </w:p>
    <w:p w14:paraId="35814FBB" w14:textId="77777777" w:rsidR="00A520BF" w:rsidRPr="00A520BF" w:rsidRDefault="00A520BF" w:rsidP="00A520BF">
      <w:pPr>
        <w:autoSpaceDE w:val="0"/>
        <w:adjustRightInd w:val="0"/>
        <w:spacing w:after="0" w:line="240" w:lineRule="auto"/>
        <w:jc w:val="both"/>
        <w:rPr>
          <w:rFonts w:cs="Arial"/>
          <w:lang w:val="es-419"/>
        </w:rPr>
      </w:pPr>
    </w:p>
    <w:p w14:paraId="3AA6A5D6" w14:textId="3CDC9386" w:rsidR="00A520BF" w:rsidRDefault="00A520BF" w:rsidP="00A520BF">
      <w:pPr>
        <w:autoSpaceDE w:val="0"/>
        <w:adjustRightInd w:val="0"/>
        <w:spacing w:after="0" w:line="240" w:lineRule="auto"/>
        <w:jc w:val="both"/>
        <w:rPr>
          <w:rFonts w:cs="Arial"/>
          <w:lang w:val="es-ES"/>
        </w:rPr>
      </w:pPr>
      <w:r w:rsidRPr="00A520BF">
        <w:rPr>
          <w:rFonts w:cs="Arial"/>
          <w:lang w:val="es-ES"/>
        </w:rPr>
        <w:t xml:space="preserve">La enmienda propuesta beneficiará a las iniciativas existentes dedicadas a promover acciones concertadas para la conservación de </w:t>
      </w:r>
      <w:r w:rsidRPr="00A520BF">
        <w:rPr>
          <w:rFonts w:cs="Arial"/>
          <w:i/>
          <w:iCs/>
          <w:lang w:val="es-ES"/>
        </w:rPr>
        <w:t xml:space="preserve">Tringa flavipes </w:t>
      </w:r>
      <w:r w:rsidRPr="00A520BF">
        <w:rPr>
          <w:rFonts w:cs="Arial"/>
          <w:lang w:val="es-ES"/>
        </w:rPr>
        <w:t xml:space="preserve">y su hábitat, como la Iniciativa de Aves Playeras del Corredor del Atlántico (AFSI; </w:t>
      </w:r>
      <w:hyperlink r:id="rId14">
        <w:r w:rsidRPr="00A520BF">
          <w:rPr>
            <w:rStyle w:val="Hyperlink"/>
            <w:rFonts w:cs="Arial"/>
            <w:lang w:val="es-ES"/>
          </w:rPr>
          <w:t>https://atlanticflywayshorebirds.org/</w:t>
        </w:r>
      </w:hyperlink>
      <w:r w:rsidRPr="00A520BF">
        <w:rPr>
          <w:rFonts w:cs="Arial"/>
          <w:lang w:val="es-ES"/>
        </w:rPr>
        <w:t>), la I</w:t>
      </w:r>
      <w:r w:rsidRPr="00A520BF">
        <w:rPr>
          <w:rFonts w:eastAsia="Arial" w:cs="Arial"/>
          <w:color w:val="000000" w:themeColor="text1"/>
          <w:lang w:val="es-ES"/>
        </w:rPr>
        <w:t>niciativa para la Conservación de Aves Playeras en la Ruta Mid-Continental</w:t>
      </w:r>
      <w:r w:rsidRPr="00A520BF">
        <w:rPr>
          <w:rFonts w:cs="Arial"/>
          <w:lang w:val="es-ES"/>
        </w:rPr>
        <w:t xml:space="preserve"> (MSCI; </w:t>
      </w:r>
      <w:hyperlink r:id="rId15">
        <w:r w:rsidRPr="00A520BF">
          <w:rPr>
            <w:rStyle w:val="Hyperlink"/>
            <w:rFonts w:cs="Arial"/>
            <w:lang w:val="es-ES"/>
          </w:rPr>
          <w:t>https://midamericasshorebirds.org/</w:t>
        </w:r>
      </w:hyperlink>
      <w:r w:rsidRPr="00A520BF">
        <w:rPr>
          <w:rFonts w:cs="Arial"/>
          <w:lang w:val="es-ES"/>
        </w:rPr>
        <w:t xml:space="preserve">) y Road to Recovery (R2R; </w:t>
      </w:r>
      <w:hyperlink r:id="rId16">
        <w:r w:rsidRPr="00A520BF">
          <w:rPr>
            <w:rStyle w:val="Hyperlink"/>
            <w:rFonts w:cs="Arial"/>
            <w:lang w:val="es-ES"/>
          </w:rPr>
          <w:t>https://r2rbirds.org/)</w:t>
        </w:r>
      </w:hyperlink>
      <w:r w:rsidRPr="00A520BF">
        <w:rPr>
          <w:rFonts w:cs="Arial"/>
          <w:lang w:val="es-ES"/>
        </w:rPr>
        <w:t xml:space="preserve">. Tanto la AFSI como la MSCI identificaron acciones prioritarias para revertir la disminución de las especies de aves playeras focales en las Américas, una de ellas siendo </w:t>
      </w:r>
      <w:r w:rsidRPr="00A520BF">
        <w:rPr>
          <w:rFonts w:cs="Arial"/>
          <w:i/>
          <w:iCs/>
          <w:lang w:val="es-ES"/>
        </w:rPr>
        <w:t>Tringa flavipes</w:t>
      </w:r>
      <w:r w:rsidRPr="00A520BF">
        <w:rPr>
          <w:rFonts w:cs="Arial"/>
          <w:lang w:val="es-ES"/>
        </w:rPr>
        <w:t>. Estas acciones fueron elaboradas de forma colaborativa por especialistas, conservacionistas y organismos gubernamentales de países de toda América. La iniciativa R2R se creó como respuesta a la pérdida de tres mil millones de aves en los Estados Unidos y Canadá (Rosenberg</w:t>
      </w:r>
      <w:r w:rsidRPr="00A520BF">
        <w:rPr>
          <w:rFonts w:cs="Arial"/>
          <w:i/>
          <w:iCs/>
          <w:lang w:val="es-ES"/>
        </w:rPr>
        <w:t xml:space="preserve"> et al</w:t>
      </w:r>
      <w:r w:rsidRPr="00A520BF">
        <w:rPr>
          <w:rFonts w:cs="Arial"/>
          <w:lang w:val="es-ES"/>
        </w:rPr>
        <w:t>. 2019). La estrategia R2R se centra en grupos de trabajo para la conservación de especies, basados en la colaboración internacional e interdisciplinaria. La especie de esta propuesta fue identificada como una de las especies clave y es una de las especies del grupo de trabajo R2R</w:t>
      </w:r>
      <w:r>
        <w:rPr>
          <w:rFonts w:cs="Arial"/>
          <w:lang w:val="es-ES"/>
        </w:rPr>
        <w:t>.</w:t>
      </w:r>
    </w:p>
    <w:p w14:paraId="1D8115E9" w14:textId="77777777" w:rsidR="00A520BF" w:rsidRPr="00A520BF" w:rsidRDefault="00A520BF" w:rsidP="00A520BF">
      <w:pPr>
        <w:autoSpaceDE w:val="0"/>
        <w:adjustRightInd w:val="0"/>
        <w:spacing w:after="0" w:line="240" w:lineRule="auto"/>
        <w:jc w:val="both"/>
        <w:rPr>
          <w:rFonts w:cs="Arial"/>
          <w:lang w:val="es-ES"/>
        </w:rPr>
      </w:pPr>
    </w:p>
    <w:p w14:paraId="2634D577" w14:textId="77777777" w:rsidR="00A520BF" w:rsidRPr="00A520BF" w:rsidRDefault="00A520BF" w:rsidP="00A520BF">
      <w:pPr>
        <w:autoSpaceDE w:val="0"/>
        <w:adjustRightInd w:val="0"/>
        <w:spacing w:after="0" w:line="240" w:lineRule="auto"/>
        <w:jc w:val="both"/>
        <w:rPr>
          <w:rFonts w:cs="Arial"/>
          <w:lang w:val="es-419"/>
        </w:rPr>
      </w:pPr>
      <w:r w:rsidRPr="00A520BF">
        <w:rPr>
          <w:rFonts w:cs="Arial"/>
          <w:lang w:val="es-419"/>
        </w:rPr>
        <w:t xml:space="preserve">7.2 </w:t>
      </w:r>
      <w:r w:rsidRPr="00A520BF">
        <w:rPr>
          <w:rFonts w:cs="Arial"/>
          <w:u w:val="single"/>
          <w:lang w:val="es-419"/>
        </w:rPr>
        <w:t>Riesgos potenciales de la enmienda</w:t>
      </w:r>
    </w:p>
    <w:p w14:paraId="0D775FD6" w14:textId="77777777" w:rsidR="00A520BF" w:rsidRDefault="00A520BF" w:rsidP="00A520BF">
      <w:pPr>
        <w:autoSpaceDE w:val="0"/>
        <w:adjustRightInd w:val="0"/>
        <w:spacing w:after="0" w:line="240" w:lineRule="auto"/>
        <w:jc w:val="both"/>
        <w:rPr>
          <w:rFonts w:cs="Arial"/>
          <w:lang w:val="es-419"/>
        </w:rPr>
      </w:pPr>
    </w:p>
    <w:p w14:paraId="53EDFE16" w14:textId="7790EA3F" w:rsidR="00A520BF" w:rsidRPr="00A520BF" w:rsidRDefault="00A520BF" w:rsidP="00A520BF">
      <w:pPr>
        <w:autoSpaceDE w:val="0"/>
        <w:adjustRightInd w:val="0"/>
        <w:spacing w:after="0" w:line="240" w:lineRule="auto"/>
        <w:jc w:val="both"/>
        <w:rPr>
          <w:rFonts w:cs="Arial"/>
          <w:lang w:val="es-419"/>
        </w:rPr>
      </w:pPr>
      <w:r w:rsidRPr="00A520BF">
        <w:rPr>
          <w:rFonts w:cs="Arial"/>
          <w:lang w:val="es-419"/>
        </w:rPr>
        <w:t>No se prevén.</w:t>
      </w:r>
    </w:p>
    <w:p w14:paraId="6C39733F" w14:textId="77777777" w:rsidR="00A520BF" w:rsidRPr="00A520BF" w:rsidRDefault="00A520BF" w:rsidP="00A520BF">
      <w:pPr>
        <w:autoSpaceDE w:val="0"/>
        <w:adjustRightInd w:val="0"/>
        <w:spacing w:after="0" w:line="240" w:lineRule="auto"/>
        <w:jc w:val="both"/>
        <w:rPr>
          <w:rFonts w:cs="Arial"/>
          <w:u w:val="single"/>
          <w:lang w:val="es-419"/>
        </w:rPr>
      </w:pPr>
      <w:r w:rsidRPr="00A520BF">
        <w:rPr>
          <w:rFonts w:cs="Arial"/>
          <w:lang w:val="es-419"/>
        </w:rPr>
        <w:lastRenderedPageBreak/>
        <w:t xml:space="preserve">7.3 </w:t>
      </w:r>
      <w:r w:rsidRPr="00A520BF">
        <w:rPr>
          <w:rFonts w:cs="Arial"/>
          <w:u w:val="single"/>
          <w:lang w:val="es-419"/>
        </w:rPr>
        <w:t>Intención del proponente en relación con la elaboración de un acuerdo o una acción concertada</w:t>
      </w:r>
    </w:p>
    <w:p w14:paraId="1E8934DE" w14:textId="77777777" w:rsidR="002A491C" w:rsidRDefault="002A491C" w:rsidP="00A520BF">
      <w:pPr>
        <w:autoSpaceDE w:val="0"/>
        <w:adjustRightInd w:val="0"/>
        <w:spacing w:after="0" w:line="240" w:lineRule="auto"/>
        <w:jc w:val="both"/>
        <w:rPr>
          <w:rFonts w:cs="Arial"/>
          <w:lang w:val="es-419"/>
        </w:rPr>
      </w:pPr>
    </w:p>
    <w:p w14:paraId="73072F3F" w14:textId="6D422B6F" w:rsidR="00A520BF" w:rsidRDefault="00A520BF" w:rsidP="00A520BF">
      <w:pPr>
        <w:autoSpaceDE w:val="0"/>
        <w:adjustRightInd w:val="0"/>
        <w:spacing w:after="0" w:line="240" w:lineRule="auto"/>
        <w:jc w:val="both"/>
        <w:rPr>
          <w:rFonts w:cs="Arial"/>
          <w:lang w:val="es-419"/>
        </w:rPr>
      </w:pPr>
      <w:r w:rsidRPr="00A520BF">
        <w:rPr>
          <w:rFonts w:cs="Arial"/>
          <w:lang w:val="es-419"/>
        </w:rPr>
        <w:t xml:space="preserve">Se propondrá incluir </w:t>
      </w:r>
      <w:r w:rsidRPr="00A520BF">
        <w:rPr>
          <w:rFonts w:cs="Arial"/>
          <w:i/>
          <w:iCs/>
          <w:lang w:val="es-419"/>
        </w:rPr>
        <w:t>Tringa flavipes</w:t>
      </w:r>
      <w:r w:rsidRPr="00A520BF">
        <w:rPr>
          <w:rFonts w:cs="Arial"/>
          <w:lang w:val="es-419"/>
        </w:rPr>
        <w:t xml:space="preserve"> bajo el Memorándum de Entendimiento de las aves migratorias de pastizales del sur de Sudamérica dado la importancia de humedales en la región pampeana como zona de invernada para la especie.</w:t>
      </w:r>
    </w:p>
    <w:p w14:paraId="5F3C8316" w14:textId="77777777" w:rsidR="002A491C" w:rsidRPr="00A520BF" w:rsidRDefault="002A491C" w:rsidP="00A520BF">
      <w:pPr>
        <w:autoSpaceDE w:val="0"/>
        <w:adjustRightInd w:val="0"/>
        <w:spacing w:after="0" w:line="240" w:lineRule="auto"/>
        <w:jc w:val="both"/>
        <w:rPr>
          <w:rFonts w:cs="Arial"/>
          <w:lang w:val="es-419"/>
        </w:rPr>
      </w:pPr>
    </w:p>
    <w:p w14:paraId="75AC6B5C" w14:textId="77777777" w:rsidR="00A520BF" w:rsidRPr="00A520BF" w:rsidRDefault="00A520BF" w:rsidP="00A520BF">
      <w:pPr>
        <w:keepNext/>
        <w:autoSpaceDE w:val="0"/>
        <w:adjustRightInd w:val="0"/>
        <w:spacing w:after="0" w:line="240" w:lineRule="auto"/>
        <w:jc w:val="both"/>
        <w:rPr>
          <w:rFonts w:cs="Arial"/>
          <w:b/>
          <w:bCs/>
          <w:lang w:val="es-ES"/>
        </w:rPr>
      </w:pPr>
      <w:r w:rsidRPr="00A520BF">
        <w:rPr>
          <w:rFonts w:cs="Arial"/>
          <w:b/>
          <w:bCs/>
          <w:lang w:val="es-ES"/>
        </w:rPr>
        <w:t>8. Estados del área de distribución</w:t>
      </w:r>
    </w:p>
    <w:p w14:paraId="729FA2C7" w14:textId="77777777" w:rsidR="00A520BF" w:rsidRPr="00A520BF" w:rsidRDefault="00A520BF" w:rsidP="00A520BF">
      <w:pPr>
        <w:keepNext/>
        <w:spacing w:after="0" w:line="240" w:lineRule="auto"/>
        <w:jc w:val="both"/>
        <w:rPr>
          <w:rFonts w:cs="Arial"/>
          <w:b/>
          <w:bCs/>
          <w:lang w:val="es-ES"/>
        </w:rPr>
      </w:pPr>
    </w:p>
    <w:p w14:paraId="71349DF5"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Anguila: no reproductivo.</w:t>
      </w:r>
    </w:p>
    <w:p w14:paraId="0A9CAEFA"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Antigua y Barbuda: no reproductivo.</w:t>
      </w:r>
    </w:p>
    <w:p w14:paraId="37F160B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Argentina: no reproductivo.</w:t>
      </w:r>
    </w:p>
    <w:p w14:paraId="42195481"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Aruba: no reproductivo..</w:t>
      </w:r>
    </w:p>
    <w:p w14:paraId="60CBBFE3"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Bahamas: no reproductivo.</w:t>
      </w:r>
    </w:p>
    <w:p w14:paraId="038D5E4E"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Barbados: no reproductivo.</w:t>
      </w:r>
    </w:p>
    <w:p w14:paraId="61678CF5"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Belice: no reproductivo.</w:t>
      </w:r>
    </w:p>
    <w:p w14:paraId="5C977CCD"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Bermudas: no reproductivo.</w:t>
      </w:r>
    </w:p>
    <w:p w14:paraId="3A9BB098"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Bolivia: no reproductivo.</w:t>
      </w:r>
    </w:p>
    <w:p w14:paraId="01D2952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Bonaire: no reproductivo.</w:t>
      </w:r>
    </w:p>
    <w:p w14:paraId="06B1D703"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Brasil: no reproductivo.</w:t>
      </w:r>
    </w:p>
    <w:p w14:paraId="6F9244A3"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Islas Vírgenes Británicas: no reproductivo.</w:t>
      </w:r>
    </w:p>
    <w:p w14:paraId="59601B0A"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Canadá: reproductivo y en migración.</w:t>
      </w:r>
    </w:p>
    <w:p w14:paraId="56FA26AC"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Islas Caimán: no reproductivo.</w:t>
      </w:r>
    </w:p>
    <w:p w14:paraId="55AA7EBB"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Chile: no reproductivo.</w:t>
      </w:r>
    </w:p>
    <w:p w14:paraId="08CCBB81"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Colombia: no reproductivo..</w:t>
      </w:r>
    </w:p>
    <w:p w14:paraId="31420919"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Costa Rica: no reproductivo.</w:t>
      </w:r>
    </w:p>
    <w:p w14:paraId="4D63D7A0"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Cuba: no reproductivo.</w:t>
      </w:r>
    </w:p>
    <w:p w14:paraId="0A540346"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Curazao: no reproductivo.</w:t>
      </w:r>
    </w:p>
    <w:p w14:paraId="540E485B"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Dominica: no reproductivo.</w:t>
      </w:r>
    </w:p>
    <w:p w14:paraId="42FAA02D"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República Dominicana: no reproductivo.</w:t>
      </w:r>
    </w:p>
    <w:p w14:paraId="23DFC560"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Ecuador: no reproductivo.</w:t>
      </w:r>
    </w:p>
    <w:p w14:paraId="5AA3C459"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El Salvador: no reproductivo.</w:t>
      </w:r>
    </w:p>
    <w:p w14:paraId="57B06751"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Guayana Francesa: no reproductivo.</w:t>
      </w:r>
    </w:p>
    <w:p w14:paraId="2578783A"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Granada: no reproductivo.</w:t>
      </w:r>
    </w:p>
    <w:p w14:paraId="19A90ED5"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Guadalupe: no reproductivo.</w:t>
      </w:r>
    </w:p>
    <w:p w14:paraId="05AAB8FB"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Guatemala: no reproductivo.</w:t>
      </w:r>
    </w:p>
    <w:p w14:paraId="0187201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Guyana: no reproductivo.</w:t>
      </w:r>
    </w:p>
    <w:p w14:paraId="37E7FBC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Haití: no reproductivo.</w:t>
      </w:r>
    </w:p>
    <w:p w14:paraId="59B41708"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Honduras: no reproductivo.</w:t>
      </w:r>
    </w:p>
    <w:p w14:paraId="6CE4633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Jamaica: no reproductivo.</w:t>
      </w:r>
    </w:p>
    <w:p w14:paraId="10C063D2" w14:textId="77777777" w:rsidR="00A520BF" w:rsidRPr="00A520BF" w:rsidRDefault="00A520BF" w:rsidP="00A520BF">
      <w:pPr>
        <w:pStyle w:val="ListParagraph"/>
        <w:numPr>
          <w:ilvl w:val="1"/>
          <w:numId w:val="13"/>
        </w:numPr>
        <w:autoSpaceDE w:val="0"/>
        <w:autoSpaceDN w:val="0"/>
        <w:adjustRightInd w:val="0"/>
        <w:spacing w:after="0" w:line="240" w:lineRule="auto"/>
        <w:jc w:val="both"/>
        <w:rPr>
          <w:rFonts w:cs="Arial"/>
        </w:rPr>
      </w:pPr>
      <w:r w:rsidRPr="00A520BF">
        <w:rPr>
          <w:rFonts w:cs="Arial"/>
        </w:rPr>
        <w:t>Martinica: no reproductivo.</w:t>
      </w:r>
    </w:p>
    <w:p w14:paraId="3FC2338D"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México: migratorio y no reproductivo.</w:t>
      </w:r>
    </w:p>
    <w:p w14:paraId="18406DE9" w14:textId="77777777" w:rsidR="00A520BF" w:rsidRPr="00A520BF" w:rsidRDefault="00A520BF" w:rsidP="00A520BF">
      <w:pPr>
        <w:pStyle w:val="ListParagraph"/>
        <w:numPr>
          <w:ilvl w:val="0"/>
          <w:numId w:val="13"/>
        </w:numPr>
        <w:spacing w:after="0" w:line="240" w:lineRule="auto"/>
        <w:jc w:val="both"/>
        <w:rPr>
          <w:rFonts w:cs="Arial"/>
        </w:rPr>
      </w:pPr>
      <w:r w:rsidRPr="00A520BF">
        <w:rPr>
          <w:rFonts w:cs="Arial"/>
        </w:rPr>
        <w:t>Montserrate: no reproductivo.</w:t>
      </w:r>
    </w:p>
    <w:p w14:paraId="7AC53445"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Nicaragua: no reproductivo.</w:t>
      </w:r>
    </w:p>
    <w:p w14:paraId="7A7336D8"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Panamá: no reproductivo.</w:t>
      </w:r>
    </w:p>
    <w:p w14:paraId="310BFF5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Paraguay: no reproductivo.</w:t>
      </w:r>
    </w:p>
    <w:p w14:paraId="34509F94"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Perú: no reproductivo.</w:t>
      </w:r>
    </w:p>
    <w:p w14:paraId="1406AFDC"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Puerto Rico: no reproductivo.</w:t>
      </w:r>
    </w:p>
    <w:p w14:paraId="5F953C26"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Saba: no reproductivo.</w:t>
      </w:r>
    </w:p>
    <w:p w14:paraId="7B31649A"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San Cristóbal y Nieves: no reproductivo.</w:t>
      </w:r>
    </w:p>
    <w:p w14:paraId="30ED703E"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Santa Lucía: no reproductivo.</w:t>
      </w:r>
    </w:p>
    <w:p w14:paraId="1FF7BD96"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San Martín: no reproductivo.</w:t>
      </w:r>
    </w:p>
    <w:p w14:paraId="7E30ECC5"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San Pedro y Miquelón: migratorio.</w:t>
      </w:r>
    </w:p>
    <w:p w14:paraId="35F83422"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San Vicente y las Granadinas: no reproductivo.</w:t>
      </w:r>
    </w:p>
    <w:p w14:paraId="0DF4CBDB"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San Eustaquio: no reproductivo.</w:t>
      </w:r>
    </w:p>
    <w:p w14:paraId="033D3953"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lastRenderedPageBreak/>
        <w:t>San Martín: no reproductivo.</w:t>
      </w:r>
    </w:p>
    <w:p w14:paraId="5ECCD16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Surinam: no reproductivo.</w:t>
      </w:r>
    </w:p>
    <w:p w14:paraId="728B7693"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Trinidad y Tobago: no reproductivo.</w:t>
      </w:r>
    </w:p>
    <w:p w14:paraId="6B50E1C8"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Islas Turcas y Caicos: no reproductivo.</w:t>
      </w:r>
    </w:p>
    <w:p w14:paraId="18F2A394"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Estados Unidos de América: reproductivo, migratorio y no reproductivo.</w:t>
      </w:r>
    </w:p>
    <w:p w14:paraId="2F7A2A3A"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Uruguay: no reproductivo.</w:t>
      </w:r>
    </w:p>
    <w:p w14:paraId="7CB2B527"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lang w:val="es-419"/>
        </w:rPr>
      </w:pPr>
      <w:r w:rsidRPr="00A520BF">
        <w:rPr>
          <w:rFonts w:cs="Arial"/>
          <w:lang w:val="es-419"/>
        </w:rPr>
        <w:t>Islas Vírgenes de los Estados Unidos: no reproductivo.</w:t>
      </w:r>
    </w:p>
    <w:p w14:paraId="6EDCA14F" w14:textId="77777777" w:rsidR="00A520BF" w:rsidRPr="00A520BF" w:rsidRDefault="00A520BF" w:rsidP="00A520BF">
      <w:pPr>
        <w:pStyle w:val="ListParagraph"/>
        <w:numPr>
          <w:ilvl w:val="0"/>
          <w:numId w:val="13"/>
        </w:numPr>
        <w:autoSpaceDE w:val="0"/>
        <w:autoSpaceDN w:val="0"/>
        <w:adjustRightInd w:val="0"/>
        <w:spacing w:after="0" w:line="240" w:lineRule="auto"/>
        <w:jc w:val="both"/>
        <w:rPr>
          <w:rFonts w:cs="Arial"/>
        </w:rPr>
      </w:pPr>
      <w:r w:rsidRPr="00A520BF">
        <w:rPr>
          <w:rFonts w:cs="Arial"/>
        </w:rPr>
        <w:t>Venezuela: no reproductivo.</w:t>
      </w:r>
    </w:p>
    <w:p w14:paraId="2125558D" w14:textId="77777777" w:rsidR="00A520BF" w:rsidRPr="00A520BF" w:rsidRDefault="00A520BF" w:rsidP="00A520BF">
      <w:pPr>
        <w:autoSpaceDE w:val="0"/>
        <w:adjustRightInd w:val="0"/>
        <w:spacing w:after="0" w:line="240" w:lineRule="auto"/>
        <w:ind w:left="709"/>
        <w:jc w:val="both"/>
        <w:rPr>
          <w:rFonts w:cs="Arial"/>
        </w:rPr>
      </w:pPr>
    </w:p>
    <w:p w14:paraId="304FD3D2" w14:textId="77777777" w:rsidR="00A520BF" w:rsidRPr="00A520BF" w:rsidRDefault="00A520BF" w:rsidP="00A520BF">
      <w:pPr>
        <w:keepNext/>
        <w:autoSpaceDE w:val="0"/>
        <w:adjustRightInd w:val="0"/>
        <w:spacing w:after="0" w:line="240" w:lineRule="auto"/>
        <w:jc w:val="both"/>
        <w:rPr>
          <w:rFonts w:cs="Arial"/>
          <w:b/>
          <w:bCs/>
        </w:rPr>
      </w:pPr>
      <w:r w:rsidRPr="00A520BF">
        <w:rPr>
          <w:rFonts w:cs="Arial"/>
          <w:b/>
          <w:bCs/>
        </w:rPr>
        <w:t>9. Consultas</w:t>
      </w:r>
    </w:p>
    <w:p w14:paraId="57AEA576" w14:textId="77777777" w:rsidR="00A520BF" w:rsidRPr="00A520BF" w:rsidRDefault="00A520BF" w:rsidP="00A520BF">
      <w:pPr>
        <w:autoSpaceDE w:val="0"/>
        <w:adjustRightInd w:val="0"/>
        <w:spacing w:after="0" w:line="240" w:lineRule="auto"/>
        <w:ind w:left="709"/>
        <w:jc w:val="both"/>
        <w:rPr>
          <w:rFonts w:cs="Arial"/>
        </w:rPr>
      </w:pPr>
    </w:p>
    <w:p w14:paraId="620E919C" w14:textId="77777777" w:rsidR="00A520BF" w:rsidRPr="00A520BF" w:rsidRDefault="00A520BF" w:rsidP="00A520BF">
      <w:pPr>
        <w:keepNext/>
        <w:autoSpaceDE w:val="0"/>
        <w:adjustRightInd w:val="0"/>
        <w:spacing w:after="0" w:line="240" w:lineRule="auto"/>
        <w:jc w:val="both"/>
        <w:rPr>
          <w:rFonts w:cs="Arial"/>
          <w:b/>
          <w:bCs/>
        </w:rPr>
      </w:pPr>
      <w:r w:rsidRPr="00A520BF">
        <w:rPr>
          <w:rFonts w:cs="Arial"/>
          <w:b/>
          <w:bCs/>
        </w:rPr>
        <w:t>10. Observaciones adicionales</w:t>
      </w:r>
    </w:p>
    <w:p w14:paraId="77603334" w14:textId="77777777" w:rsidR="00881803" w:rsidRDefault="00881803">
      <w:pPr>
        <w:rPr>
          <w:rFonts w:cs="Arial"/>
        </w:rPr>
      </w:pPr>
      <w:r>
        <w:rPr>
          <w:rFonts w:cs="Arial"/>
        </w:rPr>
        <w:br w:type="page"/>
      </w:r>
    </w:p>
    <w:p w14:paraId="458D7C52" w14:textId="409956AA" w:rsidR="00A520BF" w:rsidRPr="00A520BF" w:rsidRDefault="00A520BF" w:rsidP="00881803">
      <w:pPr>
        <w:autoSpaceDE w:val="0"/>
        <w:adjustRightInd w:val="0"/>
        <w:spacing w:after="0" w:line="240" w:lineRule="auto"/>
        <w:ind w:left="709"/>
        <w:jc w:val="both"/>
        <w:rPr>
          <w:rFonts w:cs="Arial"/>
        </w:rPr>
      </w:pPr>
    </w:p>
    <w:p w14:paraId="5FE73E16" w14:textId="77777777" w:rsidR="00A520BF" w:rsidRDefault="00A520BF" w:rsidP="00A520BF">
      <w:pPr>
        <w:keepNext/>
        <w:autoSpaceDE w:val="0"/>
        <w:adjustRightInd w:val="0"/>
        <w:spacing w:after="0" w:line="240" w:lineRule="auto"/>
        <w:jc w:val="both"/>
        <w:rPr>
          <w:rFonts w:cs="Arial"/>
          <w:b/>
          <w:bCs/>
        </w:rPr>
      </w:pPr>
      <w:r w:rsidRPr="00A520BF">
        <w:rPr>
          <w:rFonts w:cs="Arial"/>
          <w:b/>
          <w:bCs/>
        </w:rPr>
        <w:t>11. Referencias</w:t>
      </w:r>
    </w:p>
    <w:p w14:paraId="5BE352C7" w14:textId="77777777" w:rsidR="00881803" w:rsidRPr="00881803" w:rsidRDefault="00881803" w:rsidP="00881803">
      <w:pPr>
        <w:keepNext/>
        <w:autoSpaceDE w:val="0"/>
        <w:adjustRightInd w:val="0"/>
        <w:spacing w:after="0" w:line="240" w:lineRule="auto"/>
        <w:jc w:val="both"/>
        <w:rPr>
          <w:rFonts w:cs="Arial"/>
          <w:sz w:val="20"/>
          <w:szCs w:val="20"/>
        </w:rPr>
      </w:pPr>
    </w:p>
    <w:p w14:paraId="4545CC33"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Andres B, Smith PA, Morrison RIG, et al (2012) Population estimates of North American shorebirds, 2012. Wader Study Group Bull 119:178–194</w:t>
      </w:r>
    </w:p>
    <w:p w14:paraId="21B7A42F"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Andres, B. A., Moore, L., Cox, A. R., Roy, C., &amp; Brown, S. C. (2022). A preliminary assessment of shorebird harvest in coastal Guyana. Wader Study, 129(1), 39–47. </w:t>
      </w:r>
      <w:hyperlink r:id="rId17">
        <w:r w:rsidRPr="00881803">
          <w:rPr>
            <w:rFonts w:ascii="Arial" w:hAnsi="Arial" w:cs="Arial"/>
            <w:color w:val="000000" w:themeColor="text1"/>
            <w:sz w:val="20"/>
            <w:szCs w:val="20"/>
          </w:rPr>
          <w:t>https://doi.org/10.18194/ws.00263</w:t>
        </w:r>
      </w:hyperlink>
      <w:r w:rsidRPr="00881803">
        <w:rPr>
          <w:rFonts w:ascii="Arial" w:eastAsia="Arial" w:hAnsi="Arial" w:cs="Arial"/>
          <w:color w:val="000000" w:themeColor="text1"/>
          <w:sz w:val="20"/>
          <w:szCs w:val="20"/>
        </w:rPr>
        <w:t xml:space="preserve"> </w:t>
      </w:r>
    </w:p>
    <w:p w14:paraId="1D2268E2"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Ballut-Dajud GA, Sandoval Herazo LC, Fernández-Lambert G, et al (2022) Factors Affecting Wetland Loss: A Review. Land 11:434. </w:t>
      </w:r>
      <w:hyperlink r:id="rId18">
        <w:r w:rsidRPr="00881803">
          <w:rPr>
            <w:rStyle w:val="Hyperlink"/>
            <w:rFonts w:ascii="Arial" w:eastAsia="Arial" w:hAnsi="Arial" w:cs="Arial"/>
            <w:sz w:val="20"/>
            <w:szCs w:val="20"/>
          </w:rPr>
          <w:t>https://doi.org/10.3390/land11030434</w:t>
        </w:r>
      </w:hyperlink>
    </w:p>
    <w:p w14:paraId="4C1E565B"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Bird, J. P., R. Martin, H. R. Akçakaya, J. Gilroy, I. J. Burfield, S. T. Garnett, A. Symes, J. Taylor, Ç. H. Şekercioğlu, and S. H. M. Butchart (2020). Generation lengths of the world’s birds and their implications for extinction risk. Conservation Biology 34:12521261. </w:t>
      </w:r>
      <w:hyperlink r:id="rId19">
        <w:r w:rsidRPr="00881803">
          <w:rPr>
            <w:rStyle w:val="Hyperlink"/>
            <w:rFonts w:ascii="Arial" w:eastAsia="Arial" w:hAnsi="Arial" w:cs="Arial"/>
            <w:sz w:val="20"/>
            <w:szCs w:val="20"/>
          </w:rPr>
          <w:t>https://doi.org/10.1111/cobi.13486</w:t>
        </w:r>
      </w:hyperlink>
    </w:p>
    <w:p w14:paraId="42E3BA00"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BirdLife International (2024a) Tringa flavipes</w:t>
      </w:r>
    </w:p>
    <w:p w14:paraId="35635CC8"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BirdLife International (2024b) Species factsheet: Lesser Yellowlegs Tringa flavipes</w:t>
      </w:r>
    </w:p>
    <w:p w14:paraId="3FEB22C6"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Buelow C, Sheaves M (2015) A birds-eye view of biological connectivity in mangrove systems. Estuar Coast Shelf Sci 152:33–43. </w:t>
      </w:r>
      <w:hyperlink r:id="rId20">
        <w:r w:rsidRPr="00881803">
          <w:rPr>
            <w:rFonts w:ascii="Arial" w:hAnsi="Arial" w:cs="Arial"/>
            <w:color w:val="000000" w:themeColor="text1"/>
            <w:sz w:val="20"/>
            <w:szCs w:val="20"/>
          </w:rPr>
          <w:t>https://doi.org/10.1016/j.ecss.2014.10.014</w:t>
        </w:r>
      </w:hyperlink>
    </w:p>
    <w:p w14:paraId="3AA1CFA9"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Christie, K., Wilson, R. E., Johnson, J. A., Friis, C., Harwood, C. M., McDuffie, L. A., Nol, E., &amp; Sonsthagen, S. A. (2023). Movement and genomic methods reveal mechanisms promoting connectivity in a declining shorebird: The lesser yellowlegs. Diversity, 15(5), 595. </w:t>
      </w:r>
      <w:hyperlink r:id="rId21">
        <w:r w:rsidRPr="00881803">
          <w:rPr>
            <w:rFonts w:ascii="Arial" w:hAnsi="Arial" w:cs="Arial"/>
            <w:color w:val="000000" w:themeColor="text1"/>
            <w:sz w:val="20"/>
            <w:szCs w:val="20"/>
          </w:rPr>
          <w:t>https://doi.org/10.3390/d15050595</w:t>
        </w:r>
      </w:hyperlink>
    </w:p>
    <w:p w14:paraId="6CA8560A"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Clay RP, Lesterhuis A, Centrón S (2012) Conservation Plan for the Lesser Yellowlegs (Tringa flavipes). Manomet Center for Conservation Sciences, Manomet, Massachusetts</w:t>
      </w:r>
    </w:p>
    <w:p w14:paraId="10F9C10F"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COSEWIC (2020) COSEWIC assessment and status report on the Lesser Yellowlegs Tringa flavipes in Canada. Committee on the Status of Endangered Wildlife in Canada, Ottawa</w:t>
      </w:r>
    </w:p>
    <w:p w14:paraId="58702700"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Cox, A. R., Gallo-Cajiao, E., Tremblay, F., Rateau, F., Urvoy, K., Laliberté, B., Boniface, P., Euphrosine, D., Lavanne, T., &amp; Roy, C. (In prep.). Legal harvest of shorebirds and resident game birds on a Caribbean island: A Martinique case study. bioRxiv. </w:t>
      </w:r>
      <w:hyperlink r:id="rId22">
        <w:r w:rsidRPr="00881803">
          <w:rPr>
            <w:rFonts w:ascii="Arial" w:hAnsi="Arial" w:cs="Arial"/>
            <w:color w:val="000000" w:themeColor="text1"/>
            <w:sz w:val="20"/>
            <w:szCs w:val="20"/>
          </w:rPr>
          <w:t>https://doi.org/10.1101/2025.06.17.660260</w:t>
        </w:r>
      </w:hyperlink>
    </w:p>
    <w:p w14:paraId="619520EF"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Danyk KAR, Zwaan DR de, Paquet J, Hamilton DJ (2025) Habitat use and local movement of staging Lesser Yellowlegs (&lt;em&gt;Tringa flavipes&lt;/em&gt;) differ between coastal and inland habitat in Atlantic Canada. J Field Ornithol 96:. </w:t>
      </w:r>
      <w:hyperlink r:id="rId23">
        <w:r w:rsidRPr="00881803">
          <w:rPr>
            <w:rFonts w:ascii="Arial" w:hAnsi="Arial" w:cs="Arial"/>
            <w:color w:val="000000" w:themeColor="text1"/>
            <w:sz w:val="20"/>
            <w:szCs w:val="20"/>
          </w:rPr>
          <w:t>https://doi.org/10.5751/JFO-00659-960305</w:t>
        </w:r>
      </w:hyperlink>
    </w:p>
    <w:p w14:paraId="311D6D48"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Linscott JA, Basso E, Bathrick R, et al (2024) The Amazon Basin’s rivers and lakes support Nearctic-breeding shorebirds during southward migration. Ornithol Appl duae034. </w:t>
      </w:r>
      <w:hyperlink r:id="rId24">
        <w:r w:rsidRPr="00881803">
          <w:rPr>
            <w:rFonts w:ascii="Arial" w:hAnsi="Arial" w:cs="Arial"/>
            <w:color w:val="000000" w:themeColor="text1"/>
            <w:sz w:val="20"/>
            <w:szCs w:val="20"/>
          </w:rPr>
          <w:t>https://doi.org/10.1093/ornithapp/duae034</w:t>
        </w:r>
      </w:hyperlink>
    </w:p>
    <w:p w14:paraId="50F631AE"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McDuffie LA, Christie KS, Harrison A-L, et al (2022a) Eastern-breeding Lesser Yellowlegs are more likely than western-breeding birds to visit areas with high shorebird hunting during southward migration. Ornithol Appl 124:duab061. </w:t>
      </w:r>
      <w:hyperlink r:id="rId25">
        <w:r w:rsidRPr="00881803">
          <w:rPr>
            <w:rFonts w:ascii="Arial" w:hAnsi="Arial" w:cs="Arial"/>
            <w:color w:val="000000" w:themeColor="text1"/>
            <w:sz w:val="20"/>
            <w:szCs w:val="20"/>
          </w:rPr>
          <w:t>https://doi.org/10.1093/ornithapp/duab061</w:t>
        </w:r>
      </w:hyperlink>
    </w:p>
    <w:p w14:paraId="0FDCC7D7" w14:textId="77777777" w:rsidR="00A520BF" w:rsidRPr="00583625" w:rsidRDefault="00A520BF" w:rsidP="00881803">
      <w:pPr>
        <w:pStyle w:val="Bibliography"/>
        <w:spacing w:after="80" w:line="240" w:lineRule="auto"/>
        <w:ind w:left="540" w:hanging="540"/>
        <w:jc w:val="both"/>
        <w:rPr>
          <w:rFonts w:ascii="Arial" w:eastAsia="Arial" w:hAnsi="Arial" w:cs="Arial"/>
          <w:color w:val="000000" w:themeColor="text1"/>
          <w:sz w:val="20"/>
          <w:szCs w:val="20"/>
          <w:lang w:val="pt-PT"/>
        </w:rPr>
      </w:pPr>
      <w:r w:rsidRPr="00881803">
        <w:rPr>
          <w:rFonts w:ascii="Arial" w:eastAsia="Arial" w:hAnsi="Arial" w:cs="Arial"/>
          <w:color w:val="000000" w:themeColor="text1"/>
          <w:sz w:val="20"/>
          <w:szCs w:val="20"/>
        </w:rPr>
        <w:t xml:space="preserve">McDuffie LA, Christie KS, Taylor AR, et al (2022b) Flyway-scale GPS tracking reveals migratory routes and key stopover and non-breeding locations of lesser yellowlegs. </w:t>
      </w:r>
      <w:r w:rsidRPr="00583625">
        <w:rPr>
          <w:rFonts w:ascii="Arial" w:eastAsia="Arial" w:hAnsi="Arial" w:cs="Arial"/>
          <w:color w:val="000000" w:themeColor="text1"/>
          <w:sz w:val="20"/>
          <w:szCs w:val="20"/>
          <w:lang w:val="pt-PT"/>
        </w:rPr>
        <w:t xml:space="preserve">Ecol Evol 12:e9495. </w:t>
      </w:r>
      <w:hyperlink r:id="rId26">
        <w:r w:rsidRPr="00583625">
          <w:rPr>
            <w:rFonts w:ascii="Arial" w:hAnsi="Arial" w:cs="Arial"/>
            <w:color w:val="000000" w:themeColor="text1"/>
            <w:sz w:val="20"/>
            <w:szCs w:val="20"/>
            <w:lang w:val="pt-PT"/>
          </w:rPr>
          <w:t>https://doi.org/10.1002/ece3.9495</w:t>
        </w:r>
      </w:hyperlink>
    </w:p>
    <w:p w14:paraId="23EB3E9A"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583625">
        <w:rPr>
          <w:rFonts w:ascii="Arial" w:eastAsia="Arial" w:hAnsi="Arial" w:cs="Arial"/>
          <w:color w:val="000000" w:themeColor="text1"/>
          <w:sz w:val="20"/>
          <w:szCs w:val="20"/>
          <w:lang w:val="pt-PT"/>
        </w:rPr>
        <w:t xml:space="preserve">Rivera-Milán, F. F., Andres, B. A., &amp; Johnson, J. A. (2023). </w:t>
      </w:r>
      <w:r w:rsidRPr="00881803">
        <w:rPr>
          <w:rFonts w:ascii="Arial" w:eastAsia="Arial" w:hAnsi="Arial" w:cs="Arial"/>
          <w:color w:val="000000" w:themeColor="text1"/>
          <w:sz w:val="20"/>
          <w:szCs w:val="20"/>
        </w:rPr>
        <w:t xml:space="preserve">Sustainability assessment of Lesser Yellowlegs Tringa flavipes harvested in the Americas. Wader Study, 130(2), 138–144. </w:t>
      </w:r>
      <w:hyperlink r:id="rId27">
        <w:r w:rsidRPr="00881803">
          <w:rPr>
            <w:rFonts w:ascii="Arial" w:hAnsi="Arial" w:cs="Arial"/>
            <w:color w:val="000000" w:themeColor="text1"/>
            <w:sz w:val="20"/>
            <w:szCs w:val="20"/>
          </w:rPr>
          <w:t>https://doi.org/10.18194/ws.00307</w:t>
        </w:r>
      </w:hyperlink>
    </w:p>
    <w:p w14:paraId="12CD55F7"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Road to Recovery (2022). Lesser Yellowlegs: A Tipping Point Species. </w:t>
      </w:r>
      <w:hyperlink r:id="rId28">
        <w:r w:rsidRPr="00881803">
          <w:rPr>
            <w:rFonts w:ascii="Arial" w:hAnsi="Arial" w:cs="Arial"/>
            <w:color w:val="000000" w:themeColor="text1"/>
            <w:sz w:val="20"/>
            <w:szCs w:val="20"/>
          </w:rPr>
          <w:t>https://r2rbirds.org/tipping-point-species/lesser-yellowlegs/</w:t>
        </w:r>
      </w:hyperlink>
    </w:p>
    <w:p w14:paraId="6A67AB29"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Rosenberg, K. V., Dokter, A. M., Blancher, P. J., Sauer, J. R., Smith, A. C., Smith, P. A., Stanton, J. C., Panjabi, A., Helft, L., Parr, M., and P.P. Marra (2019). Decline of the North American avifauna. Science, 366(6461), 120-124. </w:t>
      </w:r>
      <w:hyperlink r:id="rId29">
        <w:r w:rsidRPr="00881803">
          <w:rPr>
            <w:rFonts w:ascii="Arial" w:hAnsi="Arial" w:cs="Arial"/>
            <w:color w:val="000000" w:themeColor="text1"/>
            <w:sz w:val="20"/>
            <w:szCs w:val="20"/>
          </w:rPr>
          <w:t>https://doi.org/10.1126/science.aaw1313</w:t>
        </w:r>
      </w:hyperlink>
    </w:p>
    <w:p w14:paraId="261E3A35"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Sekercioglu CH (2006) Increasing awareness of avian ecological function. Trends Ecol Evol 21:464–471. </w:t>
      </w:r>
      <w:hyperlink r:id="rId30">
        <w:r w:rsidRPr="00881803">
          <w:rPr>
            <w:rFonts w:ascii="Arial" w:hAnsi="Arial" w:cs="Arial"/>
            <w:color w:val="000000" w:themeColor="text1"/>
            <w:sz w:val="20"/>
            <w:szCs w:val="20"/>
          </w:rPr>
          <w:t>https://doi.org/10.1016/j.tree.2006.05.007</w:t>
        </w:r>
      </w:hyperlink>
    </w:p>
    <w:p w14:paraId="70ABD5D2"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lastRenderedPageBreak/>
        <w:t xml:space="preserve">Smith PA, Smith AC, Andres B, et al (2023) Accelerating declines of North America’s shorebirds signal the need for urgent conservation action. Ornithol Appl 125:duad003. </w:t>
      </w:r>
      <w:hyperlink r:id="rId31">
        <w:r w:rsidRPr="00881803">
          <w:rPr>
            <w:rFonts w:ascii="Arial" w:hAnsi="Arial" w:cs="Arial"/>
            <w:color w:val="000000" w:themeColor="text1"/>
            <w:sz w:val="20"/>
            <w:szCs w:val="20"/>
          </w:rPr>
          <w:t>https://doi.org/10.1093/ornithapp/duad003</w:t>
        </w:r>
      </w:hyperlink>
    </w:p>
    <w:p w14:paraId="0B36DFF0"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Tibbitts TL, Moskoff W (2020) Lesser Yellowlegs (Tringa flavipes), version 1.0. Birds World. </w:t>
      </w:r>
      <w:hyperlink r:id="rId32">
        <w:r w:rsidRPr="00881803">
          <w:rPr>
            <w:rFonts w:ascii="Arial" w:hAnsi="Arial" w:cs="Arial"/>
            <w:color w:val="000000" w:themeColor="text1"/>
            <w:sz w:val="20"/>
            <w:szCs w:val="20"/>
          </w:rPr>
          <w:t>https://doi.org/10.2173/bow.lesyel.01</w:t>
        </w:r>
      </w:hyperlink>
    </w:p>
    <w:p w14:paraId="5339BD66" w14:textId="77777777" w:rsidR="00A520BF" w:rsidRPr="00881803" w:rsidRDefault="00A520BF" w:rsidP="00881803">
      <w:pPr>
        <w:pStyle w:val="Bibliography"/>
        <w:spacing w:after="80" w:line="240" w:lineRule="auto"/>
        <w:ind w:left="540" w:hanging="540"/>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U.S. Shorebird Conservation Plan Partnership (2016) Shorebirds of Conservation Concern in the United States of America ─ 2016</w:t>
      </w:r>
    </w:p>
    <w:p w14:paraId="6923C945" w14:textId="77777777" w:rsidR="00A520BF" w:rsidRPr="00881803" w:rsidRDefault="00A520BF" w:rsidP="00881803">
      <w:pPr>
        <w:pStyle w:val="Bibliography"/>
        <w:spacing w:after="0" w:line="240" w:lineRule="auto"/>
        <w:jc w:val="both"/>
        <w:rPr>
          <w:rFonts w:ascii="Arial" w:eastAsia="Arial" w:hAnsi="Arial" w:cs="Arial"/>
          <w:color w:val="000000" w:themeColor="text1"/>
          <w:sz w:val="20"/>
          <w:szCs w:val="20"/>
        </w:rPr>
      </w:pPr>
      <w:r w:rsidRPr="00881803">
        <w:rPr>
          <w:rFonts w:ascii="Arial" w:eastAsia="Arial" w:hAnsi="Arial" w:cs="Arial"/>
          <w:color w:val="000000" w:themeColor="text1"/>
          <w:sz w:val="20"/>
          <w:szCs w:val="20"/>
        </w:rPr>
        <w:t xml:space="preserve">Urcola HA, de Sartre XA, Veiga I, et al (2015) Land tenancy, soybean, actors and transformations in the pampas: A district balance. J Rural Stud 39:32–40. </w:t>
      </w:r>
      <w:hyperlink r:id="rId33">
        <w:r w:rsidRPr="00881803">
          <w:rPr>
            <w:rFonts w:ascii="Arial" w:hAnsi="Arial" w:cs="Arial"/>
            <w:color w:val="000000" w:themeColor="text1"/>
            <w:sz w:val="20"/>
            <w:szCs w:val="20"/>
          </w:rPr>
          <w:t>https://doi.org/10.1016/j.jrurstud.2015.03.001</w:t>
        </w:r>
      </w:hyperlink>
    </w:p>
    <w:p w14:paraId="1CED4664" w14:textId="77777777" w:rsidR="00A520BF" w:rsidRPr="00881803" w:rsidRDefault="00A520BF" w:rsidP="00881803">
      <w:pPr>
        <w:widowControl w:val="0"/>
        <w:autoSpaceDE w:val="0"/>
        <w:spacing w:after="0" w:line="240" w:lineRule="auto"/>
        <w:jc w:val="both"/>
        <w:rPr>
          <w:rFonts w:eastAsia="Times New Roman" w:cs="Arial"/>
          <w:b/>
          <w:sz w:val="20"/>
          <w:szCs w:val="20"/>
          <w:lang w:eastAsia="es-ES"/>
        </w:rPr>
      </w:pPr>
    </w:p>
    <w:p w14:paraId="55B23A80" w14:textId="77777777" w:rsidR="00A520BF" w:rsidRPr="00881803" w:rsidRDefault="00A520BF" w:rsidP="00881803">
      <w:pPr>
        <w:widowControl w:val="0"/>
        <w:autoSpaceDE w:val="0"/>
        <w:spacing w:after="0" w:line="240" w:lineRule="auto"/>
        <w:jc w:val="both"/>
        <w:rPr>
          <w:rFonts w:eastAsia="Times New Roman" w:cs="Arial"/>
          <w:b/>
          <w:sz w:val="20"/>
          <w:szCs w:val="20"/>
          <w:lang w:eastAsia="es-ES"/>
        </w:rPr>
      </w:pPr>
    </w:p>
    <w:sectPr w:rsidR="00A520BF" w:rsidRPr="00881803" w:rsidSect="00323406">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AD6F" w14:textId="77777777" w:rsidR="00FD4801" w:rsidRDefault="00FD4801" w:rsidP="00002A97">
      <w:pPr>
        <w:spacing w:after="0" w:line="240" w:lineRule="auto"/>
      </w:pPr>
      <w:r>
        <w:separator/>
      </w:r>
    </w:p>
  </w:endnote>
  <w:endnote w:type="continuationSeparator" w:id="0">
    <w:p w14:paraId="22A2E809" w14:textId="77777777" w:rsidR="00FD4801" w:rsidRDefault="00FD480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1F2325">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1A75" w14:textId="77777777" w:rsidR="00FD4801" w:rsidRDefault="00FD4801" w:rsidP="00002A97">
      <w:pPr>
        <w:spacing w:after="0" w:line="240" w:lineRule="auto"/>
      </w:pPr>
      <w:r>
        <w:separator/>
      </w:r>
    </w:p>
  </w:footnote>
  <w:footnote w:type="continuationSeparator" w:id="0">
    <w:p w14:paraId="40783C88" w14:textId="77777777" w:rsidR="00FD4801" w:rsidRDefault="00FD4801"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57C8D40"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A520BF">
      <w:rPr>
        <w:rFonts w:eastAsia="Times New Roman" w:cs="Arial"/>
        <w:i/>
        <w:sz w:val="18"/>
        <w:szCs w:val="18"/>
        <w:lang w:val="fr-FR" w:eastAsia="es-ES"/>
      </w:rPr>
      <w:t>30.2.9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1230F4C"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520BF">
      <w:rPr>
        <w:rFonts w:eastAsia="Times New Roman" w:cs="Arial"/>
        <w:i/>
        <w:sz w:val="18"/>
        <w:szCs w:val="18"/>
        <w:lang w:val="fr-FR" w:eastAsia="es-ES"/>
      </w:rPr>
      <w:t>30.2.9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30498"/>
    <w:multiLevelType w:val="hybridMultilevel"/>
    <w:tmpl w:val="6994EEF8"/>
    <w:lvl w:ilvl="0" w:tplc="7B1C83C0">
      <w:start w:val="1"/>
      <w:numFmt w:val="bullet"/>
      <w:lvlText w:val="-"/>
      <w:lvlJc w:val="left"/>
      <w:pPr>
        <w:ind w:left="1429" w:hanging="360"/>
      </w:pPr>
      <w:rPr>
        <w:rFonts w:ascii="Times New Roman" w:eastAsia="Times New Roman" w:hAnsi="Times New Roman"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9D46E7"/>
    <w:multiLevelType w:val="hybridMultilevel"/>
    <w:tmpl w:val="13BA13F8"/>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7"/>
  </w:num>
  <w:num w:numId="5" w16cid:durableId="37974177">
    <w:abstractNumId w:val="4"/>
  </w:num>
  <w:num w:numId="6" w16cid:durableId="1958830237">
    <w:abstractNumId w:val="8"/>
  </w:num>
  <w:num w:numId="7" w16cid:durableId="396439182">
    <w:abstractNumId w:val="11"/>
  </w:num>
  <w:num w:numId="8" w16cid:durableId="260603560">
    <w:abstractNumId w:val="6"/>
  </w:num>
  <w:num w:numId="9" w16cid:durableId="1356272424">
    <w:abstractNumId w:val="5"/>
  </w:num>
  <w:num w:numId="10" w16cid:durableId="630594039">
    <w:abstractNumId w:val="13"/>
  </w:num>
  <w:num w:numId="11" w16cid:durableId="2069759870">
    <w:abstractNumId w:val="9"/>
  </w:num>
  <w:num w:numId="12" w16cid:durableId="904724938">
    <w:abstractNumId w:val="12"/>
  </w:num>
  <w:num w:numId="13" w16cid:durableId="799227118">
    <w:abstractNumId w:val="3"/>
  </w:num>
  <w:num w:numId="14" w16cid:durableId="920455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54A11"/>
    <w:rsid w:val="00166CB7"/>
    <w:rsid w:val="001722A0"/>
    <w:rsid w:val="00192411"/>
    <w:rsid w:val="001A0EE3"/>
    <w:rsid w:val="001E6CDF"/>
    <w:rsid w:val="001F2325"/>
    <w:rsid w:val="0024152C"/>
    <w:rsid w:val="00256158"/>
    <w:rsid w:val="00280C7A"/>
    <w:rsid w:val="002A40B8"/>
    <w:rsid w:val="002A491C"/>
    <w:rsid w:val="002A5ABE"/>
    <w:rsid w:val="002D5F2A"/>
    <w:rsid w:val="002F43C9"/>
    <w:rsid w:val="002F7EC2"/>
    <w:rsid w:val="00310600"/>
    <w:rsid w:val="003133A7"/>
    <w:rsid w:val="00323406"/>
    <w:rsid w:val="00430A25"/>
    <w:rsid w:val="00457C8A"/>
    <w:rsid w:val="004C7808"/>
    <w:rsid w:val="00515163"/>
    <w:rsid w:val="005330F7"/>
    <w:rsid w:val="00563598"/>
    <w:rsid w:val="00583625"/>
    <w:rsid w:val="00591364"/>
    <w:rsid w:val="0059243E"/>
    <w:rsid w:val="005C39FC"/>
    <w:rsid w:val="006114FC"/>
    <w:rsid w:val="00640F43"/>
    <w:rsid w:val="0065062B"/>
    <w:rsid w:val="006C2EF5"/>
    <w:rsid w:val="006F22B0"/>
    <w:rsid w:val="00790422"/>
    <w:rsid w:val="0079237D"/>
    <w:rsid w:val="007B53CC"/>
    <w:rsid w:val="007C212E"/>
    <w:rsid w:val="007E5A82"/>
    <w:rsid w:val="00800CB3"/>
    <w:rsid w:val="00810C64"/>
    <w:rsid w:val="00881803"/>
    <w:rsid w:val="008D686F"/>
    <w:rsid w:val="009059D0"/>
    <w:rsid w:val="00943D15"/>
    <w:rsid w:val="00A520BF"/>
    <w:rsid w:val="00A656E5"/>
    <w:rsid w:val="00A96EB9"/>
    <w:rsid w:val="00AB741C"/>
    <w:rsid w:val="00AC09AE"/>
    <w:rsid w:val="00B104EC"/>
    <w:rsid w:val="00B26725"/>
    <w:rsid w:val="00B40E07"/>
    <w:rsid w:val="00BA2F55"/>
    <w:rsid w:val="00BB13D0"/>
    <w:rsid w:val="00BC5707"/>
    <w:rsid w:val="00BE6C85"/>
    <w:rsid w:val="00BF7838"/>
    <w:rsid w:val="00C1548E"/>
    <w:rsid w:val="00C22155"/>
    <w:rsid w:val="00C41DAD"/>
    <w:rsid w:val="00C56D8F"/>
    <w:rsid w:val="00C664E8"/>
    <w:rsid w:val="00CF660D"/>
    <w:rsid w:val="00D70275"/>
    <w:rsid w:val="00D84650"/>
    <w:rsid w:val="00E607BD"/>
    <w:rsid w:val="00E77A9F"/>
    <w:rsid w:val="00E81B4A"/>
    <w:rsid w:val="00EF1D13"/>
    <w:rsid w:val="00F147ED"/>
    <w:rsid w:val="00F42907"/>
    <w:rsid w:val="00F973DB"/>
    <w:rsid w:val="00FA16C1"/>
    <w:rsid w:val="00FD480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4992E425-AF89-452B-A900-F46B17F1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styleId="CommentReference">
    <w:name w:val="annotation reference"/>
    <w:basedOn w:val="DefaultParagraphFont"/>
    <w:rsid w:val="00A520BF"/>
    <w:rPr>
      <w:rFonts w:cs="Times New Roman"/>
      <w:sz w:val="18"/>
    </w:rPr>
  </w:style>
  <w:style w:type="paragraph" w:styleId="CommentText">
    <w:name w:val="annotation text"/>
    <w:basedOn w:val="Normal"/>
    <w:link w:val="CommentTextChar"/>
    <w:rsid w:val="00A520BF"/>
    <w:pPr>
      <w:widowControl w:val="0"/>
      <w:suppressAutoHyphens/>
      <w:autoSpaceDE w:val="0"/>
      <w:autoSpaceDN w:val="0"/>
      <w:spacing w:after="0" w:line="240" w:lineRule="auto"/>
      <w:textAlignment w:val="baseline"/>
    </w:pPr>
    <w:rPr>
      <w:rFonts w:eastAsia="Times New Roman" w:cs="Times New Roman"/>
      <w:sz w:val="24"/>
      <w:szCs w:val="24"/>
      <w:lang w:val="es-ES" w:eastAsia="es-ES"/>
    </w:rPr>
  </w:style>
  <w:style w:type="character" w:customStyle="1" w:styleId="CommentTextChar">
    <w:name w:val="Comment Text Char"/>
    <w:basedOn w:val="DefaultParagraphFont"/>
    <w:link w:val="CommentText"/>
    <w:rsid w:val="00A520BF"/>
    <w:rPr>
      <w:rFonts w:eastAsia="Times New Roman" w:cs="Times New Roman"/>
      <w:sz w:val="24"/>
      <w:szCs w:val="24"/>
      <w:lang w:val="es-ES" w:eastAsia="es-ES"/>
    </w:rPr>
  </w:style>
  <w:style w:type="paragraph" w:styleId="Bibliography">
    <w:name w:val="Bibliography"/>
    <w:basedOn w:val="Normal"/>
    <w:next w:val="Normal"/>
    <w:uiPriority w:val="37"/>
    <w:semiHidden/>
    <w:unhideWhenUsed/>
    <w:rsid w:val="00A520BF"/>
    <w:pPr>
      <w:suppressAutoHyphens/>
      <w:autoSpaceDN w:val="0"/>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omet.org/project/international-shorebird-survey/" TargetMode="External"/><Relationship Id="rId18" Type="http://schemas.openxmlformats.org/officeDocument/2006/relationships/hyperlink" Target="https://doi.org/10.3390/land11030434" TargetMode="External"/><Relationship Id="rId26" Type="http://schemas.openxmlformats.org/officeDocument/2006/relationships/hyperlink" Target="https://doi.org/10.1002/ece3.9495" TargetMode="External"/><Relationship Id="rId39" Type="http://schemas.openxmlformats.org/officeDocument/2006/relationships/footer" Target="footer3.xml"/><Relationship Id="rId21" Type="http://schemas.openxmlformats.org/officeDocument/2006/relationships/hyperlink" Target="https://doi.org/10.3390/d15050595"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2rbirds.org/" TargetMode="External"/><Relationship Id="rId20" Type="http://schemas.openxmlformats.org/officeDocument/2006/relationships/hyperlink" Target="https://doi.org/10.1016/j.ecss.2014.10.014" TargetMode="External"/><Relationship Id="rId29" Type="http://schemas.openxmlformats.org/officeDocument/2006/relationships/hyperlink" Target="https://doi.org/10.1126/science.aaw13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1093/ornithapp/duae034" TargetMode="External"/><Relationship Id="rId32" Type="http://schemas.openxmlformats.org/officeDocument/2006/relationships/hyperlink" Target="https://doi.org/10.2173/bow.lesyel.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idamericasshorebirds.org/" TargetMode="External"/><Relationship Id="rId23" Type="http://schemas.openxmlformats.org/officeDocument/2006/relationships/hyperlink" Target="https://doi.org/10.5751/JFO-00659-960305" TargetMode="External"/><Relationship Id="rId28" Type="http://schemas.openxmlformats.org/officeDocument/2006/relationships/hyperlink" Target="https://r2rbirds.org/tipping-point-species/lesser-yellowleg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111/cobi.13486" TargetMode="External"/><Relationship Id="rId31" Type="http://schemas.openxmlformats.org/officeDocument/2006/relationships/hyperlink" Target="https://doi.org/10.1093/ornithapp/duad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lanticflywayshorebirds.org/" TargetMode="External"/><Relationship Id="rId22" Type="http://schemas.openxmlformats.org/officeDocument/2006/relationships/hyperlink" Target="https://doi.org/10.1101/2025.06.17.660260" TargetMode="External"/><Relationship Id="rId27" Type="http://schemas.openxmlformats.org/officeDocument/2006/relationships/hyperlink" Target="https://doi.org/10.18194/ws.00307" TargetMode="External"/><Relationship Id="rId30" Type="http://schemas.openxmlformats.org/officeDocument/2006/relationships/hyperlink" Target="https://doi.org/10.1016/j.tree.2006.05.007"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oi.org/10.18194/ws.00263" TargetMode="External"/><Relationship Id="rId25" Type="http://schemas.openxmlformats.org/officeDocument/2006/relationships/hyperlink" Target="https://doi.org/10.1093/ornithapp/duab061" TargetMode="External"/><Relationship Id="rId33" Type="http://schemas.openxmlformats.org/officeDocument/2006/relationships/hyperlink" Target="https://doi.org/10.1016/j.jrurstud.2015.03.001"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9EA6346C-FDB0-418A-860E-A56E80249CD7}"/>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12355</Words>
  <Characters>70424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dcterms:created xsi:type="dcterms:W3CDTF">2025-11-12T18:44:00Z</dcterms:created>
  <dcterms:modified xsi:type="dcterms:W3CDTF">2025-11-21T07:48:00Z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