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FA3534" w:rsidRPr="00FA3534" w14:paraId="46E032BF"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B0A6C6A" w14:textId="77777777" w:rsidR="00FA3534" w:rsidRPr="00FA3534" w:rsidRDefault="00FA3534" w:rsidP="00E62483">
            <w:pPr>
              <w:widowControl w:val="0"/>
              <w:autoSpaceDE w:val="0"/>
              <w:spacing w:after="0" w:line="240" w:lineRule="auto"/>
              <w:rPr>
                <w:rFonts w:ascii="Arial" w:hAnsi="Arial" w:cs="Arial"/>
              </w:rPr>
            </w:pPr>
            <w:bookmarkStart w:id="0" w:name="_Hlk208560930"/>
            <w:r w:rsidRPr="00FA3534">
              <w:rPr>
                <w:rFonts w:ascii="Arial" w:eastAsia="Times New Roman" w:hAnsi="Arial" w:cs="Arial"/>
                <w:noProof/>
              </w:rPr>
              <w:drawing>
                <wp:inline distT="0" distB="0" distL="0" distR="0" wp14:anchorId="1AF12FD8" wp14:editId="31C5241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69EDF592" w14:textId="77777777" w:rsidR="00FA3534" w:rsidRPr="00FA3534" w:rsidRDefault="00FA3534" w:rsidP="00E62483">
            <w:pPr>
              <w:widowControl w:val="0"/>
              <w:autoSpaceDE w:val="0"/>
              <w:spacing w:after="0" w:line="240" w:lineRule="auto"/>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8F2E4C9" w14:textId="77777777" w:rsidR="00FA3534" w:rsidRPr="00FA3534" w:rsidRDefault="00FA3534" w:rsidP="00E62483">
            <w:pPr>
              <w:keepNext/>
              <w:widowControl w:val="0"/>
              <w:autoSpaceDE w:val="0"/>
              <w:spacing w:after="0" w:line="240" w:lineRule="auto"/>
              <w:ind w:left="-108"/>
              <w:outlineLvl w:val="1"/>
              <w:rPr>
                <w:rFonts w:ascii="Arial" w:eastAsia="Times New Roman" w:hAnsi="Arial" w:cs="Arial"/>
                <w:sz w:val="12"/>
                <w:szCs w:val="12"/>
                <w:lang w:val="fr-FR"/>
              </w:rPr>
            </w:pPr>
          </w:p>
          <w:p w14:paraId="493FF1CC" w14:textId="77777777" w:rsidR="00FA3534" w:rsidRPr="00FA3534" w:rsidRDefault="00FA3534" w:rsidP="00E62483">
            <w:pPr>
              <w:keepNext/>
              <w:widowControl w:val="0"/>
              <w:autoSpaceDE w:val="0"/>
              <w:spacing w:after="0" w:line="240" w:lineRule="auto"/>
              <w:ind w:left="-108"/>
              <w:outlineLvl w:val="1"/>
              <w:rPr>
                <w:rFonts w:ascii="Arial" w:hAnsi="Arial" w:cs="Arial"/>
                <w:lang w:val="fr-FR"/>
              </w:rPr>
            </w:pPr>
            <w:r w:rsidRPr="00FA3534">
              <w:rPr>
                <w:rFonts w:ascii="Arial" w:eastAsia="Arial" w:hAnsi="Arial" w:cs="Arial"/>
                <w:b/>
                <w:bCs/>
                <w:sz w:val="32"/>
                <w:szCs w:val="32"/>
                <w:lang w:val="fr-FR"/>
              </w:rPr>
              <w:t>CONVENTION SUR</w:t>
            </w:r>
          </w:p>
          <w:p w14:paraId="352C05D6" w14:textId="77777777" w:rsidR="00FA3534" w:rsidRPr="00FA3534" w:rsidRDefault="00FA3534" w:rsidP="00E62483">
            <w:pPr>
              <w:keepNext/>
              <w:widowControl w:val="0"/>
              <w:autoSpaceDE w:val="0"/>
              <w:spacing w:after="0" w:line="240" w:lineRule="auto"/>
              <w:ind w:left="-108"/>
              <w:outlineLvl w:val="1"/>
              <w:rPr>
                <w:rFonts w:ascii="Arial" w:hAnsi="Arial" w:cs="Arial"/>
                <w:lang w:val="fr-FR"/>
              </w:rPr>
            </w:pPr>
            <w:r w:rsidRPr="00FA3534">
              <w:rPr>
                <w:rFonts w:ascii="Arial" w:eastAsia="Arial" w:hAnsi="Arial" w:cs="Arial"/>
                <w:b/>
                <w:bCs/>
                <w:sz w:val="32"/>
                <w:szCs w:val="32"/>
                <w:lang w:val="fr-FR"/>
              </w:rPr>
              <w:t>LES ESPÈCES</w:t>
            </w:r>
          </w:p>
          <w:p w14:paraId="74E8BDB4" w14:textId="77777777" w:rsidR="00FA3534" w:rsidRPr="00FA3534" w:rsidRDefault="00FA3534" w:rsidP="00E62483">
            <w:pPr>
              <w:keepNext/>
              <w:widowControl w:val="0"/>
              <w:autoSpaceDE w:val="0"/>
              <w:spacing w:after="0" w:line="240" w:lineRule="auto"/>
              <w:ind w:left="-108"/>
              <w:outlineLvl w:val="1"/>
              <w:rPr>
                <w:rFonts w:ascii="Arial" w:hAnsi="Arial" w:cs="Arial"/>
                <w:lang w:val="fr-FR"/>
              </w:rPr>
            </w:pPr>
            <w:r w:rsidRPr="00FA3534">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FC28FDD" w14:textId="6C967B58" w:rsidR="00FA3534" w:rsidRPr="00FA3534" w:rsidRDefault="00FA3534"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ascii="Arial" w:eastAsia="Arial" w:hAnsi="Arial" w:cs="Arial"/>
                <w:lang w:val="fr-FR"/>
              </w:rPr>
            </w:pPr>
            <w:r w:rsidRPr="00FA3534">
              <w:rPr>
                <w:rFonts w:ascii="Arial" w:eastAsia="Arial" w:hAnsi="Arial" w:cs="Arial"/>
                <w:lang w:val="fr-FR"/>
              </w:rPr>
              <w:t>UNEP/CMS/COP15/Doc.</w:t>
            </w:r>
            <w:r w:rsidR="00A8266D">
              <w:rPr>
                <w:rFonts w:ascii="Arial" w:eastAsia="Arial" w:hAnsi="Arial" w:cs="Arial"/>
                <w:lang w:val="fr-FR"/>
              </w:rPr>
              <w:t>30.2.9</w:t>
            </w:r>
          </w:p>
          <w:p w14:paraId="0615D34D" w14:textId="3039C883" w:rsidR="00FA3534" w:rsidRPr="00FA3534" w:rsidRDefault="00506138"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ascii="Arial" w:eastAsia="Arial" w:hAnsi="Arial" w:cs="Arial"/>
                <w:lang w:val="fr-FR"/>
              </w:rPr>
            </w:pPr>
            <w:r>
              <w:rPr>
                <w:rFonts w:ascii="Arial" w:eastAsia="Arial" w:hAnsi="Arial" w:cs="Arial"/>
                <w:lang w:val="fr-FR"/>
              </w:rPr>
              <w:t xml:space="preserve">27 octobre </w:t>
            </w:r>
            <w:r w:rsidR="00FA3534" w:rsidRPr="00FA3534">
              <w:rPr>
                <w:rFonts w:ascii="Arial" w:eastAsia="Arial" w:hAnsi="Arial" w:cs="Arial"/>
                <w:lang w:val="fr-FR"/>
              </w:rPr>
              <w:t>2025</w:t>
            </w:r>
          </w:p>
          <w:p w14:paraId="0E57E56D" w14:textId="77777777" w:rsidR="00FA3534" w:rsidRPr="00FA3534" w:rsidRDefault="00FA3534" w:rsidP="00E62483">
            <w:pPr>
              <w:widowControl w:val="0"/>
              <w:autoSpaceDE w:val="0"/>
              <w:spacing w:after="0" w:line="240" w:lineRule="auto"/>
              <w:rPr>
                <w:rFonts w:ascii="Arial" w:hAnsi="Arial" w:cs="Arial"/>
                <w:lang w:val="fr-FR"/>
              </w:rPr>
            </w:pPr>
            <w:r w:rsidRPr="00FA3534">
              <w:rPr>
                <w:rFonts w:ascii="Arial" w:eastAsia="Arial" w:hAnsi="Arial" w:cs="Arial"/>
                <w:lang w:val="fr-FR"/>
              </w:rPr>
              <w:t>Français</w:t>
            </w:r>
          </w:p>
          <w:p w14:paraId="5D093FC4" w14:textId="3244BF21" w:rsidR="00FA3534" w:rsidRPr="00FA3534" w:rsidRDefault="00FA3534" w:rsidP="00E62483">
            <w:pPr>
              <w:widowControl w:val="0"/>
              <w:autoSpaceDE w:val="0"/>
              <w:spacing w:after="120" w:line="240" w:lineRule="auto"/>
              <w:rPr>
                <w:rFonts w:ascii="Arial" w:hAnsi="Arial" w:cs="Arial"/>
                <w:lang w:val="fr-FR"/>
              </w:rPr>
            </w:pPr>
            <w:r w:rsidRPr="00FA3534">
              <w:rPr>
                <w:rFonts w:ascii="Arial" w:eastAsia="Arial" w:hAnsi="Arial" w:cs="Arial"/>
                <w:lang w:val="fr-FR"/>
              </w:rPr>
              <w:t xml:space="preserve">Original : </w:t>
            </w:r>
            <w:r w:rsidR="00506138">
              <w:rPr>
                <w:rFonts w:ascii="Arial" w:eastAsia="Arial" w:hAnsi="Arial" w:cs="Arial"/>
                <w:lang w:val="fr-FR"/>
              </w:rPr>
              <w:t>Espagnol</w:t>
            </w:r>
          </w:p>
        </w:tc>
      </w:tr>
    </w:tbl>
    <w:p w14:paraId="22079C7C" w14:textId="77777777" w:rsidR="00FA3534" w:rsidRPr="00FA3534" w:rsidRDefault="00FA3534" w:rsidP="00FA3534">
      <w:pPr>
        <w:widowControl w:val="0"/>
        <w:tabs>
          <w:tab w:val="left" w:pos="-1057"/>
          <w:tab w:val="left" w:pos="-720"/>
        </w:tabs>
        <w:autoSpaceDE w:val="0"/>
        <w:spacing w:after="0" w:line="240" w:lineRule="auto"/>
        <w:rPr>
          <w:rFonts w:ascii="Arial" w:eastAsia="Arial" w:hAnsi="Arial" w:cs="Arial"/>
          <w:sz w:val="8"/>
          <w:szCs w:val="8"/>
          <w:lang w:val="fr-FR"/>
        </w:rPr>
      </w:pPr>
      <w:bookmarkStart w:id="1" w:name="_Hlk208560946"/>
      <w:bookmarkEnd w:id="0"/>
    </w:p>
    <w:p w14:paraId="190B0562" w14:textId="77777777" w:rsidR="00FA3534" w:rsidRPr="00FA3534" w:rsidRDefault="00FA3534" w:rsidP="00FA3534">
      <w:pPr>
        <w:widowControl w:val="0"/>
        <w:tabs>
          <w:tab w:val="left" w:pos="-1057"/>
          <w:tab w:val="left" w:pos="-720"/>
        </w:tabs>
        <w:autoSpaceDE w:val="0"/>
        <w:spacing w:after="0" w:line="240" w:lineRule="auto"/>
        <w:rPr>
          <w:rFonts w:ascii="Arial" w:hAnsi="Arial" w:cs="Arial"/>
          <w:lang w:val="fr-FR"/>
        </w:rPr>
      </w:pPr>
      <w:r w:rsidRPr="00FA3534">
        <w:rPr>
          <w:rFonts w:ascii="Arial" w:eastAsia="Arial" w:hAnsi="Arial" w:cs="Arial"/>
          <w:lang w:val="fr-FR"/>
        </w:rPr>
        <w:t>15</w:t>
      </w:r>
      <w:r w:rsidRPr="00FA3534">
        <w:rPr>
          <w:rFonts w:ascii="Arial" w:eastAsia="Arial" w:hAnsi="Arial" w:cs="Arial"/>
          <w:vertAlign w:val="superscript"/>
          <w:lang w:val="fr-FR"/>
        </w:rPr>
        <w:t>ème</w:t>
      </w:r>
      <w:r w:rsidRPr="00FA3534">
        <w:rPr>
          <w:rFonts w:ascii="Arial" w:eastAsia="Arial" w:hAnsi="Arial" w:cs="Arial"/>
          <w:lang w:val="fr-FR"/>
        </w:rPr>
        <w:t xml:space="preserve"> SESSION DE LA CONFÉRENCE DES PARTIES</w:t>
      </w:r>
    </w:p>
    <w:p w14:paraId="56DA4D41" w14:textId="77777777" w:rsidR="00FA3534" w:rsidRPr="00FA3534" w:rsidRDefault="00FA3534" w:rsidP="00FA3534">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FA3534">
        <w:rPr>
          <w:rFonts w:ascii="Arial" w:eastAsia="Arial" w:hAnsi="Arial" w:cs="Arial"/>
          <w:bCs/>
          <w:lang w:val="fr-FR"/>
        </w:rPr>
        <w:t>Campo Grande, Brésil, 23 au 29 mars 2026</w:t>
      </w:r>
    </w:p>
    <w:p w14:paraId="0FD2897D" w14:textId="4CDC1FD4" w:rsidR="00FA3534" w:rsidRPr="00FA3534" w:rsidRDefault="00FA3534" w:rsidP="00FA3534">
      <w:pPr>
        <w:widowControl w:val="0"/>
        <w:autoSpaceDE w:val="0"/>
        <w:spacing w:after="0" w:line="228" w:lineRule="auto"/>
        <w:rPr>
          <w:rFonts w:ascii="Arial" w:hAnsi="Arial" w:cs="Arial"/>
          <w:lang w:val="fr-FR"/>
        </w:rPr>
      </w:pPr>
      <w:r w:rsidRPr="00FA3534">
        <w:rPr>
          <w:rFonts w:ascii="Arial" w:eastAsia="Arial" w:hAnsi="Arial" w:cs="Arial"/>
          <w:iCs/>
          <w:lang w:val="fr-FR"/>
        </w:rPr>
        <w:t xml:space="preserve">Point </w:t>
      </w:r>
      <w:r w:rsidR="00447AD5">
        <w:rPr>
          <w:rFonts w:ascii="Arial" w:eastAsia="Arial" w:hAnsi="Arial" w:cs="Arial"/>
          <w:iCs/>
          <w:lang w:val="fr-FR"/>
        </w:rPr>
        <w:t>30.2</w:t>
      </w:r>
      <w:r w:rsidRPr="00FA3534">
        <w:rPr>
          <w:rFonts w:ascii="Arial" w:eastAsia="Arial" w:hAnsi="Arial" w:cs="Arial"/>
          <w:iCs/>
          <w:lang w:val="fr-FR"/>
        </w:rPr>
        <w:t xml:space="preserve"> de l’ordre du jour</w:t>
      </w:r>
    </w:p>
    <w:bookmarkEnd w:id="1"/>
    <w:p w14:paraId="5D763D9E" w14:textId="77777777" w:rsidR="00260895" w:rsidRPr="00C43E4B" w:rsidRDefault="00260895">
      <w:pPr>
        <w:widowControl w:val="0"/>
        <w:tabs>
          <w:tab w:val="left" w:pos="7020"/>
        </w:tabs>
        <w:autoSpaceDE w:val="0"/>
        <w:spacing w:after="0" w:line="240" w:lineRule="auto"/>
        <w:rPr>
          <w:rFonts w:ascii="Arial" w:eastAsia="Times New Roman" w:hAnsi="Arial" w:cs="Arial"/>
          <w:lang w:val="fr-FR" w:eastAsia="es-ES"/>
        </w:rPr>
      </w:pPr>
    </w:p>
    <w:p w14:paraId="1C26AC0B" w14:textId="77777777" w:rsidR="00260895" w:rsidRPr="00C43E4B" w:rsidRDefault="00260895">
      <w:pPr>
        <w:widowControl w:val="0"/>
        <w:tabs>
          <w:tab w:val="left" w:pos="7020"/>
        </w:tabs>
        <w:autoSpaceDE w:val="0"/>
        <w:spacing w:after="0" w:line="240" w:lineRule="auto"/>
        <w:rPr>
          <w:rFonts w:ascii="Arial" w:eastAsia="Times New Roman" w:hAnsi="Arial" w:cs="Arial"/>
          <w:lang w:val="fr-FR" w:eastAsia="es-ES"/>
        </w:rPr>
      </w:pPr>
    </w:p>
    <w:p w14:paraId="0F6DCBE5" w14:textId="0A97B10A" w:rsidR="00260895" w:rsidRPr="00C43E4B" w:rsidRDefault="00B65B48" w:rsidP="00C96AEA">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fr-FR"/>
        </w:rPr>
      </w:pPr>
      <w:r w:rsidRPr="00C43E4B">
        <w:rPr>
          <w:rFonts w:ascii="Arial" w:eastAsia="Times New Roman" w:hAnsi="Arial" w:cs="Arial"/>
          <w:b/>
          <w:bCs/>
          <w:lang w:val="fr-FR"/>
        </w:rPr>
        <w:t>PROPOSITION D'INCLUSION D</w:t>
      </w:r>
      <w:r w:rsidR="001B580D">
        <w:rPr>
          <w:rFonts w:ascii="Arial" w:eastAsia="Times New Roman" w:hAnsi="Arial" w:cs="Arial"/>
          <w:b/>
          <w:bCs/>
          <w:lang w:val="fr-FR"/>
        </w:rPr>
        <w:t>U PETIT CHEVALIER</w:t>
      </w:r>
      <w:r w:rsidRPr="00C43E4B">
        <w:rPr>
          <w:rFonts w:ascii="Arial" w:eastAsia="Times New Roman" w:hAnsi="Arial" w:cs="Arial"/>
          <w:b/>
          <w:bCs/>
          <w:lang w:val="fr-FR"/>
        </w:rPr>
        <w:t xml:space="preserve"> </w:t>
      </w:r>
      <w:r w:rsidRPr="00C43E4B">
        <w:rPr>
          <w:rFonts w:ascii="Arial" w:eastAsia="Times New Roman" w:hAnsi="Arial" w:cs="Arial"/>
          <w:b/>
          <w:bCs/>
          <w:i/>
          <w:lang w:val="fr-FR"/>
        </w:rPr>
        <w:t>(Tringa flavipes)</w:t>
      </w:r>
      <w:r w:rsidRPr="00C43E4B">
        <w:rPr>
          <w:rFonts w:ascii="Arial" w:eastAsia="Times New Roman" w:hAnsi="Arial" w:cs="Arial"/>
          <w:b/>
          <w:bCs/>
          <w:lang w:val="fr-FR"/>
        </w:rPr>
        <w:t xml:space="preserve"> </w:t>
      </w:r>
    </w:p>
    <w:p w14:paraId="0233C971" w14:textId="496DBC2A" w:rsidR="00260895" w:rsidRPr="00C43E4B" w:rsidRDefault="001B580D">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lang w:val="fr-FR"/>
        </w:rPr>
      </w:pPr>
      <w:r>
        <w:rPr>
          <w:rFonts w:ascii="Arial" w:eastAsia="Times New Roman" w:hAnsi="Arial" w:cs="Arial"/>
          <w:b/>
          <w:bCs/>
          <w:lang w:val="fr-FR"/>
        </w:rPr>
        <w:t>À</w:t>
      </w:r>
      <w:r w:rsidRPr="00C43E4B">
        <w:rPr>
          <w:rFonts w:ascii="Arial" w:eastAsia="Times New Roman" w:hAnsi="Arial" w:cs="Arial"/>
          <w:b/>
          <w:bCs/>
          <w:lang w:val="fr-FR"/>
        </w:rPr>
        <w:t xml:space="preserve"> L'ANNEXE I</w:t>
      </w:r>
      <w:r w:rsidRPr="00C43E4B">
        <w:rPr>
          <w:rFonts w:ascii="Arial" w:eastAsia="Times New Roman" w:hAnsi="Arial" w:cs="Arial"/>
          <w:b/>
          <w:bCs/>
          <w:caps/>
          <w:lang w:val="fr-FR"/>
        </w:rPr>
        <w:t xml:space="preserve"> DE LA CONVENTION*</w:t>
      </w:r>
    </w:p>
    <w:p w14:paraId="17C39ED6" w14:textId="77777777" w:rsidR="00260895" w:rsidRPr="00C43E4B" w:rsidRDefault="00260895">
      <w:pPr>
        <w:widowControl w:val="0"/>
        <w:autoSpaceDE w:val="0"/>
        <w:spacing w:after="0" w:line="240" w:lineRule="auto"/>
        <w:jc w:val="right"/>
        <w:rPr>
          <w:rFonts w:ascii="Arial" w:eastAsia="Times New Roman" w:hAnsi="Arial" w:cs="Arial"/>
          <w:i/>
          <w:lang w:val="fr-FR" w:eastAsia="es-ES"/>
        </w:rPr>
      </w:pPr>
    </w:p>
    <w:p w14:paraId="46B146B8" w14:textId="77777777" w:rsidR="00260895" w:rsidRPr="00C43E4B" w:rsidRDefault="00260895">
      <w:pPr>
        <w:widowControl w:val="0"/>
        <w:tabs>
          <w:tab w:val="left" w:pos="8295"/>
        </w:tabs>
        <w:autoSpaceDE w:val="0"/>
        <w:spacing w:after="0" w:line="240" w:lineRule="auto"/>
        <w:jc w:val="both"/>
        <w:rPr>
          <w:rFonts w:ascii="Arial" w:eastAsia="Times New Roman" w:hAnsi="Arial" w:cs="Arial"/>
          <w:sz w:val="21"/>
          <w:szCs w:val="21"/>
          <w:lang w:val="fr-FR" w:eastAsia="es-ES"/>
        </w:rPr>
      </w:pPr>
    </w:p>
    <w:p w14:paraId="19F2DC8F" w14:textId="77777777" w:rsidR="00260895" w:rsidRPr="00C43E4B" w:rsidRDefault="00260895">
      <w:pPr>
        <w:widowControl w:val="0"/>
        <w:tabs>
          <w:tab w:val="left" w:pos="8295"/>
        </w:tabs>
        <w:autoSpaceDE w:val="0"/>
        <w:spacing w:after="0" w:line="240" w:lineRule="auto"/>
        <w:jc w:val="both"/>
        <w:rPr>
          <w:rFonts w:ascii="Arial" w:eastAsia="Times New Roman" w:hAnsi="Arial" w:cs="Arial"/>
          <w:sz w:val="21"/>
          <w:szCs w:val="21"/>
          <w:lang w:val="fr-FR" w:eastAsia="es-ES"/>
        </w:rPr>
      </w:pPr>
    </w:p>
    <w:p w14:paraId="15041A04" w14:textId="77777777" w:rsidR="00260895" w:rsidRPr="00C43E4B" w:rsidRDefault="00B65B48">
      <w:pPr>
        <w:widowControl w:val="0"/>
        <w:autoSpaceDE w:val="0"/>
        <w:spacing w:after="0" w:line="240" w:lineRule="auto"/>
        <w:rPr>
          <w:lang w:val="fr-FR"/>
        </w:rPr>
      </w:pPr>
      <w:r w:rsidRPr="00C43E4B">
        <w:rPr>
          <w:rFonts w:ascii="Arial" w:eastAsia="Times New Roman" w:hAnsi="Arial" w:cs="Arial"/>
          <w:noProof/>
          <w:sz w:val="18"/>
          <w:szCs w:val="24"/>
          <w:lang w:val="fr-FR"/>
        </w:rPr>
        <mc:AlternateContent>
          <mc:Choice Requires="wps">
            <w:drawing>
              <wp:anchor distT="0" distB="0" distL="114300" distR="114300" simplePos="0" relativeHeight="251658240" behindDoc="0" locked="0" layoutInCell="1" allowOverlap="1" wp14:anchorId="76878AB2" wp14:editId="3D9CA616">
                <wp:simplePos x="0" y="0"/>
                <wp:positionH relativeFrom="column">
                  <wp:posOffset>781050</wp:posOffset>
                </wp:positionH>
                <wp:positionV relativeFrom="paragraph">
                  <wp:posOffset>136525</wp:posOffset>
                </wp:positionV>
                <wp:extent cx="4371975" cy="11144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371975" cy="1114425"/>
                        </a:xfrm>
                        <a:prstGeom prst="rect">
                          <a:avLst/>
                        </a:prstGeom>
                        <a:solidFill>
                          <a:srgbClr val="FFFFFF"/>
                        </a:solidFill>
                        <a:ln w="3172">
                          <a:solidFill>
                            <a:srgbClr val="000000"/>
                          </a:solidFill>
                          <a:prstDash val="solid"/>
                        </a:ln>
                      </wps:spPr>
                      <wps:txbx>
                        <w:txbxContent>
                          <w:p w14:paraId="5FB775AD" w14:textId="77777777"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Résumé :</w:t>
                            </w:r>
                          </w:p>
                          <w:p w14:paraId="1C2A5733" w14:textId="77777777" w:rsidR="00260895" w:rsidRDefault="00260895">
                            <w:pPr>
                              <w:widowControl w:val="0"/>
                              <w:autoSpaceDE w:val="0"/>
                              <w:spacing w:after="0" w:line="240" w:lineRule="auto"/>
                              <w:jc w:val="both"/>
                              <w:textAlignment w:val="auto"/>
                              <w:rPr>
                                <w:rFonts w:ascii="Arial" w:eastAsia="Times New Roman" w:hAnsi="Arial" w:cs="Arial"/>
                                <w:lang w:val="fr-FR"/>
                              </w:rPr>
                            </w:pPr>
                          </w:p>
                          <w:p w14:paraId="1F6001D7" w14:textId="4C1B4565"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Le gouvernement de l'Uruguay a présenté la proposition ci-jointe* pour l'inclusion d</w:t>
                            </w:r>
                            <w:r w:rsidR="001B580D">
                              <w:rPr>
                                <w:rFonts w:ascii="Arial" w:eastAsia="Times New Roman" w:hAnsi="Arial" w:cs="Arial"/>
                                <w:lang w:val="fr-FR"/>
                              </w:rPr>
                              <w:t>u petit chevalier</w:t>
                            </w:r>
                            <w:r>
                              <w:rPr>
                                <w:rFonts w:ascii="Arial" w:eastAsia="Times New Roman" w:hAnsi="Arial" w:cs="Arial"/>
                                <w:lang w:val="fr-FR"/>
                              </w:rPr>
                              <w:t xml:space="preserve"> </w:t>
                            </w:r>
                            <w:r>
                              <w:rPr>
                                <w:rFonts w:ascii="Arial" w:eastAsia="Times New Roman" w:hAnsi="Arial" w:cs="Arial"/>
                                <w:i/>
                                <w:lang w:val="fr-FR"/>
                              </w:rPr>
                              <w:t>(Tringa flavipes)</w:t>
                            </w:r>
                            <w:r>
                              <w:rPr>
                                <w:rFonts w:ascii="Arial" w:eastAsia="Times New Roman" w:hAnsi="Arial" w:cs="Arial"/>
                                <w:lang w:val="fr-FR"/>
                              </w:rPr>
                              <w:t xml:space="preserve"> </w:t>
                            </w:r>
                            <w:r w:rsidR="001B580D">
                              <w:rPr>
                                <w:rFonts w:ascii="Arial" w:eastAsia="Times New Roman" w:hAnsi="Arial" w:cs="Arial"/>
                                <w:lang w:val="fr-FR"/>
                              </w:rPr>
                              <w:t>à</w:t>
                            </w:r>
                            <w:r>
                              <w:rPr>
                                <w:rFonts w:ascii="Arial" w:eastAsia="Times New Roman" w:hAnsi="Arial" w:cs="Arial"/>
                                <w:lang w:val="fr-FR"/>
                              </w:rPr>
                              <w:t xml:space="preserve"> l'Annexe I de la CMS.</w:t>
                            </w:r>
                          </w:p>
                          <w:p w14:paraId="4133656E" w14:textId="77777777" w:rsidR="00260895" w:rsidRDefault="00260895">
                            <w:pPr>
                              <w:widowControl w:val="0"/>
                              <w:suppressAutoHyphens w:val="0"/>
                              <w:autoSpaceDE w:val="0"/>
                              <w:spacing w:after="0" w:line="240" w:lineRule="auto"/>
                              <w:jc w:val="both"/>
                              <w:textAlignment w:val="auto"/>
                              <w:rPr>
                                <w:rFonts w:ascii="Arial" w:eastAsia="Times New Roman" w:hAnsi="Arial"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6878AB2" id="_x0000_t202" coordsize="21600,21600" o:spt="202" path="m,l,21600r21600,l21600,xe">
                <v:stroke joinstyle="miter"/>
                <v:path gradientshapeok="t" o:connecttype="rect"/>
              </v:shapetype>
              <v:shape id="Text Box 4" o:spid="_x0000_s1026" type="#_x0000_t202" style="position:absolute;margin-left:61.5pt;margin-top:10.75pt;width:344.2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" strokeweight=".08811mm">
                <v:textbox>
                  <w:txbxContent>
                    <w:p w14:paraId="5FB775AD" w14:textId="77777777"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Résumé :</w:t>
                      </w:r>
                    </w:p>
                    <w:p w14:paraId="1C2A5733" w14:textId="77777777" w:rsidR="00260895" w:rsidRDefault="00260895">
                      <w:pPr>
                        <w:widowControl w:val="0"/>
                        <w:autoSpaceDE w:val="0"/>
                        <w:spacing w:after="0" w:line="240" w:lineRule="auto"/>
                        <w:jc w:val="both"/>
                        <w:textAlignment w:val="auto"/>
                        <w:rPr>
                          <w:rFonts w:ascii="Arial" w:eastAsia="Times New Roman" w:hAnsi="Arial" w:cs="Arial"/>
                          <w:lang w:val="fr-FR"/>
                        </w:rPr>
                      </w:pPr>
                    </w:p>
                    <w:p w14:paraId="1F6001D7" w14:textId="4C1B4565" w:rsidR="00260895" w:rsidRDefault="00B65B48">
                      <w:pPr>
                        <w:widowControl w:val="0"/>
                        <w:autoSpaceDE w:val="0"/>
                        <w:spacing w:after="0" w:line="240" w:lineRule="auto"/>
                        <w:jc w:val="both"/>
                        <w:textAlignment w:val="auto"/>
                        <w:rPr>
                          <w:rFonts w:ascii="Arial" w:eastAsia="Times New Roman" w:hAnsi="Arial" w:cs="Arial"/>
                          <w:lang w:val="fr-FR"/>
                        </w:rPr>
                      </w:pPr>
                      <w:r>
                        <w:rPr>
                          <w:rFonts w:ascii="Arial" w:eastAsia="Times New Roman" w:hAnsi="Arial" w:cs="Arial"/>
                          <w:lang w:val="fr-FR"/>
                        </w:rPr>
                        <w:t>Le gouvernement de l'Uruguay a présenté la proposition ci-jointe* pour l'inclusion d</w:t>
                      </w:r>
                      <w:r w:rsidR="001B580D">
                        <w:rPr>
                          <w:rFonts w:ascii="Arial" w:eastAsia="Times New Roman" w:hAnsi="Arial" w:cs="Arial"/>
                          <w:lang w:val="fr-FR"/>
                        </w:rPr>
                        <w:t>u petit chevalier</w:t>
                      </w:r>
                      <w:r>
                        <w:rPr>
                          <w:rFonts w:ascii="Arial" w:eastAsia="Times New Roman" w:hAnsi="Arial" w:cs="Arial"/>
                          <w:lang w:val="fr-FR"/>
                        </w:rPr>
                        <w:t xml:space="preserve"> </w:t>
                      </w:r>
                      <w:r>
                        <w:rPr>
                          <w:rFonts w:ascii="Arial" w:eastAsia="Times New Roman" w:hAnsi="Arial" w:cs="Arial"/>
                          <w:i/>
                          <w:lang w:val="fr-FR"/>
                        </w:rPr>
                        <w:t>(Tringa flavipes)</w:t>
                      </w:r>
                      <w:r>
                        <w:rPr>
                          <w:rFonts w:ascii="Arial" w:eastAsia="Times New Roman" w:hAnsi="Arial" w:cs="Arial"/>
                          <w:lang w:val="fr-FR"/>
                        </w:rPr>
                        <w:t xml:space="preserve"> </w:t>
                      </w:r>
                      <w:r w:rsidR="001B580D">
                        <w:rPr>
                          <w:rFonts w:ascii="Arial" w:eastAsia="Times New Roman" w:hAnsi="Arial" w:cs="Arial"/>
                          <w:lang w:val="fr-FR"/>
                        </w:rPr>
                        <w:t>à</w:t>
                      </w:r>
                      <w:r>
                        <w:rPr>
                          <w:rFonts w:ascii="Arial" w:eastAsia="Times New Roman" w:hAnsi="Arial" w:cs="Arial"/>
                          <w:lang w:val="fr-FR"/>
                        </w:rPr>
                        <w:t xml:space="preserve"> l'Annexe I de la CMS.</w:t>
                      </w:r>
                    </w:p>
                    <w:p w14:paraId="4133656E" w14:textId="77777777" w:rsidR="00260895" w:rsidRDefault="00260895">
                      <w:pPr>
                        <w:widowControl w:val="0"/>
                        <w:suppressAutoHyphens w:val="0"/>
                        <w:autoSpaceDE w:val="0"/>
                        <w:spacing w:after="0" w:line="240" w:lineRule="auto"/>
                        <w:jc w:val="both"/>
                        <w:textAlignment w:val="auto"/>
                        <w:rPr>
                          <w:rFonts w:ascii="Arial" w:eastAsia="Times New Roman" w:hAnsi="Arial" w:cs="Arial"/>
                          <w:lang w:val="fr-FR"/>
                        </w:rPr>
                      </w:pPr>
                    </w:p>
                  </w:txbxContent>
                </v:textbox>
              </v:shape>
            </w:pict>
          </mc:Fallback>
        </mc:AlternateContent>
      </w:r>
    </w:p>
    <w:p w14:paraId="6BC6FC02"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BBECAC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175ACB9"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A702826"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BC105DB"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70A8A69"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A6CAE8A"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3670E08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361EF83"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F2E39F8"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B72E6F1"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72126B2A"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7A60C4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483156A8"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7D64F96" w14:textId="77777777" w:rsidR="00260895" w:rsidRPr="00C43E4B" w:rsidRDefault="00260895">
      <w:pPr>
        <w:widowControl w:val="0"/>
        <w:suppressAutoHyphens w:val="0"/>
        <w:autoSpaceDE w:val="0"/>
        <w:spacing w:after="0" w:line="240" w:lineRule="auto"/>
        <w:rPr>
          <w:rFonts w:ascii="Arial" w:eastAsia="Times New Roman" w:hAnsi="Arial" w:cs="Arial"/>
          <w:sz w:val="21"/>
          <w:szCs w:val="21"/>
          <w:lang w:val="fr-FR" w:eastAsia="es-ES"/>
        </w:rPr>
      </w:pPr>
    </w:p>
    <w:p w14:paraId="63B7FE30"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249F6955"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129898F4" w14:textId="77777777" w:rsidR="00260895" w:rsidRPr="00C43E4B" w:rsidRDefault="00260895">
      <w:pPr>
        <w:widowControl w:val="0"/>
        <w:autoSpaceDE w:val="0"/>
        <w:spacing w:after="0" w:line="240" w:lineRule="auto"/>
        <w:rPr>
          <w:rFonts w:ascii="Arial" w:eastAsia="Times New Roman" w:hAnsi="Arial" w:cs="Arial"/>
          <w:sz w:val="21"/>
          <w:szCs w:val="21"/>
          <w:lang w:val="fr-FR" w:eastAsia="es-ES"/>
        </w:rPr>
      </w:pPr>
    </w:p>
    <w:p w14:paraId="03308F87"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78FEDB12"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6427481C"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20653C8"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7C8F1ED"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2F5FBDF"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41CC6DA2" w14:textId="77777777" w:rsidR="00260895" w:rsidRPr="00C43E4B" w:rsidRDefault="00260895">
      <w:pPr>
        <w:widowControl w:val="0"/>
        <w:autoSpaceDE w:val="0"/>
        <w:spacing w:after="0" w:line="240" w:lineRule="auto"/>
        <w:rPr>
          <w:rFonts w:ascii="Arial" w:eastAsia="Times New Roman" w:hAnsi="Arial" w:cs="Arial"/>
          <w:lang w:val="fr-FR" w:eastAsia="es-ES"/>
        </w:rPr>
      </w:pPr>
    </w:p>
    <w:p w14:paraId="5A96AE9A" w14:textId="77777777" w:rsidR="00260895" w:rsidRDefault="00260895">
      <w:pPr>
        <w:widowControl w:val="0"/>
        <w:autoSpaceDE w:val="0"/>
        <w:spacing w:after="0" w:line="240" w:lineRule="auto"/>
        <w:rPr>
          <w:rFonts w:ascii="Arial" w:eastAsia="Times New Roman" w:hAnsi="Arial" w:cs="Arial"/>
          <w:lang w:val="fr-FR" w:eastAsia="es-ES"/>
        </w:rPr>
      </w:pPr>
    </w:p>
    <w:p w14:paraId="30B2778C" w14:textId="77777777" w:rsidR="006D65E3" w:rsidRDefault="006D65E3">
      <w:pPr>
        <w:widowControl w:val="0"/>
        <w:autoSpaceDE w:val="0"/>
        <w:spacing w:after="0" w:line="240" w:lineRule="auto"/>
        <w:rPr>
          <w:rFonts w:ascii="Arial" w:eastAsia="Times New Roman" w:hAnsi="Arial" w:cs="Arial"/>
          <w:lang w:val="fr-FR" w:eastAsia="es-ES"/>
        </w:rPr>
      </w:pPr>
    </w:p>
    <w:p w14:paraId="43B8CE21" w14:textId="77777777" w:rsidR="006D65E3" w:rsidRDefault="006D65E3">
      <w:pPr>
        <w:widowControl w:val="0"/>
        <w:autoSpaceDE w:val="0"/>
        <w:spacing w:after="0" w:line="240" w:lineRule="auto"/>
        <w:rPr>
          <w:rFonts w:ascii="Arial" w:eastAsia="Times New Roman" w:hAnsi="Arial" w:cs="Arial"/>
          <w:lang w:val="fr-FR" w:eastAsia="es-ES"/>
        </w:rPr>
      </w:pPr>
    </w:p>
    <w:p w14:paraId="632E9119" w14:textId="77777777" w:rsidR="006D65E3" w:rsidRDefault="006D65E3">
      <w:pPr>
        <w:widowControl w:val="0"/>
        <w:autoSpaceDE w:val="0"/>
        <w:spacing w:after="0" w:line="240" w:lineRule="auto"/>
        <w:rPr>
          <w:rFonts w:ascii="Arial" w:eastAsia="Times New Roman" w:hAnsi="Arial" w:cs="Arial"/>
          <w:lang w:val="fr-FR" w:eastAsia="es-ES"/>
        </w:rPr>
      </w:pPr>
    </w:p>
    <w:p w14:paraId="6E8F6242" w14:textId="77777777" w:rsidR="006D65E3" w:rsidRPr="00C43E4B" w:rsidRDefault="006D65E3">
      <w:pPr>
        <w:widowControl w:val="0"/>
        <w:autoSpaceDE w:val="0"/>
        <w:spacing w:after="0" w:line="240" w:lineRule="auto"/>
        <w:rPr>
          <w:rFonts w:ascii="Arial" w:eastAsia="Times New Roman" w:hAnsi="Arial" w:cs="Arial"/>
          <w:lang w:val="fr-FR" w:eastAsia="es-ES"/>
        </w:rPr>
      </w:pPr>
    </w:p>
    <w:p w14:paraId="40FE126E" w14:textId="77777777" w:rsidR="006D65E3" w:rsidRPr="006D65E3" w:rsidRDefault="006D65E3" w:rsidP="006D65E3">
      <w:pPr>
        <w:jc w:val="both"/>
        <w:rPr>
          <w:rFonts w:ascii="Arial" w:hAnsi="Arial" w:cs="Arial"/>
          <w:sz w:val="20"/>
          <w:szCs w:val="20"/>
          <w:lang w:val="fr-FR"/>
        </w:rPr>
      </w:pPr>
      <w:r w:rsidRPr="006D65E3">
        <w:rPr>
          <w:rFonts w:ascii="Arial" w:eastAsia="Times New Roman" w:hAnsi="Arial" w:cs="Arial"/>
          <w:sz w:val="20"/>
          <w:szCs w:val="20"/>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7C9DCE06" w14:textId="28499858" w:rsidR="00967866" w:rsidRDefault="00967866">
      <w:pPr>
        <w:widowControl w:val="0"/>
        <w:autoSpaceDE w:val="0"/>
        <w:spacing w:after="0" w:line="240" w:lineRule="auto"/>
        <w:rPr>
          <w:rFonts w:ascii="Arial" w:eastAsia="Times New Roman" w:hAnsi="Arial" w:cs="Arial"/>
          <w:lang w:val="fr-FR" w:eastAsia="es-ES"/>
        </w:rPr>
      </w:pPr>
      <w:r>
        <w:rPr>
          <w:rFonts w:ascii="Arial" w:eastAsia="Times New Roman" w:hAnsi="Arial" w:cs="Arial"/>
          <w:lang w:val="fr-FR" w:eastAsia="es-ES"/>
        </w:rPr>
        <w:br w:type="page"/>
      </w:r>
    </w:p>
    <w:p w14:paraId="02FB9751" w14:textId="77777777" w:rsidR="005416E4" w:rsidRDefault="00B65B48">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lang w:val="fr-FR"/>
        </w:rPr>
      </w:pPr>
      <w:r w:rsidRPr="00C43E4B">
        <w:rPr>
          <w:rFonts w:ascii="Arial" w:eastAsia="Times New Roman" w:hAnsi="Arial" w:cs="Arial"/>
          <w:b/>
          <w:bCs/>
          <w:lang w:val="fr-FR"/>
        </w:rPr>
        <w:lastRenderedPageBreak/>
        <w:t xml:space="preserve">PROPOSITION D'INCLUSION </w:t>
      </w:r>
      <w:r w:rsidR="005416E4" w:rsidRPr="00C43E4B">
        <w:rPr>
          <w:rFonts w:ascii="Arial" w:eastAsia="Times New Roman" w:hAnsi="Arial" w:cs="Arial"/>
          <w:b/>
          <w:bCs/>
          <w:lang w:val="fr-FR"/>
        </w:rPr>
        <w:t>D</w:t>
      </w:r>
      <w:r w:rsidR="005416E4">
        <w:rPr>
          <w:rFonts w:ascii="Arial" w:eastAsia="Times New Roman" w:hAnsi="Arial" w:cs="Arial"/>
          <w:b/>
          <w:bCs/>
          <w:lang w:val="fr-FR"/>
        </w:rPr>
        <w:t>U PETIT CHEVALIER</w:t>
      </w:r>
      <w:r w:rsidR="005416E4" w:rsidRPr="00C43E4B">
        <w:rPr>
          <w:rFonts w:ascii="Arial" w:eastAsia="Times New Roman" w:hAnsi="Arial" w:cs="Arial"/>
          <w:b/>
          <w:bCs/>
          <w:lang w:val="fr-FR"/>
        </w:rPr>
        <w:t xml:space="preserve"> </w:t>
      </w:r>
      <w:r w:rsidRPr="00C43E4B">
        <w:rPr>
          <w:rFonts w:ascii="Arial" w:eastAsia="Times New Roman" w:hAnsi="Arial" w:cs="Arial"/>
          <w:b/>
          <w:bCs/>
          <w:i/>
          <w:lang w:val="fr-FR"/>
        </w:rPr>
        <w:t>(Tringa flavipes)</w:t>
      </w:r>
    </w:p>
    <w:p w14:paraId="37732BB7" w14:textId="40B0E250" w:rsidR="00260895" w:rsidRPr="005416E4" w:rsidRDefault="005416E4" w:rsidP="005416E4">
      <w:pPr>
        <w:widowControl w:val="0"/>
        <w:pBdr>
          <w:top w:val="single" w:sz="6" w:space="0" w:color="FFFFFF"/>
          <w:left w:val="single" w:sz="6" w:space="0" w:color="FFFFFF"/>
          <w:bottom w:val="single" w:sz="6" w:space="0" w:color="FFFFFF"/>
          <w:right w:val="single" w:sz="6" w:space="0" w:color="FFFFFF"/>
        </w:pBdr>
        <w:suppressAutoHyphens w:val="0"/>
        <w:autoSpaceDE w:val="0"/>
        <w:spacing w:after="0" w:line="240" w:lineRule="auto"/>
        <w:ind w:left="-90" w:right="-367"/>
        <w:jc w:val="center"/>
        <w:textAlignment w:val="auto"/>
        <w:outlineLvl w:val="1"/>
        <w:rPr>
          <w:rFonts w:ascii="Arial" w:eastAsia="Times New Roman" w:hAnsi="Arial" w:cs="Arial"/>
          <w:b/>
          <w:bCs/>
          <w:caps/>
          <w:lang w:val="fr-FR"/>
        </w:rPr>
      </w:pPr>
      <w:r>
        <w:rPr>
          <w:rFonts w:ascii="Arial" w:eastAsia="Times New Roman" w:hAnsi="Arial" w:cs="Arial"/>
          <w:b/>
          <w:bCs/>
          <w:lang w:val="fr-FR"/>
        </w:rPr>
        <w:t>À</w:t>
      </w:r>
      <w:r w:rsidRPr="00C43E4B">
        <w:rPr>
          <w:rFonts w:ascii="Arial" w:eastAsia="Times New Roman" w:hAnsi="Arial" w:cs="Arial"/>
          <w:b/>
          <w:bCs/>
          <w:lang w:val="fr-FR"/>
        </w:rPr>
        <w:t xml:space="preserve"> L'ANNEXE I</w:t>
      </w:r>
      <w:r>
        <w:rPr>
          <w:rFonts w:ascii="Arial" w:eastAsia="Times New Roman" w:hAnsi="Arial" w:cs="Arial"/>
          <w:b/>
          <w:bCs/>
          <w:caps/>
          <w:lang w:val="fr-FR"/>
        </w:rPr>
        <w:t xml:space="preserve"> </w:t>
      </w:r>
      <w:r w:rsidRPr="00C43E4B">
        <w:rPr>
          <w:rFonts w:ascii="Arial" w:eastAsia="Times New Roman" w:hAnsi="Arial" w:cs="Arial"/>
          <w:b/>
          <w:bCs/>
          <w:caps/>
          <w:lang w:val="fr-FR"/>
        </w:rPr>
        <w:t>DE LA CONVENTION</w:t>
      </w:r>
    </w:p>
    <w:p w14:paraId="5860E3AB" w14:textId="77777777" w:rsidR="00260895" w:rsidRPr="00C43E4B" w:rsidRDefault="00260895">
      <w:pPr>
        <w:widowControl w:val="0"/>
        <w:suppressAutoHyphens w:val="0"/>
        <w:autoSpaceDE w:val="0"/>
        <w:spacing w:after="0" w:line="240" w:lineRule="auto"/>
        <w:jc w:val="both"/>
        <w:textAlignment w:val="auto"/>
        <w:rPr>
          <w:rFonts w:ascii="Arial" w:eastAsia="Times New Roman" w:hAnsi="Arial" w:cs="Arial"/>
          <w:b/>
          <w:lang w:val="fr-FR" w:eastAsia="es-ES"/>
        </w:rPr>
      </w:pPr>
    </w:p>
    <w:p w14:paraId="180B0F4F" w14:textId="77777777" w:rsidR="00260895" w:rsidRPr="00C43E4B" w:rsidRDefault="00260895">
      <w:pPr>
        <w:widowControl w:val="0"/>
        <w:suppressAutoHyphens w:val="0"/>
        <w:autoSpaceDE w:val="0"/>
        <w:spacing w:after="0" w:line="240" w:lineRule="auto"/>
        <w:jc w:val="both"/>
        <w:textAlignment w:val="auto"/>
        <w:rPr>
          <w:rFonts w:ascii="Arial" w:eastAsia="Times New Roman" w:hAnsi="Arial" w:cs="Arial"/>
          <w:b/>
          <w:lang w:val="fr-FR" w:eastAsia="es-ES"/>
        </w:rPr>
      </w:pPr>
    </w:p>
    <w:p w14:paraId="7B570AA9" w14:textId="77777777" w:rsidR="00260895" w:rsidRPr="00C43E4B" w:rsidRDefault="00B65B48">
      <w:pPr>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A.</w:t>
      </w:r>
      <w:r w:rsidRPr="00C43E4B">
        <w:rPr>
          <w:rFonts w:ascii="Arial" w:hAnsi="Arial" w:cs="Arial"/>
          <w:b/>
          <w:bCs/>
          <w:lang w:val="fr-FR"/>
        </w:rPr>
        <w:tab/>
      </w:r>
      <w:r w:rsidRPr="00C43E4B">
        <w:rPr>
          <w:rFonts w:ascii="Arial" w:hAnsi="Arial" w:cs="Arial"/>
          <w:b/>
          <w:bCs/>
          <w:lang w:val="fr-FR"/>
        </w:rPr>
        <w:t xml:space="preserve"> PROPOSITION</w:t>
      </w:r>
    </w:p>
    <w:p w14:paraId="5540E1BD" w14:textId="77777777" w:rsidR="00260895" w:rsidRPr="00C43E4B" w:rsidRDefault="00260895">
      <w:pPr>
        <w:autoSpaceDE w:val="0"/>
        <w:adjustRightInd w:val="0"/>
        <w:spacing w:after="0" w:line="240" w:lineRule="auto"/>
        <w:jc w:val="both"/>
        <w:rPr>
          <w:rFonts w:ascii="Arial" w:hAnsi="Arial" w:cs="Arial"/>
          <w:lang w:val="fr-FR"/>
        </w:rPr>
      </w:pPr>
    </w:p>
    <w:p w14:paraId="352102AD"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Ce document, qui sera présenté à la Convention sur la conservation des espèces migratrices appartenant à la faune sauvage (CMS), rassemble des éléments de preuve et propose l’inscription de </w:t>
      </w:r>
      <w:r w:rsidRPr="00C43E4B">
        <w:rPr>
          <w:rFonts w:ascii="Arial" w:hAnsi="Arial" w:cs="Arial"/>
          <w:i/>
          <w:iCs/>
          <w:lang w:val="fr-FR"/>
        </w:rPr>
        <w:t>Tringa flavipes</w:t>
      </w:r>
      <w:r w:rsidRPr="00C43E4B">
        <w:rPr>
          <w:rFonts w:ascii="Arial" w:hAnsi="Arial" w:cs="Arial"/>
          <w:lang w:val="fr-FR"/>
        </w:rPr>
        <w:t xml:space="preserve"> (Petit Chevalier) à l’Annexe I de la Convention. Cette espèce migratrice a été récemment réévaluée par la Liste rouge des espèces menacées de l’UICN et est actuellement classée comme Vulnérable</w:t>
      </w:r>
      <w:r w:rsidRPr="00C43E4B">
        <w:rPr>
          <w:rFonts w:ascii="Arial" w:hAnsi="Arial" w:cs="Arial"/>
          <w:lang w:val="fr-FR"/>
        </w:rPr>
        <w:fldChar w:fldCharType="begin"/>
      </w:r>
      <w:r w:rsidRPr="00C43E4B">
        <w:rPr>
          <w:rFonts w:ascii="Arial" w:hAnsi="Arial" w:cs="Arial"/>
          <w:lang w:val="fr-FR"/>
        </w:rPr>
        <w:instrText xml:space="preserve"> ADDIN ZOTERO_ITEM CSL_CITATION {"citationID":"05qQuHU6","properties":{"formattedCitation":"(BirdLife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w:instrText>
      </w:r>
      <w:r w:rsidRPr="00C43E4B">
        <w:rPr>
          <w:rFonts w:ascii="Arial" w:hAnsi="Arial" w:cs="Arial"/>
          <w:lang w:val="fr-FR"/>
        </w:rPr>
        <w:instrText xml:space="preserve">e International","given":""}],"issued":{"date-parts":[["2024"]]}}}],"schema":"https://github.com/citation-style-language/schema/raw/master/csl-citation.json"}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2024a)</w:t>
      </w:r>
      <w:r w:rsidRPr="00C43E4B">
        <w:rPr>
          <w:rFonts w:ascii="Arial" w:hAnsi="Arial" w:cs="Arial"/>
          <w:lang w:val="fr-FR"/>
        </w:rPr>
        <w:fldChar w:fldCharType="end"/>
      </w:r>
      <w:r w:rsidRPr="00C43E4B">
        <w:rPr>
          <w:rFonts w:ascii="Arial" w:hAnsi="Arial" w:cs="Arial"/>
          <w:lang w:val="fr-FR"/>
        </w:rPr>
        <w:t>.</w:t>
      </w:r>
    </w:p>
    <w:p w14:paraId="4E7079B8" w14:textId="77777777" w:rsidR="00260895" w:rsidRPr="00C43E4B" w:rsidRDefault="00260895">
      <w:pPr>
        <w:autoSpaceDE w:val="0"/>
        <w:adjustRightInd w:val="0"/>
        <w:spacing w:after="0" w:line="240" w:lineRule="auto"/>
        <w:jc w:val="both"/>
        <w:rPr>
          <w:rFonts w:ascii="Arial" w:hAnsi="Arial" w:cs="Arial"/>
          <w:lang w:val="fr-FR"/>
        </w:rPr>
      </w:pPr>
    </w:p>
    <w:p w14:paraId="4BFA5DA3"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Les populations du </w:t>
      </w:r>
      <w:r w:rsidRPr="00C43E4B">
        <w:rPr>
          <w:rFonts w:ascii="Arial" w:hAnsi="Arial" w:cs="Arial"/>
          <w:i/>
          <w:iCs/>
          <w:lang w:val="fr-FR"/>
        </w:rPr>
        <w:t>Tringa flavipes</w:t>
      </w:r>
      <w:r w:rsidRPr="00C43E4B">
        <w:rPr>
          <w:rFonts w:ascii="Arial" w:hAnsi="Arial" w:cs="Arial"/>
          <w:lang w:val="fr-FR"/>
        </w:rPr>
        <w:t xml:space="preserve"> s’étendent de l’Amérique du Nord à l’Amérique du Sud, couvrant plus de 50 territoires, dont 32 sont Parties contractantes à la Convention. En cas d'inscription à l'Annexe I, toutes les populations de cette espèce pourraient bénéficier de la coordination internationale assurée par la CMS. La Convention peut fournir une base juridique pour la protection internationale de Tringa flavipes, ainsi que définir des objectifs et des obligations collectives permettant aux Parties contractantes d’unir </w:t>
      </w:r>
      <w:r w:rsidRPr="00C43E4B">
        <w:rPr>
          <w:rFonts w:ascii="Arial" w:hAnsi="Arial" w:cs="Arial"/>
          <w:lang w:val="fr-FR"/>
        </w:rPr>
        <w:t>leurs efforts pour protéger cette espèce.</w:t>
      </w:r>
    </w:p>
    <w:p w14:paraId="5EE70F3A" w14:textId="77777777" w:rsidR="00260895" w:rsidRPr="00C43E4B" w:rsidRDefault="00260895">
      <w:pPr>
        <w:autoSpaceDE w:val="0"/>
        <w:adjustRightInd w:val="0"/>
        <w:spacing w:after="0" w:line="240" w:lineRule="auto"/>
        <w:jc w:val="both"/>
        <w:rPr>
          <w:rFonts w:ascii="Arial" w:hAnsi="Arial" w:cs="Arial"/>
          <w:lang w:val="fr-FR"/>
        </w:rPr>
      </w:pPr>
    </w:p>
    <w:p w14:paraId="61401C2E"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B.</w:t>
      </w:r>
      <w:r w:rsidRPr="00C43E4B">
        <w:rPr>
          <w:rFonts w:ascii="Arial" w:hAnsi="Arial" w:cs="Arial"/>
          <w:b/>
          <w:bCs/>
          <w:lang w:val="fr-FR"/>
        </w:rPr>
        <w:tab/>
        <w:t xml:space="preserve"> PROPOSANT</w:t>
      </w:r>
    </w:p>
    <w:p w14:paraId="7385F111" w14:textId="77777777" w:rsidR="00260895" w:rsidRPr="00C43E4B" w:rsidRDefault="00260895">
      <w:pPr>
        <w:autoSpaceDE w:val="0"/>
        <w:adjustRightInd w:val="0"/>
        <w:spacing w:after="0" w:line="240" w:lineRule="auto"/>
        <w:jc w:val="both"/>
        <w:rPr>
          <w:rFonts w:ascii="Arial" w:hAnsi="Arial" w:cs="Arial"/>
          <w:lang w:val="fr-FR"/>
        </w:rPr>
      </w:pPr>
    </w:p>
    <w:p w14:paraId="747E09A4"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République orientale de l'Uruguay</w:t>
      </w:r>
    </w:p>
    <w:p w14:paraId="2244CB25" w14:textId="77777777" w:rsidR="00260895" w:rsidRPr="00C43E4B" w:rsidRDefault="00260895">
      <w:pPr>
        <w:keepNext/>
        <w:autoSpaceDE w:val="0"/>
        <w:adjustRightInd w:val="0"/>
        <w:spacing w:after="0" w:line="240" w:lineRule="auto"/>
        <w:jc w:val="both"/>
        <w:rPr>
          <w:rFonts w:ascii="Arial" w:hAnsi="Arial" w:cs="Arial"/>
          <w:b/>
          <w:bCs/>
          <w:lang w:val="fr-FR"/>
        </w:rPr>
      </w:pPr>
    </w:p>
    <w:p w14:paraId="443219F1"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C.</w:t>
      </w:r>
      <w:r w:rsidRPr="00C43E4B">
        <w:rPr>
          <w:rFonts w:ascii="Arial" w:hAnsi="Arial" w:cs="Arial"/>
          <w:b/>
          <w:bCs/>
          <w:lang w:val="fr-FR"/>
        </w:rPr>
        <w:tab/>
      </w:r>
      <w:r w:rsidRPr="00C43E4B">
        <w:rPr>
          <w:rFonts w:ascii="Arial" w:hAnsi="Arial" w:cs="Arial"/>
          <w:b/>
          <w:bCs/>
          <w:lang w:val="fr-FR"/>
        </w:rPr>
        <w:t xml:space="preserve"> JUSTIFICATION DE LA PROPOSITION</w:t>
      </w:r>
    </w:p>
    <w:p w14:paraId="511A01AD" w14:textId="77777777" w:rsidR="00260895" w:rsidRPr="00C43E4B" w:rsidRDefault="00260895">
      <w:pPr>
        <w:keepNext/>
        <w:autoSpaceDE w:val="0"/>
        <w:adjustRightInd w:val="0"/>
        <w:spacing w:after="0" w:line="240" w:lineRule="auto"/>
        <w:ind w:left="567" w:hanging="567"/>
        <w:jc w:val="both"/>
        <w:rPr>
          <w:rFonts w:ascii="Arial" w:hAnsi="Arial" w:cs="Arial"/>
          <w:b/>
          <w:bCs/>
          <w:lang w:val="fr-FR"/>
        </w:rPr>
      </w:pPr>
    </w:p>
    <w:p w14:paraId="6DBF1C7E" w14:textId="77777777" w:rsidR="00260895" w:rsidRPr="00C43E4B" w:rsidRDefault="00B65B48">
      <w:pPr>
        <w:keepNext/>
        <w:autoSpaceDE w:val="0"/>
        <w:adjustRightInd w:val="0"/>
        <w:spacing w:after="80" w:line="240" w:lineRule="auto"/>
        <w:ind w:left="567" w:hanging="567"/>
        <w:jc w:val="both"/>
        <w:rPr>
          <w:rFonts w:ascii="Arial" w:hAnsi="Arial" w:cs="Arial"/>
          <w:b/>
          <w:bCs/>
          <w:lang w:val="fr-FR"/>
        </w:rPr>
      </w:pPr>
      <w:r w:rsidRPr="00C43E4B">
        <w:rPr>
          <w:rFonts w:ascii="Arial" w:hAnsi="Arial" w:cs="Arial"/>
          <w:b/>
          <w:bCs/>
          <w:lang w:val="fr-FR"/>
        </w:rPr>
        <w:t>1.</w:t>
      </w:r>
      <w:r w:rsidRPr="00C43E4B">
        <w:rPr>
          <w:rFonts w:ascii="Arial" w:hAnsi="Arial" w:cs="Arial"/>
          <w:b/>
          <w:bCs/>
          <w:lang w:val="fr-FR"/>
        </w:rPr>
        <w:tab/>
        <w:t xml:space="preserve"> Taxonomie</w:t>
      </w:r>
    </w:p>
    <w:p w14:paraId="57B4F506" w14:textId="77777777" w:rsidR="00260895" w:rsidRPr="00C43E4B" w:rsidRDefault="00B65B48">
      <w:pPr>
        <w:keepNext/>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1.1 </w:t>
      </w:r>
      <w:r w:rsidRPr="00C43E4B">
        <w:rPr>
          <w:rFonts w:ascii="Arial" w:hAnsi="Arial" w:cs="Arial"/>
          <w:lang w:val="fr-FR"/>
        </w:rPr>
        <w:tab/>
        <w:t xml:space="preserve"> Catégorie : Oiseaux.</w:t>
      </w:r>
    </w:p>
    <w:p w14:paraId="5428CCB5"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1.2 </w:t>
      </w:r>
      <w:r w:rsidRPr="00C43E4B">
        <w:rPr>
          <w:rFonts w:ascii="Arial" w:hAnsi="Arial" w:cs="Arial"/>
          <w:lang w:val="fr-FR"/>
        </w:rPr>
        <w:tab/>
        <w:t xml:space="preserve"> Ordre : Charadriiformes.</w:t>
      </w:r>
    </w:p>
    <w:p w14:paraId="3C421A50"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1.3 </w:t>
      </w:r>
      <w:r w:rsidRPr="00C43E4B">
        <w:rPr>
          <w:rFonts w:ascii="Arial" w:hAnsi="Arial" w:cs="Arial"/>
          <w:lang w:val="fr-FR"/>
        </w:rPr>
        <w:tab/>
        <w:t xml:space="preserve"> Famille : Scolopacidae.</w:t>
      </w:r>
    </w:p>
    <w:p w14:paraId="4EF851BE"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1.4 </w:t>
      </w:r>
      <w:r w:rsidRPr="00C43E4B">
        <w:rPr>
          <w:rFonts w:ascii="Arial" w:hAnsi="Arial" w:cs="Arial"/>
          <w:lang w:val="fr-FR"/>
        </w:rPr>
        <w:tab/>
        <w:t xml:space="preserve"> Genre, espèce ou sous-espèce : </w:t>
      </w:r>
      <w:r w:rsidRPr="00C43E4B">
        <w:rPr>
          <w:rFonts w:ascii="Arial" w:hAnsi="Arial" w:cs="Arial"/>
          <w:i/>
          <w:iCs/>
          <w:lang w:val="fr-FR"/>
        </w:rPr>
        <w:t xml:space="preserve">Tringa flavipes (Petit Chevalier) </w:t>
      </w:r>
      <w:r w:rsidRPr="00C43E4B">
        <w:rPr>
          <w:rFonts w:ascii="Arial" w:hAnsi="Arial" w:cs="Arial"/>
          <w:lang w:val="fr-FR"/>
        </w:rPr>
        <w:t>(Gmelin, 1789).</w:t>
      </w:r>
    </w:p>
    <w:p w14:paraId="2764C855"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1.5 </w:t>
      </w:r>
      <w:r w:rsidRPr="00C43E4B">
        <w:rPr>
          <w:rFonts w:ascii="Arial" w:hAnsi="Arial" w:cs="Arial"/>
          <w:lang w:val="fr-FR"/>
        </w:rPr>
        <w:tab/>
        <w:t xml:space="preserve"> Synonymes scientifiques : il n'existe pas de synonymes scientifiques actuels, seulement deux synonymes obsolètes : </w:t>
      </w:r>
      <w:r w:rsidRPr="00C43E4B">
        <w:rPr>
          <w:rFonts w:ascii="Arial" w:hAnsi="Arial" w:cs="Arial"/>
          <w:i/>
          <w:iCs/>
          <w:lang w:val="fr-FR"/>
        </w:rPr>
        <w:t xml:space="preserve">Totanus fuscocapillus </w:t>
      </w:r>
      <w:r w:rsidRPr="00C43E4B">
        <w:rPr>
          <w:rFonts w:ascii="Arial" w:hAnsi="Arial" w:cs="Arial"/>
          <w:lang w:val="fr-FR"/>
        </w:rPr>
        <w:t xml:space="preserve">et </w:t>
      </w:r>
      <w:r w:rsidRPr="00C43E4B">
        <w:rPr>
          <w:rFonts w:ascii="Arial" w:hAnsi="Arial" w:cs="Arial"/>
          <w:i/>
          <w:iCs/>
          <w:lang w:val="fr-FR"/>
        </w:rPr>
        <w:t>Scolopax flavipes</w:t>
      </w:r>
      <w:r w:rsidRPr="00C43E4B">
        <w:rPr>
          <w:rFonts w:ascii="Arial" w:hAnsi="Arial" w:cs="Arial"/>
          <w:lang w:val="fr-FR"/>
        </w:rPr>
        <w:t>.</w:t>
      </w:r>
    </w:p>
    <w:p w14:paraId="60662457" w14:textId="77777777" w:rsidR="00260895" w:rsidRPr="00C43E4B" w:rsidRDefault="00B65B48">
      <w:pPr>
        <w:autoSpaceDE w:val="0"/>
        <w:adjustRightInd w:val="0"/>
        <w:spacing w:after="80" w:line="240" w:lineRule="auto"/>
        <w:ind w:left="993" w:hanging="426"/>
        <w:jc w:val="both"/>
        <w:rPr>
          <w:rFonts w:ascii="Arial" w:hAnsi="Arial" w:cs="Arial"/>
          <w:lang w:val="fr-FR"/>
        </w:rPr>
      </w:pPr>
      <w:r w:rsidRPr="00C43E4B">
        <w:rPr>
          <w:rFonts w:ascii="Arial" w:hAnsi="Arial" w:cs="Arial"/>
          <w:lang w:val="fr-FR"/>
        </w:rPr>
        <w:t xml:space="preserve">1.6 </w:t>
      </w:r>
      <w:r w:rsidRPr="00C43E4B">
        <w:rPr>
          <w:rFonts w:ascii="Arial" w:hAnsi="Arial" w:cs="Arial"/>
          <w:lang w:val="fr-FR"/>
        </w:rPr>
        <w:tab/>
        <w:t xml:space="preserve"> Noms communs : </w:t>
      </w:r>
    </w:p>
    <w:p w14:paraId="498D180A" w14:textId="77777777" w:rsidR="00260895" w:rsidRPr="00C43E4B" w:rsidRDefault="00B65B48">
      <w:pPr>
        <w:autoSpaceDE w:val="0"/>
        <w:adjustRightInd w:val="0"/>
        <w:spacing w:after="80" w:line="240" w:lineRule="auto"/>
        <w:ind w:left="993"/>
        <w:jc w:val="both"/>
        <w:rPr>
          <w:rFonts w:ascii="Arial" w:hAnsi="Arial" w:cs="Arial"/>
          <w:lang w:val="fr-FR"/>
        </w:rPr>
      </w:pPr>
      <w:r w:rsidRPr="00C43E4B">
        <w:rPr>
          <w:rFonts w:ascii="Arial" w:hAnsi="Arial" w:cs="Arial"/>
          <w:lang w:val="fr-FR"/>
        </w:rPr>
        <w:t>Anglais : Lesser Yellowlegs, Long Leg.</w:t>
      </w:r>
    </w:p>
    <w:p w14:paraId="44E009D4" w14:textId="77777777" w:rsidR="00260895" w:rsidRPr="00C43E4B" w:rsidRDefault="00B65B48">
      <w:pPr>
        <w:autoSpaceDE w:val="0"/>
        <w:adjustRightInd w:val="0"/>
        <w:spacing w:after="80" w:line="240" w:lineRule="auto"/>
        <w:ind w:left="993"/>
        <w:jc w:val="both"/>
        <w:rPr>
          <w:rFonts w:ascii="Arial" w:hAnsi="Arial" w:cs="Arial"/>
          <w:lang w:val="fr-FR"/>
        </w:rPr>
      </w:pPr>
      <w:r w:rsidRPr="00C43E4B">
        <w:rPr>
          <w:rFonts w:ascii="Arial" w:hAnsi="Arial" w:cs="Arial"/>
          <w:lang w:val="fr-FR"/>
        </w:rPr>
        <w:t>Français : Petit Chevalier, Pattes jaunes.</w:t>
      </w:r>
    </w:p>
    <w:p w14:paraId="61E5EDD2" w14:textId="77777777" w:rsidR="00260895" w:rsidRPr="00A13EF7" w:rsidRDefault="00B65B48">
      <w:pPr>
        <w:autoSpaceDE w:val="0"/>
        <w:adjustRightInd w:val="0"/>
        <w:spacing w:after="80" w:line="240" w:lineRule="auto"/>
        <w:ind w:left="993"/>
        <w:jc w:val="both"/>
        <w:rPr>
          <w:rFonts w:ascii="Arial" w:hAnsi="Arial" w:cs="Arial"/>
          <w:lang w:val="pt-PT"/>
        </w:rPr>
      </w:pPr>
      <w:proofErr w:type="spellStart"/>
      <w:proofErr w:type="gramStart"/>
      <w:r w:rsidRPr="00A13EF7">
        <w:rPr>
          <w:rFonts w:ascii="Arial" w:hAnsi="Arial" w:cs="Arial"/>
          <w:lang w:val="pt-PT"/>
        </w:rPr>
        <w:t>Espagnol</w:t>
      </w:r>
      <w:proofErr w:type="spellEnd"/>
      <w:r w:rsidRPr="00A13EF7">
        <w:rPr>
          <w:rFonts w:ascii="Arial" w:hAnsi="Arial" w:cs="Arial"/>
          <w:lang w:val="pt-PT"/>
        </w:rPr>
        <w:t xml:space="preserve"> :</w:t>
      </w:r>
      <w:proofErr w:type="gramEnd"/>
      <w:r w:rsidRPr="00A13EF7">
        <w:rPr>
          <w:rFonts w:ascii="Arial" w:hAnsi="Arial" w:cs="Arial"/>
          <w:lang w:val="pt-PT"/>
        </w:rPr>
        <w:t xml:space="preserve"> Pata </w:t>
      </w:r>
      <w:proofErr w:type="spellStart"/>
      <w:r w:rsidRPr="00A13EF7">
        <w:rPr>
          <w:rFonts w:ascii="Arial" w:hAnsi="Arial" w:cs="Arial"/>
          <w:lang w:val="pt-PT"/>
        </w:rPr>
        <w:t>Amarilla</w:t>
      </w:r>
      <w:proofErr w:type="spellEnd"/>
      <w:r w:rsidRPr="00A13EF7">
        <w:rPr>
          <w:rFonts w:ascii="Arial" w:hAnsi="Arial" w:cs="Arial"/>
          <w:lang w:val="pt-PT"/>
        </w:rPr>
        <w:t xml:space="preserve"> Menor.</w:t>
      </w:r>
    </w:p>
    <w:p w14:paraId="4CE16908" w14:textId="77777777" w:rsidR="00260895" w:rsidRPr="00A13EF7" w:rsidRDefault="00B65B48">
      <w:pPr>
        <w:autoSpaceDE w:val="0"/>
        <w:adjustRightInd w:val="0"/>
        <w:spacing w:after="0" w:line="240" w:lineRule="auto"/>
        <w:ind w:left="993"/>
        <w:jc w:val="both"/>
        <w:rPr>
          <w:rFonts w:ascii="Arial" w:hAnsi="Arial" w:cs="Arial"/>
          <w:lang w:val="pt-PT"/>
        </w:rPr>
      </w:pPr>
      <w:proofErr w:type="spellStart"/>
      <w:proofErr w:type="gramStart"/>
      <w:r w:rsidRPr="00A13EF7">
        <w:rPr>
          <w:rFonts w:ascii="Arial" w:hAnsi="Arial" w:cs="Arial"/>
          <w:lang w:val="pt-PT"/>
        </w:rPr>
        <w:t>Portugais</w:t>
      </w:r>
      <w:proofErr w:type="spellEnd"/>
      <w:r w:rsidRPr="00A13EF7">
        <w:rPr>
          <w:rFonts w:ascii="Arial" w:hAnsi="Arial" w:cs="Arial"/>
          <w:lang w:val="pt-PT"/>
        </w:rPr>
        <w:t xml:space="preserve"> :</w:t>
      </w:r>
      <w:proofErr w:type="gramEnd"/>
      <w:r w:rsidRPr="00A13EF7">
        <w:rPr>
          <w:rFonts w:ascii="Arial" w:hAnsi="Arial" w:cs="Arial"/>
          <w:lang w:val="pt-PT"/>
        </w:rPr>
        <w:t xml:space="preserve"> Maçarico-de-perna-amarela.</w:t>
      </w:r>
    </w:p>
    <w:p w14:paraId="7E872647" w14:textId="77777777" w:rsidR="00260895" w:rsidRPr="00A13EF7" w:rsidRDefault="00260895">
      <w:pPr>
        <w:autoSpaceDE w:val="0"/>
        <w:adjustRightInd w:val="0"/>
        <w:spacing w:after="0" w:line="240" w:lineRule="auto"/>
        <w:jc w:val="both"/>
        <w:rPr>
          <w:rFonts w:ascii="Arial" w:hAnsi="Arial" w:cs="Arial"/>
          <w:lang w:val="pt-PT"/>
        </w:rPr>
      </w:pPr>
    </w:p>
    <w:p w14:paraId="21D471D9"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2.</w:t>
      </w:r>
      <w:r w:rsidRPr="00C43E4B">
        <w:rPr>
          <w:rFonts w:ascii="Arial" w:hAnsi="Arial" w:cs="Arial"/>
          <w:b/>
          <w:bCs/>
          <w:lang w:val="fr-FR"/>
        </w:rPr>
        <w:tab/>
        <w:t xml:space="preserve"> Description générale</w:t>
      </w:r>
    </w:p>
    <w:p w14:paraId="6E2055A4" w14:textId="77777777" w:rsidR="00260895" w:rsidRPr="00C43E4B" w:rsidRDefault="00260895">
      <w:pPr>
        <w:spacing w:after="0" w:line="240" w:lineRule="auto"/>
        <w:jc w:val="both"/>
        <w:rPr>
          <w:rFonts w:ascii="Arial" w:hAnsi="Arial" w:cs="Arial"/>
          <w:lang w:val="fr-FR"/>
        </w:rPr>
      </w:pPr>
    </w:p>
    <w:p w14:paraId="69825D2D"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 xml:space="preserve">Le </w:t>
      </w:r>
      <w:r w:rsidRPr="00C43E4B">
        <w:rPr>
          <w:rFonts w:ascii="Arial" w:hAnsi="Arial" w:cs="Arial"/>
          <w:i/>
          <w:iCs/>
          <w:lang w:val="fr-FR"/>
        </w:rPr>
        <w:t xml:space="preserve">Tringa flavipes </w:t>
      </w:r>
      <w:r w:rsidRPr="00C43E4B">
        <w:rPr>
          <w:rFonts w:ascii="Arial" w:hAnsi="Arial" w:cs="Arial"/>
          <w:lang w:val="fr-FR"/>
        </w:rPr>
        <w:t>(Gmelin, 1789) est un oiseau limicole migrateur de longue distance appartenant à la famille des Scolopacidés. Cette espèce se reproduit dans les forêts boréales ouvertes et semi-ouvertes d'Alaska et du Canada, et passe la saison non reproductive dans le sud des États-Unis, au Mexique, en Amérique centrale et en Amérique du Sud. La plus forte concentration observée en dehors de la saison de reproduction se trouve dans la Pampa argentine. Pendant la migration, l'espèce dépend de divers habitats de zones humid</w:t>
      </w:r>
      <w:r w:rsidRPr="00C43E4B">
        <w:rPr>
          <w:rFonts w:ascii="Arial" w:hAnsi="Arial" w:cs="Arial"/>
          <w:lang w:val="fr-FR"/>
        </w:rPr>
        <w:t xml:space="preserve">es situés le long des voies migratoires médio-continentale et atlantique, ce qui explique sa présence dans plus de 50 territoires. Les populations de cette espèce ont diminué d'environ 60 % au cours des trois dernières générations, et elle est classée comme vulnérable sur la Liste rouge des espèces menacées de l'UICN de 2024. Les principales menaces identifiées pour cette </w:t>
      </w:r>
      <w:r w:rsidRPr="00C43E4B">
        <w:rPr>
          <w:rFonts w:ascii="Arial" w:hAnsi="Arial" w:cs="Arial"/>
          <w:lang w:val="fr-FR"/>
        </w:rPr>
        <w:lastRenderedPageBreak/>
        <w:t>espèce sont la perte d'habitat due à l'agriculture et au changement climatique, ainsi que la pollution et la chasse, en particulier penda</w:t>
      </w:r>
      <w:r w:rsidRPr="00C43E4B">
        <w:rPr>
          <w:rFonts w:ascii="Arial" w:hAnsi="Arial" w:cs="Arial"/>
          <w:lang w:val="fr-FR"/>
        </w:rPr>
        <w:t>nt la migration et la saison de non-reproduction dans les Caraïbes.</w:t>
      </w:r>
    </w:p>
    <w:p w14:paraId="493D7711" w14:textId="77777777" w:rsidR="00260895" w:rsidRPr="00C43E4B" w:rsidRDefault="00260895">
      <w:pPr>
        <w:autoSpaceDE w:val="0"/>
        <w:adjustRightInd w:val="0"/>
        <w:spacing w:after="0" w:line="240" w:lineRule="auto"/>
        <w:jc w:val="both"/>
        <w:rPr>
          <w:rFonts w:ascii="Arial" w:hAnsi="Arial" w:cs="Arial"/>
          <w:lang w:val="fr-FR"/>
        </w:rPr>
      </w:pPr>
    </w:p>
    <w:p w14:paraId="560D9A58"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3.</w:t>
      </w:r>
      <w:r w:rsidRPr="00C43E4B">
        <w:rPr>
          <w:rFonts w:ascii="Arial" w:hAnsi="Arial" w:cs="Arial"/>
          <w:b/>
          <w:bCs/>
          <w:lang w:val="fr-FR"/>
        </w:rPr>
        <w:tab/>
        <w:t xml:space="preserve"> Migrations</w:t>
      </w:r>
    </w:p>
    <w:p w14:paraId="62E713A2" w14:textId="77777777" w:rsidR="00260895" w:rsidRPr="00C43E4B" w:rsidRDefault="00260895">
      <w:pPr>
        <w:keepNext/>
        <w:autoSpaceDE w:val="0"/>
        <w:adjustRightInd w:val="0"/>
        <w:spacing w:after="0" w:line="240" w:lineRule="auto"/>
        <w:ind w:left="567" w:hanging="567"/>
        <w:jc w:val="both"/>
        <w:rPr>
          <w:rFonts w:ascii="Arial" w:hAnsi="Arial" w:cs="Arial"/>
          <w:b/>
          <w:bCs/>
          <w:lang w:val="fr-FR"/>
        </w:rPr>
      </w:pPr>
    </w:p>
    <w:p w14:paraId="55E91CBF"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3.1</w:t>
      </w:r>
      <w:r w:rsidRPr="00C43E4B">
        <w:rPr>
          <w:rFonts w:ascii="Arial" w:hAnsi="Arial" w:cs="Arial"/>
          <w:lang w:val="fr-FR"/>
        </w:rPr>
        <w:tab/>
        <w:t xml:space="preserve"> Types de mouvements, distance, nature cyclique et prévisible de la migration</w:t>
      </w:r>
    </w:p>
    <w:p w14:paraId="6B009EA1" w14:textId="77777777" w:rsidR="00260895" w:rsidRPr="00C43E4B" w:rsidRDefault="00260895">
      <w:pPr>
        <w:autoSpaceDE w:val="0"/>
        <w:adjustRightInd w:val="0"/>
        <w:spacing w:after="0" w:line="240" w:lineRule="auto"/>
        <w:jc w:val="both"/>
        <w:rPr>
          <w:rFonts w:ascii="Arial" w:hAnsi="Arial" w:cs="Arial"/>
          <w:lang w:val="fr-FR"/>
        </w:rPr>
      </w:pPr>
    </w:p>
    <w:p w14:paraId="11D27F2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Le </w:t>
      </w:r>
      <w:r w:rsidRPr="00C43E4B">
        <w:rPr>
          <w:rFonts w:ascii="Arial" w:hAnsi="Arial" w:cs="Arial"/>
          <w:i/>
          <w:iCs/>
          <w:lang w:val="fr-FR"/>
        </w:rPr>
        <w:t>Tringa flavipes</w:t>
      </w:r>
      <w:r w:rsidRPr="00C43E4B">
        <w:rPr>
          <w:rFonts w:ascii="Arial" w:hAnsi="Arial" w:cs="Arial"/>
          <w:lang w:val="fr-FR"/>
        </w:rPr>
        <w:t xml:space="preserve"> est un oiseau de rivage migrateur de longue distance qui réalise chaque année une migration cyclique entre les zones de reproduction et les zones de non reproduction. De février à mai, ils quittent les zones de non-reproduction d'Amérique du Sud, d'Amérique centrale, et du sud de l'Amérique du Nord pour migrer vers leurs zones de reproduction au Canada et en Alaska. La migration vers le sud, de retour vers les zones de non-reproduction, a généralement lieu de la fin juin à octobre</w:t>
      </w:r>
      <w:r w:rsidRPr="00C43E4B">
        <w:rPr>
          <w:rFonts w:ascii="Arial" w:hAnsi="Arial" w:cs="Arial"/>
          <w:lang w:val="fr-FR"/>
        </w:rPr>
        <w:fldChar w:fldCharType="begin"/>
      </w:r>
      <w:r w:rsidRPr="00C43E4B">
        <w:rPr>
          <w:rFonts w:ascii="Arial" w:hAnsi="Arial" w:cs="Arial"/>
          <w:lang w:val="fr-FR"/>
        </w:rPr>
        <w:instrText xml:space="preserve"> ADDIN ZOTERO_ITEM CSL_CITATION {"citationID":"5NHiKkFq","properties":{"formattedCitation":"(McDuffie et al. 2022b)","plainCitation":"(McDuffie et al. 2022b)","noteIndex":0},"citationItems":[{"id":1342,"uris":["http://zotero.org/users/11283305/items/3AI3VCMY"],"itemData":{"id":1342,"type":"article-journal","abstract":"Many populations of long-distance migrant shorebirds are declining rapidly. Since the 1970s, the lesser yellowlegs (Tringa flavipes) has experienced a pronounced reduction in abundance of 63%.</w:instrText>
      </w:r>
      <w:r w:rsidRPr="00C43E4B">
        <w:rPr>
          <w:rFonts w:ascii="Arial" w:hAnsi="Arial" w:cs="Arial"/>
          <w:lang w:val="fr-FR"/>
        </w:rPr>
        <w:instrText xml:space="preserve">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w:instrText>
      </w:r>
      <w:r w:rsidRPr="00C43E4B">
        <w:rPr>
          <w:rFonts w:ascii="Arial" w:hAnsi="Arial" w:cs="Arial"/>
          <w:lang w:val="fr-FR"/>
        </w:rPr>
        <w:instrText>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w:instrText>
      </w:r>
      <w:r w:rsidRPr="00C43E4B">
        <w:rPr>
          <w:rFonts w:ascii="Arial" w:hAnsi="Arial" w:cs="Arial"/>
          <w:lang w:val="fr-FR"/>
        </w:rPr>
        <w:instrText>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w:instrText>
      </w:r>
      <w:r w:rsidRPr="00C43E4B">
        <w:rPr>
          <w:rFonts w:ascii="Arial" w:hAnsi="Arial" w:cs="Arial"/>
          <w:lang w:val="fr-FR"/>
        </w:rPr>
        <w:instrText>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w:instrText>
      </w:r>
      <w:r w:rsidRPr="00C43E4B">
        <w:rPr>
          <w:rFonts w:ascii="Arial" w:hAnsi="Arial" w:cs="Arial"/>
          <w:lang w:val="fr-FR"/>
        </w:rPr>
        <w:instrText>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w:instrText>
      </w:r>
      <w:r w:rsidRPr="00C43E4B">
        <w:rPr>
          <w:rFonts w:ascii="Arial" w:hAnsi="Arial" w:cs="Arial"/>
          <w:lang w:val="fr-FR"/>
        </w:rPr>
        <w:instrText>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w:instrText>
      </w:r>
      <w:r w:rsidRPr="00C43E4B">
        <w:rPr>
          <w:rFonts w:ascii="Arial" w:hAnsi="Arial" w:cs="Arial"/>
          <w:lang w:val="fr-FR"/>
        </w:rPr>
        <w:instrText xml:space="preserve">e-parts":[["2022"]]}}}],"schema":"https://github.com/citation-style-language/schema/raw/master/csl-citation.json"}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(McDuffie </w:t>
      </w:r>
      <w:r w:rsidRPr="00C43E4B">
        <w:rPr>
          <w:rFonts w:ascii="Arial" w:hAnsi="Arial" w:cs="Arial"/>
          <w:i/>
          <w:iCs/>
          <w:lang w:val="fr-FR"/>
        </w:rPr>
        <w:t>et al</w:t>
      </w:r>
      <w:r w:rsidRPr="00C43E4B">
        <w:rPr>
          <w:rFonts w:ascii="Arial" w:hAnsi="Arial" w:cs="Arial"/>
          <w:lang w:val="fr-FR"/>
        </w:rPr>
        <w:t>. 2022b)</w:t>
      </w:r>
      <w:r w:rsidRPr="00C43E4B">
        <w:rPr>
          <w:rFonts w:ascii="Arial" w:hAnsi="Arial" w:cs="Arial"/>
          <w:lang w:val="fr-FR"/>
        </w:rPr>
        <w:fldChar w:fldCharType="end"/>
      </w:r>
      <w:r w:rsidRPr="00C43E4B">
        <w:rPr>
          <w:rFonts w:ascii="Arial" w:hAnsi="Arial" w:cs="Arial"/>
          <w:lang w:val="fr-FR"/>
        </w:rPr>
        <w:t>. Pendant la migration, ils dépendent des zones humides côtières et intérieures de l'ensemble des Amériques, en utilisant les voies migratoires médio-continentale et atlantique</w:t>
      </w:r>
      <w:r w:rsidRPr="00C43E4B">
        <w:rPr>
          <w:rFonts w:ascii="Arial" w:hAnsi="Arial" w:cs="Arial"/>
          <w:lang w:val="fr-FR"/>
        </w:rPr>
        <w:fldChar w:fldCharType="begin"/>
      </w:r>
      <w:r w:rsidRPr="00C43E4B">
        <w:rPr>
          <w:rFonts w:ascii="Arial" w:hAnsi="Arial" w:cs="Arial"/>
          <w:lang w:val="fr-FR"/>
        </w:rPr>
        <w:instrText xml:space="preserve"> ADDIN ZOTERO_ITEM CSL_CITATION {"citationID":"QgEAARTE","properties":{"formattedCitation":"(McDuffie et al. 2022b; Linscott et al. 2024)","plainCitation":"(McDuffie et al. 2022b; Linscott et al. 2024)","noteIndex":0},"citationItems":[{"id":173,"uris":["http://zotero.org/users/11283305/items/9JDBT8HB"],"itemData":{"id":173,"type":"article-journal","abstract":"Identifying the migration routes and stopover sites used by declining species is critical for developing targeted conservation actions. Long-distance </w:instrText>
      </w:r>
      <w:r w:rsidRPr="00C43E4B">
        <w:rPr>
          <w:rFonts w:ascii="Arial" w:hAnsi="Arial" w:cs="Arial"/>
          <w:lang w:val="fr-FR"/>
        </w:rPr>
        <w:instrText xml:space="preserve">migratory shorebirds are among the groups of birds declining most rapidly, yet we frequently lack detailed knowledge about the routes and stopover sites they use during their hemisphere-spanning migrations. This is especially true for species that migrate through mid-continental regions in the Western Hemisphere. We therefore used satellite transmitters to track 212 individuals of 6 shorebird species during their southward migrations—Pluvialis dominica (American Golden-Plover), Limosa haemastica (Hudsonian </w:instrText>
      </w:r>
      <w:r w:rsidRPr="00C43E4B">
        <w:rPr>
          <w:rFonts w:ascii="Arial" w:hAnsi="Arial" w:cs="Arial"/>
          <w:lang w:val="fr-FR"/>
        </w:rPr>
        <w:instrText>Godwit), Tringa flavipes (Lesser Yellowlegs), Calidris subruficollis (Buff-breasted Sandpiper), C. melanotos (Pectoral Sandpiper), and Bartramia longicauda (Upland Sandpiper)—as they crossed the Amazon Basin of South America, a region from which reports of shorebird numbers are increasing but remain relatively rare. Our results make clear that the Amazon Basin provides stopover habitat for a large number of shorebirds: more than 74% of individuals tracked crossing the Amazon Basin stopped over in the region</w:instrText>
      </w:r>
      <w:r w:rsidRPr="00C43E4B">
        <w:rPr>
          <w:rFonts w:ascii="Arial" w:hAnsi="Arial" w:cs="Arial"/>
          <w:lang w:val="fr-FR"/>
        </w:rPr>
        <w:instrText xml:space="preserve"> for an average of 2–14 days, with some spending the entire nonbreeding season there. All species selected stopover sites along the region’s many rivers and lakes, while within stopover sites each species exhibited distinct habitat preferences. The timing of stopovers within sub-basins of the Amazon Basin also coincided with periods of low water, when the muddy, shallow water habitats preferred by most shorebirds are likely plentiful. Together, our results highlight the need for detailed investigations into</w:instrText>
      </w:r>
      <w:r w:rsidRPr="00C43E4B">
        <w:rPr>
          <w:rFonts w:ascii="Arial" w:hAnsi="Arial" w:cs="Arial"/>
          <w:lang w:val="fr-FR"/>
        </w:rPr>
        <w:instrText xml:space="preserve"> shorebird abundance and distribution within the Amazon Basin, threats to shorebirds within particular subbasins, and links between shorebird conservation efforts and those targeting the myriad other species that inhabit this dynamic, hyper-diverse region.• Long-distance migratory shorebirds are declining worldwide. For many of these species, we lack essential information about their habitats throughout the year, including the stopover sites they use during migration.• In the Western Hemisphere, information</w:instrText>
      </w:r>
      <w:r w:rsidRPr="00C43E4B">
        <w:rPr>
          <w:rFonts w:ascii="Arial" w:hAnsi="Arial" w:cs="Arial"/>
          <w:lang w:val="fr-FR"/>
        </w:rPr>
        <w:instrText xml:space="preserve"> is particularly lacking for the midcontinent of South America, a region that several shorebird species may cross during their southward migrations.• We examine satellite tracking data from 6 shorebird species to show that stops in the Amazon Basin are surprisingly common, occurring in more than 74% of southward migratory tracks.• Shorebirds selected stopover sites along rivers and lakes and exhibited distinct local-scale habitat preferences. These results highlight the need for detailed investigations into</w:instrText>
      </w:r>
      <w:r w:rsidRPr="00C43E4B">
        <w:rPr>
          <w:rFonts w:ascii="Arial" w:hAnsi="Arial" w:cs="Arial"/>
          <w:lang w:val="fr-FR"/>
        </w:rPr>
        <w:instrText xml:space="preserve"> shorebird abundance and stopover site characteristics within the Amazon Basin, as well as potential links to broader conservation efforts.","container-title":"Ornithological Applications","DOI":"10.1093/ornithapp/duae034","ISSN":"0010-5422","journalAbbreviation":"Ornithological Applications","page":"duae034","source":"Silverchair","title":"The Amazon Basin’s rivers and lakes support Nearctic-breeding shorebirds during southward migration","author":[{"family":"Linscott","given":"Jennifer A"},{"family":"Bass</w:instrText>
      </w:r>
      <w:r w:rsidRPr="00C43E4B">
        <w:rPr>
          <w:rFonts w:ascii="Arial" w:hAnsi="Arial" w:cs="Arial"/>
          <w:lang w:val="fr-FR"/>
        </w:rPr>
        <w:instrText>o","given":"Enzo"},{"family":"Bathrick","given":"Rosalyn"},{"family":"Bosi de Almeida","given":"Juliana"},{"family":"Anderson","given":"Alexandra M"},{"family":"Angulo-Pratolongo","given":"Fernando"},{"family":"Ballard","given":"Bart M"},{"family":"Bêty","given":"Joël"},{"family":"Brown","given":"Stephen C"},{"family":"Christie","given":"Katherine S"},{"family":"Clements","given":"Sarah J"},{"family":"Friis","given":"Christian"},{"family":"Gesmundo","given":"Callie"},{"family":"Giroux","given":"Marie-Andrée</w:instrText>
      </w:r>
      <w:r w:rsidRPr="00C43E4B">
        <w:rPr>
          <w:rFonts w:ascii="Arial" w:hAnsi="Arial" w:cs="Arial"/>
          <w:lang w:val="fr-FR"/>
        </w:rPr>
        <w:instrText>"},{"family":"Harrison","given":"Autumn-Lynn"},{"family":"Harwood","given":"Christopher M"},{"family":"Hill","given":"Jason M"},{"family":"Johnson","given":"James A"},{"family":"Kempenaers","given":"Bart"},{"family":"Laliberté","given":"Benoit"},{"family":"Lamarre","given":"Jean-Francois"},{"family":"Lanctot","given":"Richard B"},{"family":"Latty","given":"Christopher"},{"family":"Lecomte","given":"Nicolas"},{"family":"McDuffie","given":"Laura A"},{"family":"Navedo","given":"Juan G"},{"family":"Nol","given"</w:instrText>
      </w:r>
      <w:r w:rsidRPr="00C43E4B">
        <w:rPr>
          <w:rFonts w:ascii="Arial" w:hAnsi="Arial" w:cs="Arial"/>
          <w:lang w:val="fr-FR"/>
        </w:rPr>
        <w:instrText>:"Erica"},{"family":"Pohlen","given":"Zachary M"},{"family":"Rausch","given":"Jennie"},{"family":"Renfrew","given":"Rosalind B"},{"family":"Ruiz","given":"Jorge"},{"family":"Russell","given":"Mike"},{"family":"Ruthrauff","given":"Daniel R"},{"family":"Saalfeld","given":"Sarah T"},{"family":"Sandercock","given":"Brett K"},{"family":"Schulte","given":"Shiloh A"},{"family":"Smith","given":"Paul A"},{"family":"Taylor","given":"Audrey R"},{"family":"Tibbitts","given":"T Lee"},{"family":"Valcu","given":"Mihai"},{</w:instrText>
      </w:r>
      <w:r w:rsidRPr="00C43E4B">
        <w:rPr>
          <w:rFonts w:ascii="Arial" w:hAnsi="Arial" w:cs="Arial"/>
          <w:lang w:val="fr-FR"/>
        </w:rPr>
        <w:instrText>"family":"Weegman","given":"Mitch D"},{"family":"Wright","given":"James R"},{"family":"Senner","given":"Nathan R"}],"issued":{"date-parts":[["2024",8,9]]}}},{"id":1342,"uris":["http://zotero.org/users/11283305/items/3AI3VCMY"],"itemData":{"id":1342,"type":"article-journal","abstract":"Many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w:instrText>
      </w:r>
      <w:r w:rsidRPr="00C43E4B">
        <w:rPr>
          <w:rFonts w:ascii="Arial" w:hAnsi="Arial" w:cs="Arial"/>
          <w:lang w:val="fr-FR"/>
        </w:rPr>
        <w:instrText>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w:instrText>
      </w:r>
      <w:r w:rsidRPr="00C43E4B">
        <w:rPr>
          <w:rFonts w:ascii="Arial" w:hAnsi="Arial" w:cs="Arial"/>
          <w:lang w:val="fr-FR"/>
        </w:rPr>
        <w:instrTex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w:instrText>
      </w:r>
      <w:r w:rsidRPr="00C43E4B">
        <w:rPr>
          <w:rFonts w:ascii="Arial" w:hAnsi="Arial" w:cs="Arial"/>
          <w:lang w:val="fr-FR"/>
        </w:rPr>
        <w:instrText>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w:instrText>
      </w:r>
      <w:r w:rsidRPr="00C43E4B">
        <w:rPr>
          <w:rFonts w:ascii="Arial" w:hAnsi="Arial" w:cs="Arial"/>
          <w:lang w:val="fr-FR"/>
        </w:rPr>
        <w:instrText>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w:instrText>
      </w:r>
      <w:r w:rsidRPr="00C43E4B">
        <w:rPr>
          <w:rFonts w:ascii="Arial" w:hAnsi="Arial" w:cs="Arial"/>
          <w:lang w:val="fr-FR"/>
        </w:rPr>
        <w:instrText>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w:instrText>
      </w:r>
      <w:r w:rsidRPr="00C43E4B">
        <w:rPr>
          <w:rFonts w:ascii="Arial" w:hAnsi="Arial" w:cs="Arial"/>
          <w:lang w:val="fr-FR"/>
        </w:rPr>
        <w:instrText>"volume":"12","author":[{"family":"McDuffie","given":"Laura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A."}],"issued":{"date-parts":[["2022"]]}}}],"schema":"</w:instrText>
      </w:r>
      <w:r w:rsidRPr="00C43E4B">
        <w:rPr>
          <w:rFonts w:ascii="Arial" w:hAnsi="Arial" w:cs="Arial"/>
          <w:lang w:val="fr-FR"/>
        </w:rPr>
        <w:instrText xml:space="preserve">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(McDuffie et al. 2022b ; Linscott et al. 2024)</w:t>
      </w:r>
      <w:r w:rsidRPr="00C43E4B">
        <w:rPr>
          <w:rFonts w:ascii="Arial" w:hAnsi="Arial" w:cs="Arial"/>
          <w:lang w:val="fr-FR"/>
        </w:rPr>
        <w:fldChar w:fldCharType="end"/>
      </w:r>
      <w:r w:rsidRPr="00C43E4B">
        <w:rPr>
          <w:rFonts w:ascii="Arial" w:hAnsi="Arial" w:cs="Arial"/>
          <w:lang w:val="fr-FR"/>
        </w:rPr>
        <w:t>, ce qui fait qu'ils sont présents dans plus de 50 territoires.</w:t>
      </w:r>
    </w:p>
    <w:p w14:paraId="5363B32F" w14:textId="77777777" w:rsidR="00260895" w:rsidRPr="00C43E4B" w:rsidRDefault="00260895">
      <w:pPr>
        <w:autoSpaceDE w:val="0"/>
        <w:adjustRightInd w:val="0"/>
        <w:spacing w:after="0" w:line="240" w:lineRule="auto"/>
        <w:jc w:val="both"/>
        <w:rPr>
          <w:rFonts w:ascii="Arial" w:hAnsi="Arial" w:cs="Arial"/>
          <w:lang w:val="fr-FR"/>
        </w:rPr>
      </w:pPr>
    </w:p>
    <w:p w14:paraId="32DDF3A2"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3.2</w:t>
      </w:r>
      <w:r w:rsidRPr="00C43E4B">
        <w:rPr>
          <w:rFonts w:ascii="Arial" w:hAnsi="Arial" w:cs="Arial"/>
          <w:lang w:val="fr-FR"/>
        </w:rPr>
        <w:tab/>
        <w:t xml:space="preserve"> Proportion de la population qui migre et pourquoi cette proportion est significative</w:t>
      </w:r>
    </w:p>
    <w:p w14:paraId="07D8545D" w14:textId="77777777" w:rsidR="00260895" w:rsidRPr="00C43E4B" w:rsidRDefault="00260895">
      <w:pPr>
        <w:keepNext/>
        <w:autoSpaceDE w:val="0"/>
        <w:adjustRightInd w:val="0"/>
        <w:spacing w:after="0" w:line="240" w:lineRule="auto"/>
        <w:jc w:val="both"/>
        <w:rPr>
          <w:rFonts w:ascii="Arial" w:hAnsi="Arial" w:cs="Arial"/>
          <w:lang w:val="fr-FR"/>
        </w:rPr>
      </w:pPr>
    </w:p>
    <w:p w14:paraId="11292458"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Tous les individus de </w:t>
      </w:r>
      <w:r w:rsidRPr="00C43E4B">
        <w:rPr>
          <w:rFonts w:ascii="Arial" w:hAnsi="Arial" w:cs="Arial"/>
          <w:i/>
          <w:iCs/>
          <w:lang w:val="fr-FR"/>
        </w:rPr>
        <w:t>Tringa flavipes</w:t>
      </w:r>
      <w:r w:rsidRPr="00C43E4B">
        <w:rPr>
          <w:rFonts w:ascii="Arial" w:hAnsi="Arial" w:cs="Arial"/>
          <w:lang w:val="fr-FR"/>
        </w:rPr>
        <w:t xml:space="preserve"> sont des migrateurs de longue distance</w:t>
      </w:r>
      <w:r w:rsidRPr="00C43E4B">
        <w:rPr>
          <w:rFonts w:ascii="Arial" w:hAnsi="Arial" w:cs="Arial"/>
          <w:lang w:val="fr-FR"/>
        </w:rPr>
        <w:fldChar w:fldCharType="begin"/>
      </w:r>
      <w:r w:rsidRPr="00C43E4B">
        <w:rPr>
          <w:rFonts w:ascii="Arial" w:hAnsi="Arial" w:cs="Arial"/>
          <w:lang w:val="fr-FR"/>
        </w:rPr>
        <w:instrText xml:space="preserve"> ADDIN ZOTERO_ITEM CSL_CITATION {"citationID":"APEeIacn","properties":{"formattedCitation":"(Tibbitts and Moskoff 2020; McDuffie et al. 2022b)","plainCitation":"(Tibbitts and Moskoff 2020; McDuffie et al. 2022b)","noteIndex":0},"citationItems":[{"id":1342,"uris":["http://zotero.org/users/11283305/items/3AI3VCMY"],"itemData":{"id":1342,"type":"article-journal","abstract":"Many populations of long-distance migrant shorebirds are declining rapidly. Since the 1970s, the lesser yellowlegs (Tringa flavipes) has e</w:instrText>
      </w:r>
      <w:r w:rsidRPr="00C43E4B">
        <w:rPr>
          <w:rFonts w:ascii="Arial" w:hAnsi="Arial" w:cs="Arial"/>
          <w:lang w:val="fr-FR"/>
        </w:rPr>
        <w:instrText>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w:instrText>
      </w:r>
      <w:r w:rsidRPr="00C43E4B">
        <w:rPr>
          <w:rFonts w:ascii="Arial" w:hAnsi="Arial" w:cs="Arial"/>
          <w:lang w:val="fr-FR"/>
        </w:rPr>
        <w:instrText xml:space="preserve">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w:instrText>
      </w:r>
      <w:r w:rsidRPr="00C43E4B">
        <w:rPr>
          <w:rFonts w:ascii="Arial" w:hAnsi="Arial" w:cs="Arial"/>
          <w:lang w:val="fr-FR"/>
        </w:rPr>
        <w:instrText>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w:instrText>
      </w:r>
      <w:r w:rsidRPr="00C43E4B">
        <w:rPr>
          <w:rFonts w:ascii="Arial" w:hAnsi="Arial" w:cs="Arial"/>
          <w:lang w:val="fr-FR"/>
        </w:rPr>
        <w:instrText>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w:instrText>
      </w:r>
      <w:r w:rsidRPr="00C43E4B">
        <w:rPr>
          <w:rFonts w:ascii="Arial" w:hAnsi="Arial" w:cs="Arial"/>
          <w:lang w:val="fr-FR"/>
        </w:rPr>
        <w:instrText>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w:instrText>
      </w:r>
      <w:r w:rsidRPr="00C43E4B">
        <w:rPr>
          <w:rFonts w:ascii="Arial" w:hAnsi="Arial" w:cs="Arial"/>
          <w:lang w:val="fr-FR"/>
        </w:rPr>
        <w:instrText>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w:instrText>
      </w:r>
      <w:r w:rsidRPr="00C43E4B">
        <w:rPr>
          <w:rFonts w:ascii="Arial" w:hAnsi="Arial" w:cs="Arial"/>
          <w:lang w:val="fr-FR"/>
        </w:rPr>
        <w:instrText>"family":"Johnson","given":"James A."}],"issued":{"date-parts":[["2022"]]}}},{"id":1333,"uris":["http://zotero.org/users/11283305/items/LXPPU6U8"],"itemData":{"id":1333,"type":"article-journal","abstract":"Species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w:instrText>
      </w:r>
      <w:r w:rsidRPr="00C43E4B">
        <w:rPr>
          <w:rFonts w:ascii="Arial" w:hAnsi="Arial" w:cs="Arial"/>
          <w:lang w:val="fr-FR"/>
        </w:rPr>
        <w:instrText xml:space="preserve">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 ; McDuffie </w:t>
      </w:r>
      <w:r w:rsidRPr="00C43E4B">
        <w:rPr>
          <w:rFonts w:ascii="Arial" w:hAnsi="Arial" w:cs="Arial"/>
          <w:i/>
          <w:iCs/>
          <w:lang w:val="fr-FR"/>
        </w:rPr>
        <w:t>et al.</w:t>
      </w:r>
      <w:r w:rsidRPr="00C43E4B">
        <w:rPr>
          <w:rFonts w:ascii="Arial" w:hAnsi="Arial" w:cs="Arial"/>
          <w:lang w:val="fr-FR"/>
        </w:rPr>
        <w:t xml:space="preserve"> 2022b)</w:t>
      </w:r>
      <w:r w:rsidRPr="00C43E4B">
        <w:rPr>
          <w:rFonts w:ascii="Arial" w:hAnsi="Arial" w:cs="Arial"/>
          <w:lang w:val="fr-FR"/>
        </w:rPr>
        <w:fldChar w:fldCharType="end"/>
      </w:r>
      <w:r w:rsidRPr="00C43E4B">
        <w:rPr>
          <w:rFonts w:ascii="Arial" w:hAnsi="Arial" w:cs="Arial"/>
          <w:lang w:val="fr-FR"/>
        </w:rPr>
        <w:t>.</w:t>
      </w:r>
    </w:p>
    <w:p w14:paraId="7263EC0D" w14:textId="77777777" w:rsidR="00260895" w:rsidRPr="00C43E4B" w:rsidRDefault="00260895">
      <w:pPr>
        <w:autoSpaceDE w:val="0"/>
        <w:adjustRightInd w:val="0"/>
        <w:spacing w:after="0" w:line="240" w:lineRule="auto"/>
        <w:jc w:val="both"/>
        <w:rPr>
          <w:rFonts w:ascii="Arial" w:hAnsi="Arial" w:cs="Arial"/>
          <w:lang w:val="fr-FR"/>
        </w:rPr>
      </w:pPr>
    </w:p>
    <w:p w14:paraId="7E63B5BD"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4.</w:t>
      </w:r>
      <w:r w:rsidRPr="00C43E4B">
        <w:rPr>
          <w:rFonts w:ascii="Arial" w:hAnsi="Arial" w:cs="Arial"/>
          <w:b/>
          <w:bCs/>
          <w:lang w:val="fr-FR"/>
        </w:rPr>
        <w:tab/>
        <w:t xml:space="preserve"> Données biologiques (autres que la migration)</w:t>
      </w:r>
    </w:p>
    <w:p w14:paraId="52402026" w14:textId="77777777" w:rsidR="00260895" w:rsidRPr="00C43E4B" w:rsidRDefault="00260895">
      <w:pPr>
        <w:keepNext/>
        <w:autoSpaceDE w:val="0"/>
        <w:adjustRightInd w:val="0"/>
        <w:spacing w:after="0" w:line="240" w:lineRule="auto"/>
        <w:jc w:val="both"/>
        <w:rPr>
          <w:rFonts w:ascii="Arial" w:hAnsi="Arial" w:cs="Arial"/>
          <w:b/>
          <w:bCs/>
          <w:lang w:val="fr-FR"/>
        </w:rPr>
      </w:pPr>
    </w:p>
    <w:p w14:paraId="011E41D4"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4.1</w:t>
      </w:r>
      <w:r w:rsidRPr="00C43E4B">
        <w:rPr>
          <w:rFonts w:ascii="Arial" w:hAnsi="Arial" w:cs="Arial"/>
          <w:lang w:val="fr-FR"/>
        </w:rPr>
        <w:tab/>
        <w:t xml:space="preserve"> Distribution </w:t>
      </w:r>
    </w:p>
    <w:p w14:paraId="00D00456" w14:textId="77777777" w:rsidR="00260895" w:rsidRPr="00C43E4B" w:rsidRDefault="00260895">
      <w:pPr>
        <w:keepNext/>
        <w:autoSpaceDE w:val="0"/>
        <w:adjustRightInd w:val="0"/>
        <w:spacing w:after="0" w:line="240" w:lineRule="auto"/>
        <w:jc w:val="both"/>
        <w:rPr>
          <w:rFonts w:ascii="Arial" w:hAnsi="Arial" w:cs="Arial"/>
          <w:lang w:val="fr-FR"/>
        </w:rPr>
      </w:pPr>
    </w:p>
    <w:p w14:paraId="4743121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i/>
          <w:iCs/>
          <w:lang w:val="fr-FR"/>
        </w:rPr>
        <w:t>Le Tringa flavipes</w:t>
      </w:r>
      <w:r w:rsidRPr="00C43E4B">
        <w:rPr>
          <w:rFonts w:ascii="Arial" w:hAnsi="Arial" w:cs="Arial"/>
          <w:lang w:val="fr-FR"/>
        </w:rPr>
        <w:t xml:space="preserve"> se reproduit dans tout le Canada (80 % de l'aire de reproduction) et en Alaska (Figure 1). L'aire de répartition actuelle de cette espèce, en dehors de la période de reproduction, s'étend le long des côtes sud de l'Atlantique, du Golfe et du Pacifique des États-Unis, ainsi qu'au Mexique, en Amérique centrale et en Amérique du Sud. La région de la Pampa argentine (Argentine, Uruguay et sud du Brésil) est le principal site de non-reproduction de cette espèce, où 44 % des individus étudiés par McDuffie </w:t>
      </w:r>
      <w:r w:rsidRPr="00C43E4B">
        <w:rPr>
          <w:rFonts w:ascii="Arial" w:hAnsi="Arial" w:cs="Arial"/>
          <w:i/>
          <w:iCs/>
          <w:lang w:val="fr-FR"/>
        </w:rPr>
        <w:t>et al.</w:t>
      </w:r>
      <w:r w:rsidRPr="00C43E4B">
        <w:rPr>
          <w:rFonts w:ascii="Arial" w:hAnsi="Arial" w:cs="Arial"/>
          <w:lang w:val="fr-FR"/>
        </w:rPr>
        <w:t xml:space="preserve"> (2022) ont passé la saison de non-reproduction. D'autres lieux importants comprennent la côte du Venezuela, ainsi que la côte nord-ouest du Brésil et de l'Équateur (McDuffie </w:t>
      </w:r>
      <w:r w:rsidRPr="00C43E4B">
        <w:rPr>
          <w:rFonts w:ascii="Arial" w:hAnsi="Arial" w:cs="Arial"/>
          <w:i/>
          <w:iCs/>
          <w:lang w:val="fr-FR"/>
        </w:rPr>
        <w:t>et al.</w:t>
      </w:r>
      <w:r w:rsidRPr="00C43E4B">
        <w:rPr>
          <w:rFonts w:ascii="Arial" w:hAnsi="Arial" w:cs="Arial"/>
          <w:lang w:val="fr-FR"/>
        </w:rPr>
        <w:t xml:space="preserve"> 2022b). Une petite partie des populations passe la saison de non-reproduction dans le sud des États-Unis, au Mexique et dans les Caraïbes (Tibbitts et Moskoff 2020). Les populations reproductrices de l'est du Canada effectuent souvent une migration ininterrompue vers le sud, depuis la côte canadienne jusqu'au nord de l'Amérique </w:t>
      </w:r>
      <w:r w:rsidRPr="00C43E4B">
        <w:rPr>
          <w:rFonts w:ascii="Arial" w:hAnsi="Arial" w:cs="Arial"/>
          <w:lang w:val="fr-FR"/>
        </w:rPr>
        <w:t xml:space="preserve">du Sud, d'où elles peuvent continuer vers le sud. Les populations reproductrices de l'Alaska migrent souvent vers le sud le long de la voie de migration médio-continentale, en utilisant la région des fondrières des Prairies comme site d'escale important (McDuffie </w:t>
      </w:r>
      <w:r w:rsidRPr="00C43E4B">
        <w:rPr>
          <w:rFonts w:ascii="Arial" w:hAnsi="Arial" w:cs="Arial"/>
          <w:i/>
          <w:iCs/>
          <w:lang w:val="fr-FR"/>
        </w:rPr>
        <w:t>et al</w:t>
      </w:r>
      <w:r w:rsidRPr="00C43E4B">
        <w:rPr>
          <w:rFonts w:ascii="Arial" w:hAnsi="Arial" w:cs="Arial"/>
          <w:lang w:val="fr-FR"/>
        </w:rPr>
        <w:t xml:space="preserve">. 2022b). Lors de leur migration vers le nord, la plaine inondable du Mississippi est la zone de repos bien connue qui abrite le plus grand nombre de </w:t>
      </w:r>
      <w:r w:rsidRPr="00C43E4B">
        <w:rPr>
          <w:rFonts w:ascii="Arial" w:hAnsi="Arial" w:cs="Arial"/>
          <w:i/>
          <w:iCs/>
          <w:lang w:val="fr-FR"/>
        </w:rPr>
        <w:t>Tringa flavipes</w:t>
      </w:r>
      <w:r w:rsidRPr="00C43E4B">
        <w:rPr>
          <w:rFonts w:ascii="Arial" w:hAnsi="Arial" w:cs="Arial"/>
          <w:lang w:val="fr-FR"/>
        </w:rPr>
        <w:t xml:space="preserve"> (McDuffie </w:t>
      </w:r>
      <w:r w:rsidRPr="00C43E4B">
        <w:rPr>
          <w:rFonts w:ascii="Arial" w:hAnsi="Arial" w:cs="Arial"/>
          <w:i/>
          <w:iCs/>
          <w:lang w:val="fr-FR"/>
        </w:rPr>
        <w:t>et al</w:t>
      </w:r>
      <w:r w:rsidRPr="00C43E4B">
        <w:rPr>
          <w:rFonts w:ascii="Arial" w:hAnsi="Arial" w:cs="Arial"/>
          <w:lang w:val="fr-FR"/>
        </w:rPr>
        <w:t>. 2022). Cependant, il existe des preuves d’une réduction historique de son aire de reproduction, car au XIXe siècle, Tringa flavipes se reproduisait plus au sud que dans son aire actuelle (Tibbitts et Moskoff 2020).</w:t>
      </w:r>
    </w:p>
    <w:p w14:paraId="7318C557" w14:textId="77777777" w:rsidR="00260895" w:rsidRPr="00C43E4B" w:rsidRDefault="00260895">
      <w:pPr>
        <w:spacing w:after="0" w:line="240" w:lineRule="auto"/>
        <w:jc w:val="both"/>
        <w:rPr>
          <w:rFonts w:ascii="Arial" w:hAnsi="Arial" w:cs="Arial"/>
          <w:lang w:val="fr-FR"/>
        </w:rPr>
      </w:pPr>
    </w:p>
    <w:p w14:paraId="18577DD0" w14:textId="77777777" w:rsidR="00260895" w:rsidRPr="00C43E4B" w:rsidRDefault="00B65B48">
      <w:pPr>
        <w:spacing w:after="0" w:line="240" w:lineRule="auto"/>
        <w:jc w:val="both"/>
        <w:rPr>
          <w:rFonts w:ascii="Arial" w:hAnsi="Arial" w:cs="Arial"/>
          <w:lang w:val="fr-FR"/>
        </w:rPr>
      </w:pPr>
      <w:r w:rsidRPr="00C43E4B">
        <w:rPr>
          <w:rFonts w:ascii="Arial" w:hAnsi="Arial" w:cs="Arial"/>
          <w:noProof/>
          <w:lang w:val="fr-FR" w:eastAsia="es-ES"/>
        </w:rPr>
        <w:lastRenderedPageBreak/>
        <w:drawing>
          <wp:inline distT="0" distB="0" distL="0" distR="0" wp14:anchorId="5E9E1CBD" wp14:editId="0C20B4CE">
            <wp:extent cx="4629150" cy="5725528"/>
            <wp:effectExtent l="0" t="0" r="0" b="8890"/>
            <wp:docPr id="1692475109" name="drawing"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75109" name="drawing" descr="A map of the wor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4352" cy="5731962"/>
                    </a:xfrm>
                    <a:prstGeom prst="rect">
                      <a:avLst/>
                    </a:prstGeom>
                  </pic:spPr>
                </pic:pic>
              </a:graphicData>
            </a:graphic>
          </wp:inline>
        </w:drawing>
      </w:r>
    </w:p>
    <w:p w14:paraId="6F825AEB"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 xml:space="preserve">4.2 Population </w:t>
      </w:r>
    </w:p>
    <w:p w14:paraId="76E6D8B6" w14:textId="77777777" w:rsidR="00260895" w:rsidRPr="00C43E4B" w:rsidRDefault="00260895">
      <w:pPr>
        <w:autoSpaceDE w:val="0"/>
        <w:adjustRightInd w:val="0"/>
        <w:spacing w:after="0" w:line="240" w:lineRule="auto"/>
        <w:jc w:val="both"/>
        <w:rPr>
          <w:rFonts w:ascii="Arial" w:hAnsi="Arial" w:cs="Arial"/>
          <w:lang w:val="fr-FR"/>
        </w:rPr>
      </w:pPr>
    </w:p>
    <w:p w14:paraId="1114BB53"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Il existe actuellement deux estimations contradictoires concernant le nombre total d'individus de </w:t>
      </w:r>
      <w:r w:rsidRPr="00C43E4B">
        <w:rPr>
          <w:rFonts w:ascii="Arial" w:hAnsi="Arial" w:cs="Arial"/>
          <w:i/>
          <w:iCs/>
          <w:lang w:val="fr-FR"/>
        </w:rPr>
        <w:t>Tringa flavipes.</w:t>
      </w:r>
      <w:r w:rsidRPr="00C43E4B">
        <w:rPr>
          <w:rFonts w:ascii="Arial" w:hAnsi="Arial" w:cs="Arial"/>
          <w:lang w:val="fr-FR"/>
        </w:rPr>
        <w:t xml:space="preserve"> La première, qui prend en compte l'ensemble des populations de cette espèce, estime qu'il y a 650 000 individus matures</w:t>
      </w:r>
      <w:r w:rsidRPr="00C43E4B">
        <w:rPr>
          <w:rFonts w:ascii="Arial" w:hAnsi="Arial" w:cs="Arial"/>
          <w:lang w:val="fr-FR"/>
        </w:rPr>
        <w:fldChar w:fldCharType="begin"/>
      </w:r>
      <w:r w:rsidRPr="00C43E4B">
        <w:rPr>
          <w:rFonts w:ascii="Arial" w:hAnsi="Arial" w:cs="Arial"/>
          <w:lang w:val="fr-FR"/>
        </w:rPr>
        <w:instrText xml:space="preserve"> ADDIN ZOTERO_ITEM CSL_CITATION {"citationID":"Iww5OeTm","properties":{"formattedCitation":"(Andres et al. 2012)","plainCitation":"(Andres et al. 2012)","noteIndex":0},"citationItems":[{"id":1280,"uris":["http://zotero.org/users/11283305/items/LRENLANH"],"itemData":{"id":1280,"type":"article-journal","container-title":"Wader Study Group Bulletin","issue":"3","page":"178-194","title":"Population estimates of North American shorebirds, 2012","volume":"119","author":[{"family":"Andres","given":"Brad"},{"family</w:instrText>
      </w:r>
      <w:r w:rsidRPr="00C43E4B">
        <w:rPr>
          <w:rFonts w:ascii="Arial" w:hAnsi="Arial" w:cs="Arial"/>
          <w:lang w:val="fr-FR"/>
        </w:rPr>
        <w:instrText xml:space="preserve">":"Smith","given":"Paul A."},{"family":"Morrison","given":"R I Guy"},{"family":"Gratto-Trevor","given":"Cheri"},{"family":"Brown","given":"Stephen"},{"family":"Friis","given":"Christian"}],"issued":{"date-parts":[["2012"]]}}}],"schema":"https://github.com/citation-style-language/schema/raw/master/csl-citation.json"}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(Andres </w:t>
      </w:r>
      <w:r w:rsidRPr="00C43E4B">
        <w:rPr>
          <w:rFonts w:ascii="Arial" w:hAnsi="Arial" w:cs="Arial"/>
          <w:i/>
          <w:iCs/>
          <w:lang w:val="fr-FR"/>
        </w:rPr>
        <w:t>et a</w:t>
      </w:r>
      <w:r w:rsidRPr="00C43E4B">
        <w:rPr>
          <w:rFonts w:ascii="Arial" w:hAnsi="Arial" w:cs="Arial"/>
          <w:lang w:val="fr-FR"/>
        </w:rPr>
        <w:t>l. 2012)</w:t>
      </w:r>
      <w:r w:rsidRPr="00C43E4B">
        <w:rPr>
          <w:rFonts w:ascii="Arial" w:hAnsi="Arial" w:cs="Arial"/>
          <w:lang w:val="fr-FR"/>
        </w:rPr>
        <w:fldChar w:fldCharType="end"/>
      </w:r>
      <w:r w:rsidRPr="00C43E4B">
        <w:rPr>
          <w:rFonts w:ascii="Arial" w:hAnsi="Arial" w:cs="Arial"/>
          <w:lang w:val="fr-FR"/>
        </w:rPr>
        <w:t>. Cependant, une estimation plus récente, qui considère séparément les oiseaux se reproduisant au Canada, suggère qu'il y a 7,6 millions d'individus matures uniquement au Canada, ce qui est probablement une surestimation</w:t>
      </w:r>
      <w:r w:rsidRPr="00C43E4B">
        <w:rPr>
          <w:rFonts w:ascii="Arial" w:hAnsi="Arial" w:cs="Arial"/>
          <w:lang w:val="fr-FR"/>
        </w:rPr>
        <w:fldChar w:fldCharType="begin"/>
      </w:r>
      <w:r w:rsidRPr="00C43E4B">
        <w:rPr>
          <w:rFonts w:ascii="Arial" w:hAnsi="Arial" w:cs="Arial"/>
          <w:lang w:val="fr-FR"/>
        </w:rPr>
        <w:instrText xml:space="preserve"> ADDIN ZOTERO_ITEM CSL_CITATION {"citationID":"00bYG4Wa","properties":{"formattedCitation":"(BirdLife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w:instrText>
      </w:r>
      <w:r w:rsidRPr="00C43E4B">
        <w:rPr>
          <w:rFonts w:ascii="Arial" w:hAnsi="Arial" w:cs="Arial"/>
          <w:lang w:val="fr-FR"/>
        </w:rPr>
        <w:instrText xml:space="preserve">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2024b)</w:t>
      </w:r>
      <w:r w:rsidRPr="00C43E4B">
        <w:rPr>
          <w:rFonts w:ascii="Arial" w:hAnsi="Arial" w:cs="Arial"/>
          <w:lang w:val="fr-FR"/>
        </w:rPr>
        <w:fldChar w:fldCharType="end"/>
      </w:r>
      <w:r w:rsidRPr="00C43E4B">
        <w:rPr>
          <w:rFonts w:ascii="Arial" w:hAnsi="Arial" w:cs="Arial"/>
          <w:lang w:val="fr-FR"/>
        </w:rPr>
        <w:t>.</w:t>
      </w:r>
    </w:p>
    <w:p w14:paraId="636326B5" w14:textId="77777777" w:rsidR="00260895" w:rsidRPr="00C43E4B" w:rsidRDefault="00260895">
      <w:pPr>
        <w:autoSpaceDE w:val="0"/>
        <w:adjustRightInd w:val="0"/>
        <w:spacing w:after="0" w:line="240" w:lineRule="auto"/>
        <w:jc w:val="both"/>
        <w:rPr>
          <w:rFonts w:ascii="Arial" w:hAnsi="Arial" w:cs="Arial"/>
          <w:lang w:val="fr-FR"/>
        </w:rPr>
      </w:pPr>
    </w:p>
    <w:p w14:paraId="6DD0D98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Cependant, la population de cette espèce a diminué d'environ 60 % au cours des trois dernières générations</w:t>
      </w:r>
      <w:r w:rsidRPr="00C43E4B">
        <w:rPr>
          <w:rFonts w:ascii="Arial" w:hAnsi="Arial" w:cs="Arial"/>
          <w:lang w:val="fr-FR"/>
        </w:rPr>
        <w:fldChar w:fldCharType="begin"/>
      </w:r>
      <w:r w:rsidRPr="00C43E4B">
        <w:rPr>
          <w:rFonts w:ascii="Arial" w:hAnsi="Arial" w:cs="Arial"/>
          <w:lang w:val="fr-FR"/>
        </w:rPr>
        <w:instrText xml:space="preserve"> ADDIN ZOTERO_ITEM CSL_CITATION {"citationID":"YFr1iOyD","properties":{"formattedCitation":"(Smith et al. 2023)","plainCitation":"(Smith et al. 2023)","noteIndex":0},"citationItems":[{"id":378,"uris":["http://zotero.org/users/11283305/items/UFZ9SKSC"],"itemData":{"id":378,"type":"article-journal","abstract":"Shorebirds are declining to a greater extent than many other avian taxa around the world. In North America, shorebirds, along with aerial insectivores and grassland birds, have some of the highest propo</w:instrText>
      </w:r>
      <w:r w:rsidRPr="00C43E4B">
        <w:rPr>
          <w:rFonts w:ascii="Arial" w:hAnsi="Arial" w:cs="Arial"/>
          <w:lang w:val="fr-FR"/>
        </w:rPr>
        <w:instrText>rtions of declining species of any group. Here, we apply a new hierarchical Bayesian model to analyze shorebird migration monitoring data from across North America, from 1980 to 2019, and present the most recent available estimates of trends for 28 species. Point estimates for survey-wide trends in abundance were negative for 26 of 28 species (93%). Despite challenges with low precision associated with migration count data, trends for 19 species had 95% credible intervals that were entirely negative. More t</w:instrText>
      </w:r>
      <w:r w:rsidRPr="00C43E4B">
        <w:rPr>
          <w:rFonts w:ascii="Arial" w:hAnsi="Arial" w:cs="Arial"/>
          <w:lang w:val="fr-FR"/>
        </w:rPr>
        <w:instrText>han half of the species were estimated to have lost &amp;gt;50% of their abundance. Furthermore, estimated rates of decline have accelerated during the last three generations for most species. Point estimates of trend were more negative for 18 species (64%) during the most recent three-generation period in comparison to the previous three-generation period. Many species now exceed international criteria for threatened species listing. The analytic approach used here allows us to model regional variation in tren</w:instrText>
      </w:r>
      <w:r w:rsidRPr="00C43E4B">
        <w:rPr>
          <w:rFonts w:ascii="Arial" w:hAnsi="Arial" w:cs="Arial"/>
          <w:lang w:val="fr-FR"/>
        </w:rPr>
        <w:instrText>ds, although survey coverage and strength of inference were greatest in the eastern portions of North America (east of 100°W). We found the greatest declines at staging sites along the Atlantic Coast from North Carolina to Nova Scotia, and lesser declines along the Gulf Coast and in the midcontinental United States. The declines in shorebird populations reported here are worrisome and signal the urgent need for conservation action. In addition, it would be beneficial to validate these results through the co</w:instrText>
      </w:r>
      <w:r w:rsidRPr="00C43E4B">
        <w:rPr>
          <w:rFonts w:ascii="Arial" w:hAnsi="Arial" w:cs="Arial"/>
          <w:lang w:val="fr-FR"/>
        </w:rPr>
        <w:instrText>llection and analysis of complementary data, and to initiate demographic studies throughout the annual cycle to determine where and when declines are most likely to originate. This improved information will allow for the development of more targeted efforts to reverse declines through conservation action.• Surveys of North American shorebirds during fall migration, carried out largely by volunteers, are used to monitor trends in the abundance of their populations.• Between 1980 and 2019, 26 of the 28 shoreb</w:instrText>
      </w:r>
      <w:r w:rsidRPr="00C43E4B">
        <w:rPr>
          <w:rFonts w:ascii="Arial" w:hAnsi="Arial" w:cs="Arial"/>
          <w:lang w:val="fr-FR"/>
        </w:rPr>
        <w:instrText>ird species analyzed were found to be declining with more than half of the species losing more than half of their abundance.• Declines were greatest along the Atlantic coast from Nova Scotia to North Carolina, and less severe along the Gulf coast and in the Midcontinent.• Declines are worsening in recent years. These large and accelerating declines mean that many species now exceed international criteria for threatened species listing.• Urgent conservation action is needed to slow and eventually reverse dec</w:instrText>
      </w:r>
      <w:r w:rsidRPr="00C43E4B">
        <w:rPr>
          <w:rFonts w:ascii="Arial" w:hAnsi="Arial" w:cs="Arial"/>
          <w:lang w:val="fr-FR"/>
        </w:rPr>
        <w:instrText>lines. Targeted research, and in particular studies of survival throughout the year, could help to pinpoint where shorebirds are most strongly impacted, so that conservation attention can be focused where it is most needed.","container-title":"Ornithological Applications","DOI":"10.1093/ornithapp/duad003","ISSN":"0010-5422","issue":"2","journalAbbreviation":"Ornithological Applications","page":"duad003","source":"Silverchair","title":"Accelerating declines of North America’s shorebirds signal the need for u</w:instrText>
      </w:r>
      <w:r w:rsidRPr="00C43E4B">
        <w:rPr>
          <w:rFonts w:ascii="Arial" w:hAnsi="Arial" w:cs="Arial"/>
          <w:lang w:val="fr-FR"/>
        </w:rPr>
        <w:instrText>rgent conservation action","volume":"125","author":[{"family":"Smith","given":"Paul A"},{"family":"Smith","given":"Adam C"},{"family":"Andres","given":"Brad"},{"family":"Francis","given":"Charles M"},{"family":"Harrington","given":"Brian"},{"family":"Friis","given":"Christian"},{"family":"Morrison","given":"R I Guy"},{"family":"Paquet","given":"Julie"},{"family":"Winn","given":"Brad"},{"family":"Brown","given":"Stephen"}],"issued":{"date-parts":[["2023",5,1]]}}}],"schema":"https://github.com/citation-style-</w:instrText>
      </w:r>
      <w:r w:rsidRPr="00C43E4B">
        <w:rPr>
          <w:rFonts w:ascii="Arial" w:hAnsi="Arial" w:cs="Arial"/>
          <w:lang w:val="fr-FR"/>
        </w:rPr>
        <w:instrText xml:space="preserve">language/schema/raw/master/csl-citation.json"} </w:instrText>
      </w:r>
      <w:r w:rsidRPr="00C43E4B">
        <w:rPr>
          <w:rFonts w:ascii="Arial" w:hAnsi="Arial" w:cs="Arial"/>
          <w:lang w:val="fr-FR"/>
        </w:rPr>
        <w:fldChar w:fldCharType="separate"/>
      </w:r>
      <w:r w:rsidRPr="00C43E4B">
        <w:rPr>
          <w:rFonts w:ascii="Arial" w:hAnsi="Arial" w:cs="Arial"/>
          <w:lang w:val="fr-FR"/>
        </w:rPr>
        <w:t xml:space="preserve"> (Smith </w:t>
      </w:r>
      <w:r w:rsidRPr="00C43E4B">
        <w:rPr>
          <w:rFonts w:ascii="Arial" w:hAnsi="Arial" w:cs="Arial"/>
          <w:i/>
          <w:iCs/>
          <w:lang w:val="fr-FR"/>
        </w:rPr>
        <w:t>et al</w:t>
      </w:r>
      <w:r w:rsidRPr="00C43E4B">
        <w:rPr>
          <w:rFonts w:ascii="Arial" w:hAnsi="Arial" w:cs="Arial"/>
          <w:lang w:val="fr-FR"/>
        </w:rPr>
        <w:t>. 2023)</w:t>
      </w:r>
      <w:r w:rsidRPr="00C43E4B">
        <w:rPr>
          <w:rFonts w:ascii="Arial" w:hAnsi="Arial" w:cs="Arial"/>
          <w:lang w:val="fr-FR"/>
        </w:rPr>
        <w:fldChar w:fldCharType="end"/>
      </w:r>
      <w:r w:rsidRPr="00C43E4B">
        <w:rPr>
          <w:rFonts w:ascii="Arial" w:hAnsi="Arial" w:cs="Arial"/>
          <w:lang w:val="fr-FR"/>
        </w:rPr>
        <w:t xml:space="preserve">. Le taux de déclin est plus prononcé ces dernières années, et on estime que les populations ont diminué de 77 % depuis 1980. Smith </w:t>
      </w:r>
      <w:r w:rsidRPr="00C43E4B">
        <w:rPr>
          <w:rFonts w:ascii="Arial" w:hAnsi="Arial" w:cs="Arial"/>
          <w:i/>
          <w:iCs/>
          <w:lang w:val="fr-FR"/>
        </w:rPr>
        <w:t>et al.</w:t>
      </w:r>
      <w:r w:rsidRPr="00C43E4B">
        <w:rPr>
          <w:rFonts w:ascii="Arial" w:hAnsi="Arial" w:cs="Arial"/>
          <w:lang w:val="fr-FR"/>
        </w:rPr>
        <w:t xml:space="preserve"> (2023) ont estimé la diminution de la population en considérant le temps de génération comme l'âge moyen des parents de la cohorte actuelle, qui est de 4,06 ans (Bird </w:t>
      </w:r>
      <w:r w:rsidRPr="00C43E4B">
        <w:rPr>
          <w:rFonts w:ascii="Arial" w:hAnsi="Arial" w:cs="Arial"/>
          <w:i/>
          <w:iCs/>
          <w:lang w:val="fr-FR"/>
        </w:rPr>
        <w:t>et al.</w:t>
      </w:r>
      <w:r w:rsidRPr="00C43E4B">
        <w:rPr>
          <w:rFonts w:ascii="Arial" w:hAnsi="Arial" w:cs="Arial"/>
          <w:lang w:val="fr-FR"/>
        </w:rPr>
        <w:t xml:space="preserve"> 2020). Les auteurs ont utilisé les données de recensement des populations du Recensement International des Oiseaux de Rivage, du Recensement des Oiseaux de Rivage de l'Atlantique Canadien et du Recen</w:t>
      </w:r>
      <w:r w:rsidRPr="00C43E4B">
        <w:rPr>
          <w:rFonts w:ascii="Arial" w:hAnsi="Arial" w:cs="Arial"/>
          <w:lang w:val="fr-FR"/>
        </w:rPr>
        <w:t xml:space="preserve">sement des Oiseaux de Rivage de l'Ontario. Ces programmes de surveillance ont été initiés dans l'est des États-Unis et au Canada, ce qui explique que l'effort d'étude soit plus important dans ces régions. Cependant, des données existent également sur les populations </w:t>
      </w:r>
      <w:r w:rsidRPr="00C43E4B">
        <w:rPr>
          <w:rFonts w:ascii="Arial" w:hAnsi="Arial" w:cs="Arial"/>
          <w:lang w:val="fr-FR"/>
        </w:rPr>
        <w:lastRenderedPageBreak/>
        <w:t>reproductrices d'Alaska et du Canada. Cependant, d'autres sources ont confirmé le déclin des populations de l'espèce</w:t>
      </w:r>
      <w:r w:rsidRPr="00C43E4B">
        <w:rPr>
          <w:rFonts w:ascii="Arial" w:hAnsi="Arial" w:cs="Arial"/>
          <w:lang w:val="fr-FR"/>
        </w:rPr>
        <w:fldChar w:fldCharType="begin"/>
      </w:r>
      <w:r w:rsidRPr="00C43E4B">
        <w:rPr>
          <w:rFonts w:ascii="Arial" w:hAnsi="Arial" w:cs="Arial"/>
          <w:lang w:val="fr-FR"/>
        </w:rPr>
        <w:instrText xml:space="preserve"> ADDIN ZOTERO_ITEM CSL_CITATION {"citationID":"O5O4ZM0v","properties":{"formattedCitation":"(BirdLife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w:instrText>
      </w:r>
      <w:r w:rsidRPr="00C43E4B">
        <w:rPr>
          <w:rFonts w:ascii="Arial" w:hAnsi="Arial" w:cs="Arial"/>
          <w:lang w:val="fr-FR"/>
        </w:rPr>
        <w:instrText xml:space="preserve">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2024b)</w:t>
      </w:r>
      <w:r w:rsidRPr="00C43E4B">
        <w:rPr>
          <w:rFonts w:ascii="Arial" w:hAnsi="Arial" w:cs="Arial"/>
          <w:lang w:val="fr-FR"/>
        </w:rPr>
        <w:fldChar w:fldCharType="end"/>
      </w:r>
      <w:r w:rsidRPr="00C43E4B">
        <w:rPr>
          <w:rFonts w:ascii="Arial" w:hAnsi="Arial" w:cs="Arial"/>
          <w:lang w:val="fr-FR"/>
        </w:rPr>
        <w:t>, ce qui a collectivement conduit à l'inscription de l'espèce sur la liste des espèces menacées en tant que Vulnérable</w:t>
      </w:r>
      <w:r w:rsidRPr="00C43E4B">
        <w:rPr>
          <w:rFonts w:ascii="Arial" w:hAnsi="Arial" w:cs="Arial"/>
          <w:lang w:val="fr-FR"/>
        </w:rPr>
        <w:fldChar w:fldCharType="begin"/>
      </w:r>
      <w:r w:rsidRPr="00C43E4B">
        <w:rPr>
          <w:rFonts w:ascii="Arial" w:hAnsi="Arial" w:cs="Arial"/>
          <w:lang w:val="fr-FR"/>
        </w:rPr>
        <w:instrText xml:space="preserve"> ADDIN ZOTERO_ITEM CSL_CITATION {"citationID":"O1kfiHDG","properties":{"formattedCitation":"(BirdLife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w:instrText>
      </w:r>
      <w:r w:rsidRPr="00C43E4B">
        <w:rPr>
          <w:rFonts w:ascii="Arial" w:hAnsi="Arial" w:cs="Arial"/>
          <w:lang w:val="fr-FR"/>
        </w:rPr>
        <w:instrText xml:space="preserve">e International","given":""}],"issued":{"date-parts":[["2024"]]}}}],"schema":"https://github.com/citation-style-language/schema/raw/master/csl-citation.json"}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2024a)</w:t>
      </w:r>
      <w:r w:rsidRPr="00C43E4B">
        <w:rPr>
          <w:rFonts w:ascii="Arial" w:hAnsi="Arial" w:cs="Arial"/>
          <w:lang w:val="fr-FR"/>
        </w:rPr>
        <w:fldChar w:fldCharType="end"/>
      </w:r>
      <w:r w:rsidRPr="00C43E4B">
        <w:rPr>
          <w:rFonts w:ascii="Arial" w:hAnsi="Arial" w:cs="Arial"/>
          <w:lang w:val="fr-FR"/>
        </w:rPr>
        <w:t>.</w:t>
      </w:r>
    </w:p>
    <w:p w14:paraId="0034E4FC" w14:textId="77777777" w:rsidR="00260895" w:rsidRPr="00C43E4B" w:rsidRDefault="00260895">
      <w:pPr>
        <w:autoSpaceDE w:val="0"/>
        <w:adjustRightInd w:val="0"/>
        <w:spacing w:after="0" w:line="240" w:lineRule="auto"/>
        <w:jc w:val="both"/>
        <w:rPr>
          <w:rFonts w:ascii="Arial" w:hAnsi="Arial" w:cs="Arial"/>
          <w:lang w:val="fr-FR"/>
        </w:rPr>
      </w:pPr>
    </w:p>
    <w:p w14:paraId="0841572A"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4.3</w:t>
      </w:r>
      <w:r w:rsidRPr="00C43E4B">
        <w:rPr>
          <w:rFonts w:ascii="Arial" w:hAnsi="Arial" w:cs="Arial"/>
          <w:lang w:val="fr-FR"/>
        </w:rPr>
        <w:tab/>
        <w:t xml:space="preserve"> Habitat </w:t>
      </w:r>
    </w:p>
    <w:p w14:paraId="4DB9A1E7" w14:textId="77777777" w:rsidR="00260895" w:rsidRPr="00C43E4B" w:rsidRDefault="00260895">
      <w:pPr>
        <w:keepNext/>
        <w:autoSpaceDE w:val="0"/>
        <w:adjustRightInd w:val="0"/>
        <w:spacing w:after="0" w:line="240" w:lineRule="auto"/>
        <w:jc w:val="both"/>
        <w:rPr>
          <w:rFonts w:ascii="Arial" w:hAnsi="Arial" w:cs="Arial"/>
          <w:lang w:val="fr-FR"/>
        </w:rPr>
      </w:pPr>
    </w:p>
    <w:p w14:paraId="6584F33F"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L'espèce se reproduit dans les forêts boréales ouvertes et semi-ouvertes, ainsi que dans les zones de transition entre les habitats forestiers et la toundra</w:t>
      </w:r>
      <w:r w:rsidRPr="00C43E4B">
        <w:rPr>
          <w:rFonts w:ascii="Arial" w:hAnsi="Arial" w:cs="Arial"/>
          <w:lang w:val="fr-FR"/>
        </w:rPr>
        <w:fldChar w:fldCharType="begin"/>
      </w:r>
      <w:r w:rsidRPr="00C43E4B">
        <w:rPr>
          <w:rFonts w:ascii="Arial" w:hAnsi="Arial" w:cs="Arial"/>
          <w:lang w:val="fr-FR"/>
        </w:rPr>
        <w:instrText xml:space="preserve"> ADDIN ZOTERO_ITEM CSL_CITATION {"citationID":"3nAzfKQu","properties":{"formattedCitation":"(Tibbitts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w:instrText>
      </w:r>
      <w:r w:rsidRPr="00C43E4B">
        <w:rPr>
          <w:rFonts w:ascii="Arial" w:hAnsi="Arial" w:cs="Arial"/>
          <w:lang w:val="fr-FR"/>
        </w:rPr>
        <w:instrText xml:space="preserve">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w:t>
      </w:r>
      <w:r w:rsidRPr="00C43E4B">
        <w:rPr>
          <w:rFonts w:ascii="Arial" w:hAnsi="Arial" w:cs="Arial"/>
          <w:lang w:val="fr-FR"/>
        </w:rPr>
        <w:fldChar w:fldCharType="end"/>
      </w:r>
      <w:r w:rsidRPr="00C43E4B">
        <w:rPr>
          <w:rFonts w:ascii="Arial" w:hAnsi="Arial" w:cs="Arial"/>
          <w:lang w:val="fr-FR"/>
        </w:rPr>
        <w:t>. Cette espèce dépend également des habitats marins-côtiers et des habitats d'eau douce continentaux pendant la migration, probablement pour accéder à différentes ressources critiques</w:t>
      </w:r>
      <w:r w:rsidRPr="00C43E4B">
        <w:rPr>
          <w:rFonts w:ascii="Arial" w:hAnsi="Arial" w:cs="Arial"/>
          <w:lang w:val="fr-FR"/>
        </w:rPr>
        <w:fldChar w:fldCharType="begin"/>
      </w:r>
      <w:r w:rsidRPr="00C43E4B">
        <w:rPr>
          <w:rFonts w:ascii="Arial" w:hAnsi="Arial" w:cs="Arial"/>
          <w:lang w:val="fr-FR"/>
        </w:rPr>
        <w:instrText xml:space="preserve"> ADDIN ZOTERO_ITEM CSL_CITATION {"citationID":"dvLJ02yb","properties":{"formattedCitation":"(Danyk et al. 2025)","plainCitation":"(Danyk et al. 2025)","noteIndex":0},"citationItems":[{"id":1345,"uris":["http://zotero.org/users/11283305/items/I7NZR8VR"],"itemData":{"id":1345,"type":"article-journal","abstract":"Staging sites provide essential resources for migratory birds to build the energy stores required to fuel long-distance travel between breeding and non-breeding sites. Atlantic Canada is an important </w:instrText>
      </w:r>
      <w:r w:rsidRPr="00C43E4B">
        <w:rPr>
          <w:rFonts w:ascii="Arial" w:hAnsi="Arial" w:cs="Arial"/>
          <w:lang w:val="fr-FR"/>
        </w:rPr>
        <w:instrText>staging region for many high-latitude breeding shorebirds during southbound migration. In this region, Lesser Yellowlegs (Tringa flavipes) is observed in both marine coastal and inland freshwater habitats; however, a lack of understanding of how these different habitats are used makes it difficult to make effective species and habitat conservation decisions. We characterized local movement, habitat use, and foraging behavior of Lesser Yellowlegs at marine coastal sites near the Northumberland Strait and fre</w:instrText>
      </w:r>
      <w:r w:rsidRPr="00C43E4B">
        <w:rPr>
          <w:rFonts w:ascii="Arial" w:hAnsi="Arial" w:cs="Arial"/>
          <w:lang w:val="fr-FR"/>
        </w:rPr>
        <w:instrText>shwater inland sites near the Bay of Fundy using automated radiotelemetry, focal behavioral observations, prey availability samples, and citizen science eBird data. Daily distance moved and overall minimum length of stay did not differ between individuals tagged at marine coastal and freshwater inland sites and individuals were rarely detected moving between the Bay of Fundy and Northumberland Strait, indicating potentially different migratory subpopulations. Coastal sites were used mainly for foraging, whe</w:instrText>
      </w:r>
      <w:r w:rsidRPr="00C43E4B">
        <w:rPr>
          <w:rFonts w:ascii="Arial" w:hAnsi="Arial" w:cs="Arial"/>
          <w:lang w:val="fr-FR"/>
        </w:rPr>
        <w:instrText>reas roosting behavior predominated at freshwater inland sites. Despite higher proportions of time spent foraging at coastal sites, mean foraging rates when actively searching were similar across all sites, varying only with environmental variables, like cloud cover. Stable isotope analysis of blood plasma suggests similar diets, dominated by marine-derived prey, for all individuals regardless of tagging location. Taken together, these results suggest that staging Lesser Yellowlegs are using both coastal an</w:instrText>
      </w:r>
      <w:r w:rsidRPr="00C43E4B">
        <w:rPr>
          <w:rFonts w:ascii="Arial" w:hAnsi="Arial" w:cs="Arial"/>
          <w:lang w:val="fr-FR"/>
        </w:rPr>
        <w:instrText>d inland habitat within localized areas to access different critical resources (i.e., foraging vs. resting). The use of multiple sites suggests the potential for flexible staging behavior spread across habitat types that may provide some resilience to climate and land-use change. However, the different functional uses of these sites for access to habitat-specific resources highlights the importance of retaining multiple habitat types across the landscape. This study broadens our understanding of Lesser Yell</w:instrText>
      </w:r>
      <w:r w:rsidRPr="00C43E4B">
        <w:rPr>
          <w:rFonts w:ascii="Arial" w:hAnsi="Arial" w:cs="Arial"/>
          <w:lang w:val="fr-FR"/>
        </w:rPr>
        <w:instrText>owlegs staging ecology in a region with little-to-no prior data on this species. We highlight the need to understand functional reliance on different habitats and consider staging site heterogeneity in conservation.","container-title":"Journal of Field Ornithology","DOI":"10.5751/JFO-00659-960305","ISSN":"1557-9263","issue":"3","language":"en","license":"© 2025 by the author(s)","note":"publisher: The Resilience Alliance","source":"journal.afonet.org","title":"Habitat use and local movement of staging Lesse</w:instrText>
      </w:r>
      <w:r w:rsidRPr="00C43E4B">
        <w:rPr>
          <w:rFonts w:ascii="Arial" w:hAnsi="Arial" w:cs="Arial"/>
          <w:lang w:val="fr-FR"/>
        </w:rPr>
        <w:instrText>r Yellowlegs (&lt;em&gt;Tringa flavipes&lt;/em&gt;) differ between coastal and inland habitat in Atlantic Canada","URL":"https://journal.afonet.org/vol96/iss3/art5/","volume":"96","author":[{"family":"Danyk","given":"Kathryn A. R."},{"family":"Zwaan","given":"Devin R.","dropping-particle":"de"},{"family":"Paquet","given":"Julie"},{"family":"Hamilton","given":"Diana J."}],"accessed":{"date-parts":[["2025",10,9]]},"issued":{"date-parts":[["2025",9,29]]}}}],"schema":"https://github.com/citation-style-language/schema/raw/m</w:instrText>
      </w:r>
      <w:r w:rsidRPr="00C43E4B">
        <w:rPr>
          <w:rFonts w:ascii="Arial" w:hAnsi="Arial" w:cs="Arial"/>
          <w:lang w:val="fr-FR"/>
        </w:rPr>
        <w:instrText xml:space="preserve">aster/csl-citation.json"} </w:instrText>
      </w:r>
      <w:r w:rsidRPr="00C43E4B">
        <w:rPr>
          <w:rFonts w:ascii="Arial" w:hAnsi="Arial" w:cs="Arial"/>
          <w:lang w:val="fr-FR"/>
        </w:rPr>
        <w:fldChar w:fldCharType="separate"/>
      </w:r>
      <w:r w:rsidRPr="00C43E4B">
        <w:rPr>
          <w:rFonts w:ascii="Arial" w:hAnsi="Arial" w:cs="Arial"/>
          <w:lang w:val="fr-FR"/>
        </w:rPr>
        <w:t xml:space="preserve"> (Danyk </w:t>
      </w:r>
      <w:r w:rsidRPr="00C43E4B">
        <w:rPr>
          <w:rFonts w:ascii="Arial" w:hAnsi="Arial" w:cs="Arial"/>
          <w:i/>
          <w:iCs/>
          <w:lang w:val="fr-FR"/>
        </w:rPr>
        <w:t>et a</w:t>
      </w:r>
      <w:r w:rsidRPr="00C43E4B">
        <w:rPr>
          <w:rFonts w:ascii="Arial" w:hAnsi="Arial" w:cs="Arial"/>
          <w:lang w:val="fr-FR"/>
        </w:rPr>
        <w:t>l. 2025)</w:t>
      </w:r>
      <w:r w:rsidRPr="00C43E4B">
        <w:rPr>
          <w:rFonts w:ascii="Arial" w:hAnsi="Arial" w:cs="Arial"/>
          <w:lang w:val="fr-FR"/>
        </w:rPr>
        <w:fldChar w:fldCharType="end"/>
      </w:r>
      <w:r w:rsidRPr="00C43E4B">
        <w:rPr>
          <w:rFonts w:ascii="Arial" w:hAnsi="Arial" w:cs="Arial"/>
          <w:lang w:val="fr-FR"/>
        </w:rPr>
        <w:t xml:space="preserve">. </w:t>
      </w:r>
      <w:r w:rsidRPr="00C43E4B">
        <w:rPr>
          <w:rFonts w:ascii="Arial" w:eastAsia="Arial" w:hAnsi="Arial" w:cs="Arial"/>
          <w:lang w:val="fr-FR"/>
        </w:rPr>
        <w:t>En dehors de la période de reproduction, il utilise une grande variété d'habitats de zones humides, tels que les berges des rivières, les marais salés et d'eau douce, les mangroves, les vasières, les prairies humides et les salines</w:t>
      </w:r>
      <w:r w:rsidRPr="00C43E4B">
        <w:rPr>
          <w:rFonts w:ascii="Arial" w:hAnsi="Arial" w:cs="Arial"/>
          <w:lang w:val="fr-FR"/>
        </w:rPr>
        <w:fldChar w:fldCharType="begin"/>
      </w:r>
      <w:r w:rsidRPr="00C43E4B">
        <w:rPr>
          <w:rFonts w:ascii="Arial" w:hAnsi="Arial" w:cs="Arial"/>
          <w:lang w:val="fr-FR"/>
        </w:rPr>
        <w:instrText xml:space="preserve"> ADDIN ZOTERO_ITEM CSL_CITATION {"citationID":"YDD7VMP6","properties":{"formattedCitation":"(Tibbitts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w:instrText>
      </w:r>
      <w:r w:rsidRPr="00C43E4B">
        <w:rPr>
          <w:rFonts w:ascii="Arial" w:hAnsi="Arial" w:cs="Arial"/>
          <w:lang w:val="fr-FR"/>
        </w:rPr>
        <w:instrText xml:space="preserve">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w:t>
      </w:r>
      <w:r w:rsidRPr="00C43E4B">
        <w:rPr>
          <w:rFonts w:ascii="Arial" w:hAnsi="Arial" w:cs="Arial"/>
          <w:lang w:val="fr-FR"/>
        </w:rPr>
        <w:fldChar w:fldCharType="end"/>
      </w:r>
      <w:r w:rsidRPr="00C43E4B">
        <w:rPr>
          <w:rFonts w:ascii="Arial" w:hAnsi="Arial" w:cs="Arial"/>
          <w:lang w:val="fr-FR"/>
        </w:rPr>
        <w:t>.</w:t>
      </w:r>
    </w:p>
    <w:p w14:paraId="3874AEB9" w14:textId="77777777" w:rsidR="00260895" w:rsidRPr="00C43E4B" w:rsidRDefault="00260895">
      <w:pPr>
        <w:autoSpaceDE w:val="0"/>
        <w:adjustRightInd w:val="0"/>
        <w:spacing w:after="0" w:line="240" w:lineRule="auto"/>
        <w:jc w:val="both"/>
        <w:rPr>
          <w:rFonts w:ascii="Arial" w:hAnsi="Arial" w:cs="Arial"/>
          <w:lang w:val="fr-FR"/>
        </w:rPr>
      </w:pPr>
    </w:p>
    <w:p w14:paraId="6F5FCC31"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Étant donné que les individus de </w:t>
      </w:r>
      <w:r w:rsidRPr="00C43E4B">
        <w:rPr>
          <w:rFonts w:ascii="Arial" w:hAnsi="Arial" w:cs="Arial"/>
          <w:i/>
          <w:iCs/>
          <w:lang w:val="fr-FR"/>
        </w:rPr>
        <w:t>Tringa flavipes</w:t>
      </w:r>
      <w:r w:rsidRPr="00C43E4B">
        <w:rPr>
          <w:rFonts w:ascii="Arial" w:hAnsi="Arial" w:cs="Arial"/>
          <w:lang w:val="fr-FR"/>
        </w:rPr>
        <w:t xml:space="preserve"> dépendent de nombreux habitats humides différents, dont la plupart ont été gravement affectés au cours des dernières décennies</w:t>
      </w:r>
      <w:r w:rsidRPr="00C43E4B">
        <w:rPr>
          <w:rFonts w:ascii="Arial" w:hAnsi="Arial" w:cs="Arial"/>
          <w:lang w:val="fr-FR"/>
        </w:rPr>
        <w:fldChar w:fldCharType="begin"/>
      </w:r>
      <w:r w:rsidRPr="00C43E4B">
        <w:rPr>
          <w:rFonts w:ascii="Arial" w:hAnsi="Arial" w:cs="Arial"/>
          <w:lang w:val="fr-FR"/>
        </w:rPr>
        <w:instrText xml:space="preserve"> ADDIN ZOTERO_ITEM CSL_CITATION {"citationID":"2FHF5Q60","properties":{"formattedCitation":"(Ballut-Dajud et al. 2022)","plainCitation":"(Ballut-Dajud et al. 2022)","noteIndex":0},"citationItems":[{"id":196,"uris":["http://zotero.org/users/11283305/items/HNIGD995"],"itemData":{"id":196,"type":"article-journal","abstract":"Despite occupying an area no greater than 8% of the earth’s surface, natural wetland ecosystems fulfill multiple ecological functions: 1. Soil formation and stabilization support, 2. Food,</w:instrText>
      </w:r>
      <w:r w:rsidRPr="00C43E4B">
        <w:rPr>
          <w:rFonts w:ascii="Arial" w:hAnsi="Arial" w:cs="Arial"/>
          <w:lang w:val="fr-FR"/>
        </w:rPr>
        <w:instrText xml:space="preserve"> water, and plant biomass supply, 3. Cultural/recreational services, landscape, and ecological tourism, 4. Climate regulation, and 5. Carbon sequestration; with the last one being its most important function. They are subject to direct and indirect incident factors that affect plant productivity and the sequestration of carbon from the soil. Thus, the objective of this review was to identify the incident factors in the loss of area and carbon sequestration in marine, coastal, and continental wetlands that h</w:instrText>
      </w:r>
      <w:r w:rsidRPr="00C43E4B">
        <w:rPr>
          <w:rFonts w:ascii="Arial" w:hAnsi="Arial" w:cs="Arial"/>
          <w:lang w:val="fr-FR"/>
        </w:rPr>
        <w:instrText>ave had an impact on climate change in the last 14 years, globally. The methodology consisted of conducting a literature review in international databases, analyzing a sample of 134 research studies from 37 countries, organized in tables and figures supported by descriptive statistics and content analysis. Global results indicate that agriculture (25%), urbanization (16.8%), aquaculture (10.7%), and industry (7.6%) are incident factors that promote wetlands effective loss affecting continental wetlands more</w:instrText>
      </w:r>
      <w:r w:rsidRPr="00C43E4B">
        <w:rPr>
          <w:rFonts w:ascii="Arial" w:hAnsi="Arial" w:cs="Arial"/>
          <w:lang w:val="fr-FR"/>
        </w:rPr>
        <w:instrText xml:space="preserve"> than coastal and marine ones. Regarding carbon sequestration, this is reduced by vegetation loss since GHG emissions raise because the soil is exposed to sun rays, increasing surface temperature and oxidation, and raising organic matter decomposition and the eutrophication phenomenon caused by the previous incident factors that generate wastewater rich in nutrients in their different activities, thus creating biomass and plant growth imbalances, either at the foliage or root levels and altering the accumul</w:instrText>
      </w:r>
      <w:r w:rsidRPr="00C43E4B">
        <w:rPr>
          <w:rFonts w:ascii="Arial" w:hAnsi="Arial" w:cs="Arial"/>
          <w:lang w:val="fr-FR"/>
        </w:rPr>
        <w:instrText>ation of organic matter and carbon. It is possible to affirm in conclusion that the most affected types of wetlands are: mangroves (25.7%), lagoons (19.11%), and marine waters (11.7%). Furthermore, it was identified that agriculture has a greater incidence in the loss of wetlands, followed by urbanization and industry in a lower percentage.","container-title":"Land","DOI":"10.3390/land11030434","ISSN":"2073-445X","issue":"3","language":"en","license":"http://creativecommons.org/licenses/by/3.0/","note":"num</w:instrText>
      </w:r>
      <w:r w:rsidRPr="00C43E4B">
        <w:rPr>
          <w:rFonts w:ascii="Arial" w:hAnsi="Arial" w:cs="Arial"/>
          <w:lang w:val="fr-FR"/>
        </w:rPr>
        <w:instrText>ber: 3\npublisher: Multidisciplinary Digital Publishing Institute","page":"434","source":"www.mdpi.com","title":"Factors Affecting Wetland Loss: A Review","title-short":"Factors Affecting Wetland Loss","volume":"11","author":[{"family":"Ballut-Dajud","given":"Gastón Antonio"},{"family":"Sandoval Herazo","given":"Luis Carlos"},{"family":"Fernández-Lambert","given":"Gregorio"},{"family":"Marín-Muñiz","given":"José Luis"},{"family":"López Méndez","given":"María Cristina"},{"family":"Betanzo-Torres","given":"Er</w:instrText>
      </w:r>
      <w:r w:rsidRPr="00C43E4B">
        <w:rPr>
          <w:rFonts w:ascii="Arial" w:hAnsi="Arial" w:cs="Arial"/>
          <w:lang w:val="fr-FR"/>
        </w:rPr>
        <w:instrText xml:space="preserve">ick Arturo"}],"issued":{"date-parts":[["2022",3]]}}}],"schema":"https://github.com/citation-style-language/schema/raw/master/csl-citation.json"}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(Ballut-Dajud </w:t>
      </w:r>
      <w:r w:rsidRPr="00C43E4B">
        <w:rPr>
          <w:rFonts w:ascii="Arial" w:hAnsi="Arial" w:cs="Arial"/>
          <w:i/>
          <w:iCs/>
          <w:lang w:val="fr-FR"/>
        </w:rPr>
        <w:t>et al.</w:t>
      </w:r>
      <w:r w:rsidRPr="00C43E4B">
        <w:rPr>
          <w:rFonts w:ascii="Arial" w:hAnsi="Arial" w:cs="Arial"/>
          <w:lang w:val="fr-FR"/>
        </w:rPr>
        <w:t xml:space="preserve"> 2022)</w:t>
      </w:r>
      <w:r w:rsidRPr="00C43E4B">
        <w:rPr>
          <w:rFonts w:ascii="Arial" w:hAnsi="Arial" w:cs="Arial"/>
          <w:lang w:val="fr-FR"/>
        </w:rPr>
        <w:fldChar w:fldCharType="end"/>
      </w:r>
      <w:r w:rsidRPr="00C43E4B">
        <w:rPr>
          <w:rFonts w:ascii="Arial" w:hAnsi="Arial" w:cs="Arial"/>
          <w:lang w:val="fr-FR"/>
        </w:rPr>
        <w:t>, il est supposé que la perte et la dégradation de l'habitat constituent l'un des facteurs responsables du déclin de la population de cette espèce</w:t>
      </w:r>
      <w:r w:rsidRPr="00C43E4B">
        <w:rPr>
          <w:rFonts w:ascii="Arial" w:hAnsi="Arial" w:cs="Arial"/>
          <w:lang w:val="fr-FR"/>
        </w:rPr>
        <w:fldChar w:fldCharType="begin"/>
      </w:r>
      <w:r w:rsidRPr="00C43E4B">
        <w:rPr>
          <w:rFonts w:ascii="Arial" w:hAnsi="Arial" w:cs="Arial"/>
          <w:lang w:val="fr-FR"/>
        </w:rPr>
        <w:instrText xml:space="preserve"> ADDIN ZOTERO_ITEM CSL_CITATION {"citationID":"IWFtPLAt","properties":{"formattedCitation":"(Clay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w:t>
      </w:r>
      <w:r w:rsidRPr="00C43E4B">
        <w:rPr>
          <w:rFonts w:ascii="Arial" w:hAnsi="Arial" w:cs="Arial"/>
          <w:lang w:val="fr-FR"/>
        </w:rPr>
        <w:t>l. 2012)</w:t>
      </w:r>
      <w:r w:rsidRPr="00C43E4B">
        <w:rPr>
          <w:rFonts w:ascii="Arial" w:hAnsi="Arial" w:cs="Arial"/>
          <w:lang w:val="fr-FR"/>
        </w:rPr>
        <w:fldChar w:fldCharType="end"/>
      </w:r>
      <w:r w:rsidRPr="00C43E4B">
        <w:rPr>
          <w:rFonts w:ascii="Arial" w:hAnsi="Arial" w:cs="Arial"/>
          <w:lang w:val="fr-FR"/>
        </w:rPr>
        <w:t xml:space="preserve">. </w:t>
      </w:r>
      <w:r w:rsidRPr="00C43E4B">
        <w:rPr>
          <w:rFonts w:ascii="Arial" w:eastAsia="Arial" w:hAnsi="Arial" w:cs="Arial"/>
          <w:lang w:val="fr-FR"/>
        </w:rPr>
        <w:t xml:space="preserve">Dans les zones de non-reproduction, l'un des facteurs les plus importants contribuant à la perte d'habitat est l'expansion de la culture du soja, en particulier, dans la région de la Pampa en Argentine, où les zones humides et les cultures inondées ont été régulièrement remplacées </w:t>
      </w:r>
      <w:r w:rsidRPr="00C43E4B">
        <w:rPr>
          <w:rFonts w:ascii="Arial" w:hAnsi="Arial" w:cs="Arial"/>
          <w:lang w:val="fr-FR"/>
        </w:rPr>
        <w:fldChar w:fldCharType="begin"/>
      </w:r>
      <w:r w:rsidRPr="00C43E4B">
        <w:rPr>
          <w:rFonts w:ascii="Arial" w:hAnsi="Arial" w:cs="Arial"/>
          <w:lang w:val="fr-FR"/>
        </w:rPr>
        <w:instrText xml:space="preserve"> ADDIN ZOTERO_ITEM CSL_CITATION {"citationID":"2M6246JD","properties":{"formattedCitation":"(Urcola et al. 2015)","plainCitation":"(Urcola et al. 2015)","noteIndex":0},"citationItems":[{"id":1349,"uris":["http://zotero.org/users/11283305/items/3L36YUXQ"],"itemData":{"id":1349,"type":"article-journal","abstract":"In Argentina, the recent expansion of agriculture has turned into an extreme process almost completely dominated by soybean. The magnitude and speed of soybean expansion are believed to be the main </w:instrText>
      </w:r>
      <w:r w:rsidRPr="00C43E4B">
        <w:rPr>
          <w:rFonts w:ascii="Arial" w:hAnsi="Arial" w:cs="Arial"/>
          <w:lang w:val="fr-FR"/>
        </w:rPr>
        <w:instrText>drivers behind social, organizational and economic changes, including the displacement of small-scale producers out of agriculture. Under these transformations, land leasing is a critical management practice and constitutes a link among agricultural actors. This study analyzes changes in land tenancy patterns considering the recent agriculturization process but also older drivers of change. Our results indicate that the expansion of agriculture affects small- and large-scale farms differently, as land renti</w:instrText>
      </w:r>
      <w:r w:rsidRPr="00C43E4B">
        <w:rPr>
          <w:rFonts w:ascii="Arial" w:hAnsi="Arial" w:cs="Arial"/>
          <w:lang w:val="fr-FR"/>
        </w:rPr>
        <w:instrText>ng practices and productive orientation show clear differences by size. In the land leasing market, local producers are the main tenants while sowing pools rent about one quarter of the leased land. The competition for leasing farmland appears to operate within farm sizes. Small- and medium-scale producers compete among them for land, while large-scale local producers compete with sowing pools for the larger plots. Sowing pools do not appear to be the main drivers of land tenancy changes as they are no more</w:instrText>
      </w:r>
      <w:r w:rsidRPr="00C43E4B">
        <w:rPr>
          <w:rFonts w:ascii="Arial" w:hAnsi="Arial" w:cs="Arial"/>
          <w:lang w:val="fr-FR"/>
        </w:rPr>
        <w:instrText xml:space="preserve"> relevant than local actors in the land leasing market. However, results suggest that small-scale landowners renting out their land for several years are the ones with higher probabilities of selling their lands. This segment of producers appears to be the one most negatively affected by soybeanization.","container-title":"Journal of Rural Studies","DOI":"10.1016/j.jrurstud.2015.03.001","ISSN":"0743-0167","journalAbbreviation":"Journal of Rural Studies","page":"32-40","source":"ScienceDirect","title":"Land </w:instrText>
      </w:r>
      <w:r w:rsidRPr="00C43E4B">
        <w:rPr>
          <w:rFonts w:ascii="Arial" w:hAnsi="Arial" w:cs="Arial"/>
          <w:lang w:val="fr-FR"/>
        </w:rPr>
        <w:instrText>tenancy, soybean, actors and transformations in the pampas: A district balance","title-short":"Land tenancy, soybean, actors and transformations in the pampas","volume":"39","author":[{"family":"Urcola","given":"Hernán A."},{"family":"Sartre","given":"Xavier Arnauld","non-dropping-particle":"de"},{"family":"Veiga","given":"Iran"},{"family":"Elverdin","given":"Julio"},{"family":"Albaladejo","given":"Christophe"}],"issued":{"date-parts":[["2015",6,1]]}}}],"schema":"https://github.com/citation-style-language/s</w:instrText>
      </w:r>
      <w:r w:rsidRPr="00C43E4B">
        <w:rPr>
          <w:rFonts w:ascii="Arial" w:hAnsi="Arial" w:cs="Arial"/>
          <w:lang w:val="fr-FR"/>
        </w:rPr>
        <w:instrText xml:space="preserve">chema/raw/master/csl-citation.json"} </w:instrText>
      </w:r>
      <w:r w:rsidRPr="00C43E4B">
        <w:rPr>
          <w:rFonts w:ascii="Arial" w:hAnsi="Arial" w:cs="Arial"/>
          <w:lang w:val="fr-FR"/>
        </w:rPr>
        <w:fldChar w:fldCharType="separate"/>
      </w:r>
      <w:r w:rsidRPr="00C43E4B">
        <w:rPr>
          <w:rFonts w:ascii="Arial" w:hAnsi="Arial" w:cs="Arial"/>
          <w:lang w:val="fr-FR"/>
        </w:rPr>
        <w:t xml:space="preserve">(Urcola </w:t>
      </w:r>
      <w:r w:rsidRPr="00C43E4B">
        <w:rPr>
          <w:rFonts w:ascii="Arial" w:hAnsi="Arial" w:cs="Arial"/>
          <w:i/>
          <w:iCs/>
          <w:lang w:val="fr-FR"/>
        </w:rPr>
        <w:t>et al.</w:t>
      </w:r>
      <w:r w:rsidRPr="00C43E4B">
        <w:rPr>
          <w:rFonts w:ascii="Arial" w:hAnsi="Arial" w:cs="Arial"/>
          <w:lang w:val="fr-FR"/>
        </w:rPr>
        <w:t xml:space="preserve"> 2015)</w:t>
      </w:r>
      <w:r w:rsidRPr="00C43E4B">
        <w:rPr>
          <w:rFonts w:ascii="Arial" w:hAnsi="Arial" w:cs="Arial"/>
          <w:lang w:val="fr-FR"/>
        </w:rPr>
        <w:fldChar w:fldCharType="end"/>
      </w:r>
      <w:r w:rsidRPr="00C43E4B">
        <w:rPr>
          <w:rFonts w:ascii="Arial" w:hAnsi="Arial" w:cs="Arial"/>
          <w:lang w:val="fr-FR"/>
        </w:rPr>
        <w:t>.</w:t>
      </w:r>
    </w:p>
    <w:p w14:paraId="49295D99" w14:textId="77777777" w:rsidR="00260895" w:rsidRPr="00C43E4B" w:rsidRDefault="00260895">
      <w:pPr>
        <w:autoSpaceDE w:val="0"/>
        <w:adjustRightInd w:val="0"/>
        <w:spacing w:after="0" w:line="240" w:lineRule="auto"/>
        <w:jc w:val="both"/>
        <w:rPr>
          <w:rFonts w:ascii="Arial" w:hAnsi="Arial" w:cs="Arial"/>
          <w:lang w:val="fr-FR"/>
        </w:rPr>
      </w:pPr>
    </w:p>
    <w:p w14:paraId="52F8A2B4"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4.4</w:t>
      </w:r>
      <w:r w:rsidRPr="00C43E4B">
        <w:rPr>
          <w:rFonts w:ascii="Arial" w:hAnsi="Arial" w:cs="Arial"/>
          <w:lang w:val="fr-FR"/>
        </w:rPr>
        <w:tab/>
        <w:t xml:space="preserve"> Caractéristiques biologiques</w:t>
      </w:r>
    </w:p>
    <w:p w14:paraId="2786B15A" w14:textId="77777777" w:rsidR="00260895" w:rsidRPr="00C43E4B" w:rsidRDefault="00260895">
      <w:pPr>
        <w:keepNext/>
        <w:autoSpaceDE w:val="0"/>
        <w:adjustRightInd w:val="0"/>
        <w:spacing w:after="0" w:line="240" w:lineRule="auto"/>
        <w:jc w:val="both"/>
        <w:rPr>
          <w:rFonts w:ascii="Arial" w:hAnsi="Arial" w:cs="Arial"/>
          <w:lang w:val="fr-FR"/>
        </w:rPr>
      </w:pPr>
    </w:p>
    <w:p w14:paraId="754E9AFD"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 individus migrent généralement en petites groupes, bien qu'ils puissent se rassembler en grand nombre dans des zones où ils ne se reproduisent pas. Cette espèce est très fidèle à ses sites de reproduction</w:t>
      </w:r>
      <w:r w:rsidRPr="00C43E4B">
        <w:rPr>
          <w:rFonts w:ascii="Arial" w:hAnsi="Arial" w:cs="Arial"/>
          <w:lang w:val="fr-FR"/>
        </w:rPr>
        <w:fldChar w:fldCharType="begin"/>
      </w:r>
      <w:r w:rsidRPr="00C43E4B">
        <w:rPr>
          <w:rFonts w:ascii="Arial" w:hAnsi="Arial" w:cs="Arial"/>
          <w:lang w:val="fr-FR"/>
        </w:rPr>
        <w:instrText xml:space="preserve"> ADDIN ZOTERO_ITEM CSL_CITATION {"citationID":"ygxVoLKZ","properties":{"formattedCitation":"(Christie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w:instrText>
      </w:r>
      <w:r w:rsidRPr="00C43E4B">
        <w:rPr>
          <w:rFonts w:ascii="Arial" w:hAnsi="Arial" w:cs="Arial"/>
          <w:lang w:val="fr-FR"/>
        </w:rPr>
        <w:instrText xml:space="preserv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w:instrText>
      </w:r>
      <w:r w:rsidRPr="00C43E4B">
        <w:rPr>
          <w:rFonts w:ascii="Arial" w:hAnsi="Arial" w:cs="Arial"/>
          <w:lang w:val="fr-FR"/>
        </w:rPr>
        <w:instrText xml:space="preserve"> median dispersal distance of 629 m. While our telemetry data revealed limited breeding dispersal in adults, genetic data uncovered significant interconnectedness across the species’ range. Very little genetic structure was estimated at ddRAD autosomal (ΦST = 0.001), Z-linked (ΦST = 0.001), and mtDNA loci (ΦST = 0.020), and maximum likelihood-based clustering methods placed all individuals in a single cluster regardless of capture location, indicating the species is panmictic. Our data indicate that large-s</w:instrText>
      </w:r>
      <w:r w:rsidRPr="00C43E4B">
        <w:rPr>
          <w:rFonts w:ascii="Arial" w:hAnsi="Arial" w:cs="Arial"/>
          <w:lang w:val="fr-FR"/>
        </w:rPr>
        <w:instrText>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w:instrText>
      </w:r>
      <w:r w:rsidRPr="00C43E4B">
        <w:rPr>
          <w:rFonts w:ascii="Arial" w:hAnsi="Arial" w:cs="Arial"/>
          <w:lang w:val="fr-FR"/>
        </w:rPr>
        <w:instrText>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w:instrText>
      </w:r>
      <w:r w:rsidRPr="00C43E4B">
        <w:rPr>
          <w:rFonts w:ascii="Arial" w:hAnsi="Arial" w:cs="Arial"/>
          <w:lang w:val="fr-FR"/>
        </w:rPr>
        <w:instrText xml:space="preserve">}],"schema":"https://github.com/citation-style-language/schema/raw/master/csl-citation.json"}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(Christie </w:t>
      </w:r>
      <w:r w:rsidRPr="00C43E4B">
        <w:rPr>
          <w:rFonts w:ascii="Arial" w:hAnsi="Arial" w:cs="Arial"/>
          <w:i/>
          <w:iCs/>
          <w:lang w:val="fr-FR"/>
        </w:rPr>
        <w:t>et al</w:t>
      </w:r>
      <w:r w:rsidRPr="00C43E4B">
        <w:rPr>
          <w:rFonts w:ascii="Arial" w:hAnsi="Arial" w:cs="Arial"/>
          <w:lang w:val="fr-FR"/>
        </w:rPr>
        <w:t>. 2023)</w:t>
      </w:r>
      <w:r w:rsidRPr="00C43E4B">
        <w:rPr>
          <w:rFonts w:ascii="Arial" w:hAnsi="Arial" w:cs="Arial"/>
          <w:lang w:val="fr-FR"/>
        </w:rPr>
        <w:fldChar w:fldCharType="end"/>
      </w:r>
      <w:r w:rsidRPr="00C43E4B">
        <w:rPr>
          <w:rFonts w:ascii="Arial" w:hAnsi="Arial" w:cs="Arial"/>
          <w:lang w:val="fr-FR"/>
        </w:rPr>
        <w:t>, et elle forme des couples quelques jours après son arrivée sur les sites de reproduction, pondant des œufs environ deux semaines plus tard. Ils nichent au sol et pondent généralement quatre œufs. L'incubation est assurée par les deux sexes. Les poussins sont précoces et quittent le nid quelques heures après l'éclosion de tous les œufs. Ils se nourrissent seuls après avoir quitté le nid, bien que les deux parents les conduisent vers les zones de nourrissage. Les individus juvéniles se dispersent largement</w:t>
      </w:r>
      <w:r w:rsidRPr="00C43E4B">
        <w:rPr>
          <w:rFonts w:ascii="Arial" w:hAnsi="Arial" w:cs="Arial"/>
          <w:lang w:val="fr-FR"/>
        </w:rPr>
        <w:fldChar w:fldCharType="begin"/>
      </w:r>
      <w:r w:rsidRPr="00C43E4B">
        <w:rPr>
          <w:rFonts w:ascii="Arial" w:hAnsi="Arial" w:cs="Arial"/>
          <w:lang w:val="fr-FR"/>
        </w:rPr>
        <w:instrText xml:space="preserve"> ADDIN ZOTERO_ITEM CSL_CITATION {"citationID":"lWgXEfI1","properties":{"formattedCitation":"(Christie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w:instrText>
      </w:r>
      <w:r w:rsidRPr="00C43E4B">
        <w:rPr>
          <w:rFonts w:ascii="Arial" w:hAnsi="Arial" w:cs="Arial"/>
          <w:lang w:val="fr-FR"/>
        </w:rPr>
        <w:instrText xml:space="preserv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w:instrText>
      </w:r>
      <w:r w:rsidRPr="00C43E4B">
        <w:rPr>
          <w:rFonts w:ascii="Arial" w:hAnsi="Arial" w:cs="Arial"/>
          <w:lang w:val="fr-FR"/>
        </w:rPr>
        <w:instrText xml:space="preserve"> median dispersal distance of 629 m. While our telemetry data revealed limited breeding dispersal in adults, genetic data uncovered significant interconnectedness across the species’ range. Very little genetic structure was estimated at ddRAD autosomal (ΦST = 0.001), Z-linked (ΦST = 0.001), and mtDNA loci (ΦST = 0.020), and maximum likelihood-based clustering methods placed all individuals in a single cluster regardless of capture location, indicating the species is panmictic. Our data indicate that large-s</w:instrText>
      </w:r>
      <w:r w:rsidRPr="00C43E4B">
        <w:rPr>
          <w:rFonts w:ascii="Arial" w:hAnsi="Arial" w:cs="Arial"/>
          <w:lang w:val="fr-FR"/>
        </w:rPr>
        <w:instrText>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w:instrText>
      </w:r>
      <w:r w:rsidRPr="00C43E4B">
        <w:rPr>
          <w:rFonts w:ascii="Arial" w:hAnsi="Arial" w:cs="Arial"/>
          <w:lang w:val="fr-FR"/>
        </w:rPr>
        <w:instrText>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w:instrText>
      </w:r>
      <w:r w:rsidRPr="00C43E4B">
        <w:rPr>
          <w:rFonts w:ascii="Arial" w:hAnsi="Arial" w:cs="Arial"/>
          <w:lang w:val="fr-FR"/>
        </w:rPr>
        <w:instrText xml:space="preserve">}],"schema":"https://github.com/citation-style-language/schema/raw/master/csl-citation.json"}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(Christie </w:t>
      </w:r>
      <w:r w:rsidRPr="00C43E4B">
        <w:rPr>
          <w:rFonts w:ascii="Arial" w:hAnsi="Arial" w:cs="Arial"/>
          <w:i/>
          <w:iCs/>
          <w:lang w:val="fr-FR"/>
        </w:rPr>
        <w:t>et al.</w:t>
      </w:r>
      <w:r w:rsidRPr="00C43E4B">
        <w:rPr>
          <w:rFonts w:ascii="Arial" w:hAnsi="Arial" w:cs="Arial"/>
          <w:lang w:val="fr-FR"/>
        </w:rPr>
        <w:t xml:space="preserve"> 2023)</w:t>
      </w:r>
      <w:r w:rsidRPr="00C43E4B">
        <w:rPr>
          <w:rFonts w:ascii="Arial" w:hAnsi="Arial" w:cs="Arial"/>
          <w:lang w:val="fr-FR"/>
        </w:rPr>
        <w:fldChar w:fldCharType="end"/>
      </w:r>
      <w:r w:rsidRPr="00C43E4B">
        <w:rPr>
          <w:rFonts w:ascii="Arial" w:hAnsi="Arial" w:cs="Arial"/>
          <w:lang w:val="fr-FR"/>
        </w:rPr>
        <w:t>. L'espèce se nourrit d'invertébrés aquatiques et terrestres, comme les mouches et les coléoptères</w:t>
      </w:r>
      <w:r w:rsidRPr="00C43E4B">
        <w:rPr>
          <w:rFonts w:ascii="Arial" w:hAnsi="Arial" w:cs="Arial"/>
          <w:lang w:val="fr-FR"/>
        </w:rPr>
        <w:fldChar w:fldCharType="begin"/>
      </w:r>
      <w:r w:rsidRPr="00C43E4B">
        <w:rPr>
          <w:rFonts w:ascii="Arial" w:hAnsi="Arial" w:cs="Arial"/>
          <w:lang w:val="fr-FR"/>
        </w:rPr>
        <w:instrText xml:space="preserve"> ADDIN ZOTERO_ITEM CSL_CITATION {"citationID":"l8SmGKmc","properties":{"formattedCitation":"(Tibbitts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w:instrText>
      </w:r>
      <w:r w:rsidRPr="00C43E4B">
        <w:rPr>
          <w:rFonts w:ascii="Arial" w:hAnsi="Arial" w:cs="Arial"/>
          <w:lang w:val="fr-FR"/>
        </w:rPr>
        <w:instrText xml:space="preserve">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(Tibbitts et Moskoff 2020)</w:t>
      </w:r>
      <w:r w:rsidRPr="00C43E4B">
        <w:rPr>
          <w:rFonts w:ascii="Arial" w:hAnsi="Arial" w:cs="Arial"/>
          <w:lang w:val="fr-FR"/>
        </w:rPr>
        <w:fldChar w:fldCharType="end"/>
      </w:r>
      <w:r w:rsidRPr="00C43E4B">
        <w:rPr>
          <w:rFonts w:ascii="Arial" w:hAnsi="Arial" w:cs="Arial"/>
          <w:lang w:val="fr-FR"/>
        </w:rPr>
        <w:t xml:space="preserve">. </w:t>
      </w:r>
    </w:p>
    <w:p w14:paraId="639CDF2F" w14:textId="77777777" w:rsidR="00260895" w:rsidRPr="00C43E4B" w:rsidRDefault="00260895">
      <w:pPr>
        <w:autoSpaceDE w:val="0"/>
        <w:adjustRightInd w:val="0"/>
        <w:spacing w:after="0" w:line="240" w:lineRule="auto"/>
        <w:jc w:val="both"/>
        <w:rPr>
          <w:rFonts w:ascii="Arial" w:hAnsi="Arial" w:cs="Arial"/>
          <w:lang w:val="fr-FR"/>
        </w:rPr>
      </w:pPr>
    </w:p>
    <w:p w14:paraId="142AF0E8"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4.5</w:t>
      </w:r>
      <w:r w:rsidRPr="00C43E4B">
        <w:rPr>
          <w:rFonts w:ascii="Arial" w:hAnsi="Arial" w:cs="Arial"/>
          <w:lang w:val="fr-FR"/>
        </w:rPr>
        <w:tab/>
        <w:t xml:space="preserve"> Rôle du taxon dans son écosystème </w:t>
      </w:r>
    </w:p>
    <w:p w14:paraId="4E68BE29" w14:textId="77777777" w:rsidR="00260895" w:rsidRPr="00C43E4B" w:rsidRDefault="00260895">
      <w:pPr>
        <w:keepNext/>
        <w:autoSpaceDE w:val="0"/>
        <w:adjustRightInd w:val="0"/>
        <w:spacing w:after="0" w:line="240" w:lineRule="auto"/>
        <w:jc w:val="both"/>
        <w:rPr>
          <w:rFonts w:ascii="Arial" w:hAnsi="Arial" w:cs="Arial"/>
          <w:lang w:val="fr-FR"/>
        </w:rPr>
      </w:pPr>
    </w:p>
    <w:p w14:paraId="2354087B"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L'espèce se nourrit d'invertébrés, tels que les insectes, et joue donc principalement un rôle dans le contrôle de l'abondance de ces taxons</w:t>
      </w:r>
      <w:r w:rsidRPr="00C43E4B">
        <w:rPr>
          <w:rFonts w:ascii="Arial" w:hAnsi="Arial" w:cs="Arial"/>
          <w:lang w:val="fr-FR"/>
        </w:rPr>
        <w:fldChar w:fldCharType="begin"/>
      </w:r>
      <w:r w:rsidRPr="00C43E4B">
        <w:rPr>
          <w:rFonts w:ascii="Arial" w:hAnsi="Arial" w:cs="Arial"/>
          <w:lang w:val="fr-FR"/>
        </w:rPr>
        <w:instrText xml:space="preserve"> ADDIN ZOTERO_ITEM CSL_CITATION {"citationID":"YsJAnt5P","properties":{"formattedCitation":"(Sekercioglu 2006)","plainCitation":"(Sekercioglu 2006)","noteIndex":0},"citationItems":[{"id":636,"uris":["http://zotero.org/users/11283305/items/LPTEANHT"],"itemData":{"id":636,"type":"article-journal","abstract":"Birds are one of the most diverse groups of ecosystem service providers, whose ecological functions range from creating soil to shaping primate behavior, Nevertheless, the impression that birds have littl</w:instrText>
      </w:r>
      <w:r w:rsidRPr="00C43E4B">
        <w:rPr>
          <w:rFonts w:ascii="Arial" w:hAnsi="Arial" w:cs="Arial"/>
          <w:lang w:val="fr-FR"/>
        </w:rPr>
        <w:instrText>e influence on ecological processes has been hard to change. Given the ongoing declines in avian functional groups, there is a pressing need to compare avian ecological functions to those of other taxa, to understand how these functions translate to ecosystem services and to estimate the ecological implications of bird declines. Here, I review the ecological functions of birds, link them to ecosystem services and outline research priorities for understanding avian contributions to ecosystem functioning.","c</w:instrText>
      </w:r>
      <w:r w:rsidRPr="00C43E4B">
        <w:rPr>
          <w:rFonts w:ascii="Arial" w:hAnsi="Arial" w:cs="Arial"/>
          <w:lang w:val="fr-FR"/>
        </w:rPr>
        <w:instrText xml:space="preserve">ontainer-title":"Trends in Ecology &amp; Evolution","DOI":"10.1016/j.tree.2006.05.007","ISSN":"0169-5347","issue":"8","journalAbbreviation":"Trends in Ecology &amp; Evolution","page":"464-471","source":"ScienceDirect","title":"Increasing awareness of avian ecological function","volume":"21","author":[{"family":"Sekercioglu","given":"Cagan H."}],"issued":{"date-parts":[["2006",8,1]]}}}],"schema":"https://github.com/citation-style-language/schema/raw/master/csl-citation.json"}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(Sekercioglu 2006)</w:t>
      </w:r>
      <w:r w:rsidRPr="00C43E4B">
        <w:rPr>
          <w:rFonts w:ascii="Arial" w:hAnsi="Arial" w:cs="Arial"/>
          <w:lang w:val="fr-FR"/>
        </w:rPr>
        <w:fldChar w:fldCharType="end"/>
      </w:r>
      <w:r w:rsidRPr="00C43E4B">
        <w:rPr>
          <w:rFonts w:ascii="Arial" w:hAnsi="Arial" w:cs="Arial"/>
          <w:lang w:val="fr-FR"/>
        </w:rPr>
        <w:t>. En tant qu'oiseaux de rivage migrateurs sur de longues distances, ils jouent également un rôle important dans le cycle des nutriments et relient les différents écosystèmes dont ils dépendent</w:t>
      </w:r>
      <w:r w:rsidRPr="00C43E4B">
        <w:rPr>
          <w:rFonts w:ascii="Arial" w:hAnsi="Arial" w:cs="Arial"/>
          <w:lang w:val="fr-FR"/>
        </w:rPr>
        <w:fldChar w:fldCharType="begin"/>
      </w:r>
      <w:r w:rsidRPr="00C43E4B">
        <w:rPr>
          <w:rFonts w:ascii="Arial" w:hAnsi="Arial" w:cs="Arial"/>
          <w:lang w:val="fr-FR"/>
        </w:rPr>
        <w:instrText xml:space="preserve"> ADDIN ZOTERO_ITEM CSL_CITATION {"citationID":"cYXERmtL","properties":{"formattedCitation":"(Buelow and Sheaves 2015)","plainCitation":"(Buelow and Sheaves 2015)","noteIndex":0},"citationItems":[{"id":687,"uris":["http://zotero.org/users/11283305/items/WTJDS4LJ"],"itemData":{"id":687,"type":"article-journal","abstract":"Considerable advances in understanding of biological connectivity have flowed from studies of fish-facilitated connectivity within the coastal ecosystem mosaic. However, there are limits to </w:instrText>
      </w:r>
      <w:r w:rsidRPr="00C43E4B">
        <w:rPr>
          <w:rFonts w:ascii="Arial" w:hAnsi="Arial" w:cs="Arial"/>
          <w:lang w:val="fr-FR"/>
        </w:rPr>
        <w:instrText>the information that fish can provide on connectivity. Mangrove-bird communities have the potential to connect coastal habitats in different ways and at different scales than fish, so incorporation of these links into our models of coastal ecosystem mosaics affords the opportunity to greatly increase the breadth of our understanding. We review the habitat and foraging requirements of mangrove-bird functional groups to understand how bird use of mangroves facilitates biological connectivity in coastal ecosys</w:instrText>
      </w:r>
      <w:r w:rsidRPr="00C43E4B">
        <w:rPr>
          <w:rFonts w:ascii="Arial" w:hAnsi="Arial" w:cs="Arial"/>
          <w:lang w:val="fr-FR"/>
        </w:rPr>
        <w:instrText>tem mosaics, and how that connectivity adds to the diversity and complexity of ecological processes in mangrove ecosystems. Avian biological connectivity is primarily characterized by foraging behavior and habitat/resource requirements. Therefore, the consequence of bird links for coastal ecosystem functioning largely depends on patterns of habitat use and foraging, and potentially influences nutrient cycling, top–down control and genetic information linkage. Habitats that experience concentrated bird guano</w:instrText>
      </w:r>
      <w:r w:rsidRPr="00C43E4B">
        <w:rPr>
          <w:rFonts w:ascii="Arial" w:hAnsi="Arial" w:cs="Arial"/>
          <w:lang w:val="fr-FR"/>
        </w:rPr>
        <w:instrText xml:space="preserve"> deposition have high levels of nitrogen and phosphorus, placing particular importance on the consequences of avian nutrient translocation and subsidization for coastal ecosystem functioning. High mobility allows mangrove-bird communities to link mangrove forests to other mangrove, terrestrial and marine-pelagic systems. Therefore, the spatial scale of coastal connectivity facilitated by birds is substantially more extensive than fish-facilitated connectivity. In particular, migratory birds link habitats at</w:instrText>
      </w:r>
      <w:r w:rsidRPr="00C43E4B">
        <w:rPr>
          <w:rFonts w:ascii="Arial" w:hAnsi="Arial" w:cs="Arial"/>
          <w:lang w:val="fr-FR"/>
        </w:rPr>
        <w:instrText xml:space="preserve"> regional, continental and inter-continental scales as they travel among seasonally available feeding areas from breeding grounds to non-breeding grounds; scales at which there are few fish equivalents. Knowledge of the nature and patterns of fish connectivity have contributed to shifting the initial, historical perception of mangrove-ecosystem functioning from that of a simple system based on nutrient and energy retention, to a view that includes fish-facilitated energy export. In a similar way, understand</w:instrText>
      </w:r>
      <w:r w:rsidRPr="00C43E4B">
        <w:rPr>
          <w:rFonts w:ascii="Arial" w:hAnsi="Arial" w:cs="Arial"/>
          <w:lang w:val="fr-FR"/>
        </w:rPr>
        <w:instrText>ing the nature and implications of mangrove connectivity through bird movements and migrations affords new possibilities for revising our view of the extent of functional links between mangroves and other ecosystems.","container-title":"Estuarine, Coastal and Shelf Science","DOI":"10.1016/j.ecss.2014.10.014","ISSN":"0272-7714","journalAbbreviation":"Estuarine, Coastal and Shelf Science","page":"33-43","source":"ScienceDirect","title":"A birds-eye view of biological connectivity in mangrove systems","volume"</w:instrText>
      </w:r>
      <w:r w:rsidRPr="00C43E4B">
        <w:rPr>
          <w:rFonts w:ascii="Arial" w:hAnsi="Arial" w:cs="Arial"/>
          <w:lang w:val="fr-FR"/>
        </w:rPr>
        <w:instrText xml:space="preserve">:"152","author":[{"family":"Buelow","given":"Christina"},{"family":"Sheaves","given":"Marcus"}],"issued":{"date-parts":[["2015",1,5]]}}}],"schema":"https://github.com/citation-style-language/schema/raw/master/csl-citation.json"}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(Buelow et Sheaves 2015)</w:t>
      </w:r>
      <w:r w:rsidRPr="00C43E4B">
        <w:rPr>
          <w:rFonts w:ascii="Arial" w:hAnsi="Arial" w:cs="Arial"/>
          <w:lang w:val="fr-FR"/>
        </w:rPr>
        <w:fldChar w:fldCharType="end"/>
      </w:r>
      <w:r w:rsidRPr="00C43E4B">
        <w:rPr>
          <w:rFonts w:ascii="Arial" w:hAnsi="Arial" w:cs="Arial"/>
          <w:lang w:val="fr-FR"/>
        </w:rPr>
        <w:t>.</w:t>
      </w:r>
    </w:p>
    <w:p w14:paraId="69D62B80" w14:textId="77777777" w:rsidR="00260895" w:rsidRPr="00C43E4B" w:rsidRDefault="00260895">
      <w:pPr>
        <w:autoSpaceDE w:val="0"/>
        <w:adjustRightInd w:val="0"/>
        <w:spacing w:after="0" w:line="240" w:lineRule="auto"/>
        <w:jc w:val="both"/>
        <w:rPr>
          <w:rFonts w:ascii="Arial" w:hAnsi="Arial" w:cs="Arial"/>
          <w:lang w:val="fr-FR"/>
        </w:rPr>
      </w:pPr>
    </w:p>
    <w:p w14:paraId="584FBF04"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5.</w:t>
      </w:r>
      <w:r w:rsidRPr="00C43E4B">
        <w:rPr>
          <w:rFonts w:ascii="Arial" w:hAnsi="Arial" w:cs="Arial"/>
          <w:b/>
          <w:bCs/>
          <w:lang w:val="fr-FR"/>
        </w:rPr>
        <w:tab/>
        <w:t xml:space="preserve"> État de conservation et menaces </w:t>
      </w:r>
    </w:p>
    <w:p w14:paraId="065FDD6A" w14:textId="77777777" w:rsidR="00260895" w:rsidRPr="00C43E4B" w:rsidRDefault="00260895">
      <w:pPr>
        <w:keepNext/>
        <w:autoSpaceDE w:val="0"/>
        <w:adjustRightInd w:val="0"/>
        <w:spacing w:after="0" w:line="240" w:lineRule="auto"/>
        <w:jc w:val="both"/>
        <w:rPr>
          <w:rFonts w:ascii="Arial" w:hAnsi="Arial" w:cs="Arial"/>
          <w:b/>
          <w:bCs/>
          <w:lang w:val="fr-FR"/>
        </w:rPr>
      </w:pPr>
    </w:p>
    <w:p w14:paraId="26BDE0A2"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5.1</w:t>
      </w:r>
      <w:r w:rsidRPr="00C43E4B">
        <w:rPr>
          <w:rFonts w:ascii="Arial" w:hAnsi="Arial" w:cs="Arial"/>
          <w:lang w:val="fr-FR"/>
        </w:rPr>
        <w:tab/>
        <w:t xml:space="preserve"> Évaluation de la Liste rouge de l'UICN</w:t>
      </w:r>
    </w:p>
    <w:p w14:paraId="5D5F785F" w14:textId="77777777" w:rsidR="00260895" w:rsidRPr="00C43E4B" w:rsidRDefault="00260895">
      <w:pPr>
        <w:keepNext/>
        <w:autoSpaceDE w:val="0"/>
        <w:adjustRightInd w:val="0"/>
        <w:spacing w:after="0" w:line="240" w:lineRule="auto"/>
        <w:jc w:val="both"/>
        <w:rPr>
          <w:rFonts w:ascii="Arial" w:hAnsi="Arial" w:cs="Arial"/>
          <w:lang w:val="fr-FR"/>
        </w:rPr>
      </w:pPr>
    </w:p>
    <w:p w14:paraId="3299C654"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i/>
          <w:iCs/>
          <w:lang w:val="fr-FR"/>
        </w:rPr>
        <w:t>Tringa flavipes</w:t>
      </w:r>
      <w:r w:rsidRPr="00C43E4B">
        <w:rPr>
          <w:rFonts w:ascii="Arial" w:hAnsi="Arial" w:cs="Arial"/>
          <w:lang w:val="fr-FR"/>
        </w:rPr>
        <w:t xml:space="preserve"> est classé comme vulnérable dans la dernière évaluation de la Liste Rouge de l'UICN</w:t>
      </w:r>
      <w:r w:rsidRPr="00C43E4B">
        <w:rPr>
          <w:rFonts w:ascii="Arial" w:hAnsi="Arial" w:cs="Arial"/>
          <w:lang w:val="fr-FR"/>
        </w:rPr>
        <w:fldChar w:fldCharType="begin"/>
      </w:r>
      <w:r w:rsidRPr="00C43E4B">
        <w:rPr>
          <w:rFonts w:ascii="Arial" w:hAnsi="Arial" w:cs="Arial"/>
          <w:lang w:val="fr-FR"/>
        </w:rPr>
        <w:instrText xml:space="preserve"> ADDIN ZOTERO_ITEM CSL_CITATION {"citationID":"R5vnuoZw","properties":{"formattedCitation":"(BirdLife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w:instrText>
      </w:r>
      <w:r w:rsidRPr="00C43E4B">
        <w:rPr>
          <w:rFonts w:ascii="Arial" w:hAnsi="Arial" w:cs="Arial"/>
          <w:lang w:val="fr-FR"/>
        </w:rPr>
        <w:instrText xml:space="preserve">e International","given":""}],"issued":{"date-parts":[["2024"]]}}}],"schema":"https://github.com/citation-style-language/schema/raw/master/csl-citation.json"}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(BirdLife International 2024a)</w:t>
      </w:r>
      <w:r w:rsidRPr="00C43E4B">
        <w:rPr>
          <w:rFonts w:ascii="Arial" w:hAnsi="Arial" w:cs="Arial"/>
          <w:lang w:val="fr-FR"/>
        </w:rPr>
        <w:fldChar w:fldCharType="end"/>
      </w:r>
      <w:r w:rsidRPr="00C43E4B">
        <w:rPr>
          <w:rFonts w:ascii="Arial" w:hAnsi="Arial" w:cs="Arial"/>
          <w:lang w:val="fr-FR"/>
        </w:rPr>
        <w:t>. Lors des évaluations précédentes, l'espèce était classée dans la catégorie « Préoccupation mineure », et le récent changement de catégorie s'explique par l'accumulation de preuves concernant le déclin de sa population.</w:t>
      </w:r>
    </w:p>
    <w:p w14:paraId="505A5AFB"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br w:type="page"/>
      </w:r>
    </w:p>
    <w:p w14:paraId="3561408D"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lastRenderedPageBreak/>
        <w:t>5.2</w:t>
      </w:r>
      <w:r w:rsidRPr="00C43E4B">
        <w:rPr>
          <w:rFonts w:ascii="Arial" w:hAnsi="Arial" w:cs="Arial"/>
          <w:lang w:val="fr-FR"/>
        </w:rPr>
        <w:tab/>
      </w:r>
      <w:r w:rsidRPr="00C43E4B">
        <w:rPr>
          <w:rFonts w:ascii="Arial" w:eastAsia="Arial" w:hAnsi="Arial" w:cs="Arial"/>
          <w:lang w:val="fr-FR"/>
        </w:rPr>
        <w:t xml:space="preserve"> Informations équivalentes pertinentes pour l'évaluation de l'état de conservation</w:t>
      </w:r>
    </w:p>
    <w:p w14:paraId="6EF6343E" w14:textId="77777777" w:rsidR="00260895" w:rsidRPr="00C43E4B" w:rsidRDefault="00260895">
      <w:pPr>
        <w:autoSpaceDE w:val="0"/>
        <w:adjustRightInd w:val="0"/>
        <w:spacing w:after="0" w:line="240" w:lineRule="auto"/>
        <w:jc w:val="both"/>
        <w:rPr>
          <w:rFonts w:ascii="Arial" w:hAnsi="Arial" w:cs="Arial"/>
          <w:lang w:val="fr-FR"/>
        </w:rPr>
      </w:pPr>
    </w:p>
    <w:p w14:paraId="763F1240"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Au cours des trois dernières générations, l'espèce a diminué d'environ 60 % (voir plus de détails dans la section 4.2 de la justification de la proposition ; Smith </w:t>
      </w:r>
      <w:r w:rsidRPr="00C43E4B">
        <w:rPr>
          <w:rFonts w:ascii="Arial" w:hAnsi="Arial" w:cs="Arial"/>
          <w:i/>
          <w:iCs/>
          <w:lang w:val="fr-FR"/>
        </w:rPr>
        <w:t>et al</w:t>
      </w:r>
      <w:r w:rsidRPr="00C43E4B">
        <w:rPr>
          <w:rFonts w:ascii="Arial" w:hAnsi="Arial" w:cs="Arial"/>
          <w:lang w:val="fr-FR"/>
        </w:rPr>
        <w:t>. 2023). Cette espèce est également considérée comme présentant un grand intérêt pour la conservation aux États-Unis</w:t>
      </w:r>
      <w:r w:rsidRPr="00C43E4B">
        <w:rPr>
          <w:rFonts w:ascii="Arial" w:hAnsi="Arial" w:cs="Arial"/>
          <w:lang w:val="fr-FR"/>
        </w:rPr>
        <w:fldChar w:fldCharType="begin"/>
      </w:r>
      <w:r w:rsidRPr="00C43E4B">
        <w:rPr>
          <w:rFonts w:ascii="Arial" w:hAnsi="Arial" w:cs="Arial"/>
          <w:lang w:val="fr-FR"/>
        </w:rPr>
        <w:instrText xml:space="preserve"> ADDIN ZOTERO_ITEM CSL_CITATION {"citationID":"xplhP4Km","properties":{"formattedCitation":"(U.S. Shorebird Conservation Plan Partnership 2016)","plainCitation":"(U.S. Shorebird Conservation Plan Partnership 2016)","noteIndex":0},"citationItems":[{"id":1323,"uris":["http://zotero.org/users/11283305/items/7D64PY53"],"itemData":{"id":1323,"type":"article-journal","title":"Shorebirds of Conservation Concern in the United States of America ─ 2016","URL":"http://www.shorebirdplan.org/science/assessment-conservat</w:instrText>
      </w:r>
      <w:r w:rsidRPr="00C43E4B">
        <w:rPr>
          <w:rFonts w:ascii="Arial" w:hAnsi="Arial" w:cs="Arial"/>
          <w:lang w:val="fr-FR"/>
        </w:rPr>
        <w:instrText xml:space="preserve">ion-status-shorebirds/","author":[{"family":"U.S. Shorebird Conservation Plan Partnership","given":""}],"issued":{"date-parts":[["2016"]]}}}],"schema":"https://github.com/citation-style-language/schema/raw/master/csl-citation.json"}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(U.S. Shorebird Conservation Plan Partnership 2016)</w:t>
      </w:r>
      <w:r w:rsidRPr="00C43E4B">
        <w:rPr>
          <w:rFonts w:ascii="Arial" w:hAnsi="Arial" w:cs="Arial"/>
          <w:lang w:val="fr-FR"/>
        </w:rPr>
        <w:fldChar w:fldCharType="end"/>
      </w:r>
      <w:r w:rsidRPr="00C43E4B">
        <w:rPr>
          <w:rFonts w:ascii="Arial" w:hAnsi="Arial" w:cs="Arial"/>
          <w:lang w:val="fr-FR"/>
        </w:rPr>
        <w:t xml:space="preserve"> et comme une espèce menacée au Canada</w:t>
      </w:r>
      <w:r w:rsidRPr="00C43E4B">
        <w:rPr>
          <w:rFonts w:ascii="Arial" w:hAnsi="Arial" w:cs="Arial"/>
          <w:lang w:val="fr-FR"/>
        </w:rPr>
        <w:fldChar w:fldCharType="begin"/>
      </w:r>
      <w:r w:rsidRPr="00C43E4B">
        <w:rPr>
          <w:rFonts w:ascii="Arial" w:hAnsi="Arial" w:cs="Arial"/>
          <w:lang w:val="fr-FR"/>
        </w:rPr>
        <w:instrText xml:space="preserve"> ADDIN ZOTERO_ITEM CSL_CITATION {"citationID":"UQnqxVAS","properties":{"formattedCitation":"(COSEWIC 2020)","plainCitation":"(COSEWIC 2020)","noteIndex":0},"citationItems":[{"id":1353,"uris":["http://zotero.org/users/11283305/items/7BKJSYNT"],"itemData":{"id":1353,"type":"report","collection-title":"Species at risk public registry","event-place":"Ottawa","page":"x + 64 pp","publisher":"Committee on the Status of Endangered Wildlife in Canada","publisher-place":"Ottawa","title":"COSEWIC assessment and status</w:instrText>
      </w:r>
      <w:r w:rsidRPr="00C43E4B">
        <w:rPr>
          <w:rFonts w:ascii="Arial" w:hAnsi="Arial" w:cs="Arial"/>
          <w:lang w:val="fr-FR"/>
        </w:rPr>
        <w:instrText xml:space="preserve"> report on the Lesser Yellowlegs Tringa flavipes in Canada","URL":"https://www.canada.ca/en/environment-climate-change/services/species-risk-public-registry/cosewic-assessments-status-reports/lesser-yellowlegs-2020.html","author":[{"family":"COSEWIC","given":""}],"issued":{"date-parts":[["2020"]]}}}],"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(COSEPAC 2020)</w:t>
      </w:r>
      <w:r w:rsidRPr="00C43E4B">
        <w:rPr>
          <w:rFonts w:ascii="Arial" w:hAnsi="Arial" w:cs="Arial"/>
          <w:lang w:val="fr-FR"/>
        </w:rPr>
        <w:fldChar w:fldCharType="end"/>
      </w:r>
      <w:r w:rsidRPr="00C43E4B">
        <w:rPr>
          <w:rFonts w:ascii="Arial" w:hAnsi="Arial" w:cs="Arial"/>
          <w:lang w:val="fr-FR"/>
        </w:rPr>
        <w:t>.</w:t>
      </w:r>
    </w:p>
    <w:p w14:paraId="6CAC1875" w14:textId="77777777" w:rsidR="00260895" w:rsidRPr="00C43E4B" w:rsidRDefault="00260895">
      <w:pPr>
        <w:autoSpaceDE w:val="0"/>
        <w:adjustRightInd w:val="0"/>
        <w:spacing w:after="0" w:line="240" w:lineRule="auto"/>
        <w:ind w:left="1418"/>
        <w:jc w:val="both"/>
        <w:rPr>
          <w:rFonts w:ascii="Arial" w:hAnsi="Arial" w:cs="Arial"/>
          <w:lang w:val="fr-FR"/>
        </w:rPr>
      </w:pPr>
    </w:p>
    <w:p w14:paraId="21334069"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 xml:space="preserve">5.3 </w:t>
      </w:r>
      <w:r w:rsidRPr="00C43E4B">
        <w:rPr>
          <w:rFonts w:ascii="Arial" w:hAnsi="Arial" w:cs="Arial"/>
          <w:lang w:val="fr-FR"/>
        </w:rPr>
        <w:tab/>
        <w:t xml:space="preserve"> Menaces pour la population</w:t>
      </w:r>
    </w:p>
    <w:p w14:paraId="463AB205" w14:textId="77777777" w:rsidR="00260895" w:rsidRPr="00C43E4B" w:rsidRDefault="00260895">
      <w:pPr>
        <w:keepNext/>
        <w:autoSpaceDE w:val="0"/>
        <w:adjustRightInd w:val="0"/>
        <w:spacing w:after="0" w:line="240" w:lineRule="auto"/>
        <w:ind w:left="567" w:hanging="567"/>
        <w:jc w:val="both"/>
        <w:rPr>
          <w:rFonts w:ascii="Arial" w:hAnsi="Arial" w:cs="Arial"/>
          <w:lang w:val="fr-FR"/>
        </w:rPr>
      </w:pPr>
    </w:p>
    <w:p w14:paraId="54CC344B"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L'espèce est confrontée à plusieurs menaces généralisées tout au long de son cycle annuel, notamment, la perte et la dégradation de son habitat, tant dans les zones de reproduction que dans celles de non-reproduction, ainsi que la pollution et le changement climatique</w:t>
      </w:r>
      <w:r w:rsidRPr="00C43E4B">
        <w:rPr>
          <w:rFonts w:ascii="Arial" w:hAnsi="Arial" w:cs="Arial"/>
          <w:lang w:val="fr-FR"/>
        </w:rPr>
        <w:fldChar w:fldCharType="begin"/>
      </w:r>
      <w:r w:rsidRPr="00C43E4B">
        <w:rPr>
          <w:rFonts w:ascii="Arial" w:hAnsi="Arial" w:cs="Arial"/>
          <w:lang w:val="fr-FR"/>
        </w:rPr>
        <w:instrText xml:space="preserve"> ADDIN ZOTERO_ITEM CSL_CITATION {"citationID":"b4YuxzFU","properties":{"formattedCitation":"(Clay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al</w:t>
      </w:r>
      <w:r w:rsidRPr="00C43E4B">
        <w:rPr>
          <w:rFonts w:ascii="Arial" w:hAnsi="Arial" w:cs="Arial"/>
          <w:lang w:val="fr-FR"/>
        </w:rPr>
        <w:t>. 2012)</w:t>
      </w:r>
      <w:r w:rsidRPr="00C43E4B">
        <w:rPr>
          <w:rFonts w:ascii="Arial" w:hAnsi="Arial" w:cs="Arial"/>
          <w:lang w:val="fr-FR"/>
        </w:rPr>
        <w:fldChar w:fldCharType="end"/>
      </w:r>
      <w:r w:rsidRPr="00C43E4B">
        <w:rPr>
          <w:rFonts w:ascii="Arial" w:hAnsi="Arial" w:cs="Arial"/>
          <w:lang w:val="fr-FR"/>
        </w:rPr>
        <w:t xml:space="preserve">. Cependant, l'une des menaces spécifiques qui pèsent sur cette espèce, en particulier, sur les populations reproductrices de l'est du Canada pendant la migration, est la chasse </w:t>
      </w:r>
      <w:r w:rsidRPr="00C43E4B">
        <w:rPr>
          <w:rFonts w:ascii="Arial" w:hAnsi="Arial" w:cs="Arial"/>
          <w:lang w:val="fr-FR"/>
        </w:rPr>
        <w:fldChar w:fldCharType="begin"/>
      </w:r>
      <w:r w:rsidRPr="00C43E4B">
        <w:rPr>
          <w:rFonts w:ascii="Arial" w:hAnsi="Arial" w:cs="Arial"/>
          <w:lang w:val="fr-FR"/>
        </w:rPr>
        <w:instrText xml:space="preserve"> ADDIN ZOTERO_ITEM CSL_CITATION {"citationID":"1q8KhM89","properties":{"formattedCitation":"(McDuffie et al. 2022a)","plainCitation":"(McDuffie et al. 2022a)","noteIndex":0},"citationItems":[{"id":1339,"uris":["http://zotero.org/users/11283305/items/EUV5PPPN"],"itemData":{"id":1339,"type":"article-journal","abstract":"Shorebirds have experienced a precipitous reduction in abundance over the past four decades. While some threats to shorebirds are widespread (e.g., habitat alteration), others are regional and</w:instrText>
      </w:r>
      <w:r w:rsidRPr="00C43E4B">
        <w:rPr>
          <w:rFonts w:ascii="Arial" w:hAnsi="Arial" w:cs="Arial"/>
          <w:lang w:val="fr-FR"/>
        </w:rPr>
        <w:instrText xml:space="preserve"> may affect specific populations. Lesser Yellowlegs (Tringa flavipes) are long-distance migrants that breed across the North American boreal biome and have declined in abundance by 60–80% since the 1970s. The documented harvest of Lesser Yellowlegs in the Caribbean and northeastern South America during southward migration is a possible limiting factor for the species, but it is unknown to what extent birds from different breeding origins may be affected. To address the question of differential occurrence in</w:instrText>
      </w:r>
      <w:r w:rsidRPr="00C43E4B">
        <w:rPr>
          <w:rFonts w:ascii="Arial" w:hAnsi="Arial" w:cs="Arial"/>
          <w:lang w:val="fr-FR"/>
        </w:rPr>
        <w:instrText xml:space="preserve"> harvest zones during southward migration, we used PinPoint GPS Argos transmitters to track the southward migrations of 85 adult Lesser Yellowlegs from across the species’ breeding range and 80° of longitude from Anchorage, Alaska, USA, to the Mingan Archipelago, Quebec, Canada. We classified migratory locations as inside or outside three zones with high levels of harvest (Caribbean, coastal Guianas, and coastal Brazil) and then fit generalized additive mixed models to estimate the probability of occurrence</w:instrText>
      </w:r>
      <w:r w:rsidRPr="00C43E4B">
        <w:rPr>
          <w:rFonts w:ascii="Arial" w:hAnsi="Arial" w:cs="Arial"/>
          <w:lang w:val="fr-FR"/>
        </w:rPr>
        <w:instrText xml:space="preserve"> of Lesser Yellowlegs in harvest zones according to their breeding origin. Individuals from the Eastern Canada population had a higher probability of occurrence within one or more harvest zones and remained in those zones longer than individuals breeding in Alaska and western Canada. Linear regressions also suggested that longitude of the breeding origin is an important predictor of occurrence in harvest zones during southward migration. Lastly, our findings, combined with other sources of evidence, suggest</w:instrText>
      </w:r>
      <w:r w:rsidRPr="00C43E4B">
        <w:rPr>
          <w:rFonts w:ascii="Arial" w:hAnsi="Arial" w:cs="Arial"/>
          <w:lang w:val="fr-FR"/>
        </w:rPr>
        <w:instrText xml:space="preserve"> that current estimated harvest rates may exceed sustainable limits for Lesser Yellowlegs, which warrants further investigation.• The Lesser Yellowlegs is experiencing a steep population decline. Addressing longstanding knowledge gaps, such as the potential impact that unregulated harvest has on specific breeding populations, helps scientists and managers develop and implement effective conservation actions for this vulnerable species.• Using GPS telemetry, we tracked the southward migration of 85 adult Les</w:instrText>
      </w:r>
      <w:r w:rsidRPr="00C43E4B">
        <w:rPr>
          <w:rFonts w:ascii="Arial" w:hAnsi="Arial" w:cs="Arial"/>
          <w:lang w:val="fr-FR"/>
        </w:rPr>
        <w:instrText>ser Yellowlegs across the Western Hemisphere to establish the specific populations that migrate through areas with high harvest.• Lesser Yellowlegs originating from the eastern part of their migratory range were more likely than western-breeding birds to occur within jurisdictions in the Caribbean and northeastern South America where shorebird harvest occurs.• Without considering differential occurrence of Lesser Yellowlegs within harvest regions, their decline will likely continue, resulting in the loss of</w:instrText>
      </w:r>
      <w:r w:rsidRPr="00C43E4B">
        <w:rPr>
          <w:rFonts w:ascii="Arial" w:hAnsi="Arial" w:cs="Arial"/>
          <w:lang w:val="fr-FR"/>
        </w:rPr>
        <w:instrText xml:space="preserve"> biodiversity and an important cultural resource.","container-title":"Ornithological Applications","DOI":"10.1093/ornithapp/duab061","ISSN":"0010-5422","issue":"1","journalAbbreviation":"Ornithological Applications","page":"duab061","source":"Silverchair","title":"Eastern-breeding Lesser Yellowlegs are more likely than western-breeding birds to visit areas with high shorebird hunting during southward migration","volume":"124","author":[{"family":"McDuffie","given":"Laura A"},{"family":"Christie","given":"Ka</w:instrText>
      </w:r>
      <w:r w:rsidRPr="00C43E4B">
        <w:rPr>
          <w:rFonts w:ascii="Arial" w:hAnsi="Arial" w:cs="Arial"/>
          <w:lang w:val="fr-FR"/>
        </w:rPr>
        <w:instrText xml:space="preserve">therine S"},{"family":"Harrison","given":"Autumn-Lynn"},{"family":"Taylor","given":"Audrey R"},{"family":"Andres","given":"Brad A"},{"family":"Laliberté","given":"Benoit"},{"family":"Johnson","given":"James A"}],"issued":{"date-parts":[["2022",2,1]]}}}],"schema":"https://github.com/citation-style-language/schema/raw/master/csl-citation.json"}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(Rivera-Milan 2023 ; McDuffie </w:t>
      </w:r>
      <w:r w:rsidRPr="00C43E4B">
        <w:rPr>
          <w:rFonts w:ascii="Arial" w:hAnsi="Arial" w:cs="Arial"/>
          <w:i/>
          <w:iCs/>
          <w:lang w:val="fr-FR"/>
        </w:rPr>
        <w:t>et al.</w:t>
      </w:r>
      <w:r w:rsidRPr="00C43E4B">
        <w:rPr>
          <w:rFonts w:ascii="Arial" w:hAnsi="Arial" w:cs="Arial"/>
          <w:lang w:val="fr-FR"/>
        </w:rPr>
        <w:t xml:space="preserve"> 2022a)</w:t>
      </w:r>
      <w:r w:rsidRPr="00C43E4B">
        <w:rPr>
          <w:rFonts w:ascii="Arial" w:hAnsi="Arial" w:cs="Arial"/>
          <w:lang w:val="fr-FR"/>
        </w:rPr>
        <w:fldChar w:fldCharType="end"/>
      </w:r>
      <w:r w:rsidRPr="00C43E4B">
        <w:rPr>
          <w:rFonts w:ascii="Arial" w:hAnsi="Arial" w:cs="Arial"/>
          <w:lang w:val="fr-FR"/>
        </w:rPr>
        <w:t>. Entre 7 000 et 15 000 oiseaux peuvent être abattus chaque année à la Barbade, et jusqu'à récemment, cette espèce était également l'oiseau de rivage le plus chassé en Guadeloupe et en Martinique</w:t>
      </w:r>
      <w:r w:rsidRPr="00C43E4B">
        <w:rPr>
          <w:rFonts w:ascii="Arial" w:hAnsi="Arial" w:cs="Arial"/>
          <w:lang w:val="fr-FR"/>
        </w:rPr>
        <w:fldChar w:fldCharType="begin"/>
      </w:r>
      <w:r w:rsidRPr="00C43E4B">
        <w:rPr>
          <w:rFonts w:ascii="Arial" w:hAnsi="Arial" w:cs="Arial"/>
          <w:lang w:val="fr-FR"/>
        </w:rPr>
        <w:instrText xml:space="preserve"> ADDIN ZOTERO_ITEM CSL_CITATION {"citationID":"pRdwIRa9","properties":{"formattedCitation":"(Clay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al</w:t>
      </w:r>
      <w:r w:rsidRPr="00C43E4B">
        <w:rPr>
          <w:rFonts w:ascii="Arial" w:hAnsi="Arial" w:cs="Arial"/>
          <w:lang w:val="fr-FR"/>
        </w:rPr>
        <w:t xml:space="preserve">. 2012 ; Cox </w:t>
      </w:r>
      <w:r w:rsidRPr="00C43E4B">
        <w:rPr>
          <w:rFonts w:ascii="Arial" w:hAnsi="Arial" w:cs="Arial"/>
          <w:i/>
          <w:iCs/>
          <w:lang w:val="fr-FR"/>
        </w:rPr>
        <w:t>et al</w:t>
      </w:r>
      <w:r w:rsidRPr="00C43E4B">
        <w:rPr>
          <w:rFonts w:ascii="Arial" w:hAnsi="Arial" w:cs="Arial"/>
          <w:lang w:val="fr-FR"/>
        </w:rPr>
        <w:t>. en préparation)</w:t>
      </w:r>
      <w:r w:rsidRPr="00C43E4B">
        <w:rPr>
          <w:rFonts w:ascii="Arial" w:hAnsi="Arial" w:cs="Arial"/>
          <w:lang w:val="fr-FR"/>
        </w:rPr>
        <w:fldChar w:fldCharType="end"/>
      </w:r>
      <w:r w:rsidRPr="00C43E4B">
        <w:rPr>
          <w:rFonts w:ascii="Arial" w:hAnsi="Arial" w:cs="Arial"/>
          <w:lang w:val="fr-FR"/>
        </w:rPr>
        <w:t>. La chasse de cette espèce est également pratiquée légalement en Guyane française et au Guyana, et illégalement au Suriname.</w:t>
      </w:r>
    </w:p>
    <w:p w14:paraId="38FF1037" w14:textId="77777777" w:rsidR="00260895" w:rsidRPr="00C43E4B" w:rsidRDefault="00260895">
      <w:pPr>
        <w:autoSpaceDE w:val="0"/>
        <w:adjustRightInd w:val="0"/>
        <w:spacing w:after="0" w:line="240" w:lineRule="auto"/>
        <w:jc w:val="both"/>
        <w:rPr>
          <w:rFonts w:ascii="Arial" w:hAnsi="Arial" w:cs="Arial"/>
          <w:lang w:val="fr-FR"/>
        </w:rPr>
      </w:pPr>
    </w:p>
    <w:p w14:paraId="2C1DE832"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5.4</w:t>
      </w:r>
      <w:r w:rsidRPr="00C43E4B">
        <w:rPr>
          <w:rFonts w:ascii="Arial" w:hAnsi="Arial" w:cs="Arial"/>
          <w:lang w:val="fr-FR"/>
        </w:rPr>
        <w:tab/>
      </w:r>
      <w:r w:rsidRPr="00C43E4B">
        <w:rPr>
          <w:rFonts w:ascii="Arial" w:hAnsi="Arial" w:cs="Arial"/>
          <w:lang w:val="fr-FR"/>
        </w:rPr>
        <w:t xml:space="preserve"> Menaces particulièrement liées aux migrations</w:t>
      </w:r>
    </w:p>
    <w:p w14:paraId="12619451" w14:textId="77777777" w:rsidR="00260895" w:rsidRPr="00C43E4B" w:rsidRDefault="00260895">
      <w:pPr>
        <w:spacing w:after="0" w:line="240" w:lineRule="auto"/>
        <w:jc w:val="both"/>
        <w:rPr>
          <w:rFonts w:ascii="Arial" w:hAnsi="Arial" w:cs="Arial"/>
          <w:lang w:val="fr-FR"/>
        </w:rPr>
      </w:pPr>
    </w:p>
    <w:p w14:paraId="4483AC36"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Les menaces qui pèsent sur l'espèce peuvent soit augmenter directement la mortalité pendant la migration (chasse, conditions météorologiques extrêmes dues au changement climatique, pollution due aux marées noires ou aux pesticides agricoles)</w:t>
      </w:r>
      <w:r w:rsidRPr="00C43E4B">
        <w:rPr>
          <w:rFonts w:ascii="Arial" w:eastAsia="Arial" w:hAnsi="Arial" w:cs="Arial"/>
          <w:lang w:val="fr-FR"/>
        </w:rPr>
        <w:t>, soit générer des effets sublétaux qui compromettent la survie individuelle et le succès reproductif futur, comme la perte et la dégradation de l'habitat pendant la migration, ce qui réduit la disponibilité des haltes migratoires de haute qualité.</w:t>
      </w:r>
    </w:p>
    <w:p w14:paraId="0A7263B8" w14:textId="77777777" w:rsidR="00260895" w:rsidRPr="00C43E4B" w:rsidRDefault="00260895">
      <w:pPr>
        <w:keepNext/>
        <w:autoSpaceDE w:val="0"/>
        <w:adjustRightInd w:val="0"/>
        <w:spacing w:after="0" w:line="240" w:lineRule="auto"/>
        <w:jc w:val="both"/>
        <w:rPr>
          <w:rFonts w:ascii="Arial" w:hAnsi="Arial" w:cs="Arial"/>
          <w:lang w:val="fr-FR"/>
        </w:rPr>
      </w:pPr>
    </w:p>
    <w:p w14:paraId="616843FD"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5.5</w:t>
      </w:r>
      <w:r w:rsidRPr="00C43E4B">
        <w:rPr>
          <w:rFonts w:ascii="Arial" w:hAnsi="Arial" w:cs="Arial"/>
          <w:lang w:val="fr-FR"/>
        </w:rPr>
        <w:tab/>
        <w:t xml:space="preserve"> Exploitation nationale et internationale</w:t>
      </w:r>
    </w:p>
    <w:p w14:paraId="780518F3" w14:textId="77777777" w:rsidR="00260895" w:rsidRPr="00C43E4B" w:rsidRDefault="00260895">
      <w:pPr>
        <w:autoSpaceDE w:val="0"/>
        <w:adjustRightInd w:val="0"/>
        <w:spacing w:after="0" w:line="240" w:lineRule="auto"/>
        <w:jc w:val="both"/>
        <w:rPr>
          <w:rFonts w:ascii="Arial" w:hAnsi="Arial" w:cs="Arial"/>
          <w:lang w:val="fr-FR"/>
        </w:rPr>
      </w:pPr>
    </w:p>
    <w:p w14:paraId="769B0C86"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Les individus de </w:t>
      </w:r>
      <w:r w:rsidRPr="00C43E4B">
        <w:rPr>
          <w:rFonts w:ascii="Arial" w:hAnsi="Arial" w:cs="Arial"/>
          <w:i/>
          <w:iCs/>
          <w:lang w:val="fr-FR"/>
        </w:rPr>
        <w:t xml:space="preserve">Tringa flavipes </w:t>
      </w:r>
      <w:r w:rsidRPr="00C43E4B">
        <w:rPr>
          <w:rFonts w:ascii="Arial" w:hAnsi="Arial" w:cs="Arial"/>
          <w:lang w:val="fr-FR"/>
        </w:rPr>
        <w:t>sont chassés pour la consommation ou le sport dans certains pays (par exemple,</w:t>
      </w:r>
      <w:r w:rsidRPr="00C43E4B">
        <w:rPr>
          <w:rFonts w:ascii="Arial" w:hAnsi="Arial" w:cs="Arial"/>
          <w:i/>
          <w:iCs/>
          <w:lang w:val="fr-FR"/>
        </w:rPr>
        <w:t xml:space="preserve"> </w:t>
      </w:r>
      <w:r w:rsidRPr="00C43E4B">
        <w:rPr>
          <w:rFonts w:ascii="Arial" w:hAnsi="Arial" w:cs="Arial"/>
          <w:lang w:val="fr-FR"/>
        </w:rPr>
        <w:t>la Barbade, la Guadeloupe, la Martinique et la Guyane française), bien qu'en Guadeloupe et en Martinique, un moratoire sur leur capture ait été mis en place pour la saison de chasse 2024-2025.</w:t>
      </w:r>
      <w:r w:rsidRPr="00C43E4B">
        <w:rPr>
          <w:rFonts w:ascii="Arial" w:eastAsia="Arial" w:hAnsi="Arial" w:cs="Arial"/>
          <w:lang w:val="fr-FR"/>
        </w:rPr>
        <w:t xml:space="preserve"> L'avitourisme implique également la valorisation de cette espèce à l'échelle internationale.</w:t>
      </w:r>
    </w:p>
    <w:p w14:paraId="353C6066" w14:textId="77777777" w:rsidR="00260895" w:rsidRPr="00C43E4B" w:rsidRDefault="00260895">
      <w:pPr>
        <w:keepNext/>
        <w:autoSpaceDE w:val="0"/>
        <w:adjustRightInd w:val="0"/>
        <w:spacing w:after="0" w:line="240" w:lineRule="auto"/>
        <w:jc w:val="both"/>
        <w:rPr>
          <w:rFonts w:ascii="Arial" w:hAnsi="Arial" w:cs="Arial"/>
          <w:b/>
          <w:bCs/>
          <w:lang w:val="fr-FR"/>
        </w:rPr>
      </w:pPr>
    </w:p>
    <w:p w14:paraId="684AFC4C"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6.</w:t>
      </w:r>
      <w:r w:rsidRPr="00C43E4B">
        <w:rPr>
          <w:rFonts w:ascii="Arial" w:hAnsi="Arial" w:cs="Arial"/>
          <w:b/>
          <w:bCs/>
          <w:lang w:val="fr-FR"/>
        </w:rPr>
        <w:tab/>
        <w:t xml:space="preserve"> Statut de la protection et de la gestion de l'espèce </w:t>
      </w:r>
    </w:p>
    <w:p w14:paraId="1FBDE83F" w14:textId="77777777" w:rsidR="00260895" w:rsidRPr="00C43E4B" w:rsidRDefault="00260895">
      <w:pPr>
        <w:keepNext/>
        <w:autoSpaceDE w:val="0"/>
        <w:adjustRightInd w:val="0"/>
        <w:spacing w:after="0" w:line="240" w:lineRule="auto"/>
        <w:jc w:val="both"/>
        <w:rPr>
          <w:rFonts w:ascii="Arial" w:hAnsi="Arial" w:cs="Arial"/>
          <w:lang w:val="fr-FR"/>
        </w:rPr>
      </w:pPr>
    </w:p>
    <w:p w14:paraId="53837D4C"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6.1</w:t>
      </w:r>
      <w:r w:rsidRPr="00C43E4B">
        <w:rPr>
          <w:rFonts w:ascii="Arial" w:hAnsi="Arial" w:cs="Arial"/>
          <w:lang w:val="fr-FR"/>
        </w:rPr>
        <w:tab/>
        <w:t xml:space="preserve"> Statut de la protection au niveau national</w:t>
      </w:r>
    </w:p>
    <w:p w14:paraId="766AA03A" w14:textId="77777777" w:rsidR="00260895" w:rsidRPr="00C43E4B" w:rsidRDefault="00260895">
      <w:pPr>
        <w:autoSpaceDE w:val="0"/>
        <w:adjustRightInd w:val="0"/>
        <w:spacing w:after="0" w:line="240" w:lineRule="auto"/>
        <w:jc w:val="both"/>
        <w:rPr>
          <w:rFonts w:ascii="Arial" w:hAnsi="Arial" w:cs="Arial"/>
          <w:lang w:val="fr-FR"/>
        </w:rPr>
      </w:pPr>
    </w:p>
    <w:p w14:paraId="7391C62E"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Dans les zones de reproduction, l'espèce est protégée au Canada par la Loi sur la Convention concernant les oiseaux migrateurs et aux États-Unis par la Loi sur le Traité concernant les oiseaux migrateurs. La chasse de cette espèce est donc interdite dans ces deux pays. En Argentine et au Brésil, deux pays qui </w:t>
      </w:r>
      <w:r w:rsidRPr="00C43E4B">
        <w:rPr>
          <w:rFonts w:ascii="Arial" w:eastAsia="Arial" w:hAnsi="Arial" w:cs="Arial"/>
          <w:lang w:val="fr-FR"/>
        </w:rPr>
        <w:t xml:space="preserve">abritent des populations non reproductrices de </w:t>
      </w:r>
      <w:r w:rsidRPr="00C43E4B">
        <w:rPr>
          <w:rFonts w:ascii="Arial" w:eastAsia="Arial" w:hAnsi="Arial" w:cs="Arial"/>
          <w:i/>
          <w:iCs/>
          <w:lang w:val="fr-FR"/>
        </w:rPr>
        <w:t>Tringa flavipes</w:t>
      </w:r>
      <w:r w:rsidRPr="00C43E4B">
        <w:rPr>
          <w:rFonts w:ascii="Arial" w:hAnsi="Arial" w:cs="Arial"/>
          <w:lang w:val="fr-FR"/>
        </w:rPr>
        <w:t xml:space="preserve">, toutes les espèces de faune sauvage sont protégées par la loi (Loi 22.421 en Argentine et Loi 5.197 au Brésil), et </w:t>
      </w:r>
      <w:r w:rsidRPr="00C43E4B">
        <w:rPr>
          <w:rFonts w:ascii="Arial" w:hAnsi="Arial" w:cs="Arial"/>
          <w:i/>
          <w:iCs/>
          <w:lang w:val="fr-FR"/>
        </w:rPr>
        <w:t xml:space="preserve">Tringa flavipes </w:t>
      </w:r>
      <w:r w:rsidRPr="00C43E4B">
        <w:rPr>
          <w:rFonts w:ascii="Arial" w:hAnsi="Arial" w:cs="Arial"/>
          <w:lang w:val="fr-FR"/>
        </w:rPr>
        <w:t>est également une espèce cible des plans nationaux de conservation des oiseaux de rivage dans les deux pays. Cependant, la chasse de cette espèce est autorisée dans plusieurs pays de son aire de répartition (</w:t>
      </w:r>
      <w:r w:rsidRPr="00C43E4B">
        <w:rPr>
          <w:rFonts w:ascii="Arial" w:hAnsi="Arial" w:cs="Arial"/>
          <w:i/>
          <w:iCs/>
          <w:lang w:val="fr-FR"/>
        </w:rPr>
        <w:t>p</w:t>
      </w:r>
      <w:r w:rsidRPr="00C43E4B">
        <w:rPr>
          <w:rFonts w:ascii="Arial" w:hAnsi="Arial" w:cs="Arial"/>
          <w:lang w:val="fr-FR"/>
        </w:rPr>
        <w:t>ar exemple, Barbade, Guyana, Guyane française), avec un moratoire appliqué pour la saison de chasse 2024-202</w:t>
      </w:r>
      <w:r w:rsidRPr="00C43E4B">
        <w:rPr>
          <w:rFonts w:ascii="Arial" w:hAnsi="Arial" w:cs="Arial"/>
          <w:lang w:val="fr-FR"/>
        </w:rPr>
        <w:t xml:space="preserve">5 en Martinique et en Guadeloupe. </w:t>
      </w:r>
    </w:p>
    <w:p w14:paraId="3A6CCF51" w14:textId="77777777" w:rsidR="00260895" w:rsidRPr="00C43E4B" w:rsidRDefault="00260895">
      <w:pPr>
        <w:autoSpaceDE w:val="0"/>
        <w:adjustRightInd w:val="0"/>
        <w:spacing w:after="0" w:line="240" w:lineRule="auto"/>
        <w:jc w:val="both"/>
        <w:rPr>
          <w:rFonts w:ascii="Arial" w:hAnsi="Arial" w:cs="Arial"/>
          <w:lang w:val="fr-FR"/>
        </w:rPr>
      </w:pPr>
    </w:p>
    <w:p w14:paraId="7B5A32F5"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br w:type="page"/>
      </w:r>
    </w:p>
    <w:p w14:paraId="4E61EDB8"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lastRenderedPageBreak/>
        <w:t xml:space="preserve">6.2 </w:t>
      </w:r>
      <w:r w:rsidRPr="00C43E4B">
        <w:rPr>
          <w:rFonts w:ascii="Arial" w:hAnsi="Arial" w:cs="Arial"/>
          <w:lang w:val="fr-FR"/>
        </w:rPr>
        <w:tab/>
        <w:t xml:space="preserve"> Statut de la protection au niveau international</w:t>
      </w:r>
    </w:p>
    <w:p w14:paraId="1DE98A7B" w14:textId="77777777" w:rsidR="00260895" w:rsidRPr="00C43E4B" w:rsidRDefault="00260895">
      <w:pPr>
        <w:autoSpaceDE w:val="0"/>
        <w:adjustRightInd w:val="0"/>
        <w:spacing w:after="0" w:line="240" w:lineRule="auto"/>
        <w:jc w:val="both"/>
        <w:rPr>
          <w:rFonts w:ascii="Arial" w:hAnsi="Arial" w:cs="Arial"/>
          <w:lang w:val="fr-FR"/>
        </w:rPr>
      </w:pPr>
    </w:p>
    <w:p w14:paraId="237253F9"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Actuellement, l'espèce n'est protégée au niveau international que par la loi relative au traité sur les oiseaux migrateurs (MBTA). Ce traité a été promulgué en 1918 en tant que loi fédérale des États-Unis pour protéger les oiseaux migrateurs dans le cadre d'une coopération internationale avec le Canada, et il a récemment été étendu au Mexique, au Japon et à la Russie. Par conséquent, </w:t>
      </w:r>
      <w:r w:rsidRPr="00C43E4B">
        <w:rPr>
          <w:rFonts w:ascii="Arial" w:hAnsi="Arial" w:cs="Arial"/>
          <w:i/>
          <w:iCs/>
          <w:lang w:val="fr-FR"/>
        </w:rPr>
        <w:t>Tringa flavipes</w:t>
      </w:r>
      <w:r w:rsidRPr="00C43E4B">
        <w:rPr>
          <w:rFonts w:ascii="Arial" w:hAnsi="Arial" w:cs="Arial"/>
          <w:lang w:val="fr-FR"/>
        </w:rPr>
        <w:t xml:space="preserve"> est protégé dans les trois pays couverts par la MBTA dans son aire de répartition (Canada, États-Unis et Mexique).</w:t>
      </w:r>
    </w:p>
    <w:p w14:paraId="740C2F47" w14:textId="77777777" w:rsidR="00260895" w:rsidRPr="00C43E4B" w:rsidRDefault="00260895">
      <w:pPr>
        <w:autoSpaceDE w:val="0"/>
        <w:adjustRightInd w:val="0"/>
        <w:spacing w:after="0" w:line="240" w:lineRule="auto"/>
        <w:jc w:val="both"/>
        <w:rPr>
          <w:rFonts w:ascii="Arial" w:hAnsi="Arial" w:cs="Arial"/>
          <w:lang w:val="fr-FR"/>
        </w:rPr>
      </w:pPr>
    </w:p>
    <w:p w14:paraId="127E9D00"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6.3</w:t>
      </w:r>
      <w:r w:rsidRPr="00C43E4B">
        <w:rPr>
          <w:rFonts w:ascii="Arial" w:hAnsi="Arial" w:cs="Arial"/>
          <w:lang w:val="fr-FR"/>
        </w:rPr>
        <w:tab/>
        <w:t xml:space="preserve"> Mesures de gestion</w:t>
      </w:r>
    </w:p>
    <w:p w14:paraId="1E59B330" w14:textId="77777777" w:rsidR="00260895" w:rsidRPr="00C43E4B" w:rsidRDefault="00260895">
      <w:pPr>
        <w:keepNext/>
        <w:autoSpaceDE w:val="0"/>
        <w:adjustRightInd w:val="0"/>
        <w:spacing w:after="0" w:line="240" w:lineRule="auto"/>
        <w:jc w:val="both"/>
        <w:rPr>
          <w:rFonts w:ascii="Arial" w:hAnsi="Arial" w:cs="Arial"/>
          <w:lang w:val="fr-FR"/>
        </w:rPr>
      </w:pPr>
    </w:p>
    <w:p w14:paraId="723BF607"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 xml:space="preserve">En raison des diverses menaces pressantes et du déclin consécutif de la population de </w:t>
      </w:r>
      <w:r w:rsidRPr="00C43E4B">
        <w:rPr>
          <w:rFonts w:ascii="Arial" w:hAnsi="Arial" w:cs="Arial"/>
          <w:i/>
          <w:iCs/>
          <w:lang w:val="fr-FR"/>
        </w:rPr>
        <w:t>Tringa flavipes</w:t>
      </w:r>
      <w:r w:rsidRPr="00C43E4B">
        <w:rPr>
          <w:rFonts w:ascii="Arial" w:hAnsi="Arial" w:cs="Arial"/>
          <w:lang w:val="fr-FR"/>
        </w:rPr>
        <w:t>, un plan de conservation pour cette espèce a été élaboré</w:t>
      </w:r>
      <w:r w:rsidRPr="00C43E4B">
        <w:rPr>
          <w:rFonts w:ascii="Arial" w:hAnsi="Arial" w:cs="Arial"/>
          <w:lang w:val="fr-FR"/>
        </w:rPr>
        <w:fldChar w:fldCharType="begin"/>
      </w:r>
      <w:r w:rsidRPr="00C43E4B">
        <w:rPr>
          <w:rFonts w:ascii="Arial" w:hAnsi="Arial" w:cs="Arial"/>
          <w:lang w:val="fr-FR"/>
        </w:rPr>
        <w:instrText xml:space="preserve"> ADDIN ZOTERO_ITEM CSL_CITATION {"citationID":"FrKxVPEY","properties":{"formattedCitation":"(Clay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w:instrText>
      </w:r>
      <w:r w:rsidRPr="00C43E4B">
        <w:rPr>
          <w:rFonts w:ascii="Arial" w:hAnsi="Arial" w:cs="Arial"/>
          <w:lang w:val="fr-FR"/>
        </w:rPr>
        <w:instrText xml:space="preserve">"title":"Conservation Plan for the Lesser Yellowlegs (Tringa flavipes)","author":[{"family":"Clay","given":"Robert P."},{"family":"Lesterhuis","given":"Arne"},{"family":"Centrón","given":"Silvia"}],"issued":{"date-parts":[["2012"]]}}}],"schema":"https://github.com/citation-style-language/schema/raw/master/csl-citation.json"} </w:instrText>
      </w:r>
      <w:r w:rsidRPr="00C43E4B">
        <w:rPr>
          <w:rFonts w:ascii="Arial" w:hAnsi="Arial" w:cs="Arial"/>
          <w:lang w:val="fr-FR"/>
        </w:rPr>
        <w:fldChar w:fldCharType="separate"/>
      </w:r>
      <w:r w:rsidRPr="00C43E4B">
        <w:rPr>
          <w:rFonts w:ascii="Arial" w:hAnsi="Arial" w:cs="Arial"/>
          <w:lang w:val="fr-FR"/>
        </w:rPr>
        <w:t xml:space="preserve"> (Clay </w:t>
      </w:r>
      <w:r w:rsidRPr="00C43E4B">
        <w:rPr>
          <w:rFonts w:ascii="Arial" w:hAnsi="Arial" w:cs="Arial"/>
          <w:i/>
          <w:iCs/>
          <w:lang w:val="fr-FR"/>
        </w:rPr>
        <w:t>et al.</w:t>
      </w:r>
      <w:r w:rsidRPr="00C43E4B">
        <w:rPr>
          <w:rFonts w:ascii="Arial" w:hAnsi="Arial" w:cs="Arial"/>
          <w:lang w:val="fr-FR"/>
        </w:rPr>
        <w:t xml:space="preserve"> 2012)</w:t>
      </w:r>
      <w:r w:rsidRPr="00C43E4B">
        <w:rPr>
          <w:rFonts w:ascii="Arial" w:hAnsi="Arial" w:cs="Arial"/>
          <w:lang w:val="fr-FR"/>
        </w:rPr>
        <w:fldChar w:fldCharType="end"/>
      </w:r>
      <w:r w:rsidRPr="00C43E4B">
        <w:rPr>
          <w:rFonts w:ascii="Arial" w:hAnsi="Arial" w:cs="Arial"/>
          <w:lang w:val="fr-FR"/>
        </w:rPr>
        <w:t>, et un nouveau plan d'action est en cours d'élaboration par le groupe international formé dans le cadre de l'initiative « Road to Recovery » (Road to Recovery 2022). L'objectif de ces plans est d'identifier les lacunes en matière de connaissances et de guider les activités de gestion de cette espèce grâce à des partenariats et des actions multisectorielles.</w:t>
      </w:r>
    </w:p>
    <w:p w14:paraId="015A503A" w14:textId="77777777" w:rsidR="00260895" w:rsidRPr="00C43E4B" w:rsidRDefault="00260895">
      <w:pPr>
        <w:autoSpaceDE w:val="0"/>
        <w:adjustRightInd w:val="0"/>
        <w:spacing w:after="0" w:line="240" w:lineRule="auto"/>
        <w:jc w:val="both"/>
        <w:rPr>
          <w:rFonts w:ascii="Arial" w:hAnsi="Arial" w:cs="Arial"/>
          <w:lang w:val="fr-FR"/>
        </w:rPr>
      </w:pPr>
    </w:p>
    <w:p w14:paraId="00C460EB"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6.4</w:t>
      </w:r>
      <w:r w:rsidRPr="00C43E4B">
        <w:rPr>
          <w:rFonts w:ascii="Arial" w:hAnsi="Arial" w:cs="Arial"/>
          <w:lang w:val="fr-FR"/>
        </w:rPr>
        <w:tab/>
        <w:t xml:space="preserve"> Conservation de l'habitat</w:t>
      </w:r>
    </w:p>
    <w:p w14:paraId="08C6D26B" w14:textId="77777777" w:rsidR="00260895" w:rsidRPr="00C43E4B" w:rsidRDefault="00260895">
      <w:pPr>
        <w:keepNext/>
        <w:autoSpaceDE w:val="0"/>
        <w:adjustRightInd w:val="0"/>
        <w:spacing w:after="0" w:line="240" w:lineRule="auto"/>
        <w:jc w:val="both"/>
        <w:rPr>
          <w:rFonts w:ascii="Arial" w:hAnsi="Arial" w:cs="Arial"/>
          <w:lang w:val="fr-FR"/>
        </w:rPr>
      </w:pPr>
    </w:p>
    <w:p w14:paraId="4E8316F1" w14:textId="77777777" w:rsidR="00260895" w:rsidRPr="00C43E4B" w:rsidRDefault="00B65B48">
      <w:pPr>
        <w:spacing w:after="0" w:line="240" w:lineRule="auto"/>
        <w:jc w:val="both"/>
        <w:rPr>
          <w:rFonts w:ascii="Arial" w:hAnsi="Arial" w:cs="Arial"/>
          <w:lang w:val="fr-FR"/>
        </w:rPr>
      </w:pPr>
      <w:r w:rsidRPr="00C43E4B">
        <w:rPr>
          <w:rFonts w:ascii="Arial" w:hAnsi="Arial" w:cs="Arial"/>
          <w:lang w:val="fr-FR"/>
        </w:rPr>
        <w:t xml:space="preserve">Le Réseau hémisphérique de réserves pour les oiseaux de rivage (RHRAP/WHSRN) identifie et s'efforce de protéger les habitats essentiels pour </w:t>
      </w:r>
      <w:r w:rsidRPr="00C43E4B">
        <w:rPr>
          <w:rFonts w:ascii="Arial" w:hAnsi="Arial" w:cs="Arial"/>
          <w:i/>
          <w:iCs/>
          <w:lang w:val="fr-FR"/>
        </w:rPr>
        <w:t>Tringa flavipes</w:t>
      </w:r>
      <w:r w:rsidRPr="00C43E4B">
        <w:rPr>
          <w:rFonts w:ascii="Arial" w:hAnsi="Arial" w:cs="Arial"/>
          <w:lang w:val="fr-FR"/>
        </w:rPr>
        <w:t>, comme la Laguna Mar Chiquita, un site d'importance hémisphérique qui accueille 15 000 individus de cette espèce. D'autres zones humides d'importance internationale, également fréquentées par cette espèce, sont protégées par la Convention de Ramsar sur les zones humides. En outre, la préservation de l'habitat grâce à des servitudes écologiques et à d'autres incitations sur de petites propriétés, qu'elles soient privées ou publiques, au Canada et aux États-Unis, peut contribuer à garantir des</w:t>
      </w:r>
      <w:r w:rsidRPr="00C43E4B">
        <w:rPr>
          <w:rFonts w:ascii="Arial" w:hAnsi="Arial" w:cs="Arial"/>
          <w:lang w:val="fr-FR"/>
        </w:rPr>
        <w:t xml:space="preserve"> habitats adéquats à des moments clés du cycle de vie de l'espèce.</w:t>
      </w:r>
    </w:p>
    <w:p w14:paraId="1613F25E" w14:textId="77777777" w:rsidR="00260895" w:rsidRPr="00C43E4B" w:rsidRDefault="00260895">
      <w:pPr>
        <w:spacing w:after="0" w:line="240" w:lineRule="auto"/>
        <w:jc w:val="both"/>
        <w:rPr>
          <w:rFonts w:ascii="Arial" w:hAnsi="Arial" w:cs="Arial"/>
          <w:lang w:val="fr-FR"/>
        </w:rPr>
      </w:pPr>
    </w:p>
    <w:p w14:paraId="1645C037" w14:textId="77777777" w:rsidR="00260895" w:rsidRPr="00C43E4B" w:rsidRDefault="00B65B48">
      <w:pPr>
        <w:keepNext/>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6.5</w:t>
      </w:r>
      <w:r w:rsidRPr="00C43E4B">
        <w:rPr>
          <w:rFonts w:ascii="Arial" w:hAnsi="Arial" w:cs="Arial"/>
          <w:lang w:val="fr-FR"/>
        </w:rPr>
        <w:tab/>
        <w:t xml:space="preserve"> Suivi de la population</w:t>
      </w:r>
    </w:p>
    <w:p w14:paraId="0CEBBD13" w14:textId="77777777" w:rsidR="00260895" w:rsidRPr="00C43E4B" w:rsidRDefault="00260895">
      <w:pPr>
        <w:keepNext/>
        <w:autoSpaceDE w:val="0"/>
        <w:adjustRightInd w:val="0"/>
        <w:spacing w:after="0" w:line="240" w:lineRule="auto"/>
        <w:jc w:val="both"/>
        <w:rPr>
          <w:rFonts w:ascii="Arial" w:hAnsi="Arial" w:cs="Arial"/>
          <w:lang w:val="fr-FR"/>
        </w:rPr>
      </w:pPr>
    </w:p>
    <w:p w14:paraId="4AC13321" w14:textId="77777777" w:rsidR="00260895" w:rsidRPr="00C43E4B" w:rsidRDefault="00B65B48">
      <w:pPr>
        <w:spacing w:after="0" w:line="240" w:lineRule="auto"/>
        <w:jc w:val="both"/>
        <w:rPr>
          <w:rFonts w:ascii="Arial" w:eastAsia="Arial" w:hAnsi="Arial" w:cs="Arial"/>
          <w:lang w:val="fr-FR"/>
        </w:rPr>
      </w:pPr>
      <w:r w:rsidRPr="00C43E4B">
        <w:rPr>
          <w:rFonts w:ascii="Arial" w:hAnsi="Arial" w:cs="Arial"/>
          <w:lang w:val="fr-FR"/>
        </w:rPr>
        <w:t xml:space="preserve">Les populations de </w:t>
      </w:r>
      <w:r w:rsidRPr="00C43E4B">
        <w:rPr>
          <w:rFonts w:ascii="Arial" w:hAnsi="Arial" w:cs="Arial"/>
          <w:i/>
          <w:iCs/>
          <w:lang w:val="fr-FR"/>
        </w:rPr>
        <w:t xml:space="preserve">Tringa flavipes </w:t>
      </w:r>
      <w:r w:rsidRPr="00C43E4B">
        <w:rPr>
          <w:rFonts w:ascii="Arial" w:eastAsia="Arial" w:hAnsi="Arial" w:cs="Arial"/>
          <w:lang w:val="fr-FR"/>
        </w:rPr>
        <w:t>sont actuellement surveillées dans le cadre de divers plans d'action nationaux et, au niveau international, par le biais du Recensement International des Oiseaux de Rivage coordonné par Manomet Conservation Sciences (</w:t>
      </w:r>
      <w:hyperlink r:id="rId12">
        <w:r w:rsidR="00260895" w:rsidRPr="00C43E4B">
          <w:rPr>
            <w:rStyle w:val="Hyperlink"/>
            <w:rFonts w:ascii="Arial" w:eastAsia="Arial" w:hAnsi="Arial" w:cs="Arial"/>
            <w:lang w:val="fr-FR"/>
          </w:rPr>
          <w:t>https://www.manomet.org/project/international-shorebird-survey/</w:t>
        </w:r>
      </w:hyperlink>
      <w:r w:rsidRPr="00C43E4B">
        <w:rPr>
          <w:rFonts w:ascii="Arial" w:eastAsia="Arial" w:hAnsi="Arial" w:cs="Arial"/>
          <w:lang w:val="fr-FR"/>
        </w:rPr>
        <w:t>). Ce recensement fournit une approche de surveillance standardisée pour les populations d'oiseaux de rivage dans l'ensemble de l'hémisphère occidental.</w:t>
      </w:r>
    </w:p>
    <w:p w14:paraId="70D35FCA" w14:textId="77777777" w:rsidR="00260895" w:rsidRPr="00C43E4B" w:rsidRDefault="00260895">
      <w:pPr>
        <w:spacing w:after="0" w:line="240" w:lineRule="auto"/>
        <w:jc w:val="both"/>
        <w:rPr>
          <w:rFonts w:ascii="Arial" w:eastAsia="Arial" w:hAnsi="Arial" w:cs="Arial"/>
          <w:lang w:val="fr-FR"/>
        </w:rPr>
      </w:pPr>
    </w:p>
    <w:p w14:paraId="780EAA50" w14:textId="77777777" w:rsidR="00260895" w:rsidRPr="00C43E4B" w:rsidRDefault="00B65B48">
      <w:pPr>
        <w:keepNext/>
        <w:spacing w:after="0" w:line="240" w:lineRule="auto"/>
        <w:ind w:left="567" w:hanging="567"/>
        <w:jc w:val="both"/>
        <w:rPr>
          <w:rFonts w:ascii="Arial" w:hAnsi="Arial" w:cs="Arial"/>
          <w:b/>
          <w:bCs/>
          <w:lang w:val="fr-FR"/>
        </w:rPr>
      </w:pPr>
      <w:r w:rsidRPr="00C43E4B">
        <w:rPr>
          <w:rFonts w:ascii="Arial" w:hAnsi="Arial" w:cs="Arial"/>
          <w:b/>
          <w:bCs/>
          <w:lang w:val="fr-FR"/>
        </w:rPr>
        <w:t>7.</w:t>
      </w:r>
      <w:r w:rsidRPr="00C43E4B">
        <w:rPr>
          <w:rFonts w:ascii="Arial" w:hAnsi="Arial" w:cs="Arial"/>
          <w:b/>
          <w:bCs/>
          <w:lang w:val="fr-FR"/>
        </w:rPr>
        <w:tab/>
        <w:t xml:space="preserve"> Effets de l'amendement proposé</w:t>
      </w:r>
    </w:p>
    <w:p w14:paraId="65A8A87C" w14:textId="77777777" w:rsidR="00260895" w:rsidRPr="00C43E4B" w:rsidRDefault="00260895">
      <w:pPr>
        <w:keepNext/>
        <w:spacing w:after="0" w:line="240" w:lineRule="auto"/>
        <w:jc w:val="both"/>
        <w:rPr>
          <w:rFonts w:ascii="Arial" w:hAnsi="Arial" w:cs="Arial"/>
          <w:b/>
          <w:bCs/>
          <w:lang w:val="fr-FR"/>
        </w:rPr>
      </w:pPr>
    </w:p>
    <w:p w14:paraId="12548CC5"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7.1</w:t>
      </w:r>
      <w:r w:rsidRPr="00C43E4B">
        <w:rPr>
          <w:rFonts w:ascii="Arial" w:hAnsi="Arial" w:cs="Arial"/>
          <w:lang w:val="fr-FR"/>
        </w:rPr>
        <w:tab/>
        <w:t xml:space="preserve"> Avantages attendus de l'amendement</w:t>
      </w:r>
    </w:p>
    <w:p w14:paraId="50A90E5F" w14:textId="77777777" w:rsidR="00260895" w:rsidRPr="00C43E4B" w:rsidRDefault="00260895">
      <w:pPr>
        <w:autoSpaceDE w:val="0"/>
        <w:adjustRightInd w:val="0"/>
        <w:spacing w:after="0" w:line="240" w:lineRule="auto"/>
        <w:jc w:val="both"/>
        <w:rPr>
          <w:rFonts w:ascii="Arial" w:hAnsi="Arial" w:cs="Arial"/>
          <w:lang w:val="fr-FR"/>
        </w:rPr>
      </w:pPr>
    </w:p>
    <w:p w14:paraId="0099442F"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La modification proposée bénéficiera aux initiatives existantes visant à promouvoir des actions concertées pour la conservation de </w:t>
      </w:r>
      <w:r w:rsidRPr="00C43E4B">
        <w:rPr>
          <w:rFonts w:ascii="Arial" w:hAnsi="Arial" w:cs="Arial"/>
          <w:i/>
          <w:iCs/>
          <w:lang w:val="fr-FR"/>
        </w:rPr>
        <w:t xml:space="preserve">Tringa flavipes </w:t>
      </w:r>
      <w:r w:rsidRPr="00C43E4B">
        <w:rPr>
          <w:rFonts w:ascii="Arial" w:hAnsi="Arial" w:cs="Arial"/>
          <w:lang w:val="fr-FR"/>
        </w:rPr>
        <w:t xml:space="preserve">et de son habitat, telles que l'Initiative pour les Oiseaux de Rivage du Corridor Atlantique (AFSI ; </w:t>
      </w:r>
      <w:hyperlink r:id="rId13">
        <w:r w:rsidR="00260895" w:rsidRPr="00C43E4B">
          <w:rPr>
            <w:rStyle w:val="Hyperlink"/>
            <w:rFonts w:ascii="Arial" w:hAnsi="Arial" w:cs="Arial"/>
            <w:lang w:val="fr-FR"/>
          </w:rPr>
          <w:t>https://atlanticflywayshorebirds.org/</w:t>
        </w:r>
      </w:hyperlink>
      <w:r w:rsidRPr="00C43E4B">
        <w:rPr>
          <w:rFonts w:ascii="Arial" w:hAnsi="Arial" w:cs="Arial"/>
          <w:lang w:val="fr-FR"/>
        </w:rPr>
        <w:t>), l'I</w:t>
      </w:r>
      <w:r w:rsidRPr="00C43E4B">
        <w:rPr>
          <w:rFonts w:ascii="Arial" w:eastAsia="Arial" w:hAnsi="Arial" w:cs="Arial"/>
          <w:color w:val="000000" w:themeColor="text1"/>
          <w:lang w:val="fr-FR"/>
        </w:rPr>
        <w:t>nitiative pour la Conservation des Oiseaux de Rivage de la Voie médio-continentale</w:t>
      </w:r>
      <w:r w:rsidRPr="00C43E4B">
        <w:rPr>
          <w:rFonts w:ascii="Arial" w:hAnsi="Arial" w:cs="Arial"/>
          <w:lang w:val="fr-FR"/>
        </w:rPr>
        <w:t xml:space="preserve"> (MSCI ; </w:t>
      </w:r>
      <w:hyperlink r:id="rId14">
        <w:r w:rsidR="00260895" w:rsidRPr="00C43E4B">
          <w:rPr>
            <w:rStyle w:val="Hyperlink"/>
            <w:rFonts w:ascii="Arial" w:hAnsi="Arial" w:cs="Arial"/>
            <w:lang w:val="fr-FR"/>
          </w:rPr>
          <w:t>https://midamericasshorebirds.org/</w:t>
        </w:r>
      </w:hyperlink>
      <w:r w:rsidRPr="00C43E4B">
        <w:rPr>
          <w:rFonts w:ascii="Arial" w:hAnsi="Arial" w:cs="Arial"/>
          <w:lang w:val="fr-FR"/>
        </w:rPr>
        <w:t xml:space="preserve">) et Road to </w:t>
      </w:r>
      <w:proofErr w:type="spellStart"/>
      <w:r w:rsidRPr="00C43E4B">
        <w:rPr>
          <w:rFonts w:ascii="Arial" w:hAnsi="Arial" w:cs="Arial"/>
          <w:lang w:val="fr-FR"/>
        </w:rPr>
        <w:t>Recovery</w:t>
      </w:r>
      <w:proofErr w:type="spellEnd"/>
      <w:r w:rsidRPr="00C43E4B">
        <w:rPr>
          <w:rFonts w:ascii="Arial" w:hAnsi="Arial" w:cs="Arial"/>
          <w:lang w:val="fr-FR"/>
        </w:rPr>
        <w:t xml:space="preserve"> (R2R ; </w:t>
      </w:r>
      <w:hyperlink r:id="rId15">
        <w:r w:rsidR="00260895" w:rsidRPr="00C43E4B">
          <w:rPr>
            <w:rStyle w:val="Hyperlink"/>
            <w:rFonts w:ascii="Arial" w:hAnsi="Arial" w:cs="Arial"/>
            <w:lang w:val="fr-FR"/>
          </w:rPr>
          <w:t>https://r2rbirds.org/)</w:t>
        </w:r>
      </w:hyperlink>
      <w:r w:rsidRPr="00C43E4B">
        <w:rPr>
          <w:rFonts w:ascii="Arial" w:hAnsi="Arial" w:cs="Arial"/>
          <w:lang w:val="fr-FR"/>
        </w:rPr>
        <w:t xml:space="preserve">. L'AFSI et la MSCI ont identifié des actions prioritaires pour inverser le déclin des espèces d'oiseaux de rivage ciblées dans les Amériques, l'une d'elles étant </w:t>
      </w:r>
      <w:r w:rsidRPr="00C43E4B">
        <w:rPr>
          <w:rFonts w:ascii="Arial" w:hAnsi="Arial" w:cs="Arial"/>
          <w:i/>
          <w:iCs/>
          <w:lang w:val="fr-FR"/>
        </w:rPr>
        <w:t>Tringa flavipes</w:t>
      </w:r>
      <w:r w:rsidRPr="00C43E4B">
        <w:rPr>
          <w:rFonts w:ascii="Arial" w:hAnsi="Arial" w:cs="Arial"/>
          <w:lang w:val="fr-FR"/>
        </w:rPr>
        <w:t>. Ces actions ont été élaborées de manière collaborative par des spécialistes, des conservateurs et des organismes gouvernementaux de pays de toute l'Amérique. L'initiative R2R a été créée en réponse à la perte de trois milliards d'oiseaux aux États-Unis et au Canada (Rosenberg</w:t>
      </w:r>
      <w:r w:rsidRPr="00C43E4B">
        <w:rPr>
          <w:rFonts w:ascii="Arial" w:hAnsi="Arial" w:cs="Arial"/>
          <w:i/>
          <w:iCs/>
          <w:lang w:val="fr-FR"/>
        </w:rPr>
        <w:t xml:space="preserve"> et al.</w:t>
      </w:r>
      <w:r w:rsidRPr="00C43E4B">
        <w:rPr>
          <w:rFonts w:ascii="Arial" w:hAnsi="Arial" w:cs="Arial"/>
          <w:lang w:val="fr-FR"/>
        </w:rPr>
        <w:t xml:space="preserve"> 2019). La stratégie R2R se concentre sur des gro</w:t>
      </w:r>
      <w:r w:rsidRPr="00C43E4B">
        <w:rPr>
          <w:rFonts w:ascii="Arial" w:hAnsi="Arial" w:cs="Arial"/>
          <w:lang w:val="fr-FR"/>
        </w:rPr>
        <w:t xml:space="preserve">upes de travail dédiés à la conservation des espèces, reposant sur une collaboration internationale et interdisciplinaire. L'espèce </w:t>
      </w:r>
      <w:r w:rsidRPr="00C43E4B">
        <w:rPr>
          <w:rFonts w:ascii="Arial" w:hAnsi="Arial" w:cs="Arial"/>
          <w:lang w:val="fr-FR"/>
        </w:rPr>
        <w:lastRenderedPageBreak/>
        <w:t>mentionnée dans cette proposition a été identifiée comme l'une des espèces clés et fait partie du groupe de travail R2R.</w:t>
      </w:r>
    </w:p>
    <w:p w14:paraId="12D9613F" w14:textId="77777777" w:rsidR="00260895" w:rsidRPr="00C43E4B" w:rsidRDefault="00260895">
      <w:pPr>
        <w:autoSpaceDE w:val="0"/>
        <w:adjustRightInd w:val="0"/>
        <w:spacing w:after="0" w:line="240" w:lineRule="auto"/>
        <w:jc w:val="both"/>
        <w:rPr>
          <w:rFonts w:ascii="Arial" w:hAnsi="Arial" w:cs="Arial"/>
          <w:lang w:val="fr-FR"/>
        </w:rPr>
      </w:pPr>
    </w:p>
    <w:p w14:paraId="38745AC5"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7.2</w:t>
      </w:r>
      <w:r w:rsidRPr="00C43E4B">
        <w:rPr>
          <w:rFonts w:ascii="Arial" w:hAnsi="Arial" w:cs="Arial"/>
          <w:lang w:val="fr-FR"/>
        </w:rPr>
        <w:tab/>
        <w:t xml:space="preserve"> Risques potentiels de l'amendement</w:t>
      </w:r>
    </w:p>
    <w:p w14:paraId="62CB1556" w14:textId="77777777" w:rsidR="00260895" w:rsidRPr="00C43E4B" w:rsidRDefault="00260895">
      <w:pPr>
        <w:autoSpaceDE w:val="0"/>
        <w:adjustRightInd w:val="0"/>
        <w:spacing w:after="0" w:line="240" w:lineRule="auto"/>
        <w:jc w:val="both"/>
        <w:rPr>
          <w:rFonts w:ascii="Arial" w:hAnsi="Arial" w:cs="Arial"/>
          <w:lang w:val="fr-FR"/>
        </w:rPr>
      </w:pPr>
    </w:p>
    <w:p w14:paraId="23FE7DA1"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Non prévu.</w:t>
      </w:r>
    </w:p>
    <w:p w14:paraId="752646DA" w14:textId="77777777" w:rsidR="00260895" w:rsidRPr="00C43E4B" w:rsidRDefault="00260895">
      <w:pPr>
        <w:autoSpaceDE w:val="0"/>
        <w:adjustRightInd w:val="0"/>
        <w:spacing w:after="0" w:line="240" w:lineRule="auto"/>
        <w:ind w:left="567" w:hanging="567"/>
        <w:jc w:val="both"/>
        <w:rPr>
          <w:rFonts w:ascii="Arial" w:hAnsi="Arial" w:cs="Arial"/>
          <w:lang w:val="fr-FR"/>
        </w:rPr>
      </w:pPr>
    </w:p>
    <w:p w14:paraId="58791055" w14:textId="77777777" w:rsidR="00260895" w:rsidRPr="00C43E4B" w:rsidRDefault="00B65B48">
      <w:pPr>
        <w:autoSpaceDE w:val="0"/>
        <w:adjustRightInd w:val="0"/>
        <w:spacing w:after="0" w:line="240" w:lineRule="auto"/>
        <w:ind w:left="567" w:hanging="567"/>
        <w:jc w:val="both"/>
        <w:rPr>
          <w:rFonts w:ascii="Arial" w:hAnsi="Arial" w:cs="Arial"/>
          <w:lang w:val="fr-FR"/>
        </w:rPr>
      </w:pPr>
      <w:r w:rsidRPr="00C43E4B">
        <w:rPr>
          <w:rFonts w:ascii="Arial" w:hAnsi="Arial" w:cs="Arial"/>
          <w:lang w:val="fr-FR"/>
        </w:rPr>
        <w:t xml:space="preserve">7.3 </w:t>
      </w:r>
      <w:r w:rsidRPr="00C43E4B">
        <w:rPr>
          <w:rFonts w:ascii="Arial" w:hAnsi="Arial" w:cs="Arial"/>
          <w:lang w:val="fr-FR"/>
        </w:rPr>
        <w:tab/>
      </w:r>
      <w:r w:rsidRPr="00C43E4B">
        <w:rPr>
          <w:rFonts w:ascii="Arial" w:hAnsi="Arial" w:cs="Arial"/>
          <w:lang w:val="fr-FR"/>
        </w:rPr>
        <w:t xml:space="preserve"> Intention du Proposant concernant l'élaboration d'un accord ou d'une action concertée</w:t>
      </w:r>
    </w:p>
    <w:p w14:paraId="37745F87" w14:textId="77777777" w:rsidR="00260895" w:rsidRPr="00C43E4B" w:rsidRDefault="00260895">
      <w:pPr>
        <w:autoSpaceDE w:val="0"/>
        <w:adjustRightInd w:val="0"/>
        <w:spacing w:after="0" w:line="240" w:lineRule="auto"/>
        <w:jc w:val="both"/>
        <w:rPr>
          <w:rFonts w:ascii="Arial" w:hAnsi="Arial" w:cs="Arial"/>
          <w:u w:val="single"/>
          <w:lang w:val="fr-FR"/>
        </w:rPr>
      </w:pPr>
    </w:p>
    <w:p w14:paraId="06817EEF" w14:textId="77777777" w:rsidR="00260895" w:rsidRPr="00C43E4B" w:rsidRDefault="00B65B48">
      <w:pPr>
        <w:autoSpaceDE w:val="0"/>
        <w:adjustRightInd w:val="0"/>
        <w:spacing w:after="0" w:line="240" w:lineRule="auto"/>
        <w:jc w:val="both"/>
        <w:rPr>
          <w:rFonts w:ascii="Arial" w:hAnsi="Arial" w:cs="Arial"/>
          <w:lang w:val="fr-FR"/>
        </w:rPr>
      </w:pPr>
      <w:r w:rsidRPr="00C43E4B">
        <w:rPr>
          <w:rFonts w:ascii="Arial" w:hAnsi="Arial" w:cs="Arial"/>
          <w:lang w:val="fr-FR"/>
        </w:rPr>
        <w:t xml:space="preserve">Il sera proposé d'inclure </w:t>
      </w:r>
      <w:r w:rsidRPr="00C43E4B">
        <w:rPr>
          <w:rFonts w:ascii="Arial" w:hAnsi="Arial" w:cs="Arial"/>
          <w:i/>
          <w:iCs/>
          <w:lang w:val="fr-FR"/>
        </w:rPr>
        <w:t>Tringa flavipes</w:t>
      </w:r>
      <w:r w:rsidRPr="00C43E4B">
        <w:rPr>
          <w:rFonts w:ascii="Arial" w:hAnsi="Arial" w:cs="Arial"/>
          <w:lang w:val="fr-FR"/>
        </w:rPr>
        <w:t xml:space="preserve"> dans le Mémorandum d'Entente sur les oiseaux migrateurs des prairies du sud de l'Amérique du Sud, étant donné l'importance des zones humides de la région de la Pampa en tant que zone d'hivernage pour l'espèce.</w:t>
      </w:r>
    </w:p>
    <w:p w14:paraId="30EF55D7" w14:textId="77777777" w:rsidR="00260895" w:rsidRPr="00C43E4B" w:rsidRDefault="00260895">
      <w:pPr>
        <w:autoSpaceDE w:val="0"/>
        <w:adjustRightInd w:val="0"/>
        <w:spacing w:after="0" w:line="240" w:lineRule="auto"/>
        <w:jc w:val="both"/>
        <w:rPr>
          <w:rFonts w:ascii="Arial" w:hAnsi="Arial" w:cs="Arial"/>
          <w:lang w:val="fr-FR"/>
        </w:rPr>
      </w:pPr>
    </w:p>
    <w:p w14:paraId="68BCE9BA"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8.</w:t>
      </w:r>
      <w:r w:rsidRPr="00C43E4B">
        <w:rPr>
          <w:rFonts w:ascii="Arial" w:hAnsi="Arial" w:cs="Arial"/>
          <w:b/>
          <w:bCs/>
          <w:lang w:val="fr-FR"/>
        </w:rPr>
        <w:tab/>
        <w:t xml:space="preserve"> États de la zone de distribution</w:t>
      </w:r>
    </w:p>
    <w:p w14:paraId="325F6F7F" w14:textId="77777777" w:rsidR="00260895" w:rsidRPr="00C43E4B" w:rsidRDefault="00260895">
      <w:pPr>
        <w:keepNext/>
        <w:spacing w:after="0" w:line="240" w:lineRule="auto"/>
        <w:jc w:val="both"/>
        <w:rPr>
          <w:rFonts w:ascii="Arial" w:hAnsi="Arial" w:cs="Arial"/>
          <w:b/>
          <w:bCs/>
          <w:lang w:val="fr-FR"/>
        </w:rPr>
      </w:pPr>
    </w:p>
    <w:p w14:paraId="12451655"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Anguilla : zone non reproductive.</w:t>
      </w:r>
    </w:p>
    <w:p w14:paraId="7F76816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Antigua-et-Barbuda : zone non reproductive.</w:t>
      </w:r>
    </w:p>
    <w:p w14:paraId="004E89E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Argentine : zone non reproductive.</w:t>
      </w:r>
    </w:p>
    <w:p w14:paraId="600C718D"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Aruba : zone non reproductive.</w:t>
      </w:r>
    </w:p>
    <w:p w14:paraId="586D0EE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Bahamas : zone non reproductive.</w:t>
      </w:r>
    </w:p>
    <w:p w14:paraId="6AE0C21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Barbade : zone non reproductive.</w:t>
      </w:r>
    </w:p>
    <w:p w14:paraId="4B833CA8"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Belize : zone non reproductive.</w:t>
      </w:r>
    </w:p>
    <w:p w14:paraId="04BAD160"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Bermudes : zone non reproductive.</w:t>
      </w:r>
    </w:p>
    <w:p w14:paraId="0DFF094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Bolivie : zone non reproductive.</w:t>
      </w:r>
    </w:p>
    <w:p w14:paraId="0C137B27"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Bonaire : zone non reproductive.</w:t>
      </w:r>
    </w:p>
    <w:p w14:paraId="56815C60"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Brésil : zone non reproductive.</w:t>
      </w:r>
    </w:p>
    <w:p w14:paraId="3BC1B75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Vierges britanniques : zone non reproductive.</w:t>
      </w:r>
    </w:p>
    <w:p w14:paraId="2D9CC83D"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Canada : zone de reproduction et de migration.</w:t>
      </w:r>
    </w:p>
    <w:p w14:paraId="72BA96B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Caïmans : zone non reproductive.</w:t>
      </w:r>
    </w:p>
    <w:p w14:paraId="30D28154"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Chili : zone non reproductive.</w:t>
      </w:r>
    </w:p>
    <w:p w14:paraId="16B8500E"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Colombie : zone non reproductive.</w:t>
      </w:r>
    </w:p>
    <w:p w14:paraId="37E3E913" w14:textId="77777777" w:rsidR="00260895" w:rsidRPr="00A13EF7" w:rsidRDefault="00B65B48">
      <w:pPr>
        <w:pStyle w:val="ListParagraph"/>
        <w:widowControl/>
        <w:numPr>
          <w:ilvl w:val="0"/>
          <w:numId w:val="15"/>
        </w:numPr>
        <w:suppressAutoHyphens w:val="0"/>
        <w:adjustRightInd w:val="0"/>
        <w:spacing w:after="80"/>
        <w:jc w:val="both"/>
        <w:textAlignment w:val="auto"/>
        <w:rPr>
          <w:rFonts w:cs="Arial"/>
          <w:sz w:val="22"/>
          <w:szCs w:val="22"/>
          <w:lang w:val="it-IT"/>
        </w:rPr>
      </w:pPr>
      <w:r w:rsidRPr="00A13EF7">
        <w:rPr>
          <w:rFonts w:cs="Arial"/>
          <w:sz w:val="22"/>
          <w:szCs w:val="22"/>
          <w:lang w:val="it-IT"/>
        </w:rPr>
        <w:t xml:space="preserve">Costa </w:t>
      </w:r>
      <w:proofErr w:type="gramStart"/>
      <w:r w:rsidRPr="00A13EF7">
        <w:rPr>
          <w:rFonts w:cs="Arial"/>
          <w:sz w:val="22"/>
          <w:szCs w:val="22"/>
          <w:lang w:val="it-IT"/>
        </w:rPr>
        <w:t>Rica :</w:t>
      </w:r>
      <w:proofErr w:type="gramEnd"/>
      <w:r w:rsidRPr="00A13EF7">
        <w:rPr>
          <w:rFonts w:cs="Arial"/>
          <w:sz w:val="22"/>
          <w:szCs w:val="22"/>
          <w:lang w:val="it-IT"/>
        </w:rPr>
        <w:t xml:space="preserve"> zone non </w:t>
      </w:r>
      <w:proofErr w:type="spellStart"/>
      <w:r w:rsidRPr="00A13EF7">
        <w:rPr>
          <w:rFonts w:cs="Arial"/>
          <w:sz w:val="22"/>
          <w:szCs w:val="22"/>
          <w:lang w:val="it-IT"/>
        </w:rPr>
        <w:t>reproductive</w:t>
      </w:r>
      <w:proofErr w:type="spellEnd"/>
      <w:r w:rsidRPr="00A13EF7">
        <w:rPr>
          <w:rFonts w:cs="Arial"/>
          <w:sz w:val="22"/>
          <w:szCs w:val="22"/>
          <w:lang w:val="it-IT"/>
        </w:rPr>
        <w:t>.</w:t>
      </w:r>
    </w:p>
    <w:p w14:paraId="3D715C6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Cuba : zone non reproductive.</w:t>
      </w:r>
    </w:p>
    <w:p w14:paraId="40F21DAD"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Curaçao : zone non reproductive.</w:t>
      </w:r>
    </w:p>
    <w:p w14:paraId="1C05CEE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Dominique : zone non reproductive.</w:t>
      </w:r>
    </w:p>
    <w:p w14:paraId="25DE8BB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République dominicaine : zone non reproductive.</w:t>
      </w:r>
    </w:p>
    <w:p w14:paraId="65A1EC1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Équateur : zone non reproductive.</w:t>
      </w:r>
    </w:p>
    <w:p w14:paraId="0FEB836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El Salvador : zone non reproductive.</w:t>
      </w:r>
    </w:p>
    <w:p w14:paraId="591BE339"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Guyane française : zone non reproductive.</w:t>
      </w:r>
    </w:p>
    <w:p w14:paraId="0B7481EE"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La Grenade : zone non reproductive.</w:t>
      </w:r>
    </w:p>
    <w:p w14:paraId="0FA9302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Guadeloupe : zone non reproductive.</w:t>
      </w:r>
    </w:p>
    <w:p w14:paraId="33AB730F"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Guatemala : zone non reproductive.</w:t>
      </w:r>
    </w:p>
    <w:p w14:paraId="5369C517"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Guyana : zone non reproductive.</w:t>
      </w:r>
    </w:p>
    <w:p w14:paraId="1BBAD78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Haïti : zone non reproductive.</w:t>
      </w:r>
    </w:p>
    <w:p w14:paraId="69EA22A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Honduras : zone non reproductive.</w:t>
      </w:r>
    </w:p>
    <w:p w14:paraId="5640B37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lastRenderedPageBreak/>
        <w:t>Jamaïque : zone non reproductive.</w:t>
      </w:r>
    </w:p>
    <w:p w14:paraId="0B30CE2C" w14:textId="77777777" w:rsidR="00260895" w:rsidRPr="00C43E4B" w:rsidRDefault="00B65B48">
      <w:pPr>
        <w:pStyle w:val="ListParagraph"/>
        <w:widowControl/>
        <w:numPr>
          <w:ilvl w:val="1"/>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Martinique : zone non reproductive.</w:t>
      </w:r>
    </w:p>
    <w:p w14:paraId="4F6B9767"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Mexique : zone de migration et non reproductive.</w:t>
      </w:r>
    </w:p>
    <w:p w14:paraId="6D9C3663" w14:textId="77777777" w:rsidR="00260895" w:rsidRPr="00C43E4B" w:rsidRDefault="00B65B48">
      <w:pPr>
        <w:pStyle w:val="ListParagraph"/>
        <w:widowControl/>
        <w:numPr>
          <w:ilvl w:val="0"/>
          <w:numId w:val="15"/>
        </w:numPr>
        <w:suppressAutoHyphens w:val="0"/>
        <w:autoSpaceDE/>
        <w:autoSpaceDN/>
        <w:spacing w:after="80"/>
        <w:jc w:val="both"/>
        <w:textAlignment w:val="auto"/>
        <w:rPr>
          <w:rFonts w:cs="Arial"/>
          <w:sz w:val="22"/>
          <w:szCs w:val="22"/>
          <w:lang w:val="fr-FR"/>
        </w:rPr>
      </w:pPr>
      <w:r w:rsidRPr="00C43E4B">
        <w:rPr>
          <w:rFonts w:cs="Arial"/>
          <w:sz w:val="22"/>
          <w:szCs w:val="22"/>
          <w:lang w:val="fr-FR"/>
        </w:rPr>
        <w:t>Montserrate : zone non reproductive.</w:t>
      </w:r>
    </w:p>
    <w:p w14:paraId="1CDF6A5B"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Nicaragua : zone non reproductive.</w:t>
      </w:r>
    </w:p>
    <w:p w14:paraId="41FFD83C"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Panama : zone non reproductive.</w:t>
      </w:r>
    </w:p>
    <w:p w14:paraId="0F1751F6"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Paraguay : zone non reproductive.</w:t>
      </w:r>
    </w:p>
    <w:p w14:paraId="0CB00DE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Pérou : zone non reproductive.</w:t>
      </w:r>
    </w:p>
    <w:p w14:paraId="59113D77" w14:textId="77777777" w:rsidR="00260895" w:rsidRPr="00A13EF7" w:rsidRDefault="00B65B48">
      <w:pPr>
        <w:pStyle w:val="ListParagraph"/>
        <w:widowControl/>
        <w:numPr>
          <w:ilvl w:val="0"/>
          <w:numId w:val="15"/>
        </w:numPr>
        <w:suppressAutoHyphens w:val="0"/>
        <w:adjustRightInd w:val="0"/>
        <w:spacing w:after="80"/>
        <w:jc w:val="both"/>
        <w:textAlignment w:val="auto"/>
        <w:rPr>
          <w:rFonts w:cs="Arial"/>
          <w:sz w:val="22"/>
          <w:szCs w:val="22"/>
          <w:lang w:val="it-IT"/>
        </w:rPr>
      </w:pPr>
      <w:r w:rsidRPr="00A13EF7">
        <w:rPr>
          <w:rFonts w:cs="Arial"/>
          <w:sz w:val="22"/>
          <w:szCs w:val="22"/>
          <w:lang w:val="it-IT"/>
        </w:rPr>
        <w:t xml:space="preserve">Porto </w:t>
      </w:r>
      <w:proofErr w:type="gramStart"/>
      <w:r w:rsidRPr="00A13EF7">
        <w:rPr>
          <w:rFonts w:cs="Arial"/>
          <w:sz w:val="22"/>
          <w:szCs w:val="22"/>
          <w:lang w:val="it-IT"/>
        </w:rPr>
        <w:t>Rico :</w:t>
      </w:r>
      <w:proofErr w:type="gramEnd"/>
      <w:r w:rsidRPr="00A13EF7">
        <w:rPr>
          <w:rFonts w:cs="Arial"/>
          <w:sz w:val="22"/>
          <w:szCs w:val="22"/>
          <w:lang w:val="it-IT"/>
        </w:rPr>
        <w:t xml:space="preserve"> zone non </w:t>
      </w:r>
      <w:proofErr w:type="spellStart"/>
      <w:r w:rsidRPr="00A13EF7">
        <w:rPr>
          <w:rFonts w:cs="Arial"/>
          <w:sz w:val="22"/>
          <w:szCs w:val="22"/>
          <w:lang w:val="it-IT"/>
        </w:rPr>
        <w:t>reproductive</w:t>
      </w:r>
      <w:proofErr w:type="spellEnd"/>
      <w:r w:rsidRPr="00A13EF7">
        <w:rPr>
          <w:rFonts w:cs="Arial"/>
          <w:sz w:val="22"/>
          <w:szCs w:val="22"/>
          <w:lang w:val="it-IT"/>
        </w:rPr>
        <w:t>.</w:t>
      </w:r>
    </w:p>
    <w:p w14:paraId="056FD813"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Saba : zone non reproductive.</w:t>
      </w:r>
    </w:p>
    <w:p w14:paraId="3C987D0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Saint-Christophe-et-Niévès : zone non reproductive.</w:t>
      </w:r>
    </w:p>
    <w:p w14:paraId="410083F4"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Sainte-Lucie : zone non reproductive.</w:t>
      </w:r>
    </w:p>
    <w:p w14:paraId="4BD2F365"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Saint-Martin : zone non reproductive.</w:t>
      </w:r>
    </w:p>
    <w:p w14:paraId="76D035AA"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Saint-Pierre-et-Miquelon : zone de migration</w:t>
      </w:r>
      <w:r w:rsidRPr="00C43E4B">
        <w:rPr>
          <w:rFonts w:cs="Arial"/>
          <w:sz w:val="22"/>
          <w:szCs w:val="22"/>
          <w:lang w:val="fr-FR"/>
        </w:rPr>
        <w:t>.</w:t>
      </w:r>
    </w:p>
    <w:p w14:paraId="3ACA74F5"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Saint-Vincent-et-les-Grenadines : zone non reproductive.</w:t>
      </w:r>
    </w:p>
    <w:p w14:paraId="03F5B79F"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Saint-Eustaquio : zone non reproductive.</w:t>
      </w:r>
    </w:p>
    <w:p w14:paraId="6D98506B"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Saint-Martin : zone non reproductive.</w:t>
      </w:r>
    </w:p>
    <w:p w14:paraId="73EEFBC4"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Surinam : zone non reproductive.</w:t>
      </w:r>
    </w:p>
    <w:p w14:paraId="323D8C62"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Trinité-et-Tobago : zone non reproductive.</w:t>
      </w:r>
    </w:p>
    <w:p w14:paraId="7E3F60F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Turques-et-Caïques : zone non reproductive.</w:t>
      </w:r>
    </w:p>
    <w:p w14:paraId="6076F97B"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États-Unis d'Amérique : zone de reproduction, de migration et non reproductive.</w:t>
      </w:r>
    </w:p>
    <w:p w14:paraId="4F4DCE4E"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Uruguay : zone non reproductive.</w:t>
      </w:r>
    </w:p>
    <w:p w14:paraId="76F07261" w14:textId="77777777" w:rsidR="00260895" w:rsidRPr="00C43E4B" w:rsidRDefault="00B65B48">
      <w:pPr>
        <w:pStyle w:val="ListParagraph"/>
        <w:widowControl/>
        <w:numPr>
          <w:ilvl w:val="0"/>
          <w:numId w:val="15"/>
        </w:numPr>
        <w:suppressAutoHyphens w:val="0"/>
        <w:adjustRightInd w:val="0"/>
        <w:spacing w:after="80"/>
        <w:jc w:val="both"/>
        <w:textAlignment w:val="auto"/>
        <w:rPr>
          <w:rFonts w:cs="Arial"/>
          <w:sz w:val="22"/>
          <w:szCs w:val="22"/>
          <w:lang w:val="fr-FR"/>
        </w:rPr>
      </w:pPr>
      <w:r w:rsidRPr="00C43E4B">
        <w:rPr>
          <w:rFonts w:cs="Arial"/>
          <w:sz w:val="22"/>
          <w:szCs w:val="22"/>
          <w:lang w:val="fr-FR"/>
        </w:rPr>
        <w:t>Îles Vierges des États-Unis : zone non reproductive.</w:t>
      </w:r>
    </w:p>
    <w:p w14:paraId="0160F099" w14:textId="77777777" w:rsidR="00260895" w:rsidRPr="00C43E4B" w:rsidRDefault="00B65B48">
      <w:pPr>
        <w:pStyle w:val="ListParagraph"/>
        <w:widowControl/>
        <w:numPr>
          <w:ilvl w:val="0"/>
          <w:numId w:val="15"/>
        </w:numPr>
        <w:suppressAutoHyphens w:val="0"/>
        <w:adjustRightInd w:val="0"/>
        <w:jc w:val="both"/>
        <w:textAlignment w:val="auto"/>
        <w:rPr>
          <w:rFonts w:cs="Arial"/>
          <w:sz w:val="22"/>
          <w:szCs w:val="22"/>
          <w:lang w:val="fr-FR"/>
        </w:rPr>
      </w:pPr>
      <w:r w:rsidRPr="00C43E4B">
        <w:rPr>
          <w:rFonts w:cs="Arial"/>
          <w:sz w:val="22"/>
          <w:szCs w:val="22"/>
          <w:lang w:val="fr-FR"/>
        </w:rPr>
        <w:t>Venezuela : zone non reproductive.</w:t>
      </w:r>
    </w:p>
    <w:p w14:paraId="7EFACCB5" w14:textId="77777777" w:rsidR="00260895" w:rsidRPr="00C43E4B" w:rsidRDefault="00260895">
      <w:pPr>
        <w:autoSpaceDE w:val="0"/>
        <w:adjustRightInd w:val="0"/>
        <w:spacing w:after="0" w:line="240" w:lineRule="auto"/>
        <w:ind w:left="709"/>
        <w:jc w:val="both"/>
        <w:rPr>
          <w:rFonts w:ascii="Arial" w:hAnsi="Arial" w:cs="Arial"/>
          <w:lang w:val="fr-FR"/>
        </w:rPr>
      </w:pPr>
    </w:p>
    <w:p w14:paraId="768C459F"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9.</w:t>
      </w:r>
      <w:r w:rsidRPr="00C43E4B">
        <w:rPr>
          <w:rFonts w:ascii="Arial" w:hAnsi="Arial" w:cs="Arial"/>
          <w:b/>
          <w:bCs/>
          <w:lang w:val="fr-FR"/>
        </w:rPr>
        <w:tab/>
        <w:t xml:space="preserve"> Consultations</w:t>
      </w:r>
    </w:p>
    <w:p w14:paraId="7E57D287" w14:textId="77777777" w:rsidR="00260895" w:rsidRPr="00C43E4B" w:rsidRDefault="00260895">
      <w:pPr>
        <w:autoSpaceDE w:val="0"/>
        <w:adjustRightInd w:val="0"/>
        <w:spacing w:after="0" w:line="240" w:lineRule="auto"/>
        <w:jc w:val="both"/>
        <w:rPr>
          <w:rFonts w:ascii="Arial" w:hAnsi="Arial" w:cs="Arial"/>
          <w:lang w:val="fr-FR"/>
        </w:rPr>
      </w:pPr>
    </w:p>
    <w:p w14:paraId="0A34894C" w14:textId="77777777" w:rsidR="00260895" w:rsidRPr="00C43E4B" w:rsidRDefault="00B65B48">
      <w:pPr>
        <w:keepNext/>
        <w:autoSpaceDE w:val="0"/>
        <w:adjustRightInd w:val="0"/>
        <w:spacing w:after="0" w:line="240" w:lineRule="auto"/>
        <w:ind w:left="567" w:hanging="567"/>
        <w:jc w:val="both"/>
        <w:rPr>
          <w:rFonts w:ascii="Arial" w:hAnsi="Arial" w:cs="Arial"/>
          <w:b/>
          <w:bCs/>
          <w:lang w:val="fr-FR"/>
        </w:rPr>
      </w:pPr>
      <w:r w:rsidRPr="00C43E4B">
        <w:rPr>
          <w:rFonts w:ascii="Arial" w:hAnsi="Arial" w:cs="Arial"/>
          <w:b/>
          <w:bCs/>
          <w:lang w:val="fr-FR"/>
        </w:rPr>
        <w:t>10.</w:t>
      </w:r>
      <w:r w:rsidRPr="00C43E4B">
        <w:rPr>
          <w:rFonts w:ascii="Arial" w:hAnsi="Arial" w:cs="Arial"/>
          <w:b/>
          <w:bCs/>
          <w:lang w:val="fr-FR"/>
        </w:rPr>
        <w:tab/>
        <w:t xml:space="preserve"> Commentaires supplémentaires</w:t>
      </w:r>
    </w:p>
    <w:p w14:paraId="1C83CCA7" w14:textId="77777777" w:rsidR="00260895" w:rsidRPr="00C43E4B" w:rsidRDefault="00B65B48">
      <w:pPr>
        <w:autoSpaceDE w:val="0"/>
        <w:adjustRightInd w:val="0"/>
        <w:spacing w:after="0" w:line="240" w:lineRule="auto"/>
        <w:ind w:left="709"/>
        <w:jc w:val="both"/>
        <w:rPr>
          <w:rFonts w:ascii="Arial" w:hAnsi="Arial" w:cs="Arial"/>
          <w:lang w:val="fr-FR"/>
        </w:rPr>
      </w:pPr>
      <w:r w:rsidRPr="00C43E4B">
        <w:rPr>
          <w:rFonts w:ascii="Arial" w:hAnsi="Arial" w:cs="Arial"/>
          <w:lang w:val="fr-FR"/>
        </w:rPr>
        <w:tab/>
      </w:r>
      <w:r w:rsidRPr="00C43E4B">
        <w:rPr>
          <w:rFonts w:ascii="Arial" w:hAnsi="Arial" w:cs="Arial"/>
          <w:lang w:val="fr-FR"/>
        </w:rPr>
        <w:br w:type="page"/>
      </w:r>
    </w:p>
    <w:p w14:paraId="13EACE7B" w14:textId="124DC34B" w:rsidR="003E6F9B" w:rsidRPr="004218B4" w:rsidRDefault="003E6F9B" w:rsidP="003E6F9B">
      <w:pPr>
        <w:keepNext/>
        <w:autoSpaceDE w:val="0"/>
        <w:adjustRightInd w:val="0"/>
        <w:spacing w:after="0" w:line="240" w:lineRule="auto"/>
        <w:jc w:val="both"/>
        <w:rPr>
          <w:rFonts w:ascii="Arial" w:hAnsi="Arial" w:cs="Arial"/>
          <w:b/>
          <w:bCs/>
        </w:rPr>
      </w:pPr>
      <w:r w:rsidRPr="004218B4">
        <w:rPr>
          <w:rFonts w:ascii="Arial" w:hAnsi="Arial" w:cs="Arial"/>
          <w:b/>
          <w:bCs/>
        </w:rPr>
        <w:lastRenderedPageBreak/>
        <w:t xml:space="preserve">11. </w:t>
      </w:r>
      <w:proofErr w:type="spellStart"/>
      <w:r w:rsidRPr="004218B4">
        <w:rPr>
          <w:rFonts w:ascii="Arial" w:hAnsi="Arial" w:cs="Arial"/>
          <w:b/>
          <w:bCs/>
        </w:rPr>
        <w:t>R</w:t>
      </w:r>
      <w:r w:rsidR="004218B4" w:rsidRPr="004218B4">
        <w:rPr>
          <w:rFonts w:ascii="Arial" w:hAnsi="Arial" w:cs="Arial"/>
          <w:b/>
          <w:bCs/>
        </w:rPr>
        <w:t>é</w:t>
      </w:r>
      <w:r w:rsidRPr="004218B4">
        <w:rPr>
          <w:rFonts w:ascii="Arial" w:hAnsi="Arial" w:cs="Arial"/>
          <w:b/>
          <w:bCs/>
        </w:rPr>
        <w:t>f</w:t>
      </w:r>
      <w:r w:rsidR="004218B4" w:rsidRPr="004218B4">
        <w:rPr>
          <w:rFonts w:ascii="Arial" w:hAnsi="Arial" w:cs="Arial"/>
          <w:b/>
          <w:bCs/>
        </w:rPr>
        <w:t>é</w:t>
      </w:r>
      <w:r w:rsidRPr="004218B4">
        <w:rPr>
          <w:rFonts w:ascii="Arial" w:hAnsi="Arial" w:cs="Arial"/>
          <w:b/>
          <w:bCs/>
        </w:rPr>
        <w:t>renc</w:t>
      </w:r>
      <w:r w:rsidR="004218B4" w:rsidRPr="004218B4">
        <w:rPr>
          <w:rFonts w:ascii="Arial" w:hAnsi="Arial" w:cs="Arial"/>
          <w:b/>
          <w:bCs/>
        </w:rPr>
        <w:t>e</w:t>
      </w:r>
      <w:r w:rsidRPr="004218B4">
        <w:rPr>
          <w:rFonts w:ascii="Arial" w:hAnsi="Arial" w:cs="Arial"/>
          <w:b/>
          <w:bCs/>
        </w:rPr>
        <w:t>s</w:t>
      </w:r>
      <w:proofErr w:type="spellEnd"/>
    </w:p>
    <w:p w14:paraId="31FFF9CF" w14:textId="77777777" w:rsidR="003E6F9B" w:rsidRPr="00881803" w:rsidRDefault="003E6F9B" w:rsidP="003E6F9B">
      <w:pPr>
        <w:keepNext/>
        <w:autoSpaceDE w:val="0"/>
        <w:adjustRightInd w:val="0"/>
        <w:spacing w:after="0" w:line="240" w:lineRule="auto"/>
        <w:jc w:val="both"/>
        <w:rPr>
          <w:rFonts w:cs="Arial"/>
          <w:sz w:val="20"/>
          <w:szCs w:val="20"/>
        </w:rPr>
      </w:pPr>
    </w:p>
    <w:p w14:paraId="441F4BB9"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Andres B, Smith PA, Morrison RIG, et al (2012) Population estimates of North American shorebirds, 2012. Wader Study Group Bull 119:178–194</w:t>
      </w:r>
    </w:p>
    <w:p w14:paraId="7FA8C3A8"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Andres, B. A., Moore, L., Cox, A. R., Roy, C., &amp; Brown, S. C. (2022). A preliminary assessment of shorebird harvest in coastal Guyana. Wader Study, 129(1), 39–47. </w:t>
      </w:r>
      <w:hyperlink r:id="rId16">
        <w:r w:rsidRPr="00881803">
          <w:rPr>
            <w:rFonts w:ascii="Arial" w:hAnsi="Arial" w:cs="Arial"/>
            <w:color w:val="000000" w:themeColor="text1"/>
            <w:sz w:val="20"/>
            <w:szCs w:val="20"/>
          </w:rPr>
          <w:t>https://doi.org/10.18194/ws.00263</w:t>
        </w:r>
      </w:hyperlink>
      <w:r w:rsidRPr="00881803">
        <w:rPr>
          <w:rFonts w:ascii="Arial" w:eastAsia="Arial" w:hAnsi="Arial" w:cs="Arial"/>
          <w:color w:val="000000" w:themeColor="text1"/>
          <w:sz w:val="20"/>
          <w:szCs w:val="20"/>
        </w:rPr>
        <w:t xml:space="preserve"> </w:t>
      </w:r>
    </w:p>
    <w:p w14:paraId="086700D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Ballut-Dajud</w:t>
      </w:r>
      <w:proofErr w:type="spellEnd"/>
      <w:r w:rsidRPr="00881803">
        <w:rPr>
          <w:rFonts w:ascii="Arial" w:eastAsia="Arial" w:hAnsi="Arial" w:cs="Arial"/>
          <w:color w:val="000000" w:themeColor="text1"/>
          <w:sz w:val="20"/>
          <w:szCs w:val="20"/>
        </w:rPr>
        <w:t xml:space="preserve"> GA, Sandoval Herazo LC, Fernández-Lambert G, et al (2022) Factors Affecting Wetland Loss: A Review. Land 11:434. </w:t>
      </w:r>
      <w:hyperlink r:id="rId17">
        <w:r w:rsidRPr="00881803">
          <w:rPr>
            <w:rStyle w:val="Hyperlink"/>
            <w:rFonts w:ascii="Arial" w:eastAsia="Arial" w:hAnsi="Arial" w:cs="Arial"/>
            <w:sz w:val="20"/>
            <w:szCs w:val="20"/>
          </w:rPr>
          <w:t>https://doi.org/10.3390/land11030434</w:t>
        </w:r>
      </w:hyperlink>
    </w:p>
    <w:p w14:paraId="7298E96F"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Bird, J. P., R. Martin, H. R. </w:t>
      </w:r>
      <w:proofErr w:type="spellStart"/>
      <w:r w:rsidRPr="00881803">
        <w:rPr>
          <w:rFonts w:ascii="Arial" w:eastAsia="Arial" w:hAnsi="Arial" w:cs="Arial"/>
          <w:color w:val="000000" w:themeColor="text1"/>
          <w:sz w:val="20"/>
          <w:szCs w:val="20"/>
        </w:rPr>
        <w:t>Akçakaya</w:t>
      </w:r>
      <w:proofErr w:type="spellEnd"/>
      <w:r w:rsidRPr="00881803">
        <w:rPr>
          <w:rFonts w:ascii="Arial" w:eastAsia="Arial" w:hAnsi="Arial" w:cs="Arial"/>
          <w:color w:val="000000" w:themeColor="text1"/>
          <w:sz w:val="20"/>
          <w:szCs w:val="20"/>
        </w:rPr>
        <w:t xml:space="preserve">, J. Gilroy, I. J. Burfield, S. T. Garnett, A. Symes, J. Taylor, Ç. H. Şekercioğlu, and S. H. M. Butchart (2020). Generation lengths of the world’s birds and their implications for extinction risk. Conservation Biology 34:12521261. </w:t>
      </w:r>
      <w:hyperlink r:id="rId18">
        <w:r w:rsidRPr="00881803">
          <w:rPr>
            <w:rStyle w:val="Hyperlink"/>
            <w:rFonts w:ascii="Arial" w:eastAsia="Arial" w:hAnsi="Arial" w:cs="Arial"/>
            <w:sz w:val="20"/>
            <w:szCs w:val="20"/>
          </w:rPr>
          <w:t>https://doi.org/10.1111/cobi.13486</w:t>
        </w:r>
      </w:hyperlink>
    </w:p>
    <w:p w14:paraId="6F404EA4"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BirdLife</w:t>
      </w:r>
      <w:proofErr w:type="spellEnd"/>
      <w:r w:rsidRPr="00881803">
        <w:rPr>
          <w:rFonts w:ascii="Arial" w:eastAsia="Arial" w:hAnsi="Arial" w:cs="Arial"/>
          <w:color w:val="000000" w:themeColor="text1"/>
          <w:sz w:val="20"/>
          <w:szCs w:val="20"/>
        </w:rPr>
        <w:t xml:space="preserve"> International (2024a) Tringa flavipes</w:t>
      </w:r>
    </w:p>
    <w:p w14:paraId="1115EB95"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BirdLife</w:t>
      </w:r>
      <w:proofErr w:type="spellEnd"/>
      <w:r w:rsidRPr="00881803">
        <w:rPr>
          <w:rFonts w:ascii="Arial" w:eastAsia="Arial" w:hAnsi="Arial" w:cs="Arial"/>
          <w:color w:val="000000" w:themeColor="text1"/>
          <w:sz w:val="20"/>
          <w:szCs w:val="20"/>
        </w:rPr>
        <w:t xml:space="preserve"> International (2024b) Species factsheet: Lesser Yellowlegs Tringa flavipes</w:t>
      </w:r>
    </w:p>
    <w:p w14:paraId="10FB6C4D"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Buelow C, Sheaves M (2015) A </w:t>
      </w:r>
      <w:proofErr w:type="gramStart"/>
      <w:r w:rsidRPr="00881803">
        <w:rPr>
          <w:rFonts w:ascii="Arial" w:eastAsia="Arial" w:hAnsi="Arial" w:cs="Arial"/>
          <w:color w:val="000000" w:themeColor="text1"/>
          <w:sz w:val="20"/>
          <w:szCs w:val="20"/>
        </w:rPr>
        <w:t>birds</w:t>
      </w:r>
      <w:proofErr w:type="gramEnd"/>
      <w:r w:rsidRPr="00881803">
        <w:rPr>
          <w:rFonts w:ascii="Arial" w:eastAsia="Arial" w:hAnsi="Arial" w:cs="Arial"/>
          <w:color w:val="000000" w:themeColor="text1"/>
          <w:sz w:val="20"/>
          <w:szCs w:val="20"/>
        </w:rPr>
        <w:t xml:space="preserve">-eye view of biological connectivity in mangrove systems. </w:t>
      </w:r>
      <w:proofErr w:type="spellStart"/>
      <w:r w:rsidRPr="00881803">
        <w:rPr>
          <w:rFonts w:ascii="Arial" w:eastAsia="Arial" w:hAnsi="Arial" w:cs="Arial"/>
          <w:color w:val="000000" w:themeColor="text1"/>
          <w:sz w:val="20"/>
          <w:szCs w:val="20"/>
        </w:rPr>
        <w:t>Estuar</w:t>
      </w:r>
      <w:proofErr w:type="spellEnd"/>
      <w:r w:rsidRPr="00881803">
        <w:rPr>
          <w:rFonts w:ascii="Arial" w:eastAsia="Arial" w:hAnsi="Arial" w:cs="Arial"/>
          <w:color w:val="000000" w:themeColor="text1"/>
          <w:sz w:val="20"/>
          <w:szCs w:val="20"/>
        </w:rPr>
        <w:t xml:space="preserve"> Coast Shelf Sci 152:33–43. </w:t>
      </w:r>
      <w:hyperlink r:id="rId19">
        <w:r w:rsidRPr="00881803">
          <w:rPr>
            <w:rFonts w:ascii="Arial" w:hAnsi="Arial" w:cs="Arial"/>
            <w:color w:val="000000" w:themeColor="text1"/>
            <w:sz w:val="20"/>
            <w:szCs w:val="20"/>
          </w:rPr>
          <w:t>https://doi.org/10.1016/j.ecss.2014.10.014</w:t>
        </w:r>
      </w:hyperlink>
    </w:p>
    <w:p w14:paraId="18769028"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Christie, K., Wilson, R. E., Johnson, J. A., Friis, C., Harwood, C. M., McDuffie, L. A., Nol, E., &amp; </w:t>
      </w:r>
      <w:proofErr w:type="spellStart"/>
      <w:r w:rsidRPr="00881803">
        <w:rPr>
          <w:rFonts w:ascii="Arial" w:eastAsia="Arial" w:hAnsi="Arial" w:cs="Arial"/>
          <w:color w:val="000000" w:themeColor="text1"/>
          <w:sz w:val="20"/>
          <w:szCs w:val="20"/>
        </w:rPr>
        <w:t>Sonsthagen</w:t>
      </w:r>
      <w:proofErr w:type="spellEnd"/>
      <w:r w:rsidRPr="00881803">
        <w:rPr>
          <w:rFonts w:ascii="Arial" w:eastAsia="Arial" w:hAnsi="Arial" w:cs="Arial"/>
          <w:color w:val="000000" w:themeColor="text1"/>
          <w:sz w:val="20"/>
          <w:szCs w:val="20"/>
        </w:rPr>
        <w:t xml:space="preserve">, S. A. (2023). Movement and genomic methods reveal mechanisms promoting connectivity in a declining shorebird: The lesser yellowlegs. Diversity, 15(5), 595. </w:t>
      </w:r>
      <w:hyperlink r:id="rId20">
        <w:r w:rsidRPr="00881803">
          <w:rPr>
            <w:rFonts w:ascii="Arial" w:hAnsi="Arial" w:cs="Arial"/>
            <w:color w:val="000000" w:themeColor="text1"/>
            <w:sz w:val="20"/>
            <w:szCs w:val="20"/>
          </w:rPr>
          <w:t>https://doi.org/10.3390/d15050595</w:t>
        </w:r>
      </w:hyperlink>
    </w:p>
    <w:p w14:paraId="1784FB44"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Clay RP, </w:t>
      </w:r>
      <w:proofErr w:type="spellStart"/>
      <w:r w:rsidRPr="00881803">
        <w:rPr>
          <w:rFonts w:ascii="Arial" w:eastAsia="Arial" w:hAnsi="Arial" w:cs="Arial"/>
          <w:color w:val="000000" w:themeColor="text1"/>
          <w:sz w:val="20"/>
          <w:szCs w:val="20"/>
        </w:rPr>
        <w:t>Lesterhuis</w:t>
      </w:r>
      <w:proofErr w:type="spellEnd"/>
      <w:r w:rsidRPr="00881803">
        <w:rPr>
          <w:rFonts w:ascii="Arial" w:eastAsia="Arial" w:hAnsi="Arial" w:cs="Arial"/>
          <w:color w:val="000000" w:themeColor="text1"/>
          <w:sz w:val="20"/>
          <w:szCs w:val="20"/>
        </w:rPr>
        <w:t xml:space="preserve"> A, </w:t>
      </w:r>
      <w:proofErr w:type="spellStart"/>
      <w:r w:rsidRPr="00881803">
        <w:rPr>
          <w:rFonts w:ascii="Arial" w:eastAsia="Arial" w:hAnsi="Arial" w:cs="Arial"/>
          <w:color w:val="000000" w:themeColor="text1"/>
          <w:sz w:val="20"/>
          <w:szCs w:val="20"/>
        </w:rPr>
        <w:t>Centrón</w:t>
      </w:r>
      <w:proofErr w:type="spellEnd"/>
      <w:r w:rsidRPr="00881803">
        <w:rPr>
          <w:rFonts w:ascii="Arial" w:eastAsia="Arial" w:hAnsi="Arial" w:cs="Arial"/>
          <w:color w:val="000000" w:themeColor="text1"/>
          <w:sz w:val="20"/>
          <w:szCs w:val="20"/>
        </w:rPr>
        <w:t xml:space="preserve"> S (2012) Conservation Plan for the Lesser Yellowlegs (Tringa flavipes). Manomet Center for Conservation Sciences, Manomet, Massachusetts</w:t>
      </w:r>
    </w:p>
    <w:p w14:paraId="63A82409"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COSEWIC (2020) COSEWIC assessment and status report on the Lesser Yellowlegs Tringa flavipes in Canada. Committee on the Status of Endangered Wildlife in Canada, Ottawa</w:t>
      </w:r>
    </w:p>
    <w:p w14:paraId="447B6049"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Cox, A. R., Gallo-Cajiao, E., Tremblay, F., Rateau, F., </w:t>
      </w:r>
      <w:proofErr w:type="spellStart"/>
      <w:r w:rsidRPr="00881803">
        <w:rPr>
          <w:rFonts w:ascii="Arial" w:eastAsia="Arial" w:hAnsi="Arial" w:cs="Arial"/>
          <w:color w:val="000000" w:themeColor="text1"/>
          <w:sz w:val="20"/>
          <w:szCs w:val="20"/>
        </w:rPr>
        <w:t>Urvoy</w:t>
      </w:r>
      <w:proofErr w:type="spellEnd"/>
      <w:r w:rsidRPr="00881803">
        <w:rPr>
          <w:rFonts w:ascii="Arial" w:eastAsia="Arial" w:hAnsi="Arial" w:cs="Arial"/>
          <w:color w:val="000000" w:themeColor="text1"/>
          <w:sz w:val="20"/>
          <w:szCs w:val="20"/>
        </w:rPr>
        <w:t xml:space="preserve">, K., Laliberté, B., Boniface, P., Euphrosine, D., </w:t>
      </w:r>
      <w:proofErr w:type="spellStart"/>
      <w:r w:rsidRPr="00881803">
        <w:rPr>
          <w:rFonts w:ascii="Arial" w:eastAsia="Arial" w:hAnsi="Arial" w:cs="Arial"/>
          <w:color w:val="000000" w:themeColor="text1"/>
          <w:sz w:val="20"/>
          <w:szCs w:val="20"/>
        </w:rPr>
        <w:t>Lavanne</w:t>
      </w:r>
      <w:proofErr w:type="spellEnd"/>
      <w:r w:rsidRPr="00881803">
        <w:rPr>
          <w:rFonts w:ascii="Arial" w:eastAsia="Arial" w:hAnsi="Arial" w:cs="Arial"/>
          <w:color w:val="000000" w:themeColor="text1"/>
          <w:sz w:val="20"/>
          <w:szCs w:val="20"/>
        </w:rPr>
        <w:t xml:space="preserve">, T., &amp; Roy, C. (In prep.). Legal harvest of shorebirds and resident game birds on a Caribbean island: A Martinique case study. </w:t>
      </w:r>
      <w:proofErr w:type="spellStart"/>
      <w:r w:rsidRPr="00881803">
        <w:rPr>
          <w:rFonts w:ascii="Arial" w:eastAsia="Arial" w:hAnsi="Arial" w:cs="Arial"/>
          <w:color w:val="000000" w:themeColor="text1"/>
          <w:sz w:val="20"/>
          <w:szCs w:val="20"/>
        </w:rPr>
        <w:t>bioRxiv</w:t>
      </w:r>
      <w:proofErr w:type="spellEnd"/>
      <w:r w:rsidRPr="00881803">
        <w:rPr>
          <w:rFonts w:ascii="Arial" w:eastAsia="Arial" w:hAnsi="Arial" w:cs="Arial"/>
          <w:color w:val="000000" w:themeColor="text1"/>
          <w:sz w:val="20"/>
          <w:szCs w:val="20"/>
        </w:rPr>
        <w:t xml:space="preserve">. </w:t>
      </w:r>
      <w:hyperlink r:id="rId21">
        <w:r w:rsidRPr="00881803">
          <w:rPr>
            <w:rFonts w:ascii="Arial" w:hAnsi="Arial" w:cs="Arial"/>
            <w:color w:val="000000" w:themeColor="text1"/>
            <w:sz w:val="20"/>
            <w:szCs w:val="20"/>
          </w:rPr>
          <w:t>https://doi.org/10.1101/2025.06.17.660260</w:t>
        </w:r>
      </w:hyperlink>
    </w:p>
    <w:p w14:paraId="4C29A364"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Danyk KAR, Zwaan DR de, Paquet J, Hamilton DJ (2025) Habitat use and local movement of staging Lesser Yellowlegs (&lt;</w:t>
      </w:r>
      <w:proofErr w:type="spellStart"/>
      <w:r w:rsidRPr="00881803">
        <w:rPr>
          <w:rFonts w:ascii="Arial" w:eastAsia="Arial" w:hAnsi="Arial" w:cs="Arial"/>
          <w:color w:val="000000" w:themeColor="text1"/>
          <w:sz w:val="20"/>
          <w:szCs w:val="20"/>
        </w:rPr>
        <w:t>em</w:t>
      </w:r>
      <w:proofErr w:type="spellEnd"/>
      <w:r w:rsidRPr="00881803">
        <w:rPr>
          <w:rFonts w:ascii="Arial" w:eastAsia="Arial" w:hAnsi="Arial" w:cs="Arial"/>
          <w:color w:val="000000" w:themeColor="text1"/>
          <w:sz w:val="20"/>
          <w:szCs w:val="20"/>
        </w:rPr>
        <w:t>&gt;Tringa flavipes&lt;/</w:t>
      </w:r>
      <w:proofErr w:type="spellStart"/>
      <w:r w:rsidRPr="00881803">
        <w:rPr>
          <w:rFonts w:ascii="Arial" w:eastAsia="Arial" w:hAnsi="Arial" w:cs="Arial"/>
          <w:color w:val="000000" w:themeColor="text1"/>
          <w:sz w:val="20"/>
          <w:szCs w:val="20"/>
        </w:rPr>
        <w:t>em</w:t>
      </w:r>
      <w:proofErr w:type="spellEnd"/>
      <w:r w:rsidRPr="00881803">
        <w:rPr>
          <w:rFonts w:ascii="Arial" w:eastAsia="Arial" w:hAnsi="Arial" w:cs="Arial"/>
          <w:color w:val="000000" w:themeColor="text1"/>
          <w:sz w:val="20"/>
          <w:szCs w:val="20"/>
        </w:rPr>
        <w:t xml:space="preserve">&gt;) differ between coastal and inland habitat in Atlantic Canada. J Field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w:t>
      </w:r>
      <w:proofErr w:type="gramStart"/>
      <w:r w:rsidRPr="00881803">
        <w:rPr>
          <w:rFonts w:ascii="Arial" w:eastAsia="Arial" w:hAnsi="Arial" w:cs="Arial"/>
          <w:color w:val="000000" w:themeColor="text1"/>
          <w:sz w:val="20"/>
          <w:szCs w:val="20"/>
        </w:rPr>
        <w:t>96:.</w:t>
      </w:r>
      <w:proofErr w:type="gramEnd"/>
      <w:r w:rsidRPr="00881803">
        <w:rPr>
          <w:rFonts w:ascii="Arial" w:eastAsia="Arial" w:hAnsi="Arial" w:cs="Arial"/>
          <w:color w:val="000000" w:themeColor="text1"/>
          <w:sz w:val="20"/>
          <w:szCs w:val="20"/>
        </w:rPr>
        <w:t xml:space="preserve"> </w:t>
      </w:r>
      <w:hyperlink r:id="rId22">
        <w:r w:rsidRPr="00881803">
          <w:rPr>
            <w:rFonts w:ascii="Arial" w:hAnsi="Arial" w:cs="Arial"/>
            <w:color w:val="000000" w:themeColor="text1"/>
            <w:sz w:val="20"/>
            <w:szCs w:val="20"/>
          </w:rPr>
          <w:t>https://doi.org/10.5751/JFO-00659-960305</w:t>
        </w:r>
      </w:hyperlink>
    </w:p>
    <w:p w14:paraId="746E091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Linscott JA, Basso E, Bathrick R, et al (2024) The Amazon Basin’s rivers and lakes support Nearctic-breeding shorebirds during southward migration.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duae034. </w:t>
      </w:r>
      <w:hyperlink r:id="rId23">
        <w:r w:rsidRPr="00881803">
          <w:rPr>
            <w:rFonts w:ascii="Arial" w:hAnsi="Arial" w:cs="Arial"/>
            <w:color w:val="000000" w:themeColor="text1"/>
            <w:sz w:val="20"/>
            <w:szCs w:val="20"/>
          </w:rPr>
          <w:t>https://doi.org/10.1093/ornithapp/duae034</w:t>
        </w:r>
      </w:hyperlink>
    </w:p>
    <w:p w14:paraId="3C60C347"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McDuffie LA, Christie KS, Harrison A-L, et al (2022a) Eastern-breeding Lesser Yellowlegs are more likely than western-breeding birds to visit areas with high shorebird hunting during southward migration.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w:t>
      </w:r>
      <w:proofErr w:type="gramStart"/>
      <w:r w:rsidRPr="00881803">
        <w:rPr>
          <w:rFonts w:ascii="Arial" w:eastAsia="Arial" w:hAnsi="Arial" w:cs="Arial"/>
          <w:color w:val="000000" w:themeColor="text1"/>
          <w:sz w:val="20"/>
          <w:szCs w:val="20"/>
        </w:rPr>
        <w:t>124:duab</w:t>
      </w:r>
      <w:proofErr w:type="gramEnd"/>
      <w:r w:rsidRPr="00881803">
        <w:rPr>
          <w:rFonts w:ascii="Arial" w:eastAsia="Arial" w:hAnsi="Arial" w:cs="Arial"/>
          <w:color w:val="000000" w:themeColor="text1"/>
          <w:sz w:val="20"/>
          <w:szCs w:val="20"/>
        </w:rPr>
        <w:t xml:space="preserve">061. </w:t>
      </w:r>
      <w:hyperlink r:id="rId24">
        <w:r w:rsidRPr="00881803">
          <w:rPr>
            <w:rFonts w:ascii="Arial" w:hAnsi="Arial" w:cs="Arial"/>
            <w:color w:val="000000" w:themeColor="text1"/>
            <w:sz w:val="20"/>
            <w:szCs w:val="20"/>
          </w:rPr>
          <w:t>https://doi.org/10.1093/ornithapp/duab061</w:t>
        </w:r>
      </w:hyperlink>
    </w:p>
    <w:p w14:paraId="67304C8A" w14:textId="77777777" w:rsidR="003E6F9B" w:rsidRPr="00A039B7" w:rsidRDefault="003E6F9B" w:rsidP="003E6F9B">
      <w:pPr>
        <w:pStyle w:val="Bibliography"/>
        <w:spacing w:after="80" w:line="240" w:lineRule="auto"/>
        <w:ind w:left="540" w:hanging="540"/>
        <w:jc w:val="both"/>
        <w:rPr>
          <w:rFonts w:ascii="Arial" w:eastAsia="Arial" w:hAnsi="Arial" w:cs="Arial"/>
          <w:color w:val="000000" w:themeColor="text1"/>
          <w:sz w:val="20"/>
          <w:szCs w:val="20"/>
          <w:lang w:val="pt-PT"/>
        </w:rPr>
      </w:pPr>
      <w:r w:rsidRPr="00881803">
        <w:rPr>
          <w:rFonts w:ascii="Arial" w:eastAsia="Arial" w:hAnsi="Arial" w:cs="Arial"/>
          <w:color w:val="000000" w:themeColor="text1"/>
          <w:sz w:val="20"/>
          <w:szCs w:val="20"/>
        </w:rPr>
        <w:t xml:space="preserve">McDuffie LA, Christie KS, Taylor AR, et al (2022b) Flyway-scale GPS tracking reveals migratory routes and key stopover and non-breeding locations of lesser yellowlegs. </w:t>
      </w:r>
      <w:proofErr w:type="spellStart"/>
      <w:r w:rsidRPr="00A039B7">
        <w:rPr>
          <w:rFonts w:ascii="Arial" w:eastAsia="Arial" w:hAnsi="Arial" w:cs="Arial"/>
          <w:color w:val="000000" w:themeColor="text1"/>
          <w:sz w:val="20"/>
          <w:szCs w:val="20"/>
          <w:lang w:val="pt-PT"/>
        </w:rPr>
        <w:t>Ecol</w:t>
      </w:r>
      <w:proofErr w:type="spellEnd"/>
      <w:r w:rsidRPr="00A039B7">
        <w:rPr>
          <w:rFonts w:ascii="Arial" w:eastAsia="Arial" w:hAnsi="Arial" w:cs="Arial"/>
          <w:color w:val="000000" w:themeColor="text1"/>
          <w:sz w:val="20"/>
          <w:szCs w:val="20"/>
          <w:lang w:val="pt-PT"/>
        </w:rPr>
        <w:t xml:space="preserve"> </w:t>
      </w:r>
      <w:proofErr w:type="spellStart"/>
      <w:r w:rsidRPr="00A039B7">
        <w:rPr>
          <w:rFonts w:ascii="Arial" w:eastAsia="Arial" w:hAnsi="Arial" w:cs="Arial"/>
          <w:color w:val="000000" w:themeColor="text1"/>
          <w:sz w:val="20"/>
          <w:szCs w:val="20"/>
          <w:lang w:val="pt-PT"/>
        </w:rPr>
        <w:t>Evol</w:t>
      </w:r>
      <w:proofErr w:type="spellEnd"/>
      <w:r w:rsidRPr="00A039B7">
        <w:rPr>
          <w:rFonts w:ascii="Arial" w:eastAsia="Arial" w:hAnsi="Arial" w:cs="Arial"/>
          <w:color w:val="000000" w:themeColor="text1"/>
          <w:sz w:val="20"/>
          <w:szCs w:val="20"/>
          <w:lang w:val="pt-PT"/>
        </w:rPr>
        <w:t xml:space="preserve"> </w:t>
      </w:r>
      <w:proofErr w:type="gramStart"/>
      <w:r w:rsidRPr="00A039B7">
        <w:rPr>
          <w:rFonts w:ascii="Arial" w:eastAsia="Arial" w:hAnsi="Arial" w:cs="Arial"/>
          <w:color w:val="000000" w:themeColor="text1"/>
          <w:sz w:val="20"/>
          <w:szCs w:val="20"/>
          <w:lang w:val="pt-PT"/>
        </w:rPr>
        <w:t>12:e</w:t>
      </w:r>
      <w:proofErr w:type="gramEnd"/>
      <w:r w:rsidRPr="00A039B7">
        <w:rPr>
          <w:rFonts w:ascii="Arial" w:eastAsia="Arial" w:hAnsi="Arial" w:cs="Arial"/>
          <w:color w:val="000000" w:themeColor="text1"/>
          <w:sz w:val="20"/>
          <w:szCs w:val="20"/>
          <w:lang w:val="pt-PT"/>
        </w:rPr>
        <w:t xml:space="preserve">9495. </w:t>
      </w:r>
      <w:hyperlink r:id="rId25">
        <w:r w:rsidRPr="00A039B7">
          <w:rPr>
            <w:rFonts w:ascii="Arial" w:hAnsi="Arial" w:cs="Arial"/>
            <w:color w:val="000000" w:themeColor="text1"/>
            <w:sz w:val="20"/>
            <w:szCs w:val="20"/>
            <w:lang w:val="pt-PT"/>
          </w:rPr>
          <w:t>https://doi.org/10.1002/ece3.9495</w:t>
        </w:r>
      </w:hyperlink>
    </w:p>
    <w:p w14:paraId="42F52A7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A039B7">
        <w:rPr>
          <w:rFonts w:ascii="Arial" w:eastAsia="Arial" w:hAnsi="Arial" w:cs="Arial"/>
          <w:color w:val="000000" w:themeColor="text1"/>
          <w:sz w:val="20"/>
          <w:szCs w:val="20"/>
          <w:lang w:val="pt-PT"/>
        </w:rPr>
        <w:t>Rivera-</w:t>
      </w:r>
      <w:proofErr w:type="spellStart"/>
      <w:r w:rsidRPr="00A039B7">
        <w:rPr>
          <w:rFonts w:ascii="Arial" w:eastAsia="Arial" w:hAnsi="Arial" w:cs="Arial"/>
          <w:color w:val="000000" w:themeColor="text1"/>
          <w:sz w:val="20"/>
          <w:szCs w:val="20"/>
          <w:lang w:val="pt-PT"/>
        </w:rPr>
        <w:t>Milán</w:t>
      </w:r>
      <w:proofErr w:type="spellEnd"/>
      <w:r w:rsidRPr="00A039B7">
        <w:rPr>
          <w:rFonts w:ascii="Arial" w:eastAsia="Arial" w:hAnsi="Arial" w:cs="Arial"/>
          <w:color w:val="000000" w:themeColor="text1"/>
          <w:sz w:val="20"/>
          <w:szCs w:val="20"/>
          <w:lang w:val="pt-PT"/>
        </w:rPr>
        <w:t xml:space="preserve">, F. F., Andres, B. A., &amp; Johnson, J. A. (2023). </w:t>
      </w:r>
      <w:r w:rsidRPr="00881803">
        <w:rPr>
          <w:rFonts w:ascii="Arial" w:eastAsia="Arial" w:hAnsi="Arial" w:cs="Arial"/>
          <w:color w:val="000000" w:themeColor="text1"/>
          <w:sz w:val="20"/>
          <w:szCs w:val="20"/>
        </w:rPr>
        <w:t xml:space="preserve">Sustainability assessment of Lesser Yellowlegs Tringa flavipes harvested in the Americas. Wader Study, 130(2), 138–144. </w:t>
      </w:r>
      <w:hyperlink r:id="rId26">
        <w:r w:rsidRPr="00881803">
          <w:rPr>
            <w:rFonts w:ascii="Arial" w:hAnsi="Arial" w:cs="Arial"/>
            <w:color w:val="000000" w:themeColor="text1"/>
            <w:sz w:val="20"/>
            <w:szCs w:val="20"/>
          </w:rPr>
          <w:t>https://doi.org/10.18194/ws.00307</w:t>
        </w:r>
      </w:hyperlink>
    </w:p>
    <w:p w14:paraId="526BEDE0"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Road to Recovery (2022). Lesser Yellowlegs: A Tipping Point Species. </w:t>
      </w:r>
      <w:hyperlink r:id="rId27">
        <w:r w:rsidRPr="00881803">
          <w:rPr>
            <w:rFonts w:ascii="Arial" w:hAnsi="Arial" w:cs="Arial"/>
            <w:color w:val="000000" w:themeColor="text1"/>
            <w:sz w:val="20"/>
            <w:szCs w:val="20"/>
          </w:rPr>
          <w:t>https://r2rbirds.org/tipping-point-species/lesser-yellowlegs/</w:t>
        </w:r>
      </w:hyperlink>
    </w:p>
    <w:p w14:paraId="11919CDE"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Rosenberg, K. V., Dokter, A. M., Blancher, P. J., Sauer, J. R., Smith, A. C., Smith, P. A., Stanton, J. C., Panjabi, A., </w:t>
      </w:r>
      <w:proofErr w:type="spellStart"/>
      <w:r w:rsidRPr="00881803">
        <w:rPr>
          <w:rFonts w:ascii="Arial" w:eastAsia="Arial" w:hAnsi="Arial" w:cs="Arial"/>
          <w:color w:val="000000" w:themeColor="text1"/>
          <w:sz w:val="20"/>
          <w:szCs w:val="20"/>
        </w:rPr>
        <w:t>Helft</w:t>
      </w:r>
      <w:proofErr w:type="spellEnd"/>
      <w:r w:rsidRPr="00881803">
        <w:rPr>
          <w:rFonts w:ascii="Arial" w:eastAsia="Arial" w:hAnsi="Arial" w:cs="Arial"/>
          <w:color w:val="000000" w:themeColor="text1"/>
          <w:sz w:val="20"/>
          <w:szCs w:val="20"/>
        </w:rPr>
        <w:t xml:space="preserve">, L., Parr, M., and P.P. Marra (2019). Decline of the North American avifauna. Science, 366(6461), 120-124. </w:t>
      </w:r>
      <w:hyperlink r:id="rId28">
        <w:r w:rsidRPr="00881803">
          <w:rPr>
            <w:rFonts w:ascii="Arial" w:hAnsi="Arial" w:cs="Arial"/>
            <w:color w:val="000000" w:themeColor="text1"/>
            <w:sz w:val="20"/>
            <w:szCs w:val="20"/>
          </w:rPr>
          <w:t>https://doi.org/10.1126/science.aaw1313</w:t>
        </w:r>
      </w:hyperlink>
    </w:p>
    <w:p w14:paraId="1A3BB91B"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proofErr w:type="spellStart"/>
      <w:r w:rsidRPr="00881803">
        <w:rPr>
          <w:rFonts w:ascii="Arial" w:eastAsia="Arial" w:hAnsi="Arial" w:cs="Arial"/>
          <w:color w:val="000000" w:themeColor="text1"/>
          <w:sz w:val="20"/>
          <w:szCs w:val="20"/>
        </w:rPr>
        <w:t>Sekercioglu</w:t>
      </w:r>
      <w:proofErr w:type="spellEnd"/>
      <w:r w:rsidRPr="00881803">
        <w:rPr>
          <w:rFonts w:ascii="Arial" w:eastAsia="Arial" w:hAnsi="Arial" w:cs="Arial"/>
          <w:color w:val="000000" w:themeColor="text1"/>
          <w:sz w:val="20"/>
          <w:szCs w:val="20"/>
        </w:rPr>
        <w:t xml:space="preserve"> CH (2006) Increasing awareness of avian ecological function. Trends </w:t>
      </w:r>
      <w:proofErr w:type="spellStart"/>
      <w:r w:rsidRPr="00881803">
        <w:rPr>
          <w:rFonts w:ascii="Arial" w:eastAsia="Arial" w:hAnsi="Arial" w:cs="Arial"/>
          <w:color w:val="000000" w:themeColor="text1"/>
          <w:sz w:val="20"/>
          <w:szCs w:val="20"/>
        </w:rPr>
        <w:t>Ecol</w:t>
      </w:r>
      <w:proofErr w:type="spellEnd"/>
      <w:r w:rsidRPr="00881803">
        <w:rPr>
          <w:rFonts w:ascii="Arial" w:eastAsia="Arial" w:hAnsi="Arial" w:cs="Arial"/>
          <w:color w:val="000000" w:themeColor="text1"/>
          <w:sz w:val="20"/>
          <w:szCs w:val="20"/>
        </w:rPr>
        <w:t xml:space="preserve"> Evol 21:464–471. </w:t>
      </w:r>
      <w:hyperlink r:id="rId29">
        <w:r w:rsidRPr="00881803">
          <w:rPr>
            <w:rFonts w:ascii="Arial" w:hAnsi="Arial" w:cs="Arial"/>
            <w:color w:val="000000" w:themeColor="text1"/>
            <w:sz w:val="20"/>
            <w:szCs w:val="20"/>
          </w:rPr>
          <w:t>https://doi.org/10.1016/j.tree.2006.05.007</w:t>
        </w:r>
      </w:hyperlink>
    </w:p>
    <w:p w14:paraId="00390D17"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Smith PA, Smith AC, Andres B, et al (2023) Accelerating declines of North America’s shorebirds signal the need for urgent conservation action. </w:t>
      </w:r>
      <w:proofErr w:type="spellStart"/>
      <w:r w:rsidRPr="00881803">
        <w:rPr>
          <w:rFonts w:ascii="Arial" w:eastAsia="Arial" w:hAnsi="Arial" w:cs="Arial"/>
          <w:color w:val="000000" w:themeColor="text1"/>
          <w:sz w:val="20"/>
          <w:szCs w:val="20"/>
        </w:rPr>
        <w:t>Ornithol</w:t>
      </w:r>
      <w:proofErr w:type="spellEnd"/>
      <w:r w:rsidRPr="00881803">
        <w:rPr>
          <w:rFonts w:ascii="Arial" w:eastAsia="Arial" w:hAnsi="Arial" w:cs="Arial"/>
          <w:color w:val="000000" w:themeColor="text1"/>
          <w:sz w:val="20"/>
          <w:szCs w:val="20"/>
        </w:rPr>
        <w:t xml:space="preserve"> Appl </w:t>
      </w:r>
      <w:proofErr w:type="gramStart"/>
      <w:r w:rsidRPr="00881803">
        <w:rPr>
          <w:rFonts w:ascii="Arial" w:eastAsia="Arial" w:hAnsi="Arial" w:cs="Arial"/>
          <w:color w:val="000000" w:themeColor="text1"/>
          <w:sz w:val="20"/>
          <w:szCs w:val="20"/>
        </w:rPr>
        <w:t>125:duad</w:t>
      </w:r>
      <w:proofErr w:type="gramEnd"/>
      <w:r w:rsidRPr="00881803">
        <w:rPr>
          <w:rFonts w:ascii="Arial" w:eastAsia="Arial" w:hAnsi="Arial" w:cs="Arial"/>
          <w:color w:val="000000" w:themeColor="text1"/>
          <w:sz w:val="20"/>
          <w:szCs w:val="20"/>
        </w:rPr>
        <w:t xml:space="preserve">003. </w:t>
      </w:r>
      <w:hyperlink r:id="rId30">
        <w:r w:rsidRPr="00881803">
          <w:rPr>
            <w:rFonts w:ascii="Arial" w:hAnsi="Arial" w:cs="Arial"/>
            <w:color w:val="000000" w:themeColor="text1"/>
            <w:sz w:val="20"/>
            <w:szCs w:val="20"/>
          </w:rPr>
          <w:t>https://doi.org/10.1093/ornithapp/duad003</w:t>
        </w:r>
      </w:hyperlink>
    </w:p>
    <w:p w14:paraId="27B7DB63"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lastRenderedPageBreak/>
        <w:t xml:space="preserve">Tibbitts TL, </w:t>
      </w:r>
      <w:proofErr w:type="spellStart"/>
      <w:r w:rsidRPr="00881803">
        <w:rPr>
          <w:rFonts w:ascii="Arial" w:eastAsia="Arial" w:hAnsi="Arial" w:cs="Arial"/>
          <w:color w:val="000000" w:themeColor="text1"/>
          <w:sz w:val="20"/>
          <w:szCs w:val="20"/>
        </w:rPr>
        <w:t>Moskoff</w:t>
      </w:r>
      <w:proofErr w:type="spellEnd"/>
      <w:r w:rsidRPr="00881803">
        <w:rPr>
          <w:rFonts w:ascii="Arial" w:eastAsia="Arial" w:hAnsi="Arial" w:cs="Arial"/>
          <w:color w:val="000000" w:themeColor="text1"/>
          <w:sz w:val="20"/>
          <w:szCs w:val="20"/>
        </w:rPr>
        <w:t xml:space="preserve"> W (2020) Lesser Yellowlegs (Tringa flavipes), version 1.0. Birds World. </w:t>
      </w:r>
      <w:hyperlink r:id="rId31">
        <w:r w:rsidRPr="00881803">
          <w:rPr>
            <w:rFonts w:ascii="Arial" w:hAnsi="Arial" w:cs="Arial"/>
            <w:color w:val="000000" w:themeColor="text1"/>
            <w:sz w:val="20"/>
            <w:szCs w:val="20"/>
          </w:rPr>
          <w:t>https://doi.org/10.2173/bow.lesyel.01</w:t>
        </w:r>
      </w:hyperlink>
    </w:p>
    <w:p w14:paraId="53682900" w14:textId="77777777" w:rsidR="003E6F9B" w:rsidRPr="00881803" w:rsidRDefault="003E6F9B" w:rsidP="003E6F9B">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U.S. Shorebird Conservation Plan Partnership (2016) Shorebirds of Conservation Concern in the United States of America ─ 2016</w:t>
      </w:r>
    </w:p>
    <w:p w14:paraId="5DF9CA87" w14:textId="77777777" w:rsidR="003E6F9B" w:rsidRPr="00881803" w:rsidRDefault="003E6F9B" w:rsidP="003E6F9B">
      <w:pPr>
        <w:pStyle w:val="Bibliography"/>
        <w:spacing w:after="0" w:line="240" w:lineRule="auto"/>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Urcola HA, de Sartre XA, Veiga I, et al (2015) Land tenancy, soybean, actors and transformations in the pampas: A district balance. J Rural Stud 39:32–40. </w:t>
      </w:r>
      <w:hyperlink r:id="rId32">
        <w:r w:rsidRPr="00881803">
          <w:rPr>
            <w:rFonts w:ascii="Arial" w:hAnsi="Arial" w:cs="Arial"/>
            <w:color w:val="000000" w:themeColor="text1"/>
            <w:sz w:val="20"/>
            <w:szCs w:val="20"/>
          </w:rPr>
          <w:t>https://doi.org/10.1016/j.jrurstud.2015.03.001</w:t>
        </w:r>
      </w:hyperlink>
    </w:p>
    <w:p w14:paraId="52DB7B9A" w14:textId="77777777" w:rsidR="003E6F9B" w:rsidRPr="00881803" w:rsidRDefault="003E6F9B" w:rsidP="003E6F9B">
      <w:pPr>
        <w:widowControl w:val="0"/>
        <w:autoSpaceDE w:val="0"/>
        <w:spacing w:after="0" w:line="240" w:lineRule="auto"/>
        <w:jc w:val="both"/>
        <w:rPr>
          <w:rFonts w:eastAsia="Times New Roman" w:cs="Arial"/>
          <w:b/>
          <w:sz w:val="20"/>
          <w:szCs w:val="20"/>
          <w:lang w:eastAsia="es-ES"/>
        </w:rPr>
      </w:pPr>
    </w:p>
    <w:p w14:paraId="4921A5A0" w14:textId="77777777" w:rsidR="003E6F9B" w:rsidRPr="00881803" w:rsidRDefault="003E6F9B" w:rsidP="003E6F9B">
      <w:pPr>
        <w:widowControl w:val="0"/>
        <w:autoSpaceDE w:val="0"/>
        <w:spacing w:after="0" w:line="240" w:lineRule="auto"/>
        <w:jc w:val="both"/>
        <w:rPr>
          <w:rFonts w:eastAsia="Times New Roman" w:cs="Arial"/>
          <w:b/>
          <w:sz w:val="20"/>
          <w:szCs w:val="20"/>
          <w:lang w:eastAsia="es-ES"/>
        </w:rPr>
      </w:pPr>
    </w:p>
    <w:p w14:paraId="074EE44F" w14:textId="77777777" w:rsidR="00260895" w:rsidRPr="00C43E4B" w:rsidRDefault="00260895">
      <w:pPr>
        <w:widowControl w:val="0"/>
        <w:suppressAutoHyphens w:val="0"/>
        <w:autoSpaceDE w:val="0"/>
        <w:adjustRightInd w:val="0"/>
        <w:spacing w:after="0" w:line="240" w:lineRule="auto"/>
        <w:jc w:val="both"/>
        <w:textAlignment w:val="auto"/>
        <w:rPr>
          <w:rFonts w:ascii="Arial" w:eastAsia="Times New Roman" w:hAnsi="Arial" w:cs="Arial"/>
          <w:lang w:val="fr-FR"/>
        </w:rPr>
      </w:pPr>
    </w:p>
    <w:sectPr w:rsidR="00260895" w:rsidRPr="00C43E4B">
      <w:headerReference w:type="even" r:id="rId33"/>
      <w:headerReference w:type="default" r:id="rId34"/>
      <w:footerReference w:type="even" r:id="rId35"/>
      <w:footerReference w:type="default" r:id="rId36"/>
      <w:headerReference w:type="first" r:id="rId37"/>
      <w:footerReference w:type="first" r:id="rId38"/>
      <w:endnotePr>
        <w:numFmt w:val="decimal"/>
      </w:endnotePr>
      <w:pgSz w:w="11905" w:h="16837"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7F5D" w14:textId="77777777" w:rsidR="00507AFB" w:rsidRDefault="00507AFB">
      <w:pPr>
        <w:spacing w:after="0" w:line="240" w:lineRule="auto"/>
        <w:rPr>
          <w:lang w:val="fr-FR"/>
        </w:rPr>
      </w:pPr>
      <w:r>
        <w:rPr>
          <w:lang w:val="fr-FR"/>
        </w:rPr>
        <w:separator/>
      </w:r>
    </w:p>
  </w:endnote>
  <w:endnote w:type="continuationSeparator" w:id="0">
    <w:p w14:paraId="2E64CE44" w14:textId="77777777" w:rsidR="00507AFB" w:rsidRDefault="00507AFB">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CE50" w14:textId="77777777" w:rsidR="00260EF3" w:rsidRDefault="004D1B17">
    <w:pPr>
      <w:pStyle w:val="Footer"/>
      <w:ind w:right="-367"/>
      <w:jc w:val="center"/>
    </w:pPr>
    <w:r>
      <w:rPr>
        <w:rFonts w:cs="Arial"/>
        <w:szCs w:val="18"/>
      </w:rPr>
      <w:fldChar w:fldCharType="begin"/>
    </w:r>
    <w:r>
      <w:rPr>
        <w:rFonts w:cs="Arial"/>
        <w:szCs w:val="18"/>
      </w:rPr>
      <w:instrText xml:space="preserve"> PAGE </w:instrText>
    </w:r>
    <w:r>
      <w:rPr>
        <w:rFonts w:cs="Arial"/>
        <w:szCs w:val="18"/>
      </w:rPr>
      <w:fldChar w:fldCharType="separate"/>
    </w:r>
    <w:r>
      <w:rPr>
        <w:rFonts w:cs="Arial"/>
        <w:szCs w:val="18"/>
      </w:rPr>
      <w:t>6</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AB55" w14:textId="77777777" w:rsidR="00260EF3" w:rsidRDefault="004D1B17">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F07E" w14:textId="77777777" w:rsidR="00260EF3" w:rsidRDefault="004D1B17">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7A72" w14:textId="77777777" w:rsidR="00507AFB" w:rsidRDefault="00507AFB">
      <w:pPr>
        <w:spacing w:after="0" w:line="240" w:lineRule="auto"/>
        <w:rPr>
          <w:lang w:val="fr-FR"/>
        </w:rPr>
      </w:pPr>
      <w:r>
        <w:rPr>
          <w:color w:val="000000"/>
          <w:lang w:val="fr-FR"/>
        </w:rPr>
        <w:separator/>
      </w:r>
    </w:p>
  </w:footnote>
  <w:footnote w:type="continuationSeparator" w:id="0">
    <w:p w14:paraId="5D6FDE93" w14:textId="77777777" w:rsidR="00507AFB" w:rsidRDefault="00507AFB">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2E43" w14:textId="77777777" w:rsidR="00260895" w:rsidRDefault="00B65B48">
    <w:pPr>
      <w:pStyle w:val="Header"/>
      <w:pBdr>
        <w:bottom w:val="single" w:sz="4" w:space="1" w:color="000000"/>
      </w:pBdr>
      <w:rPr>
        <w:rFonts w:cs="Arial"/>
        <w:i/>
      </w:rPr>
    </w:pPr>
    <w:r>
      <w:rPr>
        <w:rFonts w:cs="Arial"/>
        <w:i/>
      </w:rPr>
      <w:t>UNEP/CMS/COP15/Doc.30.2.9</w:t>
    </w:r>
  </w:p>
  <w:p w14:paraId="3DDA88CC" w14:textId="77777777" w:rsidR="00260895" w:rsidRDefault="0026089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9A5B" w14:textId="77777777" w:rsidR="00260895" w:rsidRDefault="00B65B48">
    <w:pPr>
      <w:pStyle w:val="Header"/>
      <w:pBdr>
        <w:bottom w:val="single" w:sz="4" w:space="1" w:color="000000"/>
      </w:pBdr>
      <w:jc w:val="right"/>
      <w:rPr>
        <w:rFonts w:cs="Arial"/>
        <w:i/>
      </w:rPr>
    </w:pPr>
    <w:r>
      <w:rPr>
        <w:rFonts w:cs="Arial"/>
        <w:i/>
      </w:rPr>
      <w:t>UNEP/CMS/COP15/Doc.30.2.9</w:t>
    </w:r>
  </w:p>
  <w:p w14:paraId="12A77F76" w14:textId="77777777" w:rsidR="00260895" w:rsidRDefault="00260895">
    <w:pPr>
      <w:pStyle w:val="Header"/>
      <w:rPr>
        <w:rFonts w:cs="Arial"/>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ABF" w14:textId="77777777" w:rsidR="00A863A6" w:rsidRPr="00FF59D5" w:rsidRDefault="00A863A6" w:rsidP="00A863A6">
    <w:pPr>
      <w:widowControl w:val="0"/>
      <w:tabs>
        <w:tab w:val="center" w:pos="4153"/>
        <w:tab w:val="right" w:pos="8306"/>
      </w:tabs>
      <w:autoSpaceDE w:val="0"/>
      <w:spacing w:after="0" w:line="240" w:lineRule="auto"/>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10710C0E" wp14:editId="5BE82051">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732CBC35" wp14:editId="163D35F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454C102F" wp14:editId="1215B18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7959B484" w14:textId="77D6335F" w:rsidR="00260EF3" w:rsidRPr="00A13EF7" w:rsidRDefault="00260EF3" w:rsidP="00A1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783"/>
    <w:multiLevelType w:val="hybridMultilevel"/>
    <w:tmpl w:val="AE08E1EE"/>
    <w:lvl w:ilvl="0" w:tplc="4E42C43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30498"/>
    <w:multiLevelType w:val="hybridMultilevel"/>
    <w:tmpl w:val="6994EEF8"/>
    <w:lvl w:ilvl="0" w:tplc="7B1C83C0">
      <w:start w:val="1"/>
      <w:numFmt w:val="bullet"/>
      <w:lvlText w:val="-"/>
      <w:lvlJc w:val="left"/>
      <w:pPr>
        <w:ind w:left="1429" w:hanging="360"/>
      </w:pPr>
      <w:rPr>
        <w:rFonts w:ascii="Times New Roman" w:eastAsia="Times New Roman" w:hAnsi="Times New Roman"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30C3D41"/>
    <w:multiLevelType w:val="multilevel"/>
    <w:tmpl w:val="718C84E0"/>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D23FA"/>
    <w:multiLevelType w:val="multilevel"/>
    <w:tmpl w:val="D0E0C45E"/>
    <w:styleLink w:val="WWOutlineListStyle6"/>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47D260C"/>
    <w:multiLevelType w:val="multilevel"/>
    <w:tmpl w:val="A98290F8"/>
    <w:styleLink w:val="WWOutlineListStyle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4DE1228"/>
    <w:multiLevelType w:val="multilevel"/>
    <w:tmpl w:val="5AF0119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77C7B7D"/>
    <w:multiLevelType w:val="multilevel"/>
    <w:tmpl w:val="75549794"/>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90D17B5"/>
    <w:multiLevelType w:val="hybridMultilevel"/>
    <w:tmpl w:val="9EB8730E"/>
    <w:lvl w:ilvl="0" w:tplc="B9E03566">
      <w:start w:val="1"/>
      <w:numFmt w:val="decimal"/>
      <w:lvlText w:val="%1."/>
      <w:lvlJc w:val="left"/>
      <w:pPr>
        <w:ind w:left="63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82007"/>
    <w:multiLevelType w:val="hybridMultilevel"/>
    <w:tmpl w:val="8A62596A"/>
    <w:lvl w:ilvl="0" w:tplc="7C4AB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C4D2E"/>
    <w:multiLevelType w:val="multilevel"/>
    <w:tmpl w:val="4926A28E"/>
    <w:styleLink w:val="WWOutlineListStyle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D352AC4"/>
    <w:multiLevelType w:val="multilevel"/>
    <w:tmpl w:val="9F06111C"/>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43366081">
    <w:abstractNumId w:val="6"/>
  </w:num>
  <w:num w:numId="2" w16cid:durableId="1326396710">
    <w:abstractNumId w:val="13"/>
  </w:num>
  <w:num w:numId="3" w16cid:durableId="181209982">
    <w:abstractNumId w:val="7"/>
  </w:num>
  <w:num w:numId="4" w16cid:durableId="1569607685">
    <w:abstractNumId w:val="14"/>
  </w:num>
  <w:num w:numId="5" w16cid:durableId="545340248">
    <w:abstractNumId w:val="10"/>
  </w:num>
  <w:num w:numId="6" w16cid:durableId="913784759">
    <w:abstractNumId w:val="9"/>
  </w:num>
  <w:num w:numId="7" w16cid:durableId="225799851">
    <w:abstractNumId w:val="3"/>
  </w:num>
  <w:num w:numId="8" w16cid:durableId="1973317063">
    <w:abstractNumId w:val="4"/>
  </w:num>
  <w:num w:numId="9" w16cid:durableId="536506038">
    <w:abstractNumId w:val="1"/>
  </w:num>
  <w:num w:numId="10" w16cid:durableId="1215965982">
    <w:abstractNumId w:val="8"/>
  </w:num>
  <w:num w:numId="11" w16cid:durableId="145513285">
    <w:abstractNumId w:val="5"/>
  </w:num>
  <w:num w:numId="12" w16cid:durableId="149905371">
    <w:abstractNumId w:val="11"/>
  </w:num>
  <w:num w:numId="13" w16cid:durableId="1968124656">
    <w:abstractNumId w:val="12"/>
  </w:num>
  <w:num w:numId="14" w16cid:durableId="137919238">
    <w:abstractNumId w:val="0"/>
  </w:num>
  <w:num w:numId="15" w16cid:durableId="79922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24"/>
    <w:rsid w:val="00025255"/>
    <w:rsid w:val="00041E25"/>
    <w:rsid w:val="00066057"/>
    <w:rsid w:val="000749C0"/>
    <w:rsid w:val="00095E93"/>
    <w:rsid w:val="000A4EA5"/>
    <w:rsid w:val="000B2C5D"/>
    <w:rsid w:val="000E1660"/>
    <w:rsid w:val="001061FF"/>
    <w:rsid w:val="001102A5"/>
    <w:rsid w:val="001206A1"/>
    <w:rsid w:val="00122D53"/>
    <w:rsid w:val="00177BC6"/>
    <w:rsid w:val="001934F1"/>
    <w:rsid w:val="001A0EE3"/>
    <w:rsid w:val="001B2949"/>
    <w:rsid w:val="001B580D"/>
    <w:rsid w:val="001D1868"/>
    <w:rsid w:val="001E6E35"/>
    <w:rsid w:val="001F23B9"/>
    <w:rsid w:val="00203037"/>
    <w:rsid w:val="0021567D"/>
    <w:rsid w:val="002274B4"/>
    <w:rsid w:val="00260895"/>
    <w:rsid w:val="00260EF3"/>
    <w:rsid w:val="002B2410"/>
    <w:rsid w:val="00302040"/>
    <w:rsid w:val="00307DBC"/>
    <w:rsid w:val="00326FF9"/>
    <w:rsid w:val="003371FB"/>
    <w:rsid w:val="003438BB"/>
    <w:rsid w:val="00345AF8"/>
    <w:rsid w:val="003765E9"/>
    <w:rsid w:val="003C045E"/>
    <w:rsid w:val="003C28B0"/>
    <w:rsid w:val="003D2AF2"/>
    <w:rsid w:val="003E6F9B"/>
    <w:rsid w:val="00401364"/>
    <w:rsid w:val="00403FD7"/>
    <w:rsid w:val="00411B27"/>
    <w:rsid w:val="004218B4"/>
    <w:rsid w:val="00447AD5"/>
    <w:rsid w:val="00495A5A"/>
    <w:rsid w:val="00495A67"/>
    <w:rsid w:val="004D1B17"/>
    <w:rsid w:val="004E1A53"/>
    <w:rsid w:val="004E3F41"/>
    <w:rsid w:val="004E7067"/>
    <w:rsid w:val="00506138"/>
    <w:rsid w:val="00507A85"/>
    <w:rsid w:val="00507AFB"/>
    <w:rsid w:val="00520CA5"/>
    <w:rsid w:val="005416E4"/>
    <w:rsid w:val="00557D5F"/>
    <w:rsid w:val="005A1070"/>
    <w:rsid w:val="005A1542"/>
    <w:rsid w:val="005F778B"/>
    <w:rsid w:val="00613C22"/>
    <w:rsid w:val="006158FE"/>
    <w:rsid w:val="00617799"/>
    <w:rsid w:val="00621C05"/>
    <w:rsid w:val="006515AE"/>
    <w:rsid w:val="00665C6C"/>
    <w:rsid w:val="00675B10"/>
    <w:rsid w:val="00681F1B"/>
    <w:rsid w:val="006C3AA2"/>
    <w:rsid w:val="006D161F"/>
    <w:rsid w:val="006D5658"/>
    <w:rsid w:val="006D65E3"/>
    <w:rsid w:val="006E6366"/>
    <w:rsid w:val="006F2362"/>
    <w:rsid w:val="00704AB0"/>
    <w:rsid w:val="0073733F"/>
    <w:rsid w:val="007B0B71"/>
    <w:rsid w:val="007D234A"/>
    <w:rsid w:val="007D3B6B"/>
    <w:rsid w:val="00804978"/>
    <w:rsid w:val="00831D00"/>
    <w:rsid w:val="00832AEB"/>
    <w:rsid w:val="008360CA"/>
    <w:rsid w:val="00857BF5"/>
    <w:rsid w:val="00882E89"/>
    <w:rsid w:val="00895F0C"/>
    <w:rsid w:val="008B13C7"/>
    <w:rsid w:val="008D7D32"/>
    <w:rsid w:val="008E152F"/>
    <w:rsid w:val="00911D64"/>
    <w:rsid w:val="00923079"/>
    <w:rsid w:val="009235E0"/>
    <w:rsid w:val="00947093"/>
    <w:rsid w:val="009574A5"/>
    <w:rsid w:val="00960692"/>
    <w:rsid w:val="00967866"/>
    <w:rsid w:val="00976E4C"/>
    <w:rsid w:val="009C218E"/>
    <w:rsid w:val="00A13EF7"/>
    <w:rsid w:val="00A20324"/>
    <w:rsid w:val="00A36607"/>
    <w:rsid w:val="00A8266D"/>
    <w:rsid w:val="00A863A6"/>
    <w:rsid w:val="00A95603"/>
    <w:rsid w:val="00AA7F08"/>
    <w:rsid w:val="00AB39E3"/>
    <w:rsid w:val="00AC3912"/>
    <w:rsid w:val="00AD73EA"/>
    <w:rsid w:val="00B06E6D"/>
    <w:rsid w:val="00B32F19"/>
    <w:rsid w:val="00B6042F"/>
    <w:rsid w:val="00B65B48"/>
    <w:rsid w:val="00B72A64"/>
    <w:rsid w:val="00BA5E5A"/>
    <w:rsid w:val="00BB45B7"/>
    <w:rsid w:val="00BD6F99"/>
    <w:rsid w:val="00BD7EC6"/>
    <w:rsid w:val="00BE59AC"/>
    <w:rsid w:val="00BE6AA9"/>
    <w:rsid w:val="00BF2786"/>
    <w:rsid w:val="00BF32F8"/>
    <w:rsid w:val="00BF6698"/>
    <w:rsid w:val="00C31C6F"/>
    <w:rsid w:val="00C34A19"/>
    <w:rsid w:val="00C43E4B"/>
    <w:rsid w:val="00C87352"/>
    <w:rsid w:val="00C96AEA"/>
    <w:rsid w:val="00CC09CE"/>
    <w:rsid w:val="00CC2F21"/>
    <w:rsid w:val="00D359FC"/>
    <w:rsid w:val="00D733E8"/>
    <w:rsid w:val="00D80385"/>
    <w:rsid w:val="00E02888"/>
    <w:rsid w:val="00E04509"/>
    <w:rsid w:val="00E33B55"/>
    <w:rsid w:val="00E87413"/>
    <w:rsid w:val="00EC0B2D"/>
    <w:rsid w:val="00F10E0A"/>
    <w:rsid w:val="00F30965"/>
    <w:rsid w:val="00F33BED"/>
    <w:rsid w:val="00F6563E"/>
    <w:rsid w:val="00F82858"/>
    <w:rsid w:val="00FA3534"/>
    <w:rsid w:val="00FC3428"/>
    <w:rsid w:val="023A57F9"/>
    <w:rsid w:val="0E3FBEEB"/>
    <w:rsid w:val="0EEA1EF7"/>
    <w:rsid w:val="16778F7C"/>
    <w:rsid w:val="1F1AEB3D"/>
    <w:rsid w:val="29EF7838"/>
    <w:rsid w:val="426C99D7"/>
    <w:rsid w:val="61D7BE09"/>
    <w:rsid w:val="7E8C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96986"/>
  <w15:docId w15:val="{E674E456-EB28-4D22-964E-169279CC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ascii="Arial" w:eastAsia="Times New Roman" w:hAnsi="Arial"/>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ascii="Arial" w:eastAsia="Times New Roman" w:hAnsi="Arial"/>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ascii="Arial" w:eastAsia="Times New Roman" w:hAnsi="Arial"/>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ascii="Arial" w:eastAsia="Times New Roman" w:hAnsi="Arial"/>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ascii="Arial" w:eastAsia="Times New Roman" w:hAnsi="Arial"/>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ascii="Arial" w:eastAsia="Times New Roman" w:hAnsi="Arial"/>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ascii="Arial" w:eastAsia="Times New Roman" w:hAnsi="Arial"/>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ascii="Arial" w:eastAsia="Times New Roman" w:hAnsi="Arial" w:cs="Arial"/>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ascii="Arial" w:eastAsia="Times New Roman" w:hAnsi="Arial" w:cs="Arial"/>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ascii="Arial" w:eastAsia="Times New Roman" w:hAnsi="Arial"/>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ascii="Arial" w:eastAsia="Times New Roman" w:hAnsi="Arial"/>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ascii="Arial" w:eastAsia="Times New Roman" w:hAnsi="Arial"/>
      <w:sz w:val="18"/>
      <w:szCs w:val="24"/>
      <w:lang w:val="es-ES" w:eastAsia="es-ES"/>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ascii="Arial" w:eastAsia="Times New Roman" w:hAnsi="Arial"/>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ascii="Arial" w:eastAsia="Times New Roman" w:hAnsi="Arial"/>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ascii="Arial" w:eastAsia="Times New Roman" w:hAnsi="Arial"/>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ascii="Arial" w:eastAsia="Times New Roman" w:hAnsi="Arial"/>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ascii="Arial" w:eastAsia="Times New Roman" w:hAnsi="Arial"/>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ascii="Arial" w:eastAsia="Times New Roman" w:hAnsi="Arial"/>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pPr>
      <w:widowControl w:val="0"/>
      <w:autoSpaceDE w:val="0"/>
      <w:spacing w:after="0" w:line="240" w:lineRule="auto"/>
    </w:pPr>
    <w:rPr>
      <w:rFonts w:ascii="Arial" w:eastAsia="Times New Roman" w:hAnsi="Arial"/>
      <w:sz w:val="18"/>
      <w:szCs w:val="20"/>
      <w:lang w:val="es-ES" w:eastAsia="es-ES"/>
    </w:rPr>
  </w:style>
  <w:style w:type="character" w:customStyle="1" w:styleId="FootnoteTextChar">
    <w:name w:val="Footnote Text Char"/>
    <w:basedOn w:val="DefaultParagraphFont"/>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ascii="Arial" w:eastAsia="Times New Roman" w:hAnsi="Arial"/>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ascii="Arial" w:eastAsia="Times New Roman" w:hAnsi="Arial"/>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ascii="Arial" w:eastAsia="Times New Roman" w:hAnsi="Arial"/>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ascii="Arial" w:eastAsia="Times New Roman" w:hAnsi="Arial" w:cs="Arial"/>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ascii="Arial" w:eastAsia="Times New Roman" w:hAnsi="Arial"/>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ascii="Arial" w:eastAsia="Times New Roman" w:hAnsi="Arial"/>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uiPriority w:val="34"/>
    <w:qFormat/>
    <w:pPr>
      <w:widowControl w:val="0"/>
      <w:autoSpaceDE w:val="0"/>
      <w:spacing w:after="0" w:line="240" w:lineRule="auto"/>
      <w:ind w:left="720"/>
    </w:pPr>
    <w:rPr>
      <w:rFonts w:ascii="Arial" w:eastAsia="Times New Roman" w:hAnsi="Arial"/>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ascii="Arial" w:eastAsia="Times New Roman" w:hAnsi="Arial"/>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ascii="Arial" w:eastAsia="Times New Roman" w:hAnsi="Arial" w:cs="Arial"/>
      <w:b/>
      <w:bCs/>
      <w:color w:val="1F497D"/>
      <w:sz w:val="16"/>
      <w:szCs w:val="16"/>
      <w:lang w:val="es-ES" w:eastAsia="es-ES"/>
    </w:rPr>
  </w:style>
  <w:style w:type="paragraph" w:customStyle="1" w:styleId="font6">
    <w:name w:val="font6"/>
    <w:basedOn w:val="Normal"/>
    <w:pPr>
      <w:spacing w:before="100" w:after="100" w:line="240" w:lineRule="auto"/>
    </w:pPr>
    <w:rPr>
      <w:rFonts w:ascii="Arial" w:eastAsia="Times New Roman" w:hAnsi="Arial" w:cs="Arial"/>
      <w:b/>
      <w:bCs/>
      <w:i/>
      <w:iCs/>
      <w:color w:val="1F497D"/>
      <w:sz w:val="16"/>
      <w:szCs w:val="16"/>
      <w:lang w:val="es-ES" w:eastAsia="es-ES"/>
    </w:rPr>
  </w:style>
  <w:style w:type="paragraph" w:customStyle="1" w:styleId="font7">
    <w:name w:val="font7"/>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font8">
    <w:name w:val="font8"/>
    <w:basedOn w:val="Normal"/>
    <w:pPr>
      <w:spacing w:before="100" w:after="100" w:line="240" w:lineRule="auto"/>
    </w:pPr>
    <w:rPr>
      <w:rFonts w:ascii="Arial" w:eastAsia="Times New Roman" w:hAnsi="Arial" w:cs="Arial"/>
      <w:color w:val="000000"/>
      <w:sz w:val="16"/>
      <w:szCs w:val="16"/>
      <w:lang w:val="es-ES" w:eastAsia="es-ES"/>
    </w:rPr>
  </w:style>
  <w:style w:type="paragraph" w:customStyle="1" w:styleId="xl71">
    <w:name w:val="xl71"/>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2">
    <w:name w:val="xl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3">
    <w:name w:val="xl7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4">
    <w:name w:val="xl7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75">
    <w:name w:val="xl7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0">
    <w:name w:val="xl8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0">
    <w:name w:val="xl100"/>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ascii="Arial" w:eastAsia="Times New Roman" w:hAnsi="Arial" w:cs="Arial"/>
      <w:b/>
      <w:bCs/>
      <w:sz w:val="16"/>
      <w:szCs w:val="16"/>
      <w:lang w:val="es-ES" w:eastAsia="es-ES"/>
    </w:rPr>
  </w:style>
  <w:style w:type="paragraph" w:customStyle="1" w:styleId="xl102">
    <w:name w:val="xl102"/>
    <w:basedOn w:val="Normal"/>
    <w:pPr>
      <w:spacing w:before="100" w:after="100" w:line="240" w:lineRule="auto"/>
      <w:jc w:val="center"/>
      <w:textAlignment w:val="top"/>
    </w:pPr>
    <w:rPr>
      <w:rFonts w:ascii="Arial" w:eastAsia="Times New Roman" w:hAnsi="Arial" w:cs="Arial"/>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sz w:val="16"/>
      <w:szCs w:val="16"/>
      <w:lang w:val="es-ES" w:eastAsia="es-ES"/>
    </w:rPr>
  </w:style>
  <w:style w:type="paragraph" w:customStyle="1" w:styleId="xl117">
    <w:name w:val="xl11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18">
    <w:name w:val="xl11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19">
    <w:name w:val="xl11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2">
    <w:name w:val="xl122"/>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26">
    <w:name w:val="xl12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ascii="Arial" w:eastAsia="Times New Roman" w:hAnsi="Arial" w:cs="Arial"/>
      <w:sz w:val="16"/>
      <w:szCs w:val="16"/>
      <w:lang w:val="es-ES" w:eastAsia="es-ES"/>
    </w:rPr>
  </w:style>
  <w:style w:type="paragraph" w:customStyle="1" w:styleId="xl130">
    <w:name w:val="xl130"/>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2">
    <w:name w:val="xl132"/>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4">
    <w:name w:val="xl134"/>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color w:val="000000"/>
      <w:sz w:val="16"/>
      <w:szCs w:val="16"/>
      <w:lang w:val="es-ES" w:eastAsia="es-ES"/>
    </w:rPr>
  </w:style>
  <w:style w:type="paragraph" w:customStyle="1" w:styleId="xl155">
    <w:name w:val="xl155"/>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6">
    <w:name w:val="xl156"/>
    <w:basedOn w:val="Normal"/>
    <w:pPr>
      <w:spacing w:before="100" w:after="100" w:line="240" w:lineRule="auto"/>
      <w:textAlignment w:val="top"/>
    </w:pPr>
    <w:rPr>
      <w:rFonts w:ascii="Arial" w:eastAsia="Times New Roman" w:hAnsi="Arial" w:cs="Arial"/>
      <w:b/>
      <w:bCs/>
      <w:color w:val="000000"/>
      <w:sz w:val="16"/>
      <w:szCs w:val="16"/>
      <w:lang w:val="es-ES" w:eastAsia="es-ES"/>
    </w:rPr>
  </w:style>
  <w:style w:type="paragraph" w:customStyle="1" w:styleId="xl157">
    <w:name w:val="xl15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8">
    <w:name w:val="xl15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59">
    <w:name w:val="xl159"/>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0">
    <w:name w:val="xl160"/>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1">
    <w:name w:val="xl161"/>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2">
    <w:name w:val="xl16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3">
    <w:name w:val="xl163"/>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4">
    <w:name w:val="xl164"/>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5">
    <w:name w:val="xl165"/>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6">
    <w:name w:val="xl166"/>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67">
    <w:name w:val="xl167"/>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8">
    <w:name w:val="xl168"/>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69">
    <w:name w:val="xl169"/>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0">
    <w:name w:val="xl170"/>
    <w:basedOn w:val="Normal"/>
    <w:pPr>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2">
    <w:name w:val="xl172"/>
    <w:basedOn w:val="Normal"/>
    <w:pPr>
      <w:spacing w:before="100" w:after="100" w:line="240" w:lineRule="auto"/>
      <w:textAlignment w:val="top"/>
    </w:pPr>
    <w:rPr>
      <w:rFonts w:ascii="Arial" w:eastAsia="Times New Roman" w:hAnsi="Arial" w:cs="Arial"/>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ascii="Arial" w:eastAsia="Times New Roman" w:hAnsi="Arial" w:cs="Arial"/>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183">
    <w:name w:val="xl183"/>
    <w:basedOn w:val="Normal"/>
    <w:pPr>
      <w:spacing w:before="100" w:after="100" w:line="240" w:lineRule="auto"/>
      <w:textAlignment w:val="top"/>
    </w:pPr>
    <w:rPr>
      <w:rFonts w:ascii="Arial" w:eastAsia="Times New Roman" w:hAnsi="Arial" w:cs="Arial"/>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ascii="Arial" w:eastAsia="Times New Roman" w:hAnsi="Arial" w:cs="Arial"/>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ascii="Arial" w:eastAsia="Times New Roman" w:hAnsi="Arial" w:cs="Arial"/>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ascii="Arial" w:eastAsia="Times New Roman" w:hAnsi="Arial" w:cs="Arial"/>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ascii="Arial" w:eastAsia="Times New Roman" w:hAnsi="Arial" w:cs="Arial"/>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5">
    <w:name w:val="xl21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6">
    <w:name w:val="xl21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7">
    <w:name w:val="xl217"/>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8">
    <w:name w:val="xl218"/>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19">
    <w:name w:val="xl219"/>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0">
    <w:name w:val="xl220"/>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1">
    <w:name w:val="xl221"/>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2">
    <w:name w:val="xl222"/>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3">
    <w:name w:val="xl223"/>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4">
    <w:name w:val="xl224"/>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5">
    <w:name w:val="xl225"/>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6">
    <w:name w:val="xl226"/>
    <w:basedOn w:val="Normal"/>
    <w:pPr>
      <w:spacing w:before="100" w:after="100" w:line="240" w:lineRule="auto"/>
      <w:jc w:val="right"/>
      <w:textAlignment w:val="top"/>
    </w:pPr>
    <w:rPr>
      <w:rFonts w:ascii="Arial" w:eastAsia="Times New Roman" w:hAnsi="Arial" w:cs="Arial"/>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Arial" w:eastAsia="Times New Roman" w:hAnsi="Arial" w:cs="Arial"/>
      <w:b/>
      <w:bCs/>
      <w:sz w:val="16"/>
      <w:szCs w:val="16"/>
      <w:lang w:val="es-ES" w:eastAsia="es-ES"/>
    </w:rPr>
  </w:style>
  <w:style w:type="paragraph" w:customStyle="1" w:styleId="xl230">
    <w:name w:val="xl230"/>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ascii="Arial" w:eastAsia="Times New Roman" w:hAnsi="Arial" w:cs="Arial"/>
      <w:b/>
      <w:bCs/>
      <w:i/>
      <w:iCs/>
      <w:sz w:val="16"/>
      <w:szCs w:val="16"/>
      <w:lang w:val="es-ES" w:eastAsia="es-ES"/>
    </w:rPr>
  </w:style>
  <w:style w:type="character" w:styleId="Strong">
    <w:name w:val="Strong"/>
    <w:basedOn w:val="DefaultParagraphFont"/>
    <w:rPr>
      <w:rFonts w:cs="Times New Roman"/>
      <w: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character" w:styleId="UnresolvedMention">
    <w:name w:val="Unresolved Mention"/>
    <w:basedOn w:val="DefaultParagraphFont"/>
    <w:uiPriority w:val="99"/>
    <w:semiHidden/>
    <w:unhideWhenUsed/>
    <w:rsid w:val="001D1868"/>
    <w:rPr>
      <w:color w:val="605E5C"/>
      <w:shd w:val="clear" w:color="auto" w:fill="E1DFDD"/>
    </w:rPr>
  </w:style>
  <w:style w:type="paragraph" w:styleId="Bibliography">
    <w:name w:val="Bibliography"/>
    <w:basedOn w:val="Normal"/>
    <w:next w:val="Normal"/>
    <w:uiPriority w:val="37"/>
    <w:semiHidden/>
    <w:unhideWhenUsed/>
    <w:rsid w:val="00923079"/>
  </w:style>
  <w:style w:type="paragraph" w:styleId="Revision">
    <w:name w:val="Revision"/>
    <w:hidden/>
    <w:uiPriority w:val="99"/>
    <w:semiHidden/>
    <w:rsid w:val="00F33BED"/>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0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tlanticflywayshorebirds.org/" TargetMode="External"/><Relationship Id="rId18" Type="http://schemas.openxmlformats.org/officeDocument/2006/relationships/hyperlink" Target="https://doi.org/10.1111/cobi.13486" TargetMode="External"/><Relationship Id="rId26" Type="http://schemas.openxmlformats.org/officeDocument/2006/relationships/hyperlink" Target="https://doi.org/10.18194/ws.00307" TargetMode="External"/><Relationship Id="rId39" Type="http://schemas.openxmlformats.org/officeDocument/2006/relationships/fontTable" Target="fontTable.xml"/><Relationship Id="rId21" Type="http://schemas.openxmlformats.org/officeDocument/2006/relationships/hyperlink" Target="https://doi.org/10.1101/2025.06.17.660260"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manomet.org/project/international-shorebird-survey/" TargetMode="External"/><Relationship Id="rId17" Type="http://schemas.openxmlformats.org/officeDocument/2006/relationships/hyperlink" Target="https://doi.org/10.3390/land11030434" TargetMode="External"/><Relationship Id="rId25" Type="http://schemas.openxmlformats.org/officeDocument/2006/relationships/hyperlink" Target="https://doi.org/10.1002/ece3.949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8194/ws.00263" TargetMode="External"/><Relationship Id="rId20" Type="http://schemas.openxmlformats.org/officeDocument/2006/relationships/hyperlink" Target="https://doi.org/10.3390/d15050595" TargetMode="External"/><Relationship Id="rId29" Type="http://schemas.openxmlformats.org/officeDocument/2006/relationships/hyperlink" Target="https://doi.org/10.1016/j.tree.2006.05.0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1093/ornithapp/duab061" TargetMode="External"/><Relationship Id="rId32" Type="http://schemas.openxmlformats.org/officeDocument/2006/relationships/hyperlink" Target="https://doi.org/10.1016/j.jrurstud.2015.03.0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2rbirds.org/" TargetMode="External"/><Relationship Id="rId23" Type="http://schemas.openxmlformats.org/officeDocument/2006/relationships/hyperlink" Target="https://doi.org/10.1093/ornithapp/duae034" TargetMode="External"/><Relationship Id="rId28" Type="http://schemas.openxmlformats.org/officeDocument/2006/relationships/hyperlink" Target="https://doi.org/10.1126/science.aaw1313" TargetMode="External"/><Relationship Id="rId36"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yperlink" Target="https://doi.org/10.1016/j.ecss.2014.10.014" TargetMode="External"/><Relationship Id="rId31" Type="http://schemas.openxmlformats.org/officeDocument/2006/relationships/hyperlink" Target="https://doi.org/10.2173/bow.lesyel.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damericasshorebirds.org/" TargetMode="External"/><Relationship Id="rId22" Type="http://schemas.openxmlformats.org/officeDocument/2006/relationships/hyperlink" Target="https://doi.org/10.5751/JFO-00659-960305" TargetMode="External"/><Relationship Id="rId27" Type="http://schemas.openxmlformats.org/officeDocument/2006/relationships/hyperlink" Target="https://r2rbirds.org/tipping-point-species/lesser-yellowlegs/" TargetMode="External"/><Relationship Id="rId30" Type="http://schemas.openxmlformats.org/officeDocument/2006/relationships/hyperlink" Target="https://doi.org/10.1093/ornithapp/duad003"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1a299a01c74ae4ec570fe54e4721d53f">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a190e9cba92d2034865fcaf3ffc6cc9"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812A3-DAD3-4D58-A319-475A1AB5E150}">
  <ds:schemaRefs>
    <ds:schemaRef ds:uri="http://schemas.microsoft.com/sharepoint/v3/contenttype/forms"/>
  </ds:schemaRefs>
</ds:datastoreItem>
</file>

<file path=customXml/itemProps2.xml><?xml version="1.0" encoding="utf-8"?>
<ds:datastoreItem xmlns:ds="http://schemas.openxmlformats.org/officeDocument/2006/customXml" ds:itemID="{BFC386E4-690C-44D8-8E34-87CA154FC35F}">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3584196-E3B8-43AD-BA31-487C65871AE3}"/>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12550</Words>
  <Characters>71541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83924</CharactersWithSpaces>
  <SharedDoc>false</SharedDoc>
  <HLinks>
    <vt:vector size="126" baseType="variant">
      <vt:variant>
        <vt:i4>3342378</vt:i4>
      </vt:variant>
      <vt:variant>
        <vt:i4>141</vt:i4>
      </vt:variant>
      <vt:variant>
        <vt:i4>0</vt:i4>
      </vt:variant>
      <vt:variant>
        <vt:i4>5</vt:i4>
      </vt:variant>
      <vt:variant>
        <vt:lpwstr>https://doi.org/10.1016/j.jrurstud.2015.03.001</vt:lpwstr>
      </vt:variant>
      <vt:variant>
        <vt:lpwstr/>
      </vt:variant>
      <vt:variant>
        <vt:i4>1441817</vt:i4>
      </vt:variant>
      <vt:variant>
        <vt:i4>138</vt:i4>
      </vt:variant>
      <vt:variant>
        <vt:i4>0</vt:i4>
      </vt:variant>
      <vt:variant>
        <vt:i4>5</vt:i4>
      </vt:variant>
      <vt:variant>
        <vt:lpwstr>https://doi.org/10.2173/bow.lesyel.01</vt:lpwstr>
      </vt:variant>
      <vt:variant>
        <vt:lpwstr/>
      </vt:variant>
      <vt:variant>
        <vt:i4>1507336</vt:i4>
      </vt:variant>
      <vt:variant>
        <vt:i4>135</vt:i4>
      </vt:variant>
      <vt:variant>
        <vt:i4>0</vt:i4>
      </vt:variant>
      <vt:variant>
        <vt:i4>5</vt:i4>
      </vt:variant>
      <vt:variant>
        <vt:lpwstr>https://doi.org/10.1093/ornithapp/duad003</vt:lpwstr>
      </vt:variant>
      <vt:variant>
        <vt:lpwstr/>
      </vt:variant>
      <vt:variant>
        <vt:i4>3473441</vt:i4>
      </vt:variant>
      <vt:variant>
        <vt:i4>132</vt:i4>
      </vt:variant>
      <vt:variant>
        <vt:i4>0</vt:i4>
      </vt:variant>
      <vt:variant>
        <vt:i4>5</vt:i4>
      </vt:variant>
      <vt:variant>
        <vt:lpwstr>https://doi.org/10.1016/j.tree.2006.05.007</vt:lpwstr>
      </vt:variant>
      <vt:variant>
        <vt:lpwstr/>
      </vt:variant>
      <vt:variant>
        <vt:i4>3866729</vt:i4>
      </vt:variant>
      <vt:variant>
        <vt:i4>129</vt:i4>
      </vt:variant>
      <vt:variant>
        <vt:i4>0</vt:i4>
      </vt:variant>
      <vt:variant>
        <vt:i4>5</vt:i4>
      </vt:variant>
      <vt:variant>
        <vt:lpwstr>https://doi.org/10.1126/science.aaw1313</vt:lpwstr>
      </vt:variant>
      <vt:variant>
        <vt:lpwstr/>
      </vt:variant>
      <vt:variant>
        <vt:i4>1835012</vt:i4>
      </vt:variant>
      <vt:variant>
        <vt:i4>126</vt:i4>
      </vt:variant>
      <vt:variant>
        <vt:i4>0</vt:i4>
      </vt:variant>
      <vt:variant>
        <vt:i4>5</vt:i4>
      </vt:variant>
      <vt:variant>
        <vt:lpwstr>https://r2rbirds.org/tipping-point-species/lesser-yellowlegs/</vt:lpwstr>
      </vt:variant>
      <vt:variant>
        <vt:lpwstr/>
      </vt:variant>
      <vt:variant>
        <vt:i4>5242884</vt:i4>
      </vt:variant>
      <vt:variant>
        <vt:i4>123</vt:i4>
      </vt:variant>
      <vt:variant>
        <vt:i4>0</vt:i4>
      </vt:variant>
      <vt:variant>
        <vt:i4>5</vt:i4>
      </vt:variant>
      <vt:variant>
        <vt:lpwstr>https://doi.org/10.18194/ws.00307</vt:lpwstr>
      </vt:variant>
      <vt:variant>
        <vt:lpwstr/>
      </vt:variant>
      <vt:variant>
        <vt:i4>4390978</vt:i4>
      </vt:variant>
      <vt:variant>
        <vt:i4>120</vt:i4>
      </vt:variant>
      <vt:variant>
        <vt:i4>0</vt:i4>
      </vt:variant>
      <vt:variant>
        <vt:i4>5</vt:i4>
      </vt:variant>
      <vt:variant>
        <vt:lpwstr>https://doi.org/10.1002/ece3.9495</vt:lpwstr>
      </vt:variant>
      <vt:variant>
        <vt:lpwstr/>
      </vt:variant>
      <vt:variant>
        <vt:i4>1507336</vt:i4>
      </vt:variant>
      <vt:variant>
        <vt:i4>117</vt:i4>
      </vt:variant>
      <vt:variant>
        <vt:i4>0</vt:i4>
      </vt:variant>
      <vt:variant>
        <vt:i4>5</vt:i4>
      </vt:variant>
      <vt:variant>
        <vt:lpwstr>https://doi.org/10.1093/ornithapp/duab061</vt:lpwstr>
      </vt:variant>
      <vt:variant>
        <vt:lpwstr/>
      </vt:variant>
      <vt:variant>
        <vt:i4>1376264</vt:i4>
      </vt:variant>
      <vt:variant>
        <vt:i4>114</vt:i4>
      </vt:variant>
      <vt:variant>
        <vt:i4>0</vt:i4>
      </vt:variant>
      <vt:variant>
        <vt:i4>5</vt:i4>
      </vt:variant>
      <vt:variant>
        <vt:lpwstr>https://doi.org/10.1093/ornithapp/duae034</vt:lpwstr>
      </vt:variant>
      <vt:variant>
        <vt:lpwstr/>
      </vt:variant>
      <vt:variant>
        <vt:i4>4259935</vt:i4>
      </vt:variant>
      <vt:variant>
        <vt:i4>111</vt:i4>
      </vt:variant>
      <vt:variant>
        <vt:i4>0</vt:i4>
      </vt:variant>
      <vt:variant>
        <vt:i4>5</vt:i4>
      </vt:variant>
      <vt:variant>
        <vt:lpwstr>https://doi.org/10.5751/JFO-00659-960305</vt:lpwstr>
      </vt:variant>
      <vt:variant>
        <vt:lpwstr/>
      </vt:variant>
      <vt:variant>
        <vt:i4>983129</vt:i4>
      </vt:variant>
      <vt:variant>
        <vt:i4>108</vt:i4>
      </vt:variant>
      <vt:variant>
        <vt:i4>0</vt:i4>
      </vt:variant>
      <vt:variant>
        <vt:i4>5</vt:i4>
      </vt:variant>
      <vt:variant>
        <vt:lpwstr>https://doi.org/10.1101/2025.06.17.660260</vt:lpwstr>
      </vt:variant>
      <vt:variant>
        <vt:lpwstr/>
      </vt:variant>
      <vt:variant>
        <vt:i4>1048584</vt:i4>
      </vt:variant>
      <vt:variant>
        <vt:i4>105</vt:i4>
      </vt:variant>
      <vt:variant>
        <vt:i4>0</vt:i4>
      </vt:variant>
      <vt:variant>
        <vt:i4>5</vt:i4>
      </vt:variant>
      <vt:variant>
        <vt:lpwstr>https://doi.org/10.3390/d15050595</vt:lpwstr>
      </vt:variant>
      <vt:variant>
        <vt:lpwstr/>
      </vt:variant>
      <vt:variant>
        <vt:i4>3473444</vt:i4>
      </vt:variant>
      <vt:variant>
        <vt:i4>102</vt:i4>
      </vt:variant>
      <vt:variant>
        <vt:i4>0</vt:i4>
      </vt:variant>
      <vt:variant>
        <vt:i4>5</vt:i4>
      </vt:variant>
      <vt:variant>
        <vt:lpwstr>https://doi.org/10.1016/j.ecss.2014.10.014</vt:lpwstr>
      </vt:variant>
      <vt:variant>
        <vt:lpwstr/>
      </vt:variant>
      <vt:variant>
        <vt:i4>2556030</vt:i4>
      </vt:variant>
      <vt:variant>
        <vt:i4>99</vt:i4>
      </vt:variant>
      <vt:variant>
        <vt:i4>0</vt:i4>
      </vt:variant>
      <vt:variant>
        <vt:i4>5</vt:i4>
      </vt:variant>
      <vt:variant>
        <vt:lpwstr>https://doi.org/10.1111/cobi.13486</vt:lpwstr>
      </vt:variant>
      <vt:variant>
        <vt:lpwstr/>
      </vt:variant>
      <vt:variant>
        <vt:i4>2031705</vt:i4>
      </vt:variant>
      <vt:variant>
        <vt:i4>96</vt:i4>
      </vt:variant>
      <vt:variant>
        <vt:i4>0</vt:i4>
      </vt:variant>
      <vt:variant>
        <vt:i4>5</vt:i4>
      </vt:variant>
      <vt:variant>
        <vt:lpwstr>https://doi.org/10.3390/land11030434</vt:lpwstr>
      </vt:variant>
      <vt:variant>
        <vt:lpwstr/>
      </vt:variant>
      <vt:variant>
        <vt:i4>5636101</vt:i4>
      </vt:variant>
      <vt:variant>
        <vt:i4>93</vt:i4>
      </vt:variant>
      <vt:variant>
        <vt:i4>0</vt:i4>
      </vt:variant>
      <vt:variant>
        <vt:i4>5</vt:i4>
      </vt:variant>
      <vt:variant>
        <vt:lpwstr>https://doi.org/10.18194/ws.00263</vt:lpwstr>
      </vt:variant>
      <vt:variant>
        <vt:lpwstr/>
      </vt:variant>
      <vt:variant>
        <vt:i4>4718609</vt:i4>
      </vt:variant>
      <vt:variant>
        <vt:i4>90</vt:i4>
      </vt:variant>
      <vt:variant>
        <vt:i4>0</vt:i4>
      </vt:variant>
      <vt:variant>
        <vt:i4>5</vt:i4>
      </vt:variant>
      <vt:variant>
        <vt:lpwstr>https://r2rbirds.org/</vt:lpwstr>
      </vt:variant>
      <vt:variant>
        <vt:lpwstr/>
      </vt:variant>
      <vt:variant>
        <vt:i4>7536695</vt:i4>
      </vt:variant>
      <vt:variant>
        <vt:i4>87</vt:i4>
      </vt:variant>
      <vt:variant>
        <vt:i4>0</vt:i4>
      </vt:variant>
      <vt:variant>
        <vt:i4>5</vt:i4>
      </vt:variant>
      <vt:variant>
        <vt:lpwstr>https://midamericasshorebirds.org/</vt:lpwstr>
      </vt:variant>
      <vt:variant>
        <vt:lpwstr/>
      </vt:variant>
      <vt:variant>
        <vt:i4>28</vt:i4>
      </vt:variant>
      <vt:variant>
        <vt:i4>84</vt:i4>
      </vt:variant>
      <vt:variant>
        <vt:i4>0</vt:i4>
      </vt:variant>
      <vt:variant>
        <vt:i4>5</vt:i4>
      </vt:variant>
      <vt:variant>
        <vt:lpwstr>https://atlanticflywayshorebirds.org/</vt:lpwstr>
      </vt:variant>
      <vt:variant>
        <vt:lpwstr/>
      </vt:variant>
      <vt:variant>
        <vt:i4>7012393</vt:i4>
      </vt:variant>
      <vt:variant>
        <vt:i4>81</vt:i4>
      </vt:variant>
      <vt:variant>
        <vt:i4>0</vt:i4>
      </vt:variant>
      <vt:variant>
        <vt:i4>5</vt:i4>
      </vt:variant>
      <vt:variant>
        <vt:lpwstr>https://www.manomet.org/project/international-shorebird-survey/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cp:revision>
  <dcterms:created xsi:type="dcterms:W3CDTF">2025-11-11T12:56:00Z</dcterms:created>
  <dcterms:modified xsi:type="dcterms:W3CDTF">2025-11-21T07:47:00Z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