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8" w:type="dxa"/>
        <w:tblLayout w:type="fixed"/>
        <w:tblCellMar>
          <w:left w:w="10" w:type="dxa"/>
          <w:right w:w="10" w:type="dxa"/>
        </w:tblCellMar>
        <w:tblLook w:val="0000" w:firstRow="0" w:lastRow="0" w:firstColumn="0" w:lastColumn="0" w:noHBand="0" w:noVBand="0"/>
      </w:tblPr>
      <w:tblGrid>
        <w:gridCol w:w="1526"/>
        <w:gridCol w:w="4414"/>
        <w:gridCol w:w="3708"/>
      </w:tblGrid>
      <w:tr w:rsidR="002471C1" w:rsidRPr="002471C1" w14:paraId="4BA50490" w14:textId="77777777" w:rsidTr="00697A30">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42938F56" w14:textId="77777777" w:rsidR="002471C1" w:rsidRPr="002471C1" w:rsidRDefault="002471C1" w:rsidP="00697A30">
            <w:pPr>
              <w:widowControl w:val="0"/>
              <w:autoSpaceDE w:val="0"/>
              <w:spacing w:after="0"/>
              <w:rPr>
                <w:rFonts w:ascii="Arial" w:hAnsi="Arial" w:cs="Arial"/>
              </w:rPr>
            </w:pPr>
            <w:bookmarkStart w:id="0" w:name="_Hlk208560930"/>
            <w:r w:rsidRPr="002471C1">
              <w:rPr>
                <w:rFonts w:ascii="Arial" w:eastAsia="Times New Roman" w:hAnsi="Arial" w:cs="Arial"/>
                <w:noProof/>
              </w:rPr>
              <w:drawing>
                <wp:inline distT="0" distB="0" distL="0" distR="0" wp14:anchorId="07442F88" wp14:editId="5DE01A05">
                  <wp:extent cx="752478" cy="771525"/>
                  <wp:effectExtent l="0" t="0" r="9522"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l="-2533" t="-726" r="-2533" b="-726"/>
                          <a:stretch>
                            <a:fillRect/>
                          </a:stretch>
                        </pic:blipFill>
                        <pic:spPr>
                          <a:xfrm>
                            <a:off x="0" y="0"/>
                            <a:ext cx="752478" cy="771525"/>
                          </a:xfrm>
                          <a:prstGeom prst="rect">
                            <a:avLst/>
                          </a:prstGeom>
                          <a:noFill/>
                          <a:ln>
                            <a:noFill/>
                            <a:prstDash/>
                          </a:ln>
                        </pic:spPr>
                      </pic:pic>
                    </a:graphicData>
                  </a:graphic>
                </wp:inline>
              </w:drawing>
            </w:r>
          </w:p>
          <w:p w14:paraId="31EEB8C6" w14:textId="77777777" w:rsidR="002471C1" w:rsidRPr="002471C1" w:rsidRDefault="002471C1" w:rsidP="00697A30">
            <w:pPr>
              <w:widowControl w:val="0"/>
              <w:autoSpaceDE w:val="0"/>
              <w:spacing w:after="0"/>
              <w:rPr>
                <w:rFonts w:ascii="Arial" w:eastAsia="Times New Roman" w:hAnsi="Arial" w:cs="Arial"/>
                <w:lang w:val="fr-FR"/>
              </w:rPr>
            </w:pPr>
          </w:p>
        </w:tc>
        <w:tc>
          <w:tcPr>
            <w:tcW w:w="4414" w:type="dxa"/>
            <w:tcBorders>
              <w:top w:val="single" w:sz="12" w:space="0" w:color="000000"/>
              <w:bottom w:val="single" w:sz="12" w:space="0" w:color="000000"/>
            </w:tcBorders>
            <w:tcMar>
              <w:top w:w="85" w:type="dxa"/>
              <w:left w:w="108" w:type="dxa"/>
              <w:bottom w:w="0" w:type="dxa"/>
              <w:right w:w="108" w:type="dxa"/>
            </w:tcMar>
          </w:tcPr>
          <w:p w14:paraId="2E33584D" w14:textId="77777777" w:rsidR="002471C1" w:rsidRPr="002471C1" w:rsidRDefault="002471C1" w:rsidP="00697A30">
            <w:pPr>
              <w:keepNext/>
              <w:widowControl w:val="0"/>
              <w:autoSpaceDE w:val="0"/>
              <w:spacing w:after="0"/>
              <w:ind w:left="-108"/>
              <w:outlineLvl w:val="1"/>
              <w:rPr>
                <w:rFonts w:ascii="Arial" w:eastAsia="Times New Roman" w:hAnsi="Arial" w:cs="Arial"/>
                <w:sz w:val="12"/>
                <w:szCs w:val="12"/>
                <w:lang w:val="fr-FR"/>
              </w:rPr>
            </w:pPr>
          </w:p>
          <w:p w14:paraId="02CF49AF" w14:textId="77777777" w:rsidR="002471C1" w:rsidRPr="002471C1" w:rsidRDefault="002471C1" w:rsidP="00697A30">
            <w:pPr>
              <w:keepNext/>
              <w:widowControl w:val="0"/>
              <w:autoSpaceDE w:val="0"/>
              <w:spacing w:after="0"/>
              <w:ind w:left="-108"/>
              <w:outlineLvl w:val="1"/>
              <w:rPr>
                <w:rFonts w:ascii="Arial" w:hAnsi="Arial" w:cs="Arial"/>
                <w:lang w:val="fr-FR"/>
              </w:rPr>
            </w:pPr>
            <w:r w:rsidRPr="002471C1">
              <w:rPr>
                <w:rFonts w:ascii="Arial" w:eastAsia="Arial" w:hAnsi="Arial" w:cs="Arial"/>
                <w:b/>
                <w:bCs/>
                <w:sz w:val="32"/>
                <w:szCs w:val="32"/>
                <w:lang w:val="fr-FR"/>
              </w:rPr>
              <w:t>CONVENTION SUR</w:t>
            </w:r>
          </w:p>
          <w:p w14:paraId="654A6B87" w14:textId="77777777" w:rsidR="002471C1" w:rsidRPr="002471C1" w:rsidRDefault="002471C1" w:rsidP="00697A30">
            <w:pPr>
              <w:keepNext/>
              <w:widowControl w:val="0"/>
              <w:autoSpaceDE w:val="0"/>
              <w:spacing w:after="0"/>
              <w:ind w:left="-108"/>
              <w:outlineLvl w:val="1"/>
              <w:rPr>
                <w:rFonts w:ascii="Arial" w:hAnsi="Arial" w:cs="Arial"/>
                <w:lang w:val="fr-FR"/>
              </w:rPr>
            </w:pPr>
            <w:r w:rsidRPr="002471C1">
              <w:rPr>
                <w:rFonts w:ascii="Arial" w:eastAsia="Arial" w:hAnsi="Arial" w:cs="Arial"/>
                <w:b/>
                <w:bCs/>
                <w:sz w:val="32"/>
                <w:szCs w:val="32"/>
                <w:lang w:val="fr-FR"/>
              </w:rPr>
              <w:t>LES ESPÈCES</w:t>
            </w:r>
          </w:p>
          <w:p w14:paraId="730C19A5" w14:textId="77777777" w:rsidR="002471C1" w:rsidRPr="002471C1" w:rsidRDefault="002471C1" w:rsidP="00697A30">
            <w:pPr>
              <w:keepNext/>
              <w:widowControl w:val="0"/>
              <w:autoSpaceDE w:val="0"/>
              <w:spacing w:after="0"/>
              <w:ind w:left="-108"/>
              <w:outlineLvl w:val="1"/>
              <w:rPr>
                <w:rFonts w:ascii="Arial" w:hAnsi="Arial" w:cs="Arial"/>
                <w:lang w:val="fr-FR"/>
              </w:rPr>
            </w:pPr>
            <w:r w:rsidRPr="002471C1">
              <w:rPr>
                <w:rFonts w:ascii="Arial" w:eastAsia="Arial" w:hAnsi="Arial" w:cs="Arial"/>
                <w:b/>
                <w:bCs/>
                <w:sz w:val="32"/>
                <w:szCs w:val="32"/>
                <w:lang w:val="fr-FR"/>
              </w:rPr>
              <w:t>MIGRATRICES</w:t>
            </w:r>
          </w:p>
        </w:tc>
        <w:tc>
          <w:tcPr>
            <w:tcW w:w="3708" w:type="dxa"/>
            <w:tcBorders>
              <w:top w:val="single" w:sz="12" w:space="0" w:color="000000"/>
              <w:bottom w:val="single" w:sz="12" w:space="0" w:color="000000"/>
            </w:tcBorders>
            <w:tcMar>
              <w:top w:w="85" w:type="dxa"/>
              <w:left w:w="108" w:type="dxa"/>
              <w:bottom w:w="0" w:type="dxa"/>
              <w:right w:w="108" w:type="dxa"/>
            </w:tcMar>
          </w:tcPr>
          <w:p w14:paraId="3240CC99" w14:textId="082448C9" w:rsidR="002471C1" w:rsidRPr="002471C1" w:rsidRDefault="002471C1" w:rsidP="00697A30">
            <w:pPr>
              <w:widowControl w:val="0"/>
              <w:tabs>
                <w:tab w:val="left" w:pos="5040"/>
                <w:tab w:val="left" w:pos="5760"/>
                <w:tab w:val="left" w:pos="6008"/>
                <w:tab w:val="left" w:pos="6480"/>
                <w:tab w:val="left" w:pos="7200"/>
                <w:tab w:val="left" w:pos="7920"/>
                <w:tab w:val="left" w:pos="8640"/>
              </w:tabs>
              <w:autoSpaceDE w:val="0"/>
              <w:spacing w:before="120" w:after="120"/>
              <w:rPr>
                <w:rFonts w:ascii="Arial" w:eastAsia="Arial" w:hAnsi="Arial" w:cs="Arial"/>
                <w:lang w:val="fr-FR"/>
              </w:rPr>
            </w:pPr>
            <w:r w:rsidRPr="002471C1">
              <w:rPr>
                <w:rFonts w:ascii="Arial" w:eastAsia="Arial" w:hAnsi="Arial" w:cs="Arial"/>
                <w:lang w:val="fr-FR"/>
              </w:rPr>
              <w:t>UNEP/CMS/COP15/Doc.</w:t>
            </w:r>
            <w:r w:rsidR="00BB19BF">
              <w:rPr>
                <w:rFonts w:ascii="Arial" w:eastAsia="Arial" w:hAnsi="Arial" w:cs="Arial"/>
                <w:lang w:val="fr-FR"/>
              </w:rPr>
              <w:t>30.2.7</w:t>
            </w:r>
          </w:p>
          <w:p w14:paraId="7AF5D495" w14:textId="4A6B0EA4" w:rsidR="002471C1" w:rsidRPr="002471C1" w:rsidRDefault="00BB19BF" w:rsidP="00697A30">
            <w:pPr>
              <w:widowControl w:val="0"/>
              <w:tabs>
                <w:tab w:val="left" w:pos="5040"/>
                <w:tab w:val="left" w:pos="5760"/>
                <w:tab w:val="left" w:pos="6008"/>
                <w:tab w:val="left" w:pos="6480"/>
                <w:tab w:val="left" w:pos="7200"/>
                <w:tab w:val="left" w:pos="7920"/>
                <w:tab w:val="left" w:pos="8640"/>
              </w:tabs>
              <w:autoSpaceDE w:val="0"/>
              <w:spacing w:before="120" w:after="120"/>
              <w:rPr>
                <w:rFonts w:ascii="Arial" w:eastAsia="Arial" w:hAnsi="Arial" w:cs="Arial"/>
                <w:lang w:val="fr-FR"/>
              </w:rPr>
            </w:pPr>
            <w:r>
              <w:rPr>
                <w:rFonts w:ascii="Arial" w:eastAsia="Arial" w:hAnsi="Arial" w:cs="Arial"/>
                <w:lang w:val="fr-FR"/>
              </w:rPr>
              <w:t xml:space="preserve">4 novembre </w:t>
            </w:r>
            <w:r w:rsidR="002471C1" w:rsidRPr="002471C1">
              <w:rPr>
                <w:rFonts w:ascii="Arial" w:eastAsia="Arial" w:hAnsi="Arial" w:cs="Arial"/>
                <w:lang w:val="fr-FR"/>
              </w:rPr>
              <w:t>2025</w:t>
            </w:r>
          </w:p>
          <w:p w14:paraId="43E95183" w14:textId="77777777" w:rsidR="002471C1" w:rsidRPr="002471C1" w:rsidRDefault="002471C1" w:rsidP="00697A30">
            <w:pPr>
              <w:widowControl w:val="0"/>
              <w:autoSpaceDE w:val="0"/>
              <w:spacing w:after="0"/>
              <w:rPr>
                <w:rFonts w:ascii="Arial" w:hAnsi="Arial" w:cs="Arial"/>
                <w:lang w:val="fr-FR"/>
              </w:rPr>
            </w:pPr>
            <w:r w:rsidRPr="002471C1">
              <w:rPr>
                <w:rFonts w:ascii="Arial" w:eastAsia="Arial" w:hAnsi="Arial" w:cs="Arial"/>
                <w:lang w:val="fr-FR"/>
              </w:rPr>
              <w:t>Français</w:t>
            </w:r>
          </w:p>
          <w:p w14:paraId="68E8F251" w14:textId="77777777" w:rsidR="002471C1" w:rsidRPr="002471C1" w:rsidRDefault="002471C1" w:rsidP="00697A30">
            <w:pPr>
              <w:widowControl w:val="0"/>
              <w:autoSpaceDE w:val="0"/>
              <w:spacing w:after="120"/>
              <w:rPr>
                <w:rFonts w:ascii="Arial" w:hAnsi="Arial" w:cs="Arial"/>
                <w:lang w:val="fr-FR"/>
              </w:rPr>
            </w:pPr>
            <w:r w:rsidRPr="002471C1">
              <w:rPr>
                <w:rFonts w:ascii="Arial" w:eastAsia="Arial" w:hAnsi="Arial" w:cs="Arial"/>
                <w:lang w:val="fr-FR"/>
              </w:rPr>
              <w:t>Original : Anglais</w:t>
            </w:r>
          </w:p>
        </w:tc>
      </w:tr>
    </w:tbl>
    <w:p w14:paraId="14ACDAD0" w14:textId="77777777" w:rsidR="002471C1" w:rsidRPr="002471C1" w:rsidRDefault="002471C1" w:rsidP="002471C1">
      <w:pPr>
        <w:widowControl w:val="0"/>
        <w:tabs>
          <w:tab w:val="left" w:pos="-1057"/>
          <w:tab w:val="left" w:pos="-720"/>
        </w:tabs>
        <w:autoSpaceDE w:val="0"/>
        <w:spacing w:after="0"/>
        <w:rPr>
          <w:rFonts w:ascii="Arial" w:eastAsia="Arial" w:hAnsi="Arial" w:cs="Arial"/>
          <w:sz w:val="8"/>
          <w:szCs w:val="8"/>
          <w:lang w:val="fr-FR"/>
        </w:rPr>
      </w:pPr>
      <w:bookmarkStart w:id="1" w:name="_Hlk208560946"/>
      <w:bookmarkEnd w:id="0"/>
    </w:p>
    <w:p w14:paraId="46531084" w14:textId="77777777" w:rsidR="002471C1" w:rsidRPr="002471C1" w:rsidRDefault="002471C1" w:rsidP="002471C1">
      <w:pPr>
        <w:widowControl w:val="0"/>
        <w:tabs>
          <w:tab w:val="left" w:pos="-1057"/>
          <w:tab w:val="left" w:pos="-720"/>
        </w:tabs>
        <w:autoSpaceDE w:val="0"/>
        <w:spacing w:after="0"/>
        <w:rPr>
          <w:rFonts w:ascii="Arial" w:hAnsi="Arial" w:cs="Arial"/>
          <w:lang w:val="fr-FR"/>
        </w:rPr>
      </w:pPr>
      <w:r w:rsidRPr="002471C1">
        <w:rPr>
          <w:rFonts w:ascii="Arial" w:eastAsia="Arial" w:hAnsi="Arial" w:cs="Arial"/>
          <w:lang w:val="fr-FR"/>
        </w:rPr>
        <w:t>15</w:t>
      </w:r>
      <w:r w:rsidRPr="002471C1">
        <w:rPr>
          <w:rFonts w:ascii="Arial" w:eastAsia="Arial" w:hAnsi="Arial" w:cs="Arial"/>
          <w:vertAlign w:val="superscript"/>
          <w:lang w:val="fr-FR"/>
        </w:rPr>
        <w:t>ème</w:t>
      </w:r>
      <w:r w:rsidRPr="002471C1">
        <w:rPr>
          <w:rFonts w:ascii="Arial" w:eastAsia="Arial" w:hAnsi="Arial" w:cs="Arial"/>
          <w:lang w:val="fr-FR"/>
        </w:rPr>
        <w:t xml:space="preserve"> SESSION DE LA CONFÉRENCE DES PARTIES</w:t>
      </w:r>
    </w:p>
    <w:p w14:paraId="7BAD5F35" w14:textId="77777777" w:rsidR="002471C1" w:rsidRPr="002471C1" w:rsidRDefault="002471C1" w:rsidP="002471C1">
      <w:pPr>
        <w:widowControl w:val="0"/>
        <w:pBdr>
          <w:top w:val="single" w:sz="6" w:space="0" w:color="FFFFFF"/>
          <w:left w:val="single" w:sz="6" w:space="0" w:color="FFFFFF"/>
          <w:bottom w:val="single" w:sz="6" w:space="0" w:color="FFFFFF"/>
          <w:right w:val="single" w:sz="6" w:space="0" w:color="FFFFFF"/>
        </w:pBdr>
        <w:autoSpaceDE w:val="0"/>
        <w:spacing w:after="0" w:line="228" w:lineRule="auto"/>
        <w:outlineLvl w:val="1"/>
        <w:rPr>
          <w:rFonts w:ascii="Arial" w:hAnsi="Arial" w:cs="Arial"/>
          <w:lang w:val="fr-FR"/>
        </w:rPr>
      </w:pPr>
      <w:r w:rsidRPr="002471C1">
        <w:rPr>
          <w:rFonts w:ascii="Arial" w:eastAsia="Arial" w:hAnsi="Arial" w:cs="Arial"/>
          <w:bCs/>
          <w:lang w:val="fr-FR"/>
        </w:rPr>
        <w:t>Campo Grande, Brésil, 23 au 29 mars 2026</w:t>
      </w:r>
    </w:p>
    <w:p w14:paraId="452A6A7E" w14:textId="592D7366" w:rsidR="002471C1" w:rsidRPr="002471C1" w:rsidRDefault="002471C1" w:rsidP="002471C1">
      <w:pPr>
        <w:widowControl w:val="0"/>
        <w:autoSpaceDE w:val="0"/>
        <w:spacing w:after="0" w:line="228" w:lineRule="auto"/>
        <w:rPr>
          <w:rFonts w:ascii="Arial" w:hAnsi="Arial" w:cs="Arial"/>
          <w:lang w:val="fr-FR"/>
        </w:rPr>
      </w:pPr>
      <w:r w:rsidRPr="002471C1">
        <w:rPr>
          <w:rFonts w:ascii="Arial" w:eastAsia="Arial" w:hAnsi="Arial" w:cs="Arial"/>
          <w:iCs/>
          <w:lang w:val="fr-FR"/>
        </w:rPr>
        <w:t xml:space="preserve">Point </w:t>
      </w:r>
      <w:r w:rsidR="00BB19BF">
        <w:rPr>
          <w:rFonts w:ascii="Arial" w:eastAsia="Arial" w:hAnsi="Arial" w:cs="Arial"/>
          <w:iCs/>
          <w:lang w:val="fr-FR"/>
        </w:rPr>
        <w:t>30.2</w:t>
      </w:r>
      <w:r w:rsidRPr="002471C1">
        <w:rPr>
          <w:rFonts w:ascii="Arial" w:eastAsia="Arial" w:hAnsi="Arial" w:cs="Arial"/>
          <w:iCs/>
          <w:lang w:val="fr-FR"/>
        </w:rPr>
        <w:t xml:space="preserve"> de l’ordre du jour</w:t>
      </w:r>
    </w:p>
    <w:bookmarkEnd w:id="1"/>
    <w:p w14:paraId="785CDA9B" w14:textId="77777777" w:rsidR="00A6618C" w:rsidRPr="00DE5863" w:rsidRDefault="00A6618C">
      <w:pPr>
        <w:widowControl w:val="0"/>
        <w:autoSpaceDE w:val="0"/>
        <w:spacing w:after="0"/>
        <w:rPr>
          <w:rFonts w:ascii="Arial" w:eastAsia="Times New Roman" w:hAnsi="Arial" w:cs="Arial"/>
          <w:lang w:val="fr-FR"/>
        </w:rPr>
      </w:pPr>
    </w:p>
    <w:p w14:paraId="1D3B6F70" w14:textId="77777777" w:rsidR="00A6618C" w:rsidRPr="00DE5863" w:rsidRDefault="00A6618C">
      <w:pPr>
        <w:widowControl w:val="0"/>
        <w:autoSpaceDE w:val="0"/>
        <w:spacing w:after="0"/>
        <w:rPr>
          <w:rFonts w:ascii="Arial" w:eastAsia="Times New Roman" w:hAnsi="Arial" w:cs="Arial"/>
          <w:lang w:val="fr-FR"/>
        </w:rPr>
      </w:pPr>
    </w:p>
    <w:p w14:paraId="0C2ECA5F" w14:textId="77777777" w:rsidR="00A6618C" w:rsidRPr="00DE5863" w:rsidRDefault="00D1732A">
      <w:pPr>
        <w:widowControl w:val="0"/>
        <w:pBdr>
          <w:top w:val="single" w:sz="6" w:space="0" w:color="FFFFFF"/>
          <w:left w:val="single" w:sz="6" w:space="0" w:color="FFFFFF"/>
          <w:bottom w:val="single" w:sz="6" w:space="0" w:color="FFFFFF"/>
          <w:right w:val="single" w:sz="6" w:space="0" w:color="FFFFFF"/>
        </w:pBdr>
        <w:suppressAutoHyphens w:val="0"/>
        <w:autoSpaceDE w:val="0"/>
        <w:spacing w:after="0"/>
        <w:ind w:left="-90" w:right="-367"/>
        <w:jc w:val="center"/>
        <w:textAlignment w:val="auto"/>
        <w:outlineLvl w:val="1"/>
        <w:rPr>
          <w:rFonts w:ascii="Arial" w:eastAsia="Times New Roman" w:hAnsi="Arial" w:cs="Arial"/>
          <w:b/>
          <w:bCs/>
          <w:lang w:val="fr-FR"/>
        </w:rPr>
      </w:pPr>
      <w:r w:rsidRPr="00DE5863">
        <w:rPr>
          <w:rFonts w:ascii="Arial" w:eastAsia="Times New Roman" w:hAnsi="Arial" w:cs="Arial"/>
          <w:b/>
          <w:bCs/>
          <w:lang w:val="fr-FR"/>
        </w:rPr>
        <w:t xml:space="preserve">PROPOSITION D'INSCRIPTION DU </w:t>
      </w:r>
    </w:p>
    <w:p w14:paraId="7A165834" w14:textId="77777777" w:rsidR="00A6618C" w:rsidRPr="00DE5863" w:rsidRDefault="00D1732A">
      <w:pPr>
        <w:pBdr>
          <w:top w:val="single" w:sz="6" w:space="0" w:color="FFFFFF"/>
          <w:left w:val="single" w:sz="6" w:space="0" w:color="FFFFFF"/>
          <w:bottom w:val="single" w:sz="6" w:space="0" w:color="FFFFFF"/>
          <w:right w:val="single" w:sz="6" w:space="0" w:color="FFFFFF"/>
        </w:pBdr>
        <w:spacing w:after="0"/>
        <w:ind w:left="-91" w:right="-369"/>
        <w:jc w:val="center"/>
        <w:rPr>
          <w:rFonts w:ascii="Arial" w:eastAsia="Arial" w:hAnsi="Arial" w:cs="Arial"/>
          <w:b/>
          <w:bCs/>
          <w:i/>
          <w:iCs/>
          <w:lang w:val="fr-FR"/>
        </w:rPr>
      </w:pPr>
      <w:r w:rsidRPr="00DE5863">
        <w:rPr>
          <w:rFonts w:ascii="Arial" w:eastAsia="Times New Roman" w:hAnsi="Arial" w:cs="Arial"/>
          <w:b/>
          <w:bCs/>
          <w:lang w:val="fr-FR"/>
        </w:rPr>
        <w:t xml:space="preserve">COURLIS CORLIEU </w:t>
      </w:r>
      <w:r w:rsidRPr="00DE5863">
        <w:rPr>
          <w:rFonts w:ascii="Arial" w:eastAsia="Arial" w:hAnsi="Arial" w:cs="Arial"/>
          <w:b/>
          <w:bCs/>
          <w:lang w:val="fr-FR"/>
        </w:rPr>
        <w:t>(</w:t>
      </w:r>
      <w:r w:rsidRPr="00DE5863">
        <w:rPr>
          <w:rFonts w:ascii="Arial" w:eastAsia="Arial" w:hAnsi="Arial" w:cs="Arial"/>
          <w:b/>
          <w:bCs/>
          <w:i/>
          <w:iCs/>
          <w:lang w:val="fr-FR"/>
        </w:rPr>
        <w:t xml:space="preserve">Numenius </w:t>
      </w:r>
      <w:proofErr w:type="spellStart"/>
      <w:r w:rsidRPr="00DE5863">
        <w:rPr>
          <w:rFonts w:ascii="Arial" w:eastAsia="Arial" w:hAnsi="Arial" w:cs="Arial"/>
          <w:b/>
          <w:bCs/>
          <w:i/>
          <w:iCs/>
          <w:lang w:val="fr-FR"/>
        </w:rPr>
        <w:t>phaeopus</w:t>
      </w:r>
      <w:proofErr w:type="spellEnd"/>
      <w:r w:rsidRPr="00DE5863">
        <w:rPr>
          <w:rFonts w:ascii="Arial" w:eastAsia="Arial" w:hAnsi="Arial" w:cs="Arial"/>
          <w:b/>
          <w:bCs/>
          <w:i/>
          <w:iCs/>
          <w:lang w:val="fr-FR"/>
        </w:rPr>
        <w:t xml:space="preserve"> </w:t>
      </w:r>
      <w:proofErr w:type="spellStart"/>
      <w:r w:rsidRPr="00DE5863">
        <w:rPr>
          <w:rFonts w:ascii="Arial" w:eastAsia="Arial" w:hAnsi="Arial" w:cs="Arial"/>
          <w:b/>
          <w:bCs/>
          <w:i/>
          <w:iCs/>
          <w:lang w:val="fr-FR"/>
        </w:rPr>
        <w:t>hudsonicus</w:t>
      </w:r>
      <w:proofErr w:type="spellEnd"/>
      <w:r w:rsidRPr="00DE5863">
        <w:rPr>
          <w:rFonts w:ascii="Arial" w:eastAsia="Arial" w:hAnsi="Arial" w:cs="Arial"/>
          <w:b/>
          <w:bCs/>
          <w:lang w:val="fr-FR"/>
        </w:rPr>
        <w:t>)</w:t>
      </w:r>
    </w:p>
    <w:p w14:paraId="4642BDD9" w14:textId="77777777" w:rsidR="00A6618C" w:rsidRPr="00F9311B" w:rsidRDefault="00D1732A">
      <w:pPr>
        <w:widowControl w:val="0"/>
        <w:pBdr>
          <w:top w:val="single" w:sz="6" w:space="0" w:color="FFFFFF"/>
          <w:left w:val="single" w:sz="6" w:space="0" w:color="FFFFFF"/>
          <w:bottom w:val="single" w:sz="6" w:space="0" w:color="FFFFFF"/>
          <w:right w:val="single" w:sz="6" w:space="0" w:color="FFFFFF"/>
        </w:pBdr>
        <w:suppressAutoHyphens w:val="0"/>
        <w:autoSpaceDE w:val="0"/>
        <w:spacing w:after="0"/>
        <w:ind w:left="-90" w:right="-367"/>
        <w:jc w:val="center"/>
        <w:textAlignment w:val="auto"/>
        <w:outlineLvl w:val="1"/>
        <w:rPr>
          <w:rFonts w:ascii="Arial" w:hAnsi="Arial" w:cs="Arial"/>
          <w:lang w:val="en-GB"/>
        </w:rPr>
      </w:pPr>
      <w:r w:rsidRPr="00F9311B">
        <w:rPr>
          <w:rFonts w:ascii="Arial" w:eastAsia="Times New Roman" w:hAnsi="Arial" w:cs="Arial"/>
          <w:b/>
          <w:bCs/>
          <w:caps/>
          <w:lang w:val="en-GB"/>
        </w:rPr>
        <w:t>à l'Annexe I de la Convention</w:t>
      </w:r>
      <w:r w:rsidRPr="00F9311B">
        <w:rPr>
          <w:rFonts w:ascii="Arial" w:eastAsia="Times New Roman" w:hAnsi="Arial" w:cs="Arial"/>
          <w:lang w:val="en-GB"/>
        </w:rPr>
        <w:t>*</w:t>
      </w:r>
    </w:p>
    <w:p w14:paraId="097A0A86" w14:textId="77777777" w:rsidR="00A6618C" w:rsidRPr="00F9311B" w:rsidRDefault="00A6618C">
      <w:pPr>
        <w:widowControl w:val="0"/>
        <w:autoSpaceDE w:val="0"/>
        <w:spacing w:after="0"/>
        <w:jc w:val="center"/>
        <w:rPr>
          <w:rFonts w:ascii="Arial" w:eastAsia="Times New Roman" w:hAnsi="Arial" w:cs="Arial"/>
          <w:i/>
          <w:lang w:val="en-GB"/>
        </w:rPr>
      </w:pPr>
    </w:p>
    <w:p w14:paraId="29F25E3E" w14:textId="77777777" w:rsidR="00A6618C" w:rsidRPr="00F9311B" w:rsidRDefault="00A6618C">
      <w:pPr>
        <w:widowControl w:val="0"/>
        <w:tabs>
          <w:tab w:val="left" w:pos="8295"/>
        </w:tabs>
        <w:autoSpaceDE w:val="0"/>
        <w:spacing w:after="0"/>
        <w:jc w:val="both"/>
        <w:rPr>
          <w:rFonts w:ascii="Arial" w:eastAsia="Times New Roman" w:hAnsi="Arial" w:cs="Arial"/>
          <w:sz w:val="21"/>
          <w:szCs w:val="21"/>
          <w:lang w:val="en-GB"/>
        </w:rPr>
      </w:pPr>
    </w:p>
    <w:p w14:paraId="521646C4" w14:textId="77777777" w:rsidR="00A6618C" w:rsidRPr="00F9311B" w:rsidRDefault="00D1732A">
      <w:pPr>
        <w:widowControl w:val="0"/>
        <w:autoSpaceDE w:val="0"/>
        <w:spacing w:after="0"/>
        <w:rPr>
          <w:rFonts w:ascii="Arial" w:hAnsi="Arial" w:cs="Arial"/>
          <w:lang w:val="en-GB"/>
        </w:rPr>
      </w:pPr>
      <w:r w:rsidRPr="00DE5863">
        <w:rPr>
          <w:rFonts w:ascii="Arial" w:eastAsia="Times New Roman" w:hAnsi="Arial" w:cs="Arial"/>
          <w:noProof/>
          <w:sz w:val="21"/>
          <w:szCs w:val="21"/>
          <w:lang w:val="fr-FR"/>
        </w:rPr>
        <mc:AlternateContent>
          <mc:Choice Requires="wps">
            <w:drawing>
              <wp:anchor distT="0" distB="0" distL="114300" distR="114300" simplePos="0" relativeHeight="251658240" behindDoc="0" locked="0" layoutInCell="1" allowOverlap="1" wp14:anchorId="65B66637" wp14:editId="6D550478">
                <wp:simplePos x="0" y="0"/>
                <wp:positionH relativeFrom="column">
                  <wp:posOffset>781050</wp:posOffset>
                </wp:positionH>
                <wp:positionV relativeFrom="paragraph">
                  <wp:posOffset>140335</wp:posOffset>
                </wp:positionV>
                <wp:extent cx="4305297" cy="1435100"/>
                <wp:effectExtent l="0" t="0" r="19685" b="12700"/>
                <wp:wrapNone/>
                <wp:docPr id="5" name="Text Box 4"/>
                <wp:cNvGraphicFramePr/>
                <a:graphic xmlns:a="http://schemas.openxmlformats.org/drawingml/2006/main">
                  <a:graphicData uri="http://schemas.microsoft.com/office/word/2010/wordprocessingShape">
                    <wps:wsp>
                      <wps:cNvSpPr txBox="1"/>
                      <wps:spPr>
                        <a:xfrm>
                          <a:off x="0" y="0"/>
                          <a:ext cx="4305297" cy="1435100"/>
                        </a:xfrm>
                        <a:prstGeom prst="rect">
                          <a:avLst/>
                        </a:prstGeom>
                        <a:solidFill>
                          <a:srgbClr val="FFFFFF"/>
                        </a:solidFill>
                        <a:ln w="3172">
                          <a:solidFill>
                            <a:srgbClr val="000000"/>
                          </a:solidFill>
                          <a:prstDash val="solid"/>
                        </a:ln>
                      </wps:spPr>
                      <wps:txbx>
                        <w:txbxContent>
                          <w:p w14:paraId="71382438" w14:textId="77777777" w:rsidR="00A6618C" w:rsidRDefault="00D1732A">
                            <w:pPr>
                              <w:widowControl w:val="0"/>
                              <w:suppressAutoHyphens w:val="0"/>
                              <w:autoSpaceDE w:val="0"/>
                              <w:spacing w:after="0"/>
                              <w:textAlignment w:val="auto"/>
                              <w:rPr>
                                <w:rFonts w:ascii="Arial" w:eastAsia="Times New Roman" w:hAnsi="Arial" w:cs="Arial"/>
                                <w:lang w:val="fr-FR"/>
                              </w:rPr>
                            </w:pPr>
                            <w:r>
                              <w:rPr>
                                <w:rFonts w:ascii="Arial" w:eastAsia="Times New Roman" w:hAnsi="Arial" w:cs="Arial"/>
                                <w:lang w:val="fr-FR"/>
                              </w:rPr>
                              <w:t>Résumé :</w:t>
                            </w:r>
                          </w:p>
                          <w:p w14:paraId="11D264FE" w14:textId="77777777" w:rsidR="00A6618C" w:rsidRDefault="00A6618C">
                            <w:pPr>
                              <w:widowControl w:val="0"/>
                              <w:suppressAutoHyphens w:val="0"/>
                              <w:autoSpaceDE w:val="0"/>
                              <w:spacing w:after="0"/>
                              <w:jc w:val="both"/>
                              <w:textAlignment w:val="auto"/>
                              <w:rPr>
                                <w:rFonts w:ascii="Arial" w:eastAsia="Times New Roman" w:hAnsi="Arial" w:cs="Arial"/>
                                <w:i/>
                                <w:lang w:val="fr-FR"/>
                              </w:rPr>
                            </w:pPr>
                          </w:p>
                          <w:p w14:paraId="4F79266F" w14:textId="77777777" w:rsidR="00A6618C" w:rsidRDefault="00D1732A">
                            <w:pPr>
                              <w:widowControl w:val="0"/>
                              <w:suppressAutoHyphens w:val="0"/>
                              <w:autoSpaceDE w:val="0"/>
                              <w:spacing w:after="0"/>
                              <w:jc w:val="both"/>
                              <w:textAlignment w:val="auto"/>
                              <w:rPr>
                                <w:rFonts w:ascii="Arial" w:eastAsia="Times New Roman" w:hAnsi="Arial" w:cs="Arial"/>
                                <w:lang w:val="fr-FR"/>
                              </w:rPr>
                            </w:pPr>
                            <w:r>
                              <w:rPr>
                                <w:rFonts w:ascii="Arial" w:eastAsia="Times New Roman" w:hAnsi="Arial" w:cs="Arial"/>
                                <w:lang w:val="fr-FR"/>
                              </w:rPr>
                              <w:t xml:space="preserve">Les gouvernements du Brésil et du Chili ont soumis conjointement la proposition ci-jointe pour l'inclusion du courlis corlieu </w:t>
                            </w:r>
                            <w:r>
                              <w:rPr>
                                <w:rFonts w:ascii="Arial" w:eastAsia="Times New Roman" w:hAnsi="Arial" w:cs="Arial"/>
                                <w:i/>
                                <w:lang w:val="fr-FR"/>
                              </w:rPr>
                              <w:t>(</w:t>
                            </w:r>
                            <w:r>
                              <w:rPr>
                                <w:rFonts w:ascii="Arial" w:eastAsia="Arial" w:hAnsi="Arial" w:cs="Arial"/>
                                <w:i/>
                                <w:iCs/>
                                <w:lang w:val="fr-FR"/>
                              </w:rPr>
                              <w:t xml:space="preserve">Numenius </w:t>
                            </w:r>
                            <w:r>
                              <w:rPr>
                                <w:rFonts w:ascii="Arial" w:eastAsia="Arial" w:hAnsi="Arial" w:cs="Arial"/>
                                <w:lang w:val="fr-FR"/>
                              </w:rPr>
                              <w:t>(</w:t>
                            </w:r>
                            <w:r>
                              <w:rPr>
                                <w:rFonts w:ascii="Arial" w:eastAsia="Arial" w:hAnsi="Arial" w:cs="Arial"/>
                                <w:i/>
                                <w:iCs/>
                                <w:lang w:val="fr-FR"/>
                              </w:rPr>
                              <w:t>phaeopus</w:t>
                            </w:r>
                            <w:r>
                              <w:rPr>
                                <w:rFonts w:ascii="Arial" w:eastAsia="Arial" w:hAnsi="Arial" w:cs="Arial"/>
                                <w:lang w:val="fr-FR"/>
                              </w:rPr>
                              <w:t>)</w:t>
                            </w:r>
                            <w:r>
                              <w:rPr>
                                <w:rFonts w:ascii="Arial" w:eastAsia="Arial" w:hAnsi="Arial" w:cs="Arial"/>
                                <w:i/>
                                <w:iCs/>
                                <w:lang w:val="fr-FR"/>
                              </w:rPr>
                              <w:t xml:space="preserve"> hudsonicus</w:t>
                            </w:r>
                            <w:r>
                              <w:rPr>
                                <w:rFonts w:ascii="Arial" w:eastAsia="Times New Roman" w:hAnsi="Arial" w:cs="Arial"/>
                                <w:i/>
                                <w:lang w:val="fr-FR"/>
                              </w:rPr>
                              <w:t>)</w:t>
                            </w:r>
                            <w:r>
                              <w:rPr>
                                <w:rFonts w:ascii="Arial" w:eastAsia="Times New Roman" w:hAnsi="Arial" w:cs="Arial"/>
                                <w:lang w:val="fr-FR"/>
                              </w:rPr>
                              <w:t xml:space="preserve">  à l'Annexe I de la Convention sur la conservation des espèces migratrices appartenant à la faune sauvage (CMS).</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65B66637" id="_x0000_t202" coordsize="21600,21600" o:spt="202" path="m,l,21600r21600,l21600,xe">
                <v:stroke joinstyle="miter"/>
                <v:path gradientshapeok="t" o:connecttype="rect"/>
              </v:shapetype>
              <v:shape id="Text Box 4" o:spid="_x0000_s1026" type="#_x0000_t202" style="position:absolute;margin-left:61.5pt;margin-top:11.05pt;width:339pt;height:113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jfX5wEAANQDAAAOAAAAZHJzL2Uyb0RvYy54bWysU9uO0zAQfUfiHyy/01yaUjZquoKtipBW&#10;LFLZD3Acu4nk2GbsNilfz9gNbRf2CZEHx+MZnzlzZry6H3tFjgJcZ3RFs1lKidDcNJ3eV/T5+/bd&#10;B0qcZ7phymhR0ZNw9H799s1qsKXITWtUI4AgiHblYCvaem/LJHG8FT1zM2OFRqc00DOPJuyTBtiA&#10;6L1K8jR9nwwGGguGC+fwdHN20nXEl1Jw/ySlE56oiiI3H1eIax3WZL1i5R6YbTs+0WD/wKJnncak&#10;F6gN84wcoPsLqu84GGekn3HTJ0bKjotYA1aTpX9Us2uZFbEWFMfZi0zu/8Hyr8ed/QbEj5/MiA0M&#10;ggzWlQ4PQz2jhD78kSlBP0p4usgmRk84HhbzdJHfLSnh6MuK+SJLo7DJ9boF5z8L05OwqShgX6Jc&#10;7PjoPKbE0N8hIZszqmu2nVLRgH39oIAcGfZwG7/AEq+8CFOaDBWdZ8s8Ir/wuVuINH6vQQQKG+ba&#10;c6qIMIUpjQmvuoSdH+txEqs2zQk1xGeAtbUGflIy4EhV1P04MBCUqC8ae3aXFUWYwWgUi2WOBtx6&#10;6lsP0xyhKuopOW8f/HlucXAs8496Z3loRZBIm48Hb2QXpQzkzowmzjg6Ua5pzMNs3tox6voY178A&#10;AAD//wMAUEsDBBQABgAIAAAAIQDsLU1G3gAAAAoBAAAPAAAAZHJzL2Rvd25yZXYueG1sTI/BTsMw&#10;EETvSPyDtUjcqGPTQhTiVAiElAOXFA4c3dgkgXgd2W6T9utZTnCc2dHsm3K7uJEdbYiDRwVilQGz&#10;2HozYKfg/e3lJgcWk0ajR49WwclG2FaXF6UujJ+xscdd6hiVYCy0gj6lqeA8tr11Oq78ZJFunz44&#10;nUiGjpugZyp3I5dZdsedHpA+9HqyT71tv3cHp+DrnFBi87qZ5vBxX2+a51rUZ6Wur5bHB2DJLukv&#10;DL/4hA4VMe39AU1kI2l5S1uSAikFMArkmSBjT8Y6F8Crkv+fUP0AAAD//wMAUEsBAi0AFAAGAAgA&#10;AAAhALaDOJL+AAAA4QEAABMAAAAAAAAAAAAAAAAAAAAAAFtDb250ZW50X1R5cGVzXS54bWxQSwEC&#10;LQAUAAYACAAAACEAOP0h/9YAAACUAQAACwAAAAAAAAAAAAAAAAAvAQAAX3JlbHMvLnJlbHNQSwEC&#10;LQAUAAYACAAAACEAKx431+cBAADUAwAADgAAAAAAAAAAAAAAAAAuAgAAZHJzL2Uyb0RvYy54bWxQ&#10;SwECLQAUAAYACAAAACEA7C1NRt4AAAAKAQAADwAAAAAAAAAAAAAAAABBBAAAZHJzL2Rvd25yZXYu&#10;eG1sUEsFBgAAAAAEAAQA8wAAAEwFAAAAAA==&#10;" strokeweight=".08811mm">
                <v:textbox>
                  <w:txbxContent>
                    <w:p w14:paraId="71382438" w14:textId="77777777" w:rsidR="00A6618C" w:rsidRDefault="00C66641">
                      <w:pPr>
                        <w:widowControl w:val="0"/>
                        <w:suppressAutoHyphens w:val="0"/>
                        <w:autoSpaceDE w:val="0"/>
                        <w:spacing w:after="0"/>
                        <w:textAlignment w:val="auto"/>
                        <w:rPr>
                          <w:rFonts w:ascii="Arial" w:eastAsia="Times New Roman" w:hAnsi="Arial" w:cs="Arial"/>
                          <w:lang w:val="fr-FR"/>
                        </w:rPr>
                      </w:pPr>
                      <w:r>
                        <w:rPr>
                          <w:rFonts w:ascii="Arial" w:eastAsia="Times New Roman" w:hAnsi="Arial" w:cs="Arial"/>
                          <w:lang w:val="fr-FR"/>
                        </w:rPr>
                        <w:t>Résumé :</w:t>
                      </w:r>
                    </w:p>
                    <w:p w14:paraId="11D264FE" w14:textId="77777777" w:rsidR="00A6618C" w:rsidRDefault="00A6618C">
                      <w:pPr>
                        <w:widowControl w:val="0"/>
                        <w:suppressAutoHyphens w:val="0"/>
                        <w:autoSpaceDE w:val="0"/>
                        <w:spacing w:after="0"/>
                        <w:jc w:val="both"/>
                        <w:textAlignment w:val="auto"/>
                        <w:rPr>
                          <w:rFonts w:ascii="Arial" w:eastAsia="Times New Roman" w:hAnsi="Arial" w:cs="Arial"/>
                          <w:i/>
                          <w:lang w:val="fr-FR"/>
                        </w:rPr>
                      </w:pPr>
                    </w:p>
                    <w:p w14:paraId="4F79266F" w14:textId="77777777" w:rsidR="00A6618C" w:rsidRDefault="00C66641">
                      <w:pPr>
                        <w:widowControl w:val="0"/>
                        <w:suppressAutoHyphens w:val="0"/>
                        <w:autoSpaceDE w:val="0"/>
                        <w:spacing w:after="0"/>
                        <w:jc w:val="both"/>
                        <w:textAlignment w:val="auto"/>
                        <w:rPr>
                          <w:rFonts w:ascii="Arial" w:eastAsia="Times New Roman" w:hAnsi="Arial" w:cs="Arial"/>
                          <w:lang w:val="fr-FR"/>
                        </w:rPr>
                      </w:pPr>
                      <w:r>
                        <w:rPr>
                          <w:rFonts w:ascii="Arial" w:eastAsia="Times New Roman" w:hAnsi="Arial" w:cs="Arial"/>
                          <w:lang w:val="fr-FR"/>
                        </w:rPr>
                        <w:t xml:space="preserve">Les gouvernements du Brésil et du Chili ont soumis conjointement la proposition ci-jointe pour l'inclusion du courlis corlieu </w:t>
                      </w:r>
                      <w:r>
                        <w:rPr>
                          <w:rFonts w:ascii="Arial" w:eastAsia="Times New Roman" w:hAnsi="Arial" w:cs="Arial"/>
                          <w:i/>
                          <w:lang w:val="fr-FR"/>
                        </w:rPr>
                        <w:t>(</w:t>
                      </w:r>
                      <w:r>
                        <w:rPr>
                          <w:rFonts w:ascii="Arial" w:eastAsia="Arial" w:hAnsi="Arial" w:cs="Arial"/>
                          <w:i/>
                          <w:iCs/>
                          <w:lang w:val="fr-FR"/>
                        </w:rPr>
                        <w:t xml:space="preserve">Numenius </w:t>
                      </w:r>
                      <w:r>
                        <w:rPr>
                          <w:rFonts w:ascii="Arial" w:eastAsia="Arial" w:hAnsi="Arial" w:cs="Arial"/>
                          <w:lang w:val="fr-FR"/>
                        </w:rPr>
                        <w:t>(</w:t>
                      </w:r>
                      <w:r>
                        <w:rPr>
                          <w:rFonts w:ascii="Arial" w:eastAsia="Arial" w:hAnsi="Arial" w:cs="Arial"/>
                          <w:i/>
                          <w:iCs/>
                          <w:lang w:val="fr-FR"/>
                        </w:rPr>
                        <w:t>phaeopus</w:t>
                      </w:r>
                      <w:r>
                        <w:rPr>
                          <w:rFonts w:ascii="Arial" w:eastAsia="Arial" w:hAnsi="Arial" w:cs="Arial"/>
                          <w:lang w:val="fr-FR"/>
                        </w:rPr>
                        <w:t>)</w:t>
                      </w:r>
                      <w:r>
                        <w:rPr>
                          <w:rFonts w:ascii="Arial" w:eastAsia="Arial" w:hAnsi="Arial" w:cs="Arial"/>
                          <w:i/>
                          <w:iCs/>
                          <w:lang w:val="fr-FR"/>
                        </w:rPr>
                        <w:t xml:space="preserve"> hudsonicus</w:t>
                      </w:r>
                      <w:r>
                        <w:rPr>
                          <w:rFonts w:ascii="Arial" w:eastAsia="Times New Roman" w:hAnsi="Arial" w:cs="Arial"/>
                          <w:i/>
                          <w:lang w:val="fr-FR"/>
                        </w:rPr>
                        <w:t>)</w:t>
                      </w:r>
                      <w:r>
                        <w:rPr>
                          <w:rFonts w:ascii="Arial" w:eastAsia="Times New Roman" w:hAnsi="Arial" w:cs="Arial"/>
                          <w:lang w:val="fr-FR"/>
                        </w:rPr>
                        <w:t xml:space="preserve">  à l'Annexe I de la Convention sur la conservation des espèces migratrices appartenant à la faune sauvage (CMS).</w:t>
                      </w:r>
                    </w:p>
                  </w:txbxContent>
                </v:textbox>
              </v:shape>
            </w:pict>
          </mc:Fallback>
        </mc:AlternateContent>
      </w:r>
    </w:p>
    <w:p w14:paraId="3BA5A9AA" w14:textId="77777777" w:rsidR="00A6618C" w:rsidRPr="00F9311B" w:rsidRDefault="00A6618C">
      <w:pPr>
        <w:widowControl w:val="0"/>
        <w:autoSpaceDE w:val="0"/>
        <w:spacing w:after="0"/>
        <w:rPr>
          <w:rFonts w:ascii="Arial" w:eastAsia="Times New Roman" w:hAnsi="Arial" w:cs="Arial"/>
          <w:sz w:val="21"/>
          <w:szCs w:val="21"/>
          <w:lang w:val="en-GB"/>
        </w:rPr>
      </w:pPr>
    </w:p>
    <w:p w14:paraId="5D6ABE24" w14:textId="77777777" w:rsidR="00A6618C" w:rsidRPr="00F9311B" w:rsidRDefault="00A6618C">
      <w:pPr>
        <w:widowControl w:val="0"/>
        <w:autoSpaceDE w:val="0"/>
        <w:spacing w:after="0"/>
        <w:rPr>
          <w:rFonts w:ascii="Arial" w:eastAsia="Times New Roman" w:hAnsi="Arial" w:cs="Arial"/>
          <w:sz w:val="21"/>
          <w:szCs w:val="21"/>
          <w:lang w:val="en-GB"/>
        </w:rPr>
      </w:pPr>
    </w:p>
    <w:p w14:paraId="630D4DAF" w14:textId="77777777" w:rsidR="00A6618C" w:rsidRPr="00F9311B" w:rsidRDefault="00A6618C">
      <w:pPr>
        <w:widowControl w:val="0"/>
        <w:autoSpaceDE w:val="0"/>
        <w:spacing w:after="0"/>
        <w:rPr>
          <w:rFonts w:ascii="Arial" w:eastAsia="Times New Roman" w:hAnsi="Arial" w:cs="Arial"/>
          <w:sz w:val="21"/>
          <w:szCs w:val="21"/>
          <w:lang w:val="en-GB"/>
        </w:rPr>
      </w:pPr>
    </w:p>
    <w:p w14:paraId="106A0DEA" w14:textId="77777777" w:rsidR="00A6618C" w:rsidRPr="00F9311B" w:rsidRDefault="00A6618C">
      <w:pPr>
        <w:widowControl w:val="0"/>
        <w:autoSpaceDE w:val="0"/>
        <w:spacing w:after="0"/>
        <w:rPr>
          <w:rFonts w:ascii="Arial" w:eastAsia="Times New Roman" w:hAnsi="Arial" w:cs="Arial"/>
          <w:sz w:val="21"/>
          <w:szCs w:val="21"/>
          <w:lang w:val="en-GB"/>
        </w:rPr>
      </w:pPr>
    </w:p>
    <w:p w14:paraId="4FA48D98" w14:textId="77777777" w:rsidR="00A6618C" w:rsidRPr="00F9311B" w:rsidRDefault="00A6618C">
      <w:pPr>
        <w:widowControl w:val="0"/>
        <w:autoSpaceDE w:val="0"/>
        <w:spacing w:after="0"/>
        <w:rPr>
          <w:rFonts w:ascii="Arial" w:eastAsia="Times New Roman" w:hAnsi="Arial" w:cs="Arial"/>
          <w:sz w:val="21"/>
          <w:szCs w:val="21"/>
          <w:lang w:val="en-GB"/>
        </w:rPr>
      </w:pPr>
    </w:p>
    <w:p w14:paraId="76D8D3E9" w14:textId="77777777" w:rsidR="00A6618C" w:rsidRPr="00F9311B" w:rsidRDefault="00A6618C">
      <w:pPr>
        <w:widowControl w:val="0"/>
        <w:autoSpaceDE w:val="0"/>
        <w:spacing w:after="0"/>
        <w:rPr>
          <w:rFonts w:ascii="Arial" w:eastAsia="Times New Roman" w:hAnsi="Arial" w:cs="Arial"/>
          <w:sz w:val="21"/>
          <w:szCs w:val="21"/>
          <w:lang w:val="en-GB"/>
        </w:rPr>
      </w:pPr>
    </w:p>
    <w:p w14:paraId="77468DB9" w14:textId="77777777" w:rsidR="00A6618C" w:rsidRPr="00F9311B" w:rsidRDefault="00A6618C">
      <w:pPr>
        <w:widowControl w:val="0"/>
        <w:autoSpaceDE w:val="0"/>
        <w:spacing w:after="0"/>
        <w:rPr>
          <w:rFonts w:ascii="Arial" w:eastAsia="Times New Roman" w:hAnsi="Arial" w:cs="Arial"/>
          <w:sz w:val="21"/>
          <w:szCs w:val="21"/>
          <w:lang w:val="en-GB"/>
        </w:rPr>
      </w:pPr>
    </w:p>
    <w:p w14:paraId="68B7EA9D" w14:textId="77777777" w:rsidR="00A6618C" w:rsidRPr="00F9311B" w:rsidRDefault="00A6618C">
      <w:pPr>
        <w:widowControl w:val="0"/>
        <w:autoSpaceDE w:val="0"/>
        <w:spacing w:after="0"/>
        <w:rPr>
          <w:rFonts w:ascii="Arial" w:eastAsia="Times New Roman" w:hAnsi="Arial" w:cs="Arial"/>
          <w:sz w:val="21"/>
          <w:szCs w:val="21"/>
          <w:lang w:val="en-GB"/>
        </w:rPr>
      </w:pPr>
    </w:p>
    <w:p w14:paraId="72B08557" w14:textId="77777777" w:rsidR="00A6618C" w:rsidRPr="00F9311B" w:rsidRDefault="00A6618C">
      <w:pPr>
        <w:widowControl w:val="0"/>
        <w:autoSpaceDE w:val="0"/>
        <w:spacing w:after="0"/>
        <w:rPr>
          <w:rFonts w:ascii="Arial" w:eastAsia="Times New Roman" w:hAnsi="Arial" w:cs="Arial"/>
          <w:sz w:val="21"/>
          <w:szCs w:val="21"/>
          <w:lang w:val="en-GB"/>
        </w:rPr>
      </w:pPr>
    </w:p>
    <w:p w14:paraId="78F8418E" w14:textId="77777777" w:rsidR="00A6618C" w:rsidRPr="00F9311B" w:rsidRDefault="00A6618C">
      <w:pPr>
        <w:widowControl w:val="0"/>
        <w:autoSpaceDE w:val="0"/>
        <w:spacing w:after="0"/>
        <w:rPr>
          <w:rFonts w:ascii="Arial" w:eastAsia="Times New Roman" w:hAnsi="Arial" w:cs="Arial"/>
          <w:sz w:val="21"/>
          <w:szCs w:val="21"/>
          <w:lang w:val="en-GB"/>
        </w:rPr>
      </w:pPr>
    </w:p>
    <w:p w14:paraId="66F7D49A" w14:textId="77777777" w:rsidR="00A6618C" w:rsidRPr="00F9311B" w:rsidRDefault="00A6618C">
      <w:pPr>
        <w:widowControl w:val="0"/>
        <w:autoSpaceDE w:val="0"/>
        <w:spacing w:after="0"/>
        <w:rPr>
          <w:rFonts w:ascii="Arial" w:eastAsia="Times New Roman" w:hAnsi="Arial" w:cs="Arial"/>
          <w:sz w:val="21"/>
          <w:szCs w:val="21"/>
          <w:lang w:val="en-GB"/>
        </w:rPr>
      </w:pPr>
    </w:p>
    <w:p w14:paraId="4CA40710" w14:textId="77777777" w:rsidR="00A6618C" w:rsidRPr="00F9311B" w:rsidRDefault="00A6618C">
      <w:pPr>
        <w:widowControl w:val="0"/>
        <w:autoSpaceDE w:val="0"/>
        <w:spacing w:after="0"/>
        <w:rPr>
          <w:rFonts w:ascii="Arial" w:eastAsia="Times New Roman" w:hAnsi="Arial" w:cs="Arial"/>
          <w:sz w:val="21"/>
          <w:szCs w:val="21"/>
          <w:lang w:val="en-GB"/>
        </w:rPr>
      </w:pPr>
    </w:p>
    <w:p w14:paraId="4BAFD8F6" w14:textId="77777777" w:rsidR="00A6618C" w:rsidRPr="00F9311B" w:rsidRDefault="00A6618C">
      <w:pPr>
        <w:widowControl w:val="0"/>
        <w:autoSpaceDE w:val="0"/>
        <w:spacing w:after="0"/>
        <w:rPr>
          <w:rFonts w:ascii="Arial" w:eastAsia="Times New Roman" w:hAnsi="Arial" w:cs="Arial"/>
          <w:sz w:val="21"/>
          <w:szCs w:val="21"/>
          <w:lang w:val="en-GB"/>
        </w:rPr>
      </w:pPr>
    </w:p>
    <w:p w14:paraId="342341A4" w14:textId="77777777" w:rsidR="00A6618C" w:rsidRPr="00F9311B" w:rsidRDefault="00A6618C">
      <w:pPr>
        <w:widowControl w:val="0"/>
        <w:autoSpaceDE w:val="0"/>
        <w:spacing w:after="0"/>
        <w:rPr>
          <w:rFonts w:ascii="Arial" w:eastAsia="Times New Roman" w:hAnsi="Arial" w:cs="Arial"/>
          <w:sz w:val="21"/>
          <w:szCs w:val="21"/>
          <w:lang w:val="en-GB"/>
        </w:rPr>
      </w:pPr>
    </w:p>
    <w:p w14:paraId="4799F61D" w14:textId="77777777" w:rsidR="00A6618C" w:rsidRPr="00F9311B" w:rsidRDefault="00A6618C">
      <w:pPr>
        <w:widowControl w:val="0"/>
        <w:autoSpaceDE w:val="0"/>
        <w:spacing w:after="0"/>
        <w:rPr>
          <w:rFonts w:ascii="Arial" w:eastAsia="Times New Roman" w:hAnsi="Arial" w:cs="Arial"/>
          <w:sz w:val="21"/>
          <w:szCs w:val="21"/>
          <w:lang w:val="en-GB"/>
        </w:rPr>
      </w:pPr>
    </w:p>
    <w:p w14:paraId="78837F96" w14:textId="77777777" w:rsidR="00A6618C" w:rsidRPr="00F9311B" w:rsidRDefault="00A6618C">
      <w:pPr>
        <w:widowControl w:val="0"/>
        <w:autoSpaceDE w:val="0"/>
        <w:spacing w:after="0"/>
        <w:rPr>
          <w:rFonts w:ascii="Arial" w:eastAsia="Times New Roman" w:hAnsi="Arial" w:cs="Arial"/>
          <w:sz w:val="21"/>
          <w:szCs w:val="21"/>
          <w:lang w:val="en-GB"/>
        </w:rPr>
      </w:pPr>
    </w:p>
    <w:p w14:paraId="67C2A184" w14:textId="77777777" w:rsidR="00A6618C" w:rsidRPr="00F9311B" w:rsidRDefault="00A6618C">
      <w:pPr>
        <w:widowControl w:val="0"/>
        <w:autoSpaceDE w:val="0"/>
        <w:spacing w:after="0"/>
        <w:rPr>
          <w:rFonts w:ascii="Arial" w:eastAsia="Times New Roman" w:hAnsi="Arial" w:cs="Arial"/>
          <w:sz w:val="21"/>
          <w:szCs w:val="21"/>
          <w:lang w:val="en-GB"/>
        </w:rPr>
      </w:pPr>
    </w:p>
    <w:p w14:paraId="30BB20E4" w14:textId="77777777" w:rsidR="00A6618C" w:rsidRPr="00F9311B" w:rsidRDefault="00A6618C">
      <w:pPr>
        <w:widowControl w:val="0"/>
        <w:autoSpaceDE w:val="0"/>
        <w:spacing w:after="0"/>
        <w:rPr>
          <w:rFonts w:ascii="Arial" w:eastAsia="Times New Roman" w:hAnsi="Arial" w:cs="Arial"/>
          <w:sz w:val="21"/>
          <w:szCs w:val="21"/>
          <w:lang w:val="en-GB"/>
        </w:rPr>
      </w:pPr>
    </w:p>
    <w:p w14:paraId="15E99FCD" w14:textId="77777777" w:rsidR="00A6618C" w:rsidRPr="00F9311B" w:rsidRDefault="00A6618C">
      <w:pPr>
        <w:widowControl w:val="0"/>
        <w:autoSpaceDE w:val="0"/>
        <w:spacing w:after="0"/>
        <w:rPr>
          <w:rFonts w:ascii="Arial" w:eastAsia="Times New Roman" w:hAnsi="Arial" w:cs="Arial"/>
          <w:sz w:val="21"/>
          <w:szCs w:val="21"/>
          <w:lang w:val="en-GB"/>
        </w:rPr>
      </w:pPr>
    </w:p>
    <w:p w14:paraId="3EA42E33" w14:textId="77777777" w:rsidR="00A6618C" w:rsidRPr="00F9311B" w:rsidRDefault="00A6618C">
      <w:pPr>
        <w:widowControl w:val="0"/>
        <w:autoSpaceDE w:val="0"/>
        <w:spacing w:after="0"/>
        <w:rPr>
          <w:rFonts w:ascii="Arial" w:eastAsia="Times New Roman" w:hAnsi="Arial" w:cs="Arial"/>
          <w:sz w:val="21"/>
          <w:szCs w:val="21"/>
          <w:lang w:val="en-GB"/>
        </w:rPr>
      </w:pPr>
    </w:p>
    <w:p w14:paraId="3B8D333E" w14:textId="77777777" w:rsidR="00A6618C" w:rsidRPr="00F9311B" w:rsidRDefault="00A6618C">
      <w:pPr>
        <w:widowControl w:val="0"/>
        <w:autoSpaceDE w:val="0"/>
        <w:spacing w:after="0"/>
        <w:rPr>
          <w:rFonts w:ascii="Arial" w:eastAsia="Times New Roman" w:hAnsi="Arial" w:cs="Arial"/>
          <w:sz w:val="21"/>
          <w:szCs w:val="21"/>
          <w:lang w:val="en-GB"/>
        </w:rPr>
      </w:pPr>
    </w:p>
    <w:p w14:paraId="32F3ADC3" w14:textId="77777777" w:rsidR="00A6618C" w:rsidRPr="00F9311B" w:rsidRDefault="00A6618C">
      <w:pPr>
        <w:widowControl w:val="0"/>
        <w:autoSpaceDE w:val="0"/>
        <w:spacing w:after="0"/>
        <w:rPr>
          <w:rFonts w:ascii="Arial" w:eastAsia="Times New Roman" w:hAnsi="Arial" w:cs="Arial"/>
          <w:sz w:val="21"/>
          <w:szCs w:val="21"/>
          <w:lang w:val="en-GB"/>
        </w:rPr>
      </w:pPr>
    </w:p>
    <w:p w14:paraId="495DDC51" w14:textId="77777777" w:rsidR="00A6618C" w:rsidRPr="00F9311B" w:rsidRDefault="00A6618C">
      <w:pPr>
        <w:widowControl w:val="0"/>
        <w:tabs>
          <w:tab w:val="left" w:pos="7245"/>
        </w:tabs>
        <w:autoSpaceDE w:val="0"/>
        <w:spacing w:after="0"/>
        <w:rPr>
          <w:rFonts w:ascii="Arial" w:eastAsia="Times New Roman" w:hAnsi="Arial" w:cs="Arial"/>
          <w:sz w:val="21"/>
          <w:szCs w:val="21"/>
          <w:lang w:val="en-GB"/>
        </w:rPr>
      </w:pPr>
    </w:p>
    <w:p w14:paraId="30D9FE65" w14:textId="77777777" w:rsidR="00A6618C" w:rsidRPr="00F9311B" w:rsidRDefault="00A6618C">
      <w:pPr>
        <w:widowControl w:val="0"/>
        <w:autoSpaceDE w:val="0"/>
        <w:spacing w:after="0"/>
        <w:rPr>
          <w:rFonts w:ascii="Arial" w:eastAsia="Times New Roman" w:hAnsi="Arial" w:cs="Arial"/>
          <w:lang w:val="en-GB"/>
        </w:rPr>
      </w:pPr>
    </w:p>
    <w:p w14:paraId="360142E8" w14:textId="77777777" w:rsidR="00A6618C" w:rsidRPr="00F9311B" w:rsidRDefault="00A6618C">
      <w:pPr>
        <w:widowControl w:val="0"/>
        <w:autoSpaceDE w:val="0"/>
        <w:spacing w:after="0"/>
        <w:rPr>
          <w:rFonts w:ascii="Arial" w:eastAsia="Times New Roman" w:hAnsi="Arial" w:cs="Arial"/>
          <w:lang w:val="en-GB"/>
        </w:rPr>
      </w:pPr>
    </w:p>
    <w:p w14:paraId="69708C6E" w14:textId="77777777" w:rsidR="00A6618C" w:rsidRPr="00F9311B" w:rsidRDefault="00A6618C">
      <w:pPr>
        <w:widowControl w:val="0"/>
        <w:autoSpaceDE w:val="0"/>
        <w:spacing w:after="0"/>
        <w:rPr>
          <w:rFonts w:ascii="Arial" w:eastAsia="Times New Roman" w:hAnsi="Arial" w:cs="Arial"/>
          <w:lang w:val="en-GB"/>
        </w:rPr>
      </w:pPr>
    </w:p>
    <w:p w14:paraId="1DC8431C" w14:textId="77777777" w:rsidR="00A6618C" w:rsidRPr="00F9311B" w:rsidRDefault="00A6618C">
      <w:pPr>
        <w:widowControl w:val="0"/>
        <w:autoSpaceDE w:val="0"/>
        <w:spacing w:after="0"/>
        <w:rPr>
          <w:rFonts w:ascii="Arial" w:eastAsia="Times New Roman" w:hAnsi="Arial" w:cs="Arial"/>
          <w:lang w:val="en-GB"/>
        </w:rPr>
      </w:pPr>
    </w:p>
    <w:p w14:paraId="26C35946" w14:textId="77777777" w:rsidR="00A6618C" w:rsidRPr="00F9311B" w:rsidRDefault="00A6618C">
      <w:pPr>
        <w:widowControl w:val="0"/>
        <w:autoSpaceDE w:val="0"/>
        <w:spacing w:after="0"/>
        <w:rPr>
          <w:rFonts w:ascii="Arial" w:eastAsia="Times New Roman" w:hAnsi="Arial" w:cs="Arial"/>
          <w:lang w:val="en-GB"/>
        </w:rPr>
      </w:pPr>
    </w:p>
    <w:p w14:paraId="2F448C93" w14:textId="77777777" w:rsidR="00A6618C" w:rsidRPr="00F9311B" w:rsidRDefault="00A6618C">
      <w:pPr>
        <w:widowControl w:val="0"/>
        <w:autoSpaceDE w:val="0"/>
        <w:spacing w:after="0"/>
        <w:rPr>
          <w:rFonts w:ascii="Arial" w:eastAsia="Times New Roman" w:hAnsi="Arial" w:cs="Arial"/>
          <w:lang w:val="en-GB"/>
        </w:rPr>
      </w:pPr>
    </w:p>
    <w:p w14:paraId="73D1BB71" w14:textId="77777777" w:rsidR="00A6618C" w:rsidRPr="00F9311B" w:rsidRDefault="00A6618C">
      <w:pPr>
        <w:widowControl w:val="0"/>
        <w:autoSpaceDE w:val="0"/>
        <w:spacing w:after="0"/>
        <w:rPr>
          <w:rFonts w:ascii="Arial" w:eastAsia="Times New Roman" w:hAnsi="Arial" w:cs="Arial"/>
          <w:lang w:val="en-GB"/>
        </w:rPr>
      </w:pPr>
    </w:p>
    <w:p w14:paraId="4EC18B63" w14:textId="7E84699C" w:rsidR="007D4881" w:rsidRPr="00A14BF5" w:rsidRDefault="00D1732A" w:rsidP="007D4881">
      <w:pPr>
        <w:jc w:val="both"/>
        <w:rPr>
          <w:lang w:val="fr-FR"/>
        </w:rPr>
      </w:pPr>
      <w:r w:rsidRPr="007D4881">
        <w:rPr>
          <w:rFonts w:ascii="Arial" w:eastAsia="Times New Roman" w:hAnsi="Arial" w:cs="Arial"/>
          <w:sz w:val="18"/>
          <w:szCs w:val="18"/>
          <w:lang w:val="fr-FR"/>
        </w:rPr>
        <w:t>*</w:t>
      </w:r>
      <w:r w:rsidR="007D4881" w:rsidRPr="007D4881">
        <w:rPr>
          <w:rFonts w:ascii="Arial" w:eastAsia="Times New Roman" w:hAnsi="Arial" w:cs="Arial"/>
          <w:sz w:val="18"/>
          <w:szCs w:val="18"/>
          <w:lang w:val="fr-FR"/>
        </w:rPr>
        <w:t xml:space="preserve"> </w:t>
      </w:r>
      <w:r w:rsidR="007D4881" w:rsidRPr="007D4881">
        <w:rPr>
          <w:rFonts w:ascii="Arial" w:eastAsia="Times New Roman" w:hAnsi="Arial" w:cs="Arial"/>
          <w:sz w:val="18"/>
          <w:szCs w:val="18"/>
          <w:lang w:val="fr-FR"/>
        </w:rPr>
        <w:t>Les appellations géographiques utilisées dans ce document n'impliquent d'aucune manière l'opinion de la part du Secrétariat de la CMS (ou du Programme des Nations Unies pour l'Environnement) concernant le statut juridique de tout pays, territoire ou zone ou concernant la délimitation de ses frontières ou limites. La responsabilité du contenu du document repose exclusivement sur son auteur.</w:t>
      </w:r>
    </w:p>
    <w:p w14:paraId="5010C84C" w14:textId="720D2D01" w:rsidR="00A6618C" w:rsidRPr="007D4881" w:rsidRDefault="00A6618C">
      <w:pPr>
        <w:widowControl w:val="0"/>
        <w:autoSpaceDE w:val="0"/>
        <w:spacing w:after="0"/>
        <w:jc w:val="both"/>
        <w:rPr>
          <w:rFonts w:ascii="Arial" w:hAnsi="Arial" w:cs="Arial"/>
          <w:lang w:val="fr-FR"/>
        </w:rPr>
        <w:sectPr w:rsidR="00A6618C" w:rsidRPr="007D4881">
          <w:headerReference w:type="default" r:id="rId11"/>
          <w:footerReference w:type="default" r:id="rId12"/>
          <w:headerReference w:type="first" r:id="rId13"/>
          <w:footerReference w:type="first" r:id="rId14"/>
          <w:endnotePr>
            <w:numFmt w:val="decimal"/>
          </w:endnotePr>
          <w:pgSz w:w="11905" w:h="16837" w:code="9"/>
          <w:pgMar w:top="1440" w:right="1440" w:bottom="1440" w:left="1440" w:header="432" w:footer="432" w:gutter="0"/>
          <w:cols w:space="720"/>
          <w:titlePg/>
          <w:docGrid w:linePitch="299"/>
        </w:sectPr>
      </w:pPr>
    </w:p>
    <w:p w14:paraId="7C0AA243" w14:textId="64CB3E6E" w:rsidR="003D003D" w:rsidRPr="00DE5863" w:rsidRDefault="003D003D" w:rsidP="003D003D">
      <w:pPr>
        <w:widowControl w:val="0"/>
        <w:pBdr>
          <w:top w:val="single" w:sz="6" w:space="0" w:color="FFFFFF"/>
          <w:left w:val="single" w:sz="6" w:space="0" w:color="FFFFFF"/>
          <w:bottom w:val="single" w:sz="6" w:space="0" w:color="FFFFFF"/>
          <w:right w:val="single" w:sz="6" w:space="0" w:color="FFFFFF"/>
        </w:pBdr>
        <w:suppressAutoHyphens w:val="0"/>
        <w:autoSpaceDE w:val="0"/>
        <w:spacing w:after="0"/>
        <w:ind w:left="-90" w:right="-367"/>
        <w:jc w:val="center"/>
        <w:textAlignment w:val="auto"/>
        <w:outlineLvl w:val="1"/>
        <w:rPr>
          <w:rFonts w:ascii="Arial" w:eastAsia="Times New Roman" w:hAnsi="Arial" w:cs="Arial"/>
          <w:b/>
          <w:bCs/>
          <w:lang w:val="fr-FR"/>
        </w:rPr>
      </w:pPr>
      <w:r w:rsidRPr="00DE5863">
        <w:rPr>
          <w:rFonts w:ascii="Arial" w:eastAsia="Times New Roman" w:hAnsi="Arial" w:cs="Arial"/>
          <w:b/>
          <w:bCs/>
          <w:lang w:val="fr-FR"/>
        </w:rPr>
        <w:lastRenderedPageBreak/>
        <w:t>PROPOSITION D'INSCRIPTION DU</w:t>
      </w:r>
    </w:p>
    <w:p w14:paraId="3EFFECEF" w14:textId="77777777" w:rsidR="003D003D" w:rsidRPr="00DE5863" w:rsidRDefault="003D003D" w:rsidP="003D003D">
      <w:pPr>
        <w:pBdr>
          <w:top w:val="single" w:sz="6" w:space="0" w:color="FFFFFF"/>
          <w:left w:val="single" w:sz="6" w:space="0" w:color="FFFFFF"/>
          <w:bottom w:val="single" w:sz="6" w:space="0" w:color="FFFFFF"/>
          <w:right w:val="single" w:sz="6" w:space="0" w:color="FFFFFF"/>
        </w:pBdr>
        <w:spacing w:after="0"/>
        <w:ind w:left="-91" w:right="-369"/>
        <w:jc w:val="center"/>
        <w:rPr>
          <w:rFonts w:ascii="Arial" w:eastAsia="Arial" w:hAnsi="Arial" w:cs="Arial"/>
          <w:b/>
          <w:bCs/>
          <w:i/>
          <w:iCs/>
          <w:lang w:val="fr-FR"/>
        </w:rPr>
      </w:pPr>
      <w:r w:rsidRPr="00DE5863">
        <w:rPr>
          <w:rFonts w:ascii="Arial" w:eastAsia="Times New Roman" w:hAnsi="Arial" w:cs="Arial"/>
          <w:b/>
          <w:bCs/>
          <w:lang w:val="fr-FR"/>
        </w:rPr>
        <w:t xml:space="preserve">COURLIS CORLIEU </w:t>
      </w:r>
      <w:r w:rsidRPr="00DE5863">
        <w:rPr>
          <w:rFonts w:ascii="Arial" w:eastAsia="Arial" w:hAnsi="Arial" w:cs="Arial"/>
          <w:b/>
          <w:bCs/>
          <w:lang w:val="fr-FR"/>
        </w:rPr>
        <w:t>(</w:t>
      </w:r>
      <w:r w:rsidRPr="00DE5863">
        <w:rPr>
          <w:rFonts w:ascii="Arial" w:eastAsia="Arial" w:hAnsi="Arial" w:cs="Arial"/>
          <w:b/>
          <w:bCs/>
          <w:i/>
          <w:iCs/>
          <w:lang w:val="fr-FR"/>
        </w:rPr>
        <w:t xml:space="preserve">Numenius </w:t>
      </w:r>
      <w:proofErr w:type="spellStart"/>
      <w:r w:rsidRPr="00DE5863">
        <w:rPr>
          <w:rFonts w:ascii="Arial" w:eastAsia="Arial" w:hAnsi="Arial" w:cs="Arial"/>
          <w:b/>
          <w:bCs/>
          <w:i/>
          <w:iCs/>
          <w:lang w:val="fr-FR"/>
        </w:rPr>
        <w:t>phaeopus</w:t>
      </w:r>
      <w:proofErr w:type="spellEnd"/>
      <w:r w:rsidRPr="00DE5863">
        <w:rPr>
          <w:rFonts w:ascii="Arial" w:eastAsia="Arial" w:hAnsi="Arial" w:cs="Arial"/>
          <w:b/>
          <w:bCs/>
          <w:i/>
          <w:iCs/>
          <w:lang w:val="fr-FR"/>
        </w:rPr>
        <w:t xml:space="preserve"> </w:t>
      </w:r>
      <w:proofErr w:type="spellStart"/>
      <w:r w:rsidRPr="00DE5863">
        <w:rPr>
          <w:rFonts w:ascii="Arial" w:eastAsia="Arial" w:hAnsi="Arial" w:cs="Arial"/>
          <w:b/>
          <w:bCs/>
          <w:i/>
          <w:iCs/>
          <w:lang w:val="fr-FR"/>
        </w:rPr>
        <w:t>hudsonicus</w:t>
      </w:r>
      <w:proofErr w:type="spellEnd"/>
      <w:r w:rsidRPr="00DE5863">
        <w:rPr>
          <w:rFonts w:ascii="Arial" w:eastAsia="Arial" w:hAnsi="Arial" w:cs="Arial"/>
          <w:b/>
          <w:bCs/>
          <w:lang w:val="fr-FR"/>
        </w:rPr>
        <w:t>)</w:t>
      </w:r>
    </w:p>
    <w:p w14:paraId="7217B4BD" w14:textId="7B316BC1" w:rsidR="003D003D" w:rsidRPr="003D003D" w:rsidRDefault="003D003D" w:rsidP="003D003D">
      <w:pPr>
        <w:spacing w:after="0"/>
        <w:ind w:left="567" w:hanging="567"/>
        <w:jc w:val="center"/>
        <w:rPr>
          <w:rFonts w:ascii="Arial" w:hAnsi="Arial" w:cs="Arial"/>
          <w:b/>
          <w:bCs/>
          <w:lang w:val="fr-FR"/>
        </w:rPr>
      </w:pPr>
      <w:r w:rsidRPr="003D003D">
        <w:rPr>
          <w:rFonts w:ascii="Arial" w:eastAsia="Times New Roman" w:hAnsi="Arial" w:cs="Arial"/>
          <w:b/>
          <w:bCs/>
          <w:caps/>
          <w:lang w:val="fr-FR"/>
        </w:rPr>
        <w:t>à l'Annexe I de la Convention</w:t>
      </w:r>
    </w:p>
    <w:p w14:paraId="7C9505C0" w14:textId="77777777" w:rsidR="003D003D" w:rsidRDefault="003D003D">
      <w:pPr>
        <w:spacing w:after="0"/>
        <w:ind w:left="567" w:hanging="567"/>
        <w:jc w:val="both"/>
        <w:rPr>
          <w:rFonts w:ascii="Arial" w:hAnsi="Arial" w:cs="Arial"/>
          <w:b/>
          <w:bCs/>
          <w:lang w:val="fr-FR"/>
        </w:rPr>
      </w:pPr>
    </w:p>
    <w:p w14:paraId="43A283EF" w14:textId="77777777" w:rsidR="003D003D" w:rsidRDefault="003D003D">
      <w:pPr>
        <w:spacing w:after="0"/>
        <w:ind w:left="567" w:hanging="567"/>
        <w:jc w:val="both"/>
        <w:rPr>
          <w:rFonts w:ascii="Arial" w:hAnsi="Arial" w:cs="Arial"/>
          <w:b/>
          <w:bCs/>
          <w:lang w:val="fr-FR"/>
        </w:rPr>
      </w:pPr>
    </w:p>
    <w:p w14:paraId="2EE0FB54" w14:textId="127DBBA9" w:rsidR="00A6618C" w:rsidRPr="00DE5863" w:rsidRDefault="00D1732A">
      <w:pPr>
        <w:spacing w:after="0"/>
        <w:ind w:left="567" w:hanging="567"/>
        <w:jc w:val="both"/>
        <w:rPr>
          <w:rFonts w:ascii="Arial" w:hAnsi="Arial" w:cs="Arial"/>
          <w:b/>
          <w:bCs/>
          <w:lang w:val="fr-FR"/>
        </w:rPr>
      </w:pPr>
      <w:r w:rsidRPr="00DE5863">
        <w:rPr>
          <w:rFonts w:ascii="Arial" w:hAnsi="Arial" w:cs="Arial"/>
          <w:b/>
          <w:bCs/>
          <w:lang w:val="fr-FR"/>
        </w:rPr>
        <w:t xml:space="preserve">A. </w:t>
      </w:r>
      <w:r w:rsidRPr="00DE5863">
        <w:rPr>
          <w:rFonts w:ascii="Arial" w:hAnsi="Arial" w:cs="Arial"/>
          <w:b/>
          <w:bCs/>
          <w:lang w:val="fr-FR"/>
        </w:rPr>
        <w:tab/>
        <w:t>PROPOSITION</w:t>
      </w:r>
    </w:p>
    <w:p w14:paraId="081698B1" w14:textId="77777777" w:rsidR="00A6618C" w:rsidRPr="00DE5863" w:rsidRDefault="00A6618C">
      <w:pPr>
        <w:spacing w:after="0"/>
        <w:jc w:val="both"/>
        <w:rPr>
          <w:rFonts w:ascii="Arial" w:hAnsi="Arial" w:cs="Arial"/>
          <w:lang w:val="fr-FR"/>
        </w:rPr>
      </w:pPr>
    </w:p>
    <w:p w14:paraId="65EC633D" w14:textId="77777777" w:rsidR="00A6618C" w:rsidRPr="00DE5863" w:rsidRDefault="00D1732A">
      <w:pPr>
        <w:autoSpaceDE w:val="0"/>
        <w:adjustRightInd w:val="0"/>
        <w:spacing w:after="0"/>
        <w:jc w:val="both"/>
        <w:rPr>
          <w:rFonts w:ascii="Arial" w:eastAsia="Arial" w:hAnsi="Arial" w:cs="Arial"/>
          <w:lang w:val="fr-FR"/>
        </w:rPr>
      </w:pPr>
      <w:r w:rsidRPr="00DE5863">
        <w:rPr>
          <w:rFonts w:ascii="Arial" w:eastAsia="Arial" w:hAnsi="Arial" w:cs="Arial"/>
          <w:lang w:val="fr-FR"/>
        </w:rPr>
        <w:t xml:space="preserve">La proposition d'amendement présentée ici à la Convention sur la conservation des espèces migratrices appartenant à la faune sauvage (Convention de Bonn) vise à soutenir l'inclusion du courlis corlieu </w:t>
      </w:r>
      <w:r w:rsidRPr="00DE5863">
        <w:rPr>
          <w:rFonts w:ascii="Arial" w:eastAsia="Arial" w:hAnsi="Arial" w:cs="Arial"/>
          <w:i/>
          <w:iCs/>
          <w:lang w:val="fr-FR"/>
        </w:rPr>
        <w:t xml:space="preserve">Numenius </w:t>
      </w:r>
      <w:proofErr w:type="spellStart"/>
      <w:r w:rsidRPr="00DE5863">
        <w:rPr>
          <w:rFonts w:ascii="Arial" w:eastAsia="Arial" w:hAnsi="Arial" w:cs="Arial"/>
          <w:i/>
          <w:iCs/>
          <w:lang w:val="fr-FR"/>
        </w:rPr>
        <w:t>phaeopus</w:t>
      </w:r>
      <w:proofErr w:type="spellEnd"/>
      <w:r w:rsidRPr="00DE5863">
        <w:rPr>
          <w:rFonts w:ascii="Arial" w:eastAsia="Arial" w:hAnsi="Arial" w:cs="Arial"/>
          <w:i/>
          <w:iCs/>
          <w:lang w:val="fr-FR"/>
        </w:rPr>
        <w:t xml:space="preserve"> </w:t>
      </w:r>
      <w:proofErr w:type="spellStart"/>
      <w:r w:rsidRPr="00DE5863">
        <w:rPr>
          <w:rFonts w:ascii="Arial" w:eastAsia="Arial" w:hAnsi="Arial" w:cs="Arial"/>
          <w:i/>
          <w:iCs/>
          <w:lang w:val="fr-FR"/>
        </w:rPr>
        <w:t>hudsonicus</w:t>
      </w:r>
      <w:proofErr w:type="spellEnd"/>
      <w:r w:rsidRPr="00DE5863">
        <w:rPr>
          <w:rFonts w:ascii="Arial" w:eastAsia="Arial" w:hAnsi="Arial" w:cs="Arial"/>
          <w:lang w:val="fr-FR"/>
        </w:rPr>
        <w:t xml:space="preserve"> en tant que (sous-)espèce migratrice menacée d'extinction, à inscrire à l'Annexe I de la Convention. Le courlis corlieu est actuellement considéré comme une sous-espèce par le </w:t>
      </w:r>
      <w:proofErr w:type="spellStart"/>
      <w:r w:rsidRPr="00DE5863">
        <w:rPr>
          <w:rFonts w:ascii="Arial" w:eastAsia="Arial" w:hAnsi="Arial" w:cs="Arial"/>
          <w:lang w:val="fr-FR"/>
        </w:rPr>
        <w:t>Handbook</w:t>
      </w:r>
      <w:proofErr w:type="spellEnd"/>
      <w:r w:rsidRPr="00DE5863">
        <w:rPr>
          <w:rFonts w:ascii="Arial" w:eastAsia="Arial" w:hAnsi="Arial" w:cs="Arial"/>
          <w:lang w:val="fr-FR"/>
        </w:rPr>
        <w:t xml:space="preserve"> of the </w:t>
      </w:r>
      <w:proofErr w:type="spellStart"/>
      <w:r w:rsidRPr="00DE5863">
        <w:rPr>
          <w:rFonts w:ascii="Arial" w:eastAsia="Arial" w:hAnsi="Arial" w:cs="Arial"/>
          <w:lang w:val="fr-FR"/>
        </w:rPr>
        <w:t>Birds</w:t>
      </w:r>
      <w:proofErr w:type="spellEnd"/>
      <w:r w:rsidRPr="00DE5863">
        <w:rPr>
          <w:rFonts w:ascii="Arial" w:eastAsia="Arial" w:hAnsi="Arial" w:cs="Arial"/>
          <w:lang w:val="fr-FR"/>
        </w:rPr>
        <w:t xml:space="preserve"> of the World et </w:t>
      </w:r>
      <w:proofErr w:type="spellStart"/>
      <w:r w:rsidRPr="00DE5863">
        <w:rPr>
          <w:rFonts w:ascii="Arial" w:eastAsia="Arial" w:hAnsi="Arial" w:cs="Arial"/>
          <w:lang w:val="fr-FR"/>
        </w:rPr>
        <w:t>BirdLife</w:t>
      </w:r>
      <w:proofErr w:type="spellEnd"/>
      <w:r w:rsidRPr="00DE5863">
        <w:rPr>
          <w:rFonts w:ascii="Arial" w:eastAsia="Arial" w:hAnsi="Arial" w:cs="Arial"/>
          <w:lang w:val="fr-FR"/>
        </w:rPr>
        <w:t xml:space="preserve"> International (2024), mais d'autres sources l'ont reconnu comme une espèce distincte (plus de détails dans la section C 1.5 de cette proposition). La présente proposition concerne toutes les populations de courlis corlieu, dont l'aire de répartition englobe l'</w:t>
      </w:r>
      <w:r w:rsidRPr="00DE5863">
        <w:rPr>
          <w:rFonts w:ascii="Arial" w:eastAsia="Arial" w:hAnsi="Arial" w:cs="Arial"/>
          <w:lang w:val="fr-FR"/>
        </w:rPr>
        <w:t>Amérique du Nord, l'Amérique centrale et l'Amérique du Sud.</w:t>
      </w:r>
    </w:p>
    <w:p w14:paraId="38A80A0E" w14:textId="77777777" w:rsidR="00A6618C" w:rsidRPr="00DE5863" w:rsidRDefault="00A6618C">
      <w:pPr>
        <w:autoSpaceDE w:val="0"/>
        <w:adjustRightInd w:val="0"/>
        <w:spacing w:after="0"/>
        <w:jc w:val="both"/>
        <w:rPr>
          <w:rFonts w:ascii="Arial" w:eastAsia="Arial" w:hAnsi="Arial" w:cs="Arial"/>
          <w:lang w:val="fr-FR"/>
        </w:rPr>
      </w:pPr>
    </w:p>
    <w:p w14:paraId="21968E55" w14:textId="77777777" w:rsidR="00A6618C" w:rsidRPr="00DE5863" w:rsidRDefault="00D1732A">
      <w:pPr>
        <w:autoSpaceDE w:val="0"/>
        <w:adjustRightInd w:val="0"/>
        <w:spacing w:after="0"/>
        <w:jc w:val="both"/>
        <w:rPr>
          <w:rFonts w:ascii="Arial" w:eastAsia="Arial" w:hAnsi="Arial" w:cs="Arial"/>
          <w:lang w:val="fr-FR"/>
        </w:rPr>
      </w:pPr>
      <w:r w:rsidRPr="00DE5863">
        <w:rPr>
          <w:rFonts w:ascii="Arial" w:eastAsia="Arial" w:hAnsi="Arial" w:cs="Arial"/>
          <w:lang w:val="fr-FR"/>
        </w:rPr>
        <w:t>La Liste rouge de l'Union internationale pour la conservation de la nature (UICN) n'a pas encore évalué le courlis corlieu, mais il existe des preuves scientifiques solides d'un déclin d'environ 70 % de la population de cette (sous-)espèce (voir plus de détails dans les sections C 4.2 et 5.1 de cette proposition), ce qui serait cohérent avec son inscription sur la liste des espèces En danger à l'échelle mondiale. Lorsqu’il est considéré comme une espèce à part entière, le courlis (</w:t>
      </w:r>
      <w:r w:rsidRPr="00DE5863">
        <w:rPr>
          <w:rFonts w:ascii="Arial" w:eastAsia="Arial" w:hAnsi="Arial" w:cs="Arial"/>
          <w:i/>
          <w:iCs/>
          <w:lang w:val="fr-FR"/>
        </w:rPr>
        <w:t xml:space="preserve">Numenius </w:t>
      </w:r>
      <w:proofErr w:type="spellStart"/>
      <w:r w:rsidRPr="00DE5863">
        <w:rPr>
          <w:rFonts w:ascii="Arial" w:eastAsia="Arial" w:hAnsi="Arial" w:cs="Arial"/>
          <w:i/>
          <w:iCs/>
          <w:lang w:val="fr-FR"/>
        </w:rPr>
        <w:t>phaeopus</w:t>
      </w:r>
      <w:proofErr w:type="spellEnd"/>
      <w:r w:rsidRPr="00DE5863">
        <w:rPr>
          <w:rFonts w:ascii="Arial" w:eastAsia="Arial" w:hAnsi="Arial" w:cs="Arial"/>
          <w:lang w:val="fr-FR"/>
        </w:rPr>
        <w:t>) a été évalué en 2024 (</w:t>
      </w:r>
      <w:r w:rsidRPr="00DE5863">
        <w:rPr>
          <w:rFonts w:ascii="Arial" w:hAnsi="Arial" w:cs="Arial"/>
          <w:sz w:val="21"/>
          <w:szCs w:val="21"/>
          <w:lang w:val="fr-FR"/>
        </w:rPr>
        <w:fldChar w:fldCharType="begin"/>
      </w:r>
      <w:r w:rsidRPr="00DE5863">
        <w:rPr>
          <w:rFonts w:ascii="Arial" w:hAnsi="Arial" w:cs="Arial"/>
          <w:sz w:val="21"/>
          <w:szCs w:val="21"/>
          <w:lang w:val="fr-FR"/>
        </w:rPr>
        <w:instrText xml:space="preserve"> ADDIN ZOTERO_ITEM CSL_CITATION {"citationID":"vtMaTg0e","properties":{"formattedCitation":"(BirdLife International, 2024)","plainCitation":"(BirdLife International, 2024)","noteIndex":0},"citationItems":[{"id":1264,"uris":["http://zotero.org/users/11283305/items/MLDSBJKP"],"itemData":{"id":1264,"type":"report","collection-title":"The IUCN Red List of Threatened Species 2024","title":"Numenius phaeopus","URL":"https://dx.doi.org/10.2305/IUCN.UK.2024-2.RLTS.T22693178A138413707.en","author":[{"family":"BirdLi</w:instrText>
      </w:r>
      <w:r w:rsidRPr="00DE5863">
        <w:rPr>
          <w:rFonts w:ascii="Arial" w:hAnsi="Arial" w:cs="Arial"/>
          <w:sz w:val="21"/>
          <w:szCs w:val="21"/>
          <w:lang w:val="fr-FR"/>
        </w:rPr>
        <w:instrText xml:space="preserve">fe International","given":""}],"issued":{"date-parts":[["2024"]]}}}],"schema":"https://github.com/citation-style-language/schema/raw/master/csl-citation.json"} </w:instrText>
      </w:r>
      <w:r w:rsidRPr="00DE5863">
        <w:rPr>
          <w:rFonts w:ascii="Arial" w:hAnsi="Arial" w:cs="Arial"/>
          <w:sz w:val="21"/>
          <w:szCs w:val="21"/>
          <w:lang w:val="fr-FR"/>
        </w:rPr>
        <w:fldChar w:fldCharType="separate"/>
      </w:r>
      <w:r w:rsidRPr="00DE5863">
        <w:rPr>
          <w:rFonts w:ascii="Arial" w:eastAsia="Arial" w:hAnsi="Arial" w:cs="Arial"/>
          <w:lang w:val="fr-FR"/>
        </w:rPr>
        <w:t>BirdLife International, 2024)</w:t>
      </w:r>
      <w:r w:rsidRPr="00DE5863">
        <w:rPr>
          <w:rFonts w:ascii="Arial" w:hAnsi="Arial" w:cs="Arial"/>
          <w:sz w:val="21"/>
          <w:szCs w:val="21"/>
          <w:lang w:val="fr-FR"/>
        </w:rPr>
        <w:fldChar w:fldCharType="end"/>
      </w:r>
      <w:r w:rsidRPr="00DE5863">
        <w:rPr>
          <w:rFonts w:ascii="Arial" w:eastAsia="Arial" w:hAnsi="Arial" w:cs="Arial"/>
          <w:lang w:val="fr-FR"/>
        </w:rPr>
        <w:t xml:space="preserve"> et, bien que la tendance actuelle de la population soit supposée « en déclin », il a été inscrit dans la catégorie « Préoccupation mineure » en raison du fait que les sous‑espèces et les populations eurasiennes seraient stables et beaucoup plus nombreuses ; la sous‑espèce corlieu en déclin ne représentant qu’une petite fraction de la population mondiale.</w:t>
      </w:r>
    </w:p>
    <w:p w14:paraId="27DF2527" w14:textId="77777777" w:rsidR="00A6618C" w:rsidRPr="00DE5863" w:rsidRDefault="00A6618C">
      <w:pPr>
        <w:autoSpaceDE w:val="0"/>
        <w:adjustRightInd w:val="0"/>
        <w:spacing w:after="0"/>
        <w:jc w:val="both"/>
        <w:rPr>
          <w:rFonts w:ascii="Arial" w:eastAsia="Arial" w:hAnsi="Arial" w:cs="Arial"/>
          <w:lang w:val="fr-FR"/>
        </w:rPr>
      </w:pPr>
    </w:p>
    <w:p w14:paraId="36A10D94" w14:textId="77777777" w:rsidR="00A6618C" w:rsidRPr="00DE5863" w:rsidRDefault="00D1732A">
      <w:pPr>
        <w:autoSpaceDE w:val="0"/>
        <w:adjustRightInd w:val="0"/>
        <w:spacing w:after="0"/>
        <w:jc w:val="both"/>
        <w:rPr>
          <w:rFonts w:ascii="Arial" w:eastAsia="Arial" w:hAnsi="Arial" w:cs="Arial"/>
          <w:lang w:val="fr-FR"/>
        </w:rPr>
      </w:pPr>
      <w:r w:rsidRPr="00DE5863">
        <w:rPr>
          <w:rFonts w:ascii="Arial" w:eastAsia="Arial" w:hAnsi="Arial" w:cs="Arial"/>
          <w:lang w:val="fr-FR"/>
        </w:rPr>
        <w:t xml:space="preserve">Bien que la famille des </w:t>
      </w:r>
      <w:proofErr w:type="spellStart"/>
      <w:r w:rsidRPr="00DE5863">
        <w:rPr>
          <w:rFonts w:ascii="Arial" w:eastAsia="Arial" w:hAnsi="Arial" w:cs="Arial"/>
          <w:lang w:val="fr-FR"/>
        </w:rPr>
        <w:t>Scolopacidae</w:t>
      </w:r>
      <w:proofErr w:type="spellEnd"/>
      <w:r w:rsidRPr="00DE5863">
        <w:rPr>
          <w:rFonts w:ascii="Arial" w:eastAsia="Arial" w:hAnsi="Arial" w:cs="Arial"/>
          <w:lang w:val="fr-FR"/>
        </w:rPr>
        <w:t xml:space="preserve"> soit inscrite à l'annexe II de la Convention, cette (sous-)espèce bénéficierait de l'effort de conservation coordonné au niveau international résultant de son inscription à l'Annexe I de la Convention. Le courlis corlieu dépend d’habitats répartis dans plus de 30 pays, y compris 11 parties contractantes à la Convention. La Convention sur la conservation des espèces migratrices appartenant à la faune sauvage pourrait fournir une justification et établir des obligations pour ces pays afin qu’ils </w:t>
      </w:r>
      <w:r w:rsidRPr="00DE5863">
        <w:rPr>
          <w:rFonts w:ascii="Arial" w:eastAsia="Arial" w:hAnsi="Arial" w:cs="Arial"/>
          <w:lang w:val="fr-FR"/>
        </w:rPr>
        <w:t>œuvrent à stopper le déclin de la population de cette (sous-)espèce et à conserver ses habitats tout au long de son cycle annuel.</w:t>
      </w:r>
    </w:p>
    <w:p w14:paraId="5B92BA62" w14:textId="77777777" w:rsidR="00A6618C" w:rsidRPr="00DE5863" w:rsidRDefault="00A6618C">
      <w:pPr>
        <w:spacing w:after="0"/>
        <w:jc w:val="both"/>
        <w:rPr>
          <w:rFonts w:ascii="Arial" w:hAnsi="Arial" w:cs="Arial"/>
          <w:lang w:val="fr-FR"/>
        </w:rPr>
      </w:pPr>
    </w:p>
    <w:p w14:paraId="270536B7" w14:textId="77777777" w:rsidR="00A6618C" w:rsidRPr="00DE5863" w:rsidRDefault="00D1732A">
      <w:pPr>
        <w:spacing w:after="0"/>
        <w:ind w:left="567" w:hanging="567"/>
        <w:jc w:val="both"/>
        <w:rPr>
          <w:rFonts w:ascii="Arial" w:hAnsi="Arial" w:cs="Arial"/>
          <w:b/>
          <w:bCs/>
          <w:lang w:val="fr-FR"/>
        </w:rPr>
      </w:pPr>
      <w:r w:rsidRPr="00DE5863">
        <w:rPr>
          <w:rFonts w:ascii="Arial" w:hAnsi="Arial" w:cs="Arial"/>
          <w:b/>
          <w:bCs/>
          <w:lang w:val="fr-FR"/>
        </w:rPr>
        <w:t xml:space="preserve">B. </w:t>
      </w:r>
      <w:r w:rsidRPr="00DE5863">
        <w:rPr>
          <w:rFonts w:ascii="Arial" w:hAnsi="Arial" w:cs="Arial"/>
          <w:b/>
          <w:bCs/>
          <w:lang w:val="fr-FR"/>
        </w:rPr>
        <w:tab/>
      </w:r>
      <w:r w:rsidRPr="00DE5863">
        <w:rPr>
          <w:rFonts w:ascii="Arial" w:hAnsi="Arial" w:cs="Arial"/>
          <w:b/>
          <w:bCs/>
          <w:lang w:val="fr-FR"/>
        </w:rPr>
        <w:t>AUTEUR DE LA PROPOSITION</w:t>
      </w:r>
    </w:p>
    <w:p w14:paraId="0E10E0A7" w14:textId="77777777" w:rsidR="00A6618C" w:rsidRPr="00DE5863" w:rsidRDefault="00A6618C">
      <w:pPr>
        <w:spacing w:after="0"/>
        <w:jc w:val="both"/>
        <w:rPr>
          <w:rFonts w:ascii="Arial" w:hAnsi="Arial" w:cs="Arial"/>
          <w:lang w:val="fr-FR"/>
        </w:rPr>
      </w:pPr>
    </w:p>
    <w:p w14:paraId="388715CC" w14:textId="77777777" w:rsidR="00A6618C" w:rsidRPr="00DE5863" w:rsidRDefault="00D1732A">
      <w:pPr>
        <w:autoSpaceDE w:val="0"/>
        <w:adjustRightInd w:val="0"/>
        <w:spacing w:after="0"/>
        <w:jc w:val="both"/>
        <w:rPr>
          <w:rFonts w:ascii="Arial" w:eastAsia="Arial" w:hAnsi="Arial" w:cs="Arial"/>
          <w:lang w:val="fr-FR"/>
        </w:rPr>
      </w:pPr>
      <w:r w:rsidRPr="00DE5863">
        <w:rPr>
          <w:rFonts w:ascii="Arial" w:eastAsia="Arial" w:hAnsi="Arial" w:cs="Arial"/>
          <w:lang w:val="fr-FR"/>
        </w:rPr>
        <w:t>Brésil, Chili.</w:t>
      </w:r>
    </w:p>
    <w:p w14:paraId="315C169E" w14:textId="77777777" w:rsidR="00A6618C" w:rsidRPr="00DE5863" w:rsidRDefault="00A6618C">
      <w:pPr>
        <w:spacing w:after="0"/>
        <w:jc w:val="both"/>
        <w:rPr>
          <w:rFonts w:ascii="Arial" w:hAnsi="Arial" w:cs="Arial"/>
          <w:lang w:val="fr-FR"/>
        </w:rPr>
      </w:pPr>
    </w:p>
    <w:p w14:paraId="34DC6744" w14:textId="77777777" w:rsidR="00A6618C" w:rsidRPr="00DE5863" w:rsidRDefault="00D1732A">
      <w:pPr>
        <w:spacing w:after="0"/>
        <w:ind w:left="567" w:hanging="567"/>
        <w:jc w:val="both"/>
        <w:rPr>
          <w:rFonts w:ascii="Arial" w:hAnsi="Arial" w:cs="Arial"/>
          <w:b/>
          <w:bCs/>
          <w:lang w:val="fr-FR"/>
        </w:rPr>
      </w:pPr>
      <w:r w:rsidRPr="00DE5863">
        <w:rPr>
          <w:rFonts w:ascii="Arial" w:hAnsi="Arial" w:cs="Arial"/>
          <w:b/>
          <w:bCs/>
          <w:lang w:val="fr-FR"/>
        </w:rPr>
        <w:t xml:space="preserve">C. </w:t>
      </w:r>
      <w:r w:rsidRPr="00DE5863">
        <w:rPr>
          <w:rFonts w:ascii="Arial" w:hAnsi="Arial" w:cs="Arial"/>
          <w:b/>
          <w:bCs/>
          <w:lang w:val="fr-FR"/>
        </w:rPr>
        <w:tab/>
        <w:t>MÉMOIRE JUSTIFICATIF</w:t>
      </w:r>
    </w:p>
    <w:p w14:paraId="06727A91" w14:textId="77777777" w:rsidR="00A6618C" w:rsidRPr="00DE5863" w:rsidRDefault="00A6618C">
      <w:pPr>
        <w:spacing w:after="0"/>
        <w:jc w:val="both"/>
        <w:rPr>
          <w:rFonts w:ascii="Arial" w:hAnsi="Arial" w:cs="Arial"/>
          <w:lang w:val="fr-FR"/>
        </w:rPr>
      </w:pPr>
    </w:p>
    <w:p w14:paraId="70D4BE80" w14:textId="77777777" w:rsidR="00A6618C" w:rsidRPr="00DE5863" w:rsidRDefault="00D1732A">
      <w:pPr>
        <w:tabs>
          <w:tab w:val="left" w:pos="0"/>
          <w:tab w:val="left" w:pos="6060"/>
        </w:tabs>
        <w:spacing w:after="80"/>
        <w:ind w:left="540" w:hanging="539"/>
        <w:jc w:val="both"/>
        <w:rPr>
          <w:rFonts w:ascii="Arial" w:hAnsi="Arial" w:cs="Arial"/>
          <w:b/>
          <w:bCs/>
          <w:lang w:val="fr-FR"/>
        </w:rPr>
      </w:pPr>
      <w:r w:rsidRPr="00DE5863">
        <w:rPr>
          <w:rFonts w:ascii="Arial" w:hAnsi="Arial" w:cs="Arial"/>
          <w:b/>
          <w:bCs/>
          <w:lang w:val="fr-FR"/>
        </w:rPr>
        <w:t>1.</w:t>
      </w:r>
      <w:r w:rsidRPr="00DE5863">
        <w:rPr>
          <w:rFonts w:ascii="Arial" w:hAnsi="Arial" w:cs="Arial"/>
          <w:b/>
          <w:bCs/>
          <w:lang w:val="fr-FR"/>
        </w:rPr>
        <w:tab/>
        <w:t>Taxonomie</w:t>
      </w:r>
    </w:p>
    <w:p w14:paraId="2C9D2CB0" w14:textId="77777777" w:rsidR="00A6618C" w:rsidRPr="00DE5863" w:rsidRDefault="00D1732A">
      <w:pPr>
        <w:spacing w:after="80"/>
        <w:ind w:left="1080" w:hanging="539"/>
        <w:jc w:val="both"/>
        <w:rPr>
          <w:rFonts w:ascii="Arial" w:eastAsia="Arial" w:hAnsi="Arial" w:cs="Arial"/>
          <w:lang w:val="fr-FR"/>
        </w:rPr>
      </w:pPr>
      <w:r w:rsidRPr="00DE5863">
        <w:rPr>
          <w:rFonts w:ascii="Arial" w:hAnsi="Arial" w:cs="Arial"/>
          <w:lang w:val="fr-FR"/>
        </w:rPr>
        <w:t>1.1</w:t>
      </w:r>
      <w:r w:rsidRPr="00DE5863">
        <w:rPr>
          <w:rFonts w:ascii="Arial" w:hAnsi="Arial" w:cs="Arial"/>
          <w:lang w:val="fr-FR"/>
        </w:rPr>
        <w:tab/>
        <w:t xml:space="preserve">Classe : </w:t>
      </w:r>
      <w:r w:rsidRPr="00DE5863">
        <w:rPr>
          <w:rFonts w:ascii="Arial" w:eastAsia="Arial" w:hAnsi="Arial" w:cs="Arial"/>
          <w:lang w:val="fr-FR"/>
        </w:rPr>
        <w:t>Aves</w:t>
      </w:r>
    </w:p>
    <w:p w14:paraId="24C81CE7" w14:textId="77777777" w:rsidR="00A6618C" w:rsidRPr="00DE5863" w:rsidRDefault="00D1732A">
      <w:pPr>
        <w:spacing w:after="80"/>
        <w:ind w:left="1080" w:hanging="539"/>
        <w:jc w:val="both"/>
        <w:rPr>
          <w:rFonts w:ascii="Arial" w:hAnsi="Arial" w:cs="Arial"/>
          <w:lang w:val="fr-FR"/>
        </w:rPr>
      </w:pPr>
      <w:r w:rsidRPr="00DE5863">
        <w:rPr>
          <w:rFonts w:ascii="Arial" w:hAnsi="Arial" w:cs="Arial"/>
          <w:lang w:val="fr-FR"/>
        </w:rPr>
        <w:t>1.2</w:t>
      </w:r>
      <w:r w:rsidRPr="00DE5863">
        <w:rPr>
          <w:rFonts w:ascii="Arial" w:hAnsi="Arial" w:cs="Arial"/>
          <w:lang w:val="fr-FR"/>
        </w:rPr>
        <w:tab/>
        <w:t xml:space="preserve">Ordre : </w:t>
      </w:r>
      <w:r w:rsidRPr="00DE5863">
        <w:rPr>
          <w:rFonts w:ascii="Arial" w:eastAsia="Arial" w:hAnsi="Arial" w:cs="Arial"/>
          <w:lang w:val="fr-FR"/>
        </w:rPr>
        <w:t>Charadriiformes</w:t>
      </w:r>
    </w:p>
    <w:p w14:paraId="2C098FE7" w14:textId="77777777" w:rsidR="00A6618C" w:rsidRPr="00DE5863" w:rsidRDefault="00D1732A">
      <w:pPr>
        <w:spacing w:after="80"/>
        <w:ind w:left="1080" w:hanging="539"/>
        <w:jc w:val="both"/>
        <w:rPr>
          <w:rFonts w:ascii="Arial" w:hAnsi="Arial" w:cs="Arial"/>
          <w:lang w:val="fr-FR"/>
        </w:rPr>
      </w:pPr>
      <w:r w:rsidRPr="00DE5863">
        <w:rPr>
          <w:rFonts w:ascii="Arial" w:hAnsi="Arial" w:cs="Arial"/>
          <w:lang w:val="fr-FR"/>
        </w:rPr>
        <w:t>1.3</w:t>
      </w:r>
      <w:r w:rsidRPr="00DE5863">
        <w:rPr>
          <w:rFonts w:ascii="Arial" w:hAnsi="Arial" w:cs="Arial"/>
          <w:lang w:val="fr-FR"/>
        </w:rPr>
        <w:tab/>
        <w:t xml:space="preserve">Famille : </w:t>
      </w:r>
      <w:proofErr w:type="spellStart"/>
      <w:r w:rsidRPr="00DE5863">
        <w:rPr>
          <w:rFonts w:ascii="Arial" w:eastAsia="Arial" w:hAnsi="Arial" w:cs="Arial"/>
          <w:lang w:val="fr-FR"/>
        </w:rPr>
        <w:t>Scolopacidae</w:t>
      </w:r>
      <w:proofErr w:type="spellEnd"/>
    </w:p>
    <w:p w14:paraId="05E25D6C" w14:textId="77777777" w:rsidR="00A6618C" w:rsidRPr="00DE5863" w:rsidRDefault="00D1732A">
      <w:pPr>
        <w:spacing w:after="80"/>
        <w:ind w:left="1080" w:hanging="539"/>
        <w:jc w:val="both"/>
        <w:rPr>
          <w:rFonts w:ascii="Arial" w:hAnsi="Arial" w:cs="Arial"/>
          <w:lang w:val="fr-FR"/>
        </w:rPr>
      </w:pPr>
      <w:r w:rsidRPr="00DE5863">
        <w:rPr>
          <w:rFonts w:ascii="Arial" w:hAnsi="Arial" w:cs="Arial"/>
          <w:lang w:val="fr-FR"/>
        </w:rPr>
        <w:t>1.4</w:t>
      </w:r>
      <w:r w:rsidRPr="00DE5863">
        <w:rPr>
          <w:rFonts w:ascii="Arial" w:hAnsi="Arial" w:cs="Arial"/>
          <w:lang w:val="fr-FR"/>
        </w:rPr>
        <w:tab/>
      </w:r>
      <w:r w:rsidRPr="00DE5863">
        <w:rPr>
          <w:rFonts w:ascii="Arial" w:hAnsi="Arial" w:cs="Arial"/>
          <w:lang w:val="fr-FR"/>
        </w:rPr>
        <w:t xml:space="preserve">Genre, espèce ou sous-espèce, y compris l'auteur et l'année : </w:t>
      </w:r>
      <w:r w:rsidRPr="00DE5863">
        <w:rPr>
          <w:rFonts w:ascii="Arial" w:eastAsia="Arial" w:hAnsi="Arial" w:cs="Arial"/>
          <w:i/>
          <w:iCs/>
          <w:lang w:val="fr-FR"/>
        </w:rPr>
        <w:t xml:space="preserve">Numenius </w:t>
      </w:r>
      <w:proofErr w:type="spellStart"/>
      <w:r w:rsidRPr="00DE5863">
        <w:rPr>
          <w:rFonts w:ascii="Arial" w:eastAsia="Arial" w:hAnsi="Arial" w:cs="Arial"/>
          <w:i/>
          <w:iCs/>
          <w:lang w:val="fr-FR"/>
        </w:rPr>
        <w:t>phaeopus</w:t>
      </w:r>
      <w:proofErr w:type="spellEnd"/>
      <w:r w:rsidRPr="00DE5863">
        <w:rPr>
          <w:rFonts w:ascii="Arial" w:eastAsia="Arial" w:hAnsi="Arial" w:cs="Arial"/>
          <w:i/>
          <w:iCs/>
          <w:lang w:val="fr-FR"/>
        </w:rPr>
        <w:t xml:space="preserve"> </w:t>
      </w:r>
      <w:proofErr w:type="spellStart"/>
      <w:r w:rsidRPr="00DE5863">
        <w:rPr>
          <w:rFonts w:ascii="Arial" w:eastAsia="Arial" w:hAnsi="Arial" w:cs="Arial"/>
          <w:i/>
          <w:iCs/>
          <w:lang w:val="fr-FR"/>
        </w:rPr>
        <w:t>hudsonicus</w:t>
      </w:r>
      <w:proofErr w:type="spellEnd"/>
      <w:r w:rsidRPr="00DE5863">
        <w:rPr>
          <w:rFonts w:ascii="Arial" w:eastAsia="Arial" w:hAnsi="Arial" w:cs="Arial"/>
          <w:lang w:val="fr-FR"/>
        </w:rPr>
        <w:t xml:space="preserve"> Latham, 1790.</w:t>
      </w:r>
    </w:p>
    <w:p w14:paraId="5826BD2B" w14:textId="77777777" w:rsidR="00A6618C" w:rsidRPr="00DE5863" w:rsidRDefault="00D1732A">
      <w:pPr>
        <w:spacing w:after="80"/>
        <w:ind w:left="1080" w:hanging="539"/>
        <w:jc w:val="both"/>
        <w:rPr>
          <w:rFonts w:ascii="Arial" w:hAnsi="Arial" w:cs="Arial"/>
          <w:lang w:val="fr-FR"/>
        </w:rPr>
      </w:pPr>
      <w:r w:rsidRPr="00DE5863">
        <w:rPr>
          <w:rFonts w:ascii="Arial" w:hAnsi="Arial" w:cs="Arial"/>
          <w:lang w:val="fr-FR"/>
        </w:rPr>
        <w:t>1.5</w:t>
      </w:r>
      <w:r w:rsidRPr="00DE5863">
        <w:rPr>
          <w:rFonts w:ascii="Arial" w:hAnsi="Arial" w:cs="Arial"/>
          <w:lang w:val="fr-FR"/>
        </w:rPr>
        <w:tab/>
        <w:t xml:space="preserve">Synonymes scientifiques : </w:t>
      </w:r>
      <w:r w:rsidRPr="00DE5863">
        <w:rPr>
          <w:rFonts w:ascii="Arial" w:eastAsia="Arial" w:hAnsi="Arial" w:cs="Arial"/>
          <w:lang w:val="fr-FR"/>
        </w:rPr>
        <w:t>La liste mondiale des oiseaux de l'IOC</w:t>
      </w:r>
      <w:r w:rsidRPr="00DE5863">
        <w:rPr>
          <w:rFonts w:ascii="Arial" w:hAnsi="Arial" w:cs="Arial"/>
          <w:sz w:val="21"/>
          <w:szCs w:val="21"/>
          <w:lang w:val="fr-FR"/>
        </w:rPr>
        <w:fldChar w:fldCharType="begin"/>
      </w:r>
      <w:r w:rsidRPr="00DE5863">
        <w:rPr>
          <w:rFonts w:ascii="Arial" w:hAnsi="Arial" w:cs="Arial"/>
          <w:sz w:val="21"/>
          <w:szCs w:val="21"/>
          <w:lang w:val="fr-FR"/>
        </w:rPr>
        <w:instrText xml:space="preserve"> ADDIN ZOTERO_ITEM CSL_CITATION {"citationID":"JK4lJ1jK","properties":{"formattedCitation":"(GIll, Donsker, &amp; Rasmussen, 2023)","plainCitation":"(GIll, Donsker, &amp; Rasmussen, 2023)","noteIndex":0},"citationItems":[{"id":1278,"uris":["http://zotero.org/users/11283305/items/KE5WDD9Q"],"itemData":{"id":1278,"type":"dataset","DOI":"doi :  10.14344/IOC.ML.13.1.","title":"IOC World Bird List","version":"v13.1","author":[{"family":"GIll","given":"F."},{"family":"Donsker","given":"D."},{"family":"Rasmussen","given":</w:instrText>
      </w:r>
      <w:r w:rsidRPr="00DE5863">
        <w:rPr>
          <w:rFonts w:ascii="Arial" w:hAnsi="Arial" w:cs="Arial"/>
          <w:sz w:val="21"/>
          <w:szCs w:val="21"/>
          <w:lang w:val="fr-FR"/>
        </w:rPr>
        <w:instrText xml:space="preserve">"P."}],"issued":{"date-parts":[["2023"]]}}}],"schema":"https://github.com/citation-style-language/schema/raw/master/csl-citation.json"} </w:instrText>
      </w:r>
      <w:r w:rsidRPr="00DE5863">
        <w:rPr>
          <w:rFonts w:ascii="Arial" w:hAnsi="Arial" w:cs="Arial"/>
          <w:sz w:val="21"/>
          <w:szCs w:val="21"/>
          <w:lang w:val="fr-FR"/>
        </w:rPr>
        <w:fldChar w:fldCharType="separate"/>
      </w:r>
      <w:r w:rsidRPr="00DE5863">
        <w:rPr>
          <w:rFonts w:ascii="Arial" w:eastAsia="Arial" w:hAnsi="Arial" w:cs="Arial"/>
          <w:lang w:val="fr-FR"/>
        </w:rPr>
        <w:t xml:space="preserve"> (Gill et al., 2023)</w:t>
      </w:r>
      <w:r w:rsidRPr="00DE5863">
        <w:rPr>
          <w:rFonts w:ascii="Arial" w:hAnsi="Arial" w:cs="Arial"/>
          <w:sz w:val="21"/>
          <w:szCs w:val="21"/>
          <w:lang w:val="fr-FR"/>
        </w:rPr>
        <w:fldChar w:fldCharType="end"/>
      </w:r>
      <w:r w:rsidRPr="00DE5863">
        <w:rPr>
          <w:rFonts w:ascii="Arial" w:eastAsia="Arial" w:hAnsi="Arial" w:cs="Arial"/>
          <w:lang w:val="fr-FR"/>
        </w:rPr>
        <w:t>, l’</w:t>
      </w:r>
      <w:proofErr w:type="spellStart"/>
      <w:r w:rsidRPr="00DE5863">
        <w:rPr>
          <w:rFonts w:ascii="Arial" w:eastAsia="Arial" w:hAnsi="Arial" w:cs="Arial"/>
          <w:lang w:val="fr-FR"/>
        </w:rPr>
        <w:t>Avilist</w:t>
      </w:r>
      <w:proofErr w:type="spellEnd"/>
      <w:r w:rsidRPr="00DE5863">
        <w:rPr>
          <w:rFonts w:ascii="Arial" w:eastAsia="Arial" w:hAnsi="Arial" w:cs="Arial"/>
          <w:lang w:val="fr-FR"/>
        </w:rPr>
        <w:t xml:space="preserve"> (</w:t>
      </w:r>
      <w:proofErr w:type="spellStart"/>
      <w:r w:rsidRPr="00DE5863">
        <w:rPr>
          <w:rFonts w:ascii="Arial" w:eastAsia="Arial" w:hAnsi="Arial" w:cs="Arial"/>
          <w:lang w:val="fr-FR"/>
        </w:rPr>
        <w:t>Avilist</w:t>
      </w:r>
      <w:proofErr w:type="spellEnd"/>
      <w:r w:rsidRPr="00DE5863">
        <w:rPr>
          <w:rFonts w:ascii="Arial" w:eastAsia="Arial" w:hAnsi="Arial" w:cs="Arial"/>
          <w:lang w:val="fr-FR"/>
        </w:rPr>
        <w:t xml:space="preserve"> </w:t>
      </w:r>
      <w:proofErr w:type="spellStart"/>
      <w:r w:rsidRPr="00DE5863">
        <w:rPr>
          <w:rFonts w:ascii="Arial" w:eastAsia="Arial" w:hAnsi="Arial" w:cs="Arial"/>
          <w:lang w:val="fr-FR"/>
        </w:rPr>
        <w:t>Core</w:t>
      </w:r>
      <w:proofErr w:type="spellEnd"/>
      <w:r w:rsidRPr="00DE5863">
        <w:rPr>
          <w:rFonts w:ascii="Arial" w:eastAsia="Arial" w:hAnsi="Arial" w:cs="Arial"/>
          <w:lang w:val="fr-FR"/>
        </w:rPr>
        <w:t xml:space="preserve"> Team, 2025) ainsi que le Comité brésilien des enregistrements ornithologiques (CBRO) </w:t>
      </w:r>
      <w:r w:rsidRPr="00DE5863">
        <w:rPr>
          <w:rFonts w:ascii="Arial" w:hAnsi="Arial" w:cs="Arial"/>
          <w:sz w:val="21"/>
          <w:szCs w:val="21"/>
          <w:lang w:val="fr-FR"/>
        </w:rPr>
        <w:fldChar w:fldCharType="begin"/>
      </w:r>
      <w:r w:rsidRPr="00DE5863">
        <w:rPr>
          <w:rFonts w:ascii="Arial" w:hAnsi="Arial" w:cs="Arial"/>
          <w:sz w:val="21"/>
          <w:szCs w:val="21"/>
          <w:lang w:val="fr-FR"/>
        </w:rPr>
        <w:instrText xml:space="preserve"> ADDIN ZOTERO_ITEM CSL_CITATION {"citationID":"Ol1Whl6F","properties":{"formattedCitation":"(Pacheco et al., 2021)","plainCitation":"(Pacheco et al., 2021)","noteIndex":0},"citationItems":[{"id":121,"uris":["http://zotero.org/users/11283305/items/RIG8SAGN"],"itemData":{"id":121,"type":"article-journal","abstract":"An updated version of the checklist of birds of Brazil is presented, along with a summary of the changes approved by the Brazilian Ornithological Records Committee’s Taxonomy Subcommittee since th</w:instrText>
      </w:r>
      <w:r w:rsidRPr="00DE5863">
        <w:rPr>
          <w:rFonts w:ascii="Arial" w:hAnsi="Arial" w:cs="Arial"/>
          <w:sz w:val="21"/>
          <w:szCs w:val="21"/>
          <w:lang w:val="fr-FR"/>
        </w:rPr>
        <w:instrText>e first edition, published in 2015. In total, 1971 bird species occurring in Brazil are supported by documentary evidence and are admitted to the Primary List, 4.3% more than in the previous edition. Eleven additional species are known only from undocumented records (Secondary List). For each species on the Primary List, status of occurrence in the country is provided and, in the case of polytypic species, the respective subspecies present in Brazilian territory are listed. Explanatory notes cover taxonomic</w:instrText>
      </w:r>
      <w:r w:rsidRPr="00DE5863">
        <w:rPr>
          <w:rFonts w:ascii="Arial" w:hAnsi="Arial" w:cs="Arial"/>
          <w:sz w:val="21"/>
          <w:szCs w:val="21"/>
          <w:lang w:val="fr-FR"/>
        </w:rPr>
        <w:instrText xml:space="preserve"> changes, nomenclatural corrections, new occurrences, and other changes implemented since the last edition. Ninety species are added to the Primary List as a result of species descriptions, new occurrences, taxonomic splits, and transfers from the Secondary List due to the availability of documentation. In contrast, eight species are synonymized or assigned subspecific status and thus removed from the Primary List. In all, 293 species are endemic to Brazil, ranked third among the countries with the highest </w:instrText>
      </w:r>
      <w:r w:rsidRPr="00DE5863">
        <w:rPr>
          <w:rFonts w:ascii="Arial" w:hAnsi="Arial" w:cs="Arial"/>
          <w:sz w:val="21"/>
          <w:szCs w:val="21"/>
          <w:lang w:val="fr-FR"/>
        </w:rPr>
        <w:instrText>rate of bird endemism. The Brazilian avifauna currently consists of 1742 residents or breeding migrants, 126 seasonal non-breeding visitors, and 103 vagrants. The category of vagrants showed the greatest increase (56%) compared to the previous list, mainly due to new occurrences documented in recent years by citizen scientists. The list updates the diversity, systematics, taxonomy, scientific and vernacular nomenclature, and occurrence status of birds in Brazil.","container-title":"Ornithology Research","DO</w:instrText>
      </w:r>
      <w:r w:rsidRPr="00DE5863">
        <w:rPr>
          <w:rFonts w:ascii="Arial" w:hAnsi="Arial" w:cs="Arial"/>
          <w:sz w:val="21"/>
          <w:szCs w:val="21"/>
          <w:lang w:val="fr-FR"/>
        </w:rPr>
        <w:instrText>I":"10.1007/s43388-021-00058-x","ISSN":"2662-673X","issue":"2","journalAbbreviation":"Ornithol. Res.","language":"en","page":"94-105","source":"Springer Link","title":"Annotated checklist of the birds of Brazil by the Brazilian Ornithological Records Committee—second edition","volume":"29","author":[{"family":"Pacheco","given":"José Fernando"},{"family":"Silveira","given":"Luís Fábio"},{"family":"Aleixo","given":"Alexandre"},{"family":"Agne","given":"Carlos Eduardo"},{"family":"Bencke","given":"Glayson A."}</w:instrText>
      </w:r>
      <w:r w:rsidRPr="00DE5863">
        <w:rPr>
          <w:rFonts w:ascii="Arial" w:hAnsi="Arial" w:cs="Arial"/>
          <w:sz w:val="21"/>
          <w:szCs w:val="21"/>
          <w:lang w:val="fr-FR"/>
        </w:rPr>
        <w:instrText>,{"family":"Bravo","given":"Gustavo A."},{"family":"Brito","given":"Guilherme R. R."},{"family":"Cohn-Haft","given":"Mario"},{"family":"Maurício","given":"Giovanni Nachtigall"},{"family":"Naka","given":"Luciano N."},{"family":"Olmos","given":"Fabio"},{"family":"Posso","given":"Sérgio R."},{"family":"Lees","given":"Alexander C."},{"family":"Figueiredo","given":"Luiz Fernando A."},{"family":"Carrano","given":"Eduardo"},{"family":"Guedes","given":"Reinaldo C."},{"family":"Cesari","given":"Evaldo"},{"family":"F</w:instrText>
      </w:r>
      <w:r w:rsidRPr="00DE5863">
        <w:rPr>
          <w:rFonts w:ascii="Arial" w:hAnsi="Arial" w:cs="Arial"/>
          <w:sz w:val="21"/>
          <w:szCs w:val="21"/>
          <w:lang w:val="fr-FR"/>
        </w:rPr>
        <w:instrText xml:space="preserve">ranz","given":"Ismael"},{"family":"Schunck","given":"Fabio"},{"family":"Q. Piacentini","given":"Vitor","non-dropping-particle":"de"}],"issued":{"date-parts":[["2021",6,1]]}}}],"schema":"https://github.com/citation-style-language/schema/raw/master/csl-citation.json"} </w:instrText>
      </w:r>
      <w:r w:rsidRPr="00DE5863">
        <w:rPr>
          <w:rFonts w:ascii="Arial" w:hAnsi="Arial" w:cs="Arial"/>
          <w:sz w:val="21"/>
          <w:szCs w:val="21"/>
          <w:lang w:val="fr-FR"/>
        </w:rPr>
        <w:fldChar w:fldCharType="separate"/>
      </w:r>
      <w:r w:rsidRPr="00DE5863">
        <w:rPr>
          <w:rFonts w:ascii="Arial" w:eastAsia="Arial" w:hAnsi="Arial" w:cs="Arial"/>
          <w:lang w:val="fr-FR"/>
        </w:rPr>
        <w:t>(Pacheco et al., 2021)</w:t>
      </w:r>
      <w:r w:rsidRPr="00DE5863">
        <w:rPr>
          <w:rFonts w:ascii="Arial" w:hAnsi="Arial" w:cs="Arial"/>
          <w:sz w:val="21"/>
          <w:szCs w:val="21"/>
          <w:lang w:val="fr-FR"/>
        </w:rPr>
        <w:fldChar w:fldCharType="end"/>
      </w:r>
      <w:r w:rsidRPr="00DE5863">
        <w:rPr>
          <w:rFonts w:ascii="Arial" w:eastAsia="Arial" w:hAnsi="Arial" w:cs="Arial"/>
          <w:lang w:val="fr-FR"/>
        </w:rPr>
        <w:t xml:space="preserve"> ont reconnu le courlis corlieu comme une espèce à part entière, nommée </w:t>
      </w:r>
      <w:r w:rsidRPr="00DE5863">
        <w:rPr>
          <w:rFonts w:ascii="Arial" w:eastAsia="Arial" w:hAnsi="Arial" w:cs="Arial"/>
          <w:i/>
          <w:iCs/>
          <w:lang w:val="fr-FR"/>
        </w:rPr>
        <w:t xml:space="preserve">Numenius </w:t>
      </w:r>
      <w:proofErr w:type="spellStart"/>
      <w:r w:rsidRPr="00DE5863">
        <w:rPr>
          <w:rFonts w:ascii="Arial" w:eastAsia="Arial" w:hAnsi="Arial" w:cs="Arial"/>
          <w:i/>
          <w:iCs/>
          <w:lang w:val="fr-FR"/>
        </w:rPr>
        <w:t>hudsonicus</w:t>
      </w:r>
      <w:proofErr w:type="spellEnd"/>
      <w:r w:rsidRPr="00DE5863">
        <w:rPr>
          <w:rFonts w:ascii="Arial" w:eastAsia="Arial" w:hAnsi="Arial" w:cs="Arial"/>
          <w:lang w:val="fr-FR"/>
        </w:rPr>
        <w:t xml:space="preserve">. </w:t>
      </w:r>
      <w:proofErr w:type="spellStart"/>
      <w:r w:rsidRPr="00DE5863">
        <w:rPr>
          <w:rFonts w:ascii="Arial" w:eastAsia="Arial" w:hAnsi="Arial" w:cs="Arial"/>
          <w:lang w:val="fr-FR"/>
        </w:rPr>
        <w:t>BirdLife</w:t>
      </w:r>
      <w:proofErr w:type="spellEnd"/>
      <w:r w:rsidRPr="00DE5863">
        <w:rPr>
          <w:rFonts w:ascii="Arial" w:eastAsia="Arial" w:hAnsi="Arial" w:cs="Arial"/>
          <w:lang w:val="fr-FR"/>
        </w:rPr>
        <w:t xml:space="preserve"> </w:t>
      </w:r>
      <w:r w:rsidRPr="00DE5863">
        <w:rPr>
          <w:rFonts w:ascii="Arial" w:eastAsia="Arial" w:hAnsi="Arial" w:cs="Arial"/>
          <w:lang w:val="fr-FR"/>
        </w:rPr>
        <w:lastRenderedPageBreak/>
        <w:t xml:space="preserve">International s'engage à adopter la taxonomie </w:t>
      </w:r>
      <w:proofErr w:type="spellStart"/>
      <w:r w:rsidRPr="00DE5863">
        <w:rPr>
          <w:rFonts w:ascii="Arial" w:eastAsia="Arial" w:hAnsi="Arial" w:cs="Arial"/>
          <w:lang w:val="fr-FR"/>
        </w:rPr>
        <w:t>Avilist</w:t>
      </w:r>
      <w:proofErr w:type="spellEnd"/>
      <w:r w:rsidRPr="00DE5863">
        <w:rPr>
          <w:rFonts w:ascii="Arial" w:eastAsia="Arial" w:hAnsi="Arial" w:cs="Arial"/>
          <w:lang w:val="fr-FR"/>
        </w:rPr>
        <w:t xml:space="preserve"> pour la Liste rouge mondiale des oiseaux (voir </w:t>
      </w:r>
      <w:hyperlink r:id="rId15">
        <w:r w:rsidR="00A6618C" w:rsidRPr="00DE5863">
          <w:rPr>
            <w:rStyle w:val="Hyperlink"/>
            <w:rFonts w:ascii="Arial" w:eastAsia="Arial" w:hAnsi="Arial" w:cs="Arial"/>
            <w:lang w:val="fr-FR"/>
          </w:rPr>
          <w:t>https://www.birdlife.org/news/2025/06/11/avilist-unites-the-worlds-bird-species/</w:t>
        </w:r>
      </w:hyperlink>
      <w:r w:rsidRPr="00DE5863">
        <w:rPr>
          <w:rFonts w:ascii="Arial" w:eastAsia="Arial" w:hAnsi="Arial" w:cs="Arial"/>
          <w:lang w:val="fr-FR"/>
        </w:rPr>
        <w:t>).</w:t>
      </w:r>
    </w:p>
    <w:p w14:paraId="6133F8A8" w14:textId="77777777" w:rsidR="00A6618C" w:rsidRPr="00DE5863" w:rsidRDefault="00D1732A">
      <w:pPr>
        <w:spacing w:after="0"/>
        <w:ind w:left="1080" w:hanging="540"/>
        <w:jc w:val="both"/>
        <w:rPr>
          <w:rFonts w:ascii="Arial" w:eastAsia="Arial" w:hAnsi="Arial" w:cs="Arial"/>
          <w:lang w:val="fr-FR"/>
        </w:rPr>
      </w:pPr>
      <w:r w:rsidRPr="00DE5863">
        <w:rPr>
          <w:rFonts w:ascii="Arial" w:hAnsi="Arial" w:cs="Arial"/>
          <w:lang w:val="fr-FR"/>
        </w:rPr>
        <w:t>1.6</w:t>
      </w:r>
      <w:r w:rsidRPr="00DE5863">
        <w:rPr>
          <w:rFonts w:ascii="Arial" w:hAnsi="Arial" w:cs="Arial"/>
          <w:lang w:val="fr-FR"/>
        </w:rPr>
        <w:tab/>
        <w:t xml:space="preserve">Nom(s) commun(s) : </w:t>
      </w:r>
      <w:proofErr w:type="spellStart"/>
      <w:r w:rsidRPr="00DE5863">
        <w:rPr>
          <w:rFonts w:ascii="Arial" w:eastAsia="Arial" w:hAnsi="Arial" w:cs="Arial"/>
          <w:lang w:val="fr-FR"/>
        </w:rPr>
        <w:t>Hudsonian</w:t>
      </w:r>
      <w:proofErr w:type="spellEnd"/>
      <w:r w:rsidRPr="00DE5863">
        <w:rPr>
          <w:rFonts w:ascii="Arial" w:eastAsia="Arial" w:hAnsi="Arial" w:cs="Arial"/>
          <w:lang w:val="fr-FR"/>
        </w:rPr>
        <w:t xml:space="preserve"> </w:t>
      </w:r>
      <w:proofErr w:type="spellStart"/>
      <w:r w:rsidRPr="00DE5863">
        <w:rPr>
          <w:rFonts w:ascii="Arial" w:eastAsia="Arial" w:hAnsi="Arial" w:cs="Arial"/>
          <w:lang w:val="fr-FR"/>
        </w:rPr>
        <w:t>whimbrel</w:t>
      </w:r>
      <w:proofErr w:type="spellEnd"/>
      <w:r w:rsidRPr="00DE5863">
        <w:rPr>
          <w:rFonts w:ascii="Arial" w:eastAsia="Arial" w:hAnsi="Arial" w:cs="Arial"/>
          <w:lang w:val="fr-FR"/>
        </w:rPr>
        <w:t xml:space="preserve">, </w:t>
      </w:r>
      <w:proofErr w:type="spellStart"/>
      <w:r w:rsidRPr="00DE5863">
        <w:rPr>
          <w:rFonts w:ascii="Arial" w:eastAsia="Arial" w:hAnsi="Arial" w:cs="Arial"/>
          <w:lang w:val="fr-FR"/>
        </w:rPr>
        <w:t>Hudsonian</w:t>
      </w:r>
      <w:proofErr w:type="spellEnd"/>
      <w:r w:rsidRPr="00DE5863">
        <w:rPr>
          <w:rFonts w:ascii="Arial" w:eastAsia="Arial" w:hAnsi="Arial" w:cs="Arial"/>
          <w:lang w:val="fr-FR"/>
        </w:rPr>
        <w:t xml:space="preserve"> </w:t>
      </w:r>
      <w:proofErr w:type="spellStart"/>
      <w:r w:rsidRPr="00DE5863">
        <w:rPr>
          <w:rFonts w:ascii="Arial" w:eastAsia="Arial" w:hAnsi="Arial" w:cs="Arial"/>
          <w:lang w:val="fr-FR"/>
        </w:rPr>
        <w:t>curlew</w:t>
      </w:r>
      <w:proofErr w:type="spellEnd"/>
      <w:r w:rsidRPr="00DE5863">
        <w:rPr>
          <w:rFonts w:ascii="Arial" w:eastAsia="Arial" w:hAnsi="Arial" w:cs="Arial"/>
          <w:lang w:val="fr-FR"/>
        </w:rPr>
        <w:t xml:space="preserve"> (anglais), Courlis corlieu (français), </w:t>
      </w:r>
      <w:proofErr w:type="spellStart"/>
      <w:r w:rsidRPr="00DE5863">
        <w:rPr>
          <w:rFonts w:ascii="Arial" w:eastAsia="Arial" w:hAnsi="Arial" w:cs="Arial"/>
          <w:lang w:val="fr-FR"/>
        </w:rPr>
        <w:t>Zarapito</w:t>
      </w:r>
      <w:proofErr w:type="spellEnd"/>
      <w:r w:rsidRPr="00DE5863">
        <w:rPr>
          <w:rFonts w:ascii="Arial" w:eastAsia="Arial" w:hAnsi="Arial" w:cs="Arial"/>
          <w:lang w:val="fr-FR"/>
        </w:rPr>
        <w:t xml:space="preserve"> </w:t>
      </w:r>
      <w:proofErr w:type="spellStart"/>
      <w:r w:rsidRPr="00DE5863">
        <w:rPr>
          <w:rFonts w:ascii="Arial" w:eastAsia="Arial" w:hAnsi="Arial" w:cs="Arial"/>
          <w:lang w:val="fr-FR"/>
        </w:rPr>
        <w:t>trinador</w:t>
      </w:r>
      <w:proofErr w:type="spellEnd"/>
      <w:r w:rsidRPr="00DE5863">
        <w:rPr>
          <w:rFonts w:ascii="Arial" w:eastAsia="Arial" w:hAnsi="Arial" w:cs="Arial"/>
          <w:lang w:val="fr-FR"/>
        </w:rPr>
        <w:t xml:space="preserve"> (espagnol), </w:t>
      </w:r>
      <w:proofErr w:type="spellStart"/>
      <w:r w:rsidRPr="00DE5863">
        <w:rPr>
          <w:rFonts w:ascii="Arial" w:eastAsia="Arial" w:hAnsi="Arial" w:cs="Arial"/>
          <w:lang w:val="fr-FR"/>
        </w:rPr>
        <w:t>Maçarico</w:t>
      </w:r>
      <w:proofErr w:type="spellEnd"/>
      <w:r w:rsidRPr="00DE5863">
        <w:rPr>
          <w:rFonts w:ascii="Arial" w:eastAsia="Arial" w:hAnsi="Arial" w:cs="Arial"/>
          <w:lang w:val="fr-FR"/>
        </w:rPr>
        <w:t>-de-</w:t>
      </w:r>
      <w:proofErr w:type="spellStart"/>
      <w:r w:rsidRPr="00DE5863">
        <w:rPr>
          <w:rFonts w:ascii="Arial" w:eastAsia="Arial" w:hAnsi="Arial" w:cs="Arial"/>
          <w:lang w:val="fr-FR"/>
        </w:rPr>
        <w:t>bico</w:t>
      </w:r>
      <w:proofErr w:type="spellEnd"/>
      <w:r w:rsidRPr="00DE5863">
        <w:rPr>
          <w:rFonts w:ascii="Arial" w:eastAsia="Arial" w:hAnsi="Arial" w:cs="Arial"/>
          <w:lang w:val="fr-FR"/>
        </w:rPr>
        <w:t>-</w:t>
      </w:r>
      <w:proofErr w:type="spellStart"/>
      <w:r w:rsidRPr="00DE5863">
        <w:rPr>
          <w:rFonts w:ascii="Arial" w:eastAsia="Arial" w:hAnsi="Arial" w:cs="Arial"/>
          <w:lang w:val="fr-FR"/>
        </w:rPr>
        <w:t>torto</w:t>
      </w:r>
      <w:proofErr w:type="spellEnd"/>
      <w:r w:rsidRPr="00DE5863">
        <w:rPr>
          <w:rFonts w:ascii="Arial" w:eastAsia="Arial" w:hAnsi="Arial" w:cs="Arial"/>
          <w:lang w:val="fr-FR"/>
        </w:rPr>
        <w:t xml:space="preserve"> (portugais).</w:t>
      </w:r>
    </w:p>
    <w:p w14:paraId="21D71D4D" w14:textId="77777777" w:rsidR="00A6618C" w:rsidRPr="00DE5863" w:rsidRDefault="00A6618C">
      <w:pPr>
        <w:spacing w:after="0"/>
        <w:jc w:val="both"/>
        <w:rPr>
          <w:rFonts w:ascii="Arial" w:hAnsi="Arial" w:cs="Arial"/>
          <w:lang w:val="fr-FR"/>
        </w:rPr>
      </w:pPr>
    </w:p>
    <w:p w14:paraId="548BC566" w14:textId="77777777" w:rsidR="00A6618C" w:rsidRPr="00DE5863" w:rsidRDefault="00D1732A">
      <w:pPr>
        <w:spacing w:after="0"/>
        <w:ind w:left="540" w:hanging="540"/>
        <w:jc w:val="both"/>
        <w:rPr>
          <w:rFonts w:ascii="Arial" w:hAnsi="Arial" w:cs="Arial"/>
          <w:b/>
          <w:bCs/>
          <w:lang w:val="fr-FR"/>
        </w:rPr>
      </w:pPr>
      <w:r w:rsidRPr="00DE5863">
        <w:rPr>
          <w:rFonts w:ascii="Arial" w:hAnsi="Arial" w:cs="Arial"/>
          <w:b/>
          <w:bCs/>
          <w:lang w:val="fr-FR"/>
        </w:rPr>
        <w:t>2.</w:t>
      </w:r>
      <w:r w:rsidRPr="00DE5863">
        <w:rPr>
          <w:rFonts w:ascii="Arial" w:hAnsi="Arial" w:cs="Arial"/>
          <w:b/>
          <w:bCs/>
          <w:lang w:val="fr-FR"/>
        </w:rPr>
        <w:tab/>
        <w:t>Aperçu</w:t>
      </w:r>
    </w:p>
    <w:p w14:paraId="1120BD43" w14:textId="77777777" w:rsidR="00A6618C" w:rsidRPr="00DE5863" w:rsidRDefault="00A6618C">
      <w:pPr>
        <w:spacing w:after="0"/>
        <w:jc w:val="both"/>
        <w:rPr>
          <w:rFonts w:ascii="Arial" w:hAnsi="Arial" w:cs="Arial"/>
          <w:lang w:val="fr-FR"/>
        </w:rPr>
      </w:pPr>
    </w:p>
    <w:p w14:paraId="300979B3" w14:textId="77777777" w:rsidR="00A6618C" w:rsidRPr="00DE5863" w:rsidRDefault="00D1732A">
      <w:pPr>
        <w:autoSpaceDE w:val="0"/>
        <w:adjustRightInd w:val="0"/>
        <w:spacing w:after="0"/>
        <w:jc w:val="both"/>
        <w:rPr>
          <w:rFonts w:ascii="Arial" w:eastAsia="Arial" w:hAnsi="Arial" w:cs="Arial"/>
          <w:lang w:val="fr-FR"/>
        </w:rPr>
      </w:pPr>
      <w:r w:rsidRPr="00DE5863">
        <w:rPr>
          <w:rFonts w:ascii="Arial" w:eastAsia="Arial" w:hAnsi="Arial" w:cs="Arial"/>
          <w:lang w:val="fr-FR"/>
        </w:rPr>
        <w:t>Le courlis corlieu (</w:t>
      </w:r>
      <w:r w:rsidRPr="00DE5863">
        <w:rPr>
          <w:rFonts w:ascii="Arial" w:eastAsia="Arial" w:hAnsi="Arial" w:cs="Arial"/>
          <w:i/>
          <w:iCs/>
          <w:lang w:val="fr-FR"/>
        </w:rPr>
        <w:t xml:space="preserve">Numenius </w:t>
      </w:r>
      <w:proofErr w:type="spellStart"/>
      <w:r w:rsidRPr="00DE5863">
        <w:rPr>
          <w:rFonts w:ascii="Arial" w:eastAsia="Arial" w:hAnsi="Arial" w:cs="Arial"/>
          <w:i/>
          <w:iCs/>
          <w:lang w:val="fr-FR"/>
        </w:rPr>
        <w:t>phaeopus</w:t>
      </w:r>
      <w:proofErr w:type="spellEnd"/>
      <w:r w:rsidRPr="00DE5863">
        <w:rPr>
          <w:rFonts w:ascii="Arial" w:eastAsia="Arial" w:hAnsi="Arial" w:cs="Arial"/>
          <w:i/>
          <w:iCs/>
          <w:lang w:val="fr-FR"/>
        </w:rPr>
        <w:t xml:space="preserve"> </w:t>
      </w:r>
      <w:proofErr w:type="spellStart"/>
      <w:r w:rsidRPr="00DE5863">
        <w:rPr>
          <w:rFonts w:ascii="Arial" w:eastAsia="Arial" w:hAnsi="Arial" w:cs="Arial"/>
          <w:i/>
          <w:iCs/>
          <w:lang w:val="fr-FR"/>
        </w:rPr>
        <w:t>hudsonicus</w:t>
      </w:r>
      <w:proofErr w:type="spellEnd"/>
      <w:r w:rsidRPr="00DE5863">
        <w:rPr>
          <w:rFonts w:ascii="Arial" w:eastAsia="Arial" w:hAnsi="Arial" w:cs="Arial"/>
          <w:lang w:val="fr-FR"/>
        </w:rPr>
        <w:t xml:space="preserve"> Latham, 1790) est un oiseau de rivage migrateur sur de longues distances de la famille des </w:t>
      </w:r>
      <w:proofErr w:type="spellStart"/>
      <w:r w:rsidRPr="00DE5863">
        <w:rPr>
          <w:rFonts w:ascii="Arial" w:eastAsia="Arial" w:hAnsi="Arial" w:cs="Arial"/>
          <w:lang w:val="fr-FR"/>
        </w:rPr>
        <w:t>Scolopacidae</w:t>
      </w:r>
      <w:proofErr w:type="spellEnd"/>
      <w:r w:rsidRPr="00DE5863">
        <w:rPr>
          <w:rFonts w:ascii="Arial" w:eastAsia="Arial" w:hAnsi="Arial" w:cs="Arial"/>
          <w:lang w:val="fr-FR"/>
        </w:rPr>
        <w:t>. Historiquement, il était traité comme une espèce distincte (« Courlis corlieu »). Bien qu’il soit encore traité comme une sous-espèce par certaines sources, plusieurs autorités taxonomiques considèrent plus récemment les populations des Amériques comme une espèce distincte (</w:t>
      </w:r>
      <w:r w:rsidRPr="00DE5863">
        <w:rPr>
          <w:rFonts w:ascii="Arial" w:eastAsia="Arial" w:hAnsi="Arial" w:cs="Arial"/>
          <w:i/>
          <w:iCs/>
          <w:lang w:val="fr-FR"/>
        </w:rPr>
        <w:t xml:space="preserve">N. </w:t>
      </w:r>
      <w:proofErr w:type="spellStart"/>
      <w:r w:rsidRPr="00DE5863">
        <w:rPr>
          <w:rFonts w:ascii="Arial" w:eastAsia="Arial" w:hAnsi="Arial" w:cs="Arial"/>
          <w:i/>
          <w:iCs/>
          <w:lang w:val="fr-FR"/>
        </w:rPr>
        <w:t>hudsonicus</w:t>
      </w:r>
      <w:proofErr w:type="spellEnd"/>
      <w:r w:rsidRPr="00DE5863">
        <w:rPr>
          <w:rFonts w:ascii="Arial" w:eastAsia="Arial" w:hAnsi="Arial" w:cs="Arial"/>
          <w:lang w:val="fr-FR"/>
        </w:rPr>
        <w:t>), notamment l’</w:t>
      </w:r>
      <w:proofErr w:type="spellStart"/>
      <w:r w:rsidRPr="00DE5863">
        <w:rPr>
          <w:rFonts w:ascii="Arial" w:eastAsia="Arial" w:hAnsi="Arial" w:cs="Arial"/>
          <w:lang w:val="fr-FR"/>
        </w:rPr>
        <w:t>Avilist</w:t>
      </w:r>
      <w:proofErr w:type="spellEnd"/>
      <w:r w:rsidRPr="00DE5863">
        <w:rPr>
          <w:rFonts w:ascii="Arial" w:eastAsia="Arial" w:hAnsi="Arial" w:cs="Arial"/>
          <w:lang w:val="fr-FR"/>
        </w:rPr>
        <w:t xml:space="preserve"> (</w:t>
      </w:r>
      <w:proofErr w:type="spellStart"/>
      <w:r w:rsidRPr="00DE5863">
        <w:rPr>
          <w:rFonts w:ascii="Arial" w:eastAsia="Arial" w:hAnsi="Arial" w:cs="Arial"/>
          <w:lang w:val="fr-FR"/>
        </w:rPr>
        <w:t>Avilist</w:t>
      </w:r>
      <w:proofErr w:type="spellEnd"/>
      <w:r w:rsidRPr="00DE5863">
        <w:rPr>
          <w:rFonts w:ascii="Arial" w:eastAsia="Arial" w:hAnsi="Arial" w:cs="Arial"/>
          <w:lang w:val="fr-FR"/>
        </w:rPr>
        <w:t xml:space="preserve"> </w:t>
      </w:r>
      <w:proofErr w:type="spellStart"/>
      <w:r w:rsidRPr="00DE5863">
        <w:rPr>
          <w:rFonts w:ascii="Arial" w:eastAsia="Arial" w:hAnsi="Arial" w:cs="Arial"/>
          <w:lang w:val="fr-FR"/>
        </w:rPr>
        <w:t>Core</w:t>
      </w:r>
      <w:proofErr w:type="spellEnd"/>
      <w:r w:rsidRPr="00DE5863">
        <w:rPr>
          <w:rFonts w:ascii="Arial" w:eastAsia="Arial" w:hAnsi="Arial" w:cs="Arial"/>
          <w:lang w:val="fr-FR"/>
        </w:rPr>
        <w:t xml:space="preserve"> Team, 2025). </w:t>
      </w:r>
      <w:proofErr w:type="spellStart"/>
      <w:r w:rsidRPr="00DE5863">
        <w:rPr>
          <w:rFonts w:ascii="Arial" w:eastAsia="Arial" w:hAnsi="Arial" w:cs="Arial"/>
          <w:lang w:val="fr-FR"/>
        </w:rPr>
        <w:t>BirdLife</w:t>
      </w:r>
      <w:proofErr w:type="spellEnd"/>
      <w:r w:rsidRPr="00DE5863">
        <w:rPr>
          <w:rFonts w:ascii="Arial" w:eastAsia="Arial" w:hAnsi="Arial" w:cs="Arial"/>
          <w:lang w:val="fr-FR"/>
        </w:rPr>
        <w:t xml:space="preserve"> International traite actuellement le courlis corlieu comme </w:t>
      </w:r>
      <w:r w:rsidRPr="00DE5863">
        <w:rPr>
          <w:rFonts w:ascii="Arial" w:eastAsia="Arial" w:hAnsi="Arial" w:cs="Arial"/>
          <w:lang w:val="fr-FR"/>
        </w:rPr>
        <w:t xml:space="preserve">une sous-espèce et, à ce titre, il n'a pas été évalué séparément par la liste rouge de l'Union internationale pour la conservation de la nature (UICN) de l'espèce </w:t>
      </w:r>
      <w:r w:rsidRPr="00DE5863">
        <w:rPr>
          <w:rFonts w:ascii="Arial" w:eastAsia="Arial" w:hAnsi="Arial" w:cs="Arial"/>
          <w:i/>
          <w:iCs/>
          <w:lang w:val="fr-FR"/>
        </w:rPr>
        <w:t xml:space="preserve">Numenius </w:t>
      </w:r>
      <w:proofErr w:type="spellStart"/>
      <w:r w:rsidRPr="00DE5863">
        <w:rPr>
          <w:rFonts w:ascii="Arial" w:eastAsia="Arial" w:hAnsi="Arial" w:cs="Arial"/>
          <w:i/>
          <w:iCs/>
          <w:lang w:val="fr-FR"/>
        </w:rPr>
        <w:t>phaeopus</w:t>
      </w:r>
      <w:proofErr w:type="spellEnd"/>
      <w:r w:rsidRPr="00DE5863">
        <w:rPr>
          <w:rFonts w:ascii="Arial" w:eastAsia="Arial" w:hAnsi="Arial" w:cs="Arial"/>
          <w:lang w:val="fr-FR"/>
        </w:rPr>
        <w:t xml:space="preserve">. Cependant, on s’attend à ce qu’il soit prochainement évalué, puisque </w:t>
      </w:r>
      <w:proofErr w:type="spellStart"/>
      <w:r w:rsidRPr="00DE5863">
        <w:rPr>
          <w:rFonts w:ascii="Arial" w:eastAsia="Arial" w:hAnsi="Arial" w:cs="Arial"/>
          <w:lang w:val="fr-FR"/>
        </w:rPr>
        <w:t>BirdLife</w:t>
      </w:r>
      <w:proofErr w:type="spellEnd"/>
      <w:r w:rsidRPr="00DE5863">
        <w:rPr>
          <w:rFonts w:ascii="Arial" w:eastAsia="Arial" w:hAnsi="Arial" w:cs="Arial"/>
          <w:lang w:val="fr-FR"/>
        </w:rPr>
        <w:t xml:space="preserve"> adoptera progressivement la taxonomie </w:t>
      </w:r>
      <w:proofErr w:type="spellStart"/>
      <w:r w:rsidRPr="00DE5863">
        <w:rPr>
          <w:rFonts w:ascii="Arial" w:eastAsia="Arial" w:hAnsi="Arial" w:cs="Arial"/>
          <w:lang w:val="fr-FR"/>
        </w:rPr>
        <w:t>Avilist</w:t>
      </w:r>
      <w:proofErr w:type="spellEnd"/>
      <w:r w:rsidRPr="00DE5863">
        <w:rPr>
          <w:rFonts w:ascii="Arial" w:eastAsia="Arial" w:hAnsi="Arial" w:cs="Arial"/>
          <w:lang w:val="fr-FR"/>
        </w:rPr>
        <w:t>. Le courlis corlieu a une population réduite (environ 80 000 individus) et effectue chaque année une migration cyclique entre les zones de reproduction de l'Arctique et les zones de non-reproduction en Amér</w:t>
      </w:r>
      <w:r w:rsidRPr="00DE5863">
        <w:rPr>
          <w:rFonts w:ascii="Arial" w:eastAsia="Arial" w:hAnsi="Arial" w:cs="Arial"/>
          <w:lang w:val="fr-FR"/>
        </w:rPr>
        <w:t>ique du Sud, ce qui l'expose à plusieurs menaces. Par conséquent, le courlis corlieu a connu un déclin de population estimé à environ 70 % au cours des trois dernières générations (</w:t>
      </w:r>
      <w:r w:rsidRPr="00DE5863">
        <w:rPr>
          <w:rFonts w:ascii="Arial" w:eastAsia="Arial" w:hAnsi="Arial" w:cs="Arial"/>
          <w:i/>
          <w:iCs/>
          <w:lang w:val="fr-FR"/>
        </w:rPr>
        <w:t>environ</w:t>
      </w:r>
      <w:r w:rsidRPr="00DE5863">
        <w:rPr>
          <w:rFonts w:ascii="Arial" w:eastAsia="Arial" w:hAnsi="Arial" w:cs="Arial"/>
          <w:lang w:val="fr-FR"/>
        </w:rPr>
        <w:t xml:space="preserve"> 19 ans), ce qui serait cohérent avec une inscription de l’espèce dans la catégorie En danger selon les critères de la Liste rouge de l’Union internationale pour la conservation de la nature (UICN).</w:t>
      </w:r>
    </w:p>
    <w:p w14:paraId="768E9101" w14:textId="77777777" w:rsidR="00A6618C" w:rsidRPr="00DE5863" w:rsidRDefault="00A6618C">
      <w:pPr>
        <w:spacing w:after="0"/>
        <w:jc w:val="both"/>
        <w:rPr>
          <w:rFonts w:ascii="Arial" w:hAnsi="Arial" w:cs="Arial"/>
          <w:lang w:val="fr-FR"/>
        </w:rPr>
      </w:pPr>
    </w:p>
    <w:p w14:paraId="565DD06B" w14:textId="77777777" w:rsidR="00A6618C" w:rsidRPr="00F9311B" w:rsidRDefault="00D1732A">
      <w:pPr>
        <w:spacing w:after="0"/>
        <w:ind w:left="540" w:hanging="540"/>
        <w:jc w:val="both"/>
        <w:rPr>
          <w:rFonts w:ascii="Arial" w:hAnsi="Arial" w:cs="Arial"/>
          <w:b/>
          <w:bCs/>
          <w:lang w:val="fr-FR"/>
        </w:rPr>
      </w:pPr>
      <w:r w:rsidRPr="00F9311B">
        <w:rPr>
          <w:rFonts w:ascii="Arial" w:hAnsi="Arial" w:cs="Arial"/>
          <w:b/>
          <w:bCs/>
          <w:lang w:val="fr-FR"/>
        </w:rPr>
        <w:t>3</w:t>
      </w:r>
      <w:r w:rsidRPr="00F9311B">
        <w:rPr>
          <w:rFonts w:ascii="Arial" w:hAnsi="Arial" w:cs="Arial"/>
          <w:b/>
          <w:bCs/>
          <w:lang w:val="fr-FR"/>
        </w:rPr>
        <w:tab/>
        <w:t>Migrations</w:t>
      </w:r>
    </w:p>
    <w:p w14:paraId="681178DA" w14:textId="77777777" w:rsidR="00A6618C" w:rsidRPr="00DE5863" w:rsidRDefault="00A6618C">
      <w:pPr>
        <w:spacing w:after="0"/>
        <w:ind w:left="1080" w:hanging="540"/>
        <w:jc w:val="both"/>
        <w:rPr>
          <w:rFonts w:ascii="Arial" w:hAnsi="Arial" w:cs="Arial"/>
          <w:lang w:val="fr-FR"/>
        </w:rPr>
      </w:pPr>
    </w:p>
    <w:p w14:paraId="01563730" w14:textId="77777777" w:rsidR="00A6618C" w:rsidRPr="00DE5863" w:rsidRDefault="00D1732A">
      <w:pPr>
        <w:spacing w:after="0"/>
        <w:ind w:left="567" w:hanging="540"/>
        <w:jc w:val="both"/>
        <w:rPr>
          <w:rFonts w:ascii="Arial" w:hAnsi="Arial" w:cs="Arial"/>
          <w:lang w:val="fr-FR"/>
        </w:rPr>
      </w:pPr>
      <w:r w:rsidRPr="00DE5863">
        <w:rPr>
          <w:rFonts w:ascii="Arial" w:hAnsi="Arial" w:cs="Arial"/>
          <w:lang w:val="fr-FR"/>
        </w:rPr>
        <w:t>3.1</w:t>
      </w:r>
      <w:r w:rsidRPr="00DE5863">
        <w:rPr>
          <w:rFonts w:ascii="Arial" w:hAnsi="Arial" w:cs="Arial"/>
          <w:lang w:val="fr-FR"/>
        </w:rPr>
        <w:tab/>
      </w:r>
      <w:r w:rsidRPr="00DE5863">
        <w:rPr>
          <w:rFonts w:ascii="Arial" w:hAnsi="Arial" w:cs="Arial"/>
          <w:lang w:val="fr-FR"/>
        </w:rPr>
        <w:t>Types de mouvements, distance, nature cyclique et prévisible de la migration</w:t>
      </w:r>
    </w:p>
    <w:p w14:paraId="638FE6CE" w14:textId="77777777" w:rsidR="00A6618C" w:rsidRPr="00DE5863" w:rsidRDefault="00A6618C">
      <w:pPr>
        <w:spacing w:after="0"/>
        <w:jc w:val="both"/>
        <w:rPr>
          <w:rFonts w:ascii="Arial" w:hAnsi="Arial" w:cs="Arial"/>
          <w:lang w:val="fr-FR"/>
        </w:rPr>
      </w:pPr>
    </w:p>
    <w:p w14:paraId="229659C9" w14:textId="77777777" w:rsidR="00A6618C" w:rsidRPr="00DE5863" w:rsidRDefault="00D1732A">
      <w:pPr>
        <w:autoSpaceDE w:val="0"/>
        <w:adjustRightInd w:val="0"/>
        <w:spacing w:after="0"/>
        <w:jc w:val="both"/>
        <w:rPr>
          <w:rFonts w:ascii="Arial" w:eastAsia="Arial" w:hAnsi="Arial" w:cs="Arial"/>
          <w:lang w:val="fr-FR"/>
        </w:rPr>
      </w:pPr>
      <w:r w:rsidRPr="00DE5863">
        <w:rPr>
          <w:rFonts w:ascii="Arial" w:eastAsia="Arial" w:hAnsi="Arial" w:cs="Arial"/>
          <w:lang w:val="fr-FR"/>
        </w:rPr>
        <w:t xml:space="preserve">Le courlis corlieu est un oiseau de rivage migrateur de longues distances qui effectue chaque année une migration cyclique entre les zones de reproduction et les zones de non-reproduction. Au printemps boréal (de mars à mai), il migre de ses zones de non-reproduction en Amérique du Sud vers ses zones de reproduction en Arctique </w:t>
      </w:r>
      <w:r w:rsidRPr="00DE5863">
        <w:rPr>
          <w:rFonts w:ascii="Arial" w:hAnsi="Arial" w:cs="Arial"/>
          <w:sz w:val="21"/>
          <w:szCs w:val="21"/>
          <w:lang w:val="fr-FR"/>
        </w:rPr>
        <w:fldChar w:fldCharType="begin"/>
      </w:r>
      <w:r w:rsidRPr="00DE5863">
        <w:rPr>
          <w:rFonts w:ascii="Arial" w:hAnsi="Arial" w:cs="Arial"/>
          <w:sz w:val="21"/>
          <w:szCs w:val="21"/>
          <w:lang w:val="fr-FR"/>
        </w:rPr>
        <w:instrText xml:space="preserve"> ADDIN ZOTERO_ITEM CSL_CITATION {"citationID":"vXkC1FKT","properties":{"formattedCitation":"(Ruthrauff, Harwood, Tibbitts, Warnock, &amp; Gill Jr., 2021; Skeel &amp; Mallory, 2020)","plainCitation":"(Ruthrauff, Harwood, Tibbitts, Warnock, &amp; Gill Jr., 2021; Skeel &amp; Mallory, 2020)","noteIndex":0},"citationItems":[{"id":1329,"uris":["http://zotero.org/users/11283305/items/V65SC48H"],"itemData":{"id":1329,"type":"article-journal","abstract":"Birds that conduct long-distance migrations exhibit varied patterns of consist</w:instrText>
      </w:r>
      <w:r w:rsidRPr="00DE5863">
        <w:rPr>
          <w:rFonts w:ascii="Arial" w:hAnsi="Arial" w:cs="Arial"/>
          <w:sz w:val="21"/>
          <w:szCs w:val="21"/>
          <w:lang w:val="fr-FR"/>
        </w:rPr>
        <w:instrText>ency in migratory timing and site use. Understanding variation in these traits among populations can help uncover mechanisms driving migratory behaviors and identify potential population threats. Whimbrels (Numenius phaeopus) are long-distance migratory shorebirds with a Holarctic breeding distribution, and recent studies have documented population-specific migrations that vary in duration (short to long) and frequency of stops (none/few to multiple). Factors driving these population-specific differences ar</w:instrText>
      </w:r>
      <w:r w:rsidRPr="00DE5863">
        <w:rPr>
          <w:rFonts w:ascii="Arial" w:hAnsi="Arial" w:cs="Arial"/>
          <w:sz w:val="21"/>
          <w:szCs w:val="21"/>
          <w:lang w:val="fr-FR"/>
        </w:rPr>
        <w:instrText>e unclear. We studied the migration ecology of Whimbrels breeding in Alaska, USA, using satellite transmitters deployed from 2006 to 2010 and tracked through 2015. Whimbrels moved entirely within the Pacific Americas Flyway, and some conducted nonstop flights that exceeded seven days across 8700 km. Birds dispersed across numerous sites throughout the flyway, often using agriculture or aquaculture habitats. Whimbrels generally exhibited fidelity to breeding and non-breeding sites, but typically only exhibit</w:instrText>
      </w:r>
      <w:r w:rsidRPr="00DE5863">
        <w:rPr>
          <w:rFonts w:ascii="Arial" w:hAnsi="Arial" w:cs="Arial"/>
          <w:sz w:val="21"/>
          <w:szCs w:val="21"/>
          <w:lang w:val="fr-FR"/>
        </w:rPr>
        <w:instrText>ed fidelity to staging sites used prior to long, nonstop migratory flights. The duration of migration for Whimbrels at more southern non-breeding locations was longer than for those at more northern non-breeding sites, and birds at more southern sites also terminated southbound migration later and initiated northbound migration earlier than birds at more northern sites. Alaska-breeding Whimbrels exhibited greater variation in migratory behaviors than those in other populations in the species’ range. We attr</w:instrText>
      </w:r>
      <w:r w:rsidRPr="00DE5863">
        <w:rPr>
          <w:rFonts w:ascii="Arial" w:hAnsi="Arial" w:cs="Arial"/>
          <w:sz w:val="21"/>
          <w:szCs w:val="21"/>
          <w:lang w:val="fr-FR"/>
        </w:rPr>
        <w:instrText>ibute this within-population diversity to the extensive breadth of non-breeding distributions ( 70° latitude across 8600 km), a range that naturally shaped individual responses to unequal migratory demands.","container-title":"Journal of Field Ornithology","DOI":"10.1111/jofo.12365","ISSN":"1557-9263","issue":"2","language":"en","note":"_eprint: https://onlinelibrary.wiley.com/doi/pdf/10.1111/jofo.12365","page":"156-172","source":"Wiley Online Library","title":"Diverse patterns of migratory timing, site use</w:instrText>
      </w:r>
      <w:r w:rsidRPr="00DE5863">
        <w:rPr>
          <w:rFonts w:ascii="Arial" w:hAnsi="Arial" w:cs="Arial"/>
          <w:sz w:val="21"/>
          <w:szCs w:val="21"/>
          <w:lang w:val="fr-FR"/>
        </w:rPr>
        <w:instrText>, and site fidelity by Alaska-breeding Whimbrels","volume":"92","author":[{"family":"Ruthrauff","given":"Daniel R."},{"family":"Harwood","given":"Christopher M."},{"family":"Tibbitts","given":"T. Lee"},{"family":"Warnock","given":"Nils"},{"family":"Gill Jr.","given":"Robert E."}],"issued":{"date-parts":[["2021"]]}}},{"id":1279,"uris":["http://zotero.org/users/11283305/items/6N4A6WQA"],"itemData":{"id":1279,"type":"entry-encyclopedia","collection-number":"version 1.0","container-title":"Birds of the World","</w:instrText>
      </w:r>
      <w:r w:rsidRPr="00DE5863">
        <w:rPr>
          <w:rFonts w:ascii="Arial" w:hAnsi="Arial" w:cs="Arial"/>
          <w:sz w:val="21"/>
          <w:szCs w:val="21"/>
          <w:lang w:val="fr-FR"/>
        </w:rPr>
        <w:instrText xml:space="preserve">event-place":"Cornell Lab of Ornithology, Ithaca, NY, USA","publisher":"S. M. Billerman","publisher-place":"Cornell Lab of Ornithology, Ithaca, NY, USA","title":"Whimbrel (Numenius phaeopus)","URL":"https://doi.org/10.2173/bow.whimbr.01","author":[{"family":"Skeel","given":"M.A."},{"family":"Mallory","given":"E.P."}],"issued":{"date-parts":[["2020"]]}}}],"schema":"https://github.com/citation-style-language/schema/raw/master/csl-citation.json"} </w:instrText>
      </w:r>
      <w:r w:rsidRPr="00DE5863">
        <w:rPr>
          <w:rFonts w:ascii="Arial" w:hAnsi="Arial" w:cs="Arial"/>
          <w:sz w:val="21"/>
          <w:szCs w:val="21"/>
          <w:lang w:val="fr-FR"/>
        </w:rPr>
        <w:fldChar w:fldCharType="separate"/>
      </w:r>
      <w:r w:rsidRPr="00DE5863">
        <w:rPr>
          <w:rFonts w:ascii="Arial" w:eastAsia="Arial" w:hAnsi="Arial" w:cs="Arial"/>
          <w:lang w:val="fr-FR"/>
        </w:rPr>
        <w:t>(Ruthrauff et al., 2021 ; Skeel &amp; Mallory, 2020)</w:t>
      </w:r>
      <w:r w:rsidRPr="00DE5863">
        <w:rPr>
          <w:rFonts w:ascii="Arial" w:hAnsi="Arial" w:cs="Arial"/>
          <w:sz w:val="21"/>
          <w:szCs w:val="21"/>
          <w:lang w:val="fr-FR"/>
        </w:rPr>
        <w:fldChar w:fldCharType="end"/>
      </w:r>
      <w:r w:rsidRPr="00DE5863">
        <w:rPr>
          <w:rFonts w:ascii="Arial" w:eastAsia="Arial" w:hAnsi="Arial" w:cs="Arial"/>
          <w:lang w:val="fr-FR"/>
        </w:rPr>
        <w:t xml:space="preserve">. Après l'été boréal (de fin juin à octobre), il migrent de nouveau vers les zones de non-reproduction en Amérique du Sud, où il passe environ 60 % du cycle annuel </w:t>
      </w:r>
      <w:r w:rsidRPr="00DE5863">
        <w:rPr>
          <w:rFonts w:ascii="Arial" w:hAnsi="Arial" w:cs="Arial"/>
          <w:sz w:val="21"/>
          <w:szCs w:val="21"/>
          <w:lang w:val="fr-FR"/>
        </w:rPr>
        <w:fldChar w:fldCharType="begin"/>
      </w:r>
      <w:r w:rsidRPr="00DE5863">
        <w:rPr>
          <w:rFonts w:ascii="Arial" w:hAnsi="Arial" w:cs="Arial"/>
          <w:sz w:val="21"/>
          <w:szCs w:val="21"/>
          <w:lang w:val="fr-FR"/>
        </w:rPr>
        <w:instrText xml:space="preserve"> ADDIN ZOTERO_ITEM CSL_CITATION {"citationID":"UjrpdQab","properties":{"formattedCitation":"(Watts et al., 2021)","plainCitation":"(Watts et al., 2021)","noteIndex":0},"citationItems":[{"id":765,"uris":["http://zotero.org/users/11283305/items/QTEJB6VD"],"itemData":{"id":765,"type":"article-journal","abstract":"Many long-distance migratory birds use habitats that are scattered across continents and confront hazards throughout the annual cycle that may be population-limiting. Identifying where and when popula</w:instrText>
      </w:r>
      <w:r w:rsidRPr="00DE5863">
        <w:rPr>
          <w:rFonts w:ascii="Arial" w:hAnsi="Arial" w:cs="Arial"/>
          <w:sz w:val="21"/>
          <w:szCs w:val="21"/>
          <w:lang w:val="fr-FR"/>
        </w:rPr>
        <w:instrText>tions spend their time is fundamental to effective management. We tracked 34 adult whimbrels (Numenius phaeopus) from two breeding populations (Mackenzie Delta and Hudson Bay) with satellite transmitters to document the structure of their annual cycles. The two populations differed in their use of migratory pathways and their seasonal schedules. Mackenzie Delta whimbrels made long (22,800 km) loop migrations with different autumn and spring routes. Hudson Bay whimbrels made shorter (17,500 km) and more dire</w:instrText>
      </w:r>
      <w:r w:rsidRPr="00DE5863">
        <w:rPr>
          <w:rFonts w:ascii="Arial" w:hAnsi="Arial" w:cs="Arial"/>
          <w:sz w:val="21"/>
          <w:szCs w:val="21"/>
          <w:lang w:val="fr-FR"/>
        </w:rPr>
        <w:instrText>ct migrations along the same route during autumn and spring. The two populations overlap on the winter grounds and within one spring staging area. Mackenzie Delta whimbrels left the breeding ground, arrived on winter grounds, left winter grounds and arrived on spring staging areas earlier compared to whimbrels from Hudson Bay. For both populations, migration speed was significantly higher during spring compared to autumn migration. Faster migration was achieved by having fewer and shorter stopovers en route</w:instrText>
      </w:r>
      <w:r w:rsidRPr="00DE5863">
        <w:rPr>
          <w:rFonts w:ascii="Arial" w:hAnsi="Arial" w:cs="Arial"/>
          <w:sz w:val="21"/>
          <w:szCs w:val="21"/>
          <w:lang w:val="fr-FR"/>
        </w:rPr>
        <w:instrText>. We identified five migratory staging areas including four that were used during autumn and two that were used during spring. Whimbrels tracked for multiple years had high (98%) fidelity to staging areas. We documented dozens of locations where birds stopped for short periods along nearly all migration routes. The consistent use of very few staging areas suggests that these areas are integral to the annual cycle of both populations and have high conservation value.","container-title":"PLoS ONE","DOI":"10.1</w:instrText>
      </w:r>
      <w:r w:rsidRPr="00DE5863">
        <w:rPr>
          <w:rFonts w:ascii="Arial" w:hAnsi="Arial" w:cs="Arial"/>
          <w:sz w:val="21"/>
          <w:szCs w:val="21"/>
          <w:lang w:val="fr-FR"/>
        </w:rPr>
        <w:instrText>371/journal.pone.0260339","ISSN":"1932-6203","issue":"12","journalAbbreviation":"PLoS One","note":"PMID: 34972114\nPMCID: PMC8719713","page":"e0260339","source":"PubMed Central","title":"The annual cycle for whimbrel populations using the Western Atlantic Flyway","volume":"16","author":[{"family":"Watts","given":"Bryan D."},{"family":"Smith","given":"Fletcher M."},{"family":"Hines","given":"Chance"},{"family":"Duval","given":"Laura"},{"family":"Hamilton","given":"Diana J."},{"family":"Keyes","given":"Tim"},</w:instrText>
      </w:r>
      <w:r w:rsidRPr="00DE5863">
        <w:rPr>
          <w:rFonts w:ascii="Arial" w:hAnsi="Arial" w:cs="Arial"/>
          <w:sz w:val="21"/>
          <w:szCs w:val="21"/>
          <w:lang w:val="fr-FR"/>
        </w:rPr>
        <w:instrText xml:space="preserve">{"family":"Paquet","given":"Julie"},{"family":"Pirie-Dominix","given":"Lisa"},{"family":"Rausch","given":"Jennie"},{"family":"Truitt","given":"Barry"},{"family":"Winn","given":"Brad"},{"family":"Woodard","given":"Paul"}],"issued":{"date-parts":[["2021",12,31]]}}}],"schema":"https://github.com/citation-style-language/schema/raw/master/csl-citation.json"} </w:instrText>
      </w:r>
      <w:r w:rsidRPr="00DE5863">
        <w:rPr>
          <w:rFonts w:ascii="Arial" w:hAnsi="Arial" w:cs="Arial"/>
          <w:sz w:val="21"/>
          <w:szCs w:val="21"/>
          <w:lang w:val="fr-FR"/>
        </w:rPr>
        <w:fldChar w:fldCharType="separate"/>
      </w:r>
      <w:r w:rsidRPr="00DE5863">
        <w:rPr>
          <w:rFonts w:ascii="Arial" w:eastAsia="Arial" w:hAnsi="Arial" w:cs="Arial"/>
          <w:lang w:val="fr-FR"/>
        </w:rPr>
        <w:t>(Watts et al., 2021)</w:t>
      </w:r>
      <w:r w:rsidRPr="00DE5863">
        <w:rPr>
          <w:rFonts w:ascii="Arial" w:hAnsi="Arial" w:cs="Arial"/>
          <w:sz w:val="21"/>
          <w:szCs w:val="21"/>
          <w:lang w:val="fr-FR"/>
        </w:rPr>
        <w:fldChar w:fldCharType="end"/>
      </w:r>
      <w:r w:rsidRPr="00DE5863">
        <w:rPr>
          <w:rFonts w:ascii="Arial" w:eastAsia="Arial" w:hAnsi="Arial" w:cs="Arial"/>
          <w:lang w:val="fr-FR"/>
        </w:rPr>
        <w:t>, avant de retourner dans l'Arctique au printemps boréal suivant. Il dépend également de plusieurs sites se trouvant le long des côtes des États-Unis, du Mexique et de l’Amérique centrale pendant la migration. Le courlis corlieu migre le long des côtes pacifiques et atlantiques des Amériques, ce qui le rend présent dans plus de 30 pays. Plus récemment, il a été découvert qu’il utilise également des habitats intérieurs dans la région centrale des États‑Unis lors sa migration.</w:t>
      </w:r>
    </w:p>
    <w:p w14:paraId="7CFF3701" w14:textId="77777777" w:rsidR="00A6618C" w:rsidRPr="00DE5863" w:rsidRDefault="00A6618C">
      <w:pPr>
        <w:spacing w:after="0"/>
        <w:jc w:val="both"/>
        <w:rPr>
          <w:rFonts w:ascii="Arial" w:hAnsi="Arial" w:cs="Arial"/>
          <w:lang w:val="fr-FR"/>
        </w:rPr>
      </w:pPr>
    </w:p>
    <w:p w14:paraId="65EE0A09" w14:textId="77777777" w:rsidR="00A6618C" w:rsidRPr="00DE5863" w:rsidRDefault="00D1732A">
      <w:pPr>
        <w:spacing w:after="0"/>
        <w:ind w:left="567" w:hanging="540"/>
        <w:jc w:val="both"/>
        <w:rPr>
          <w:rFonts w:ascii="Arial" w:hAnsi="Arial" w:cs="Arial"/>
          <w:lang w:val="fr-FR"/>
        </w:rPr>
      </w:pPr>
      <w:r w:rsidRPr="00DE5863">
        <w:rPr>
          <w:rFonts w:ascii="Arial" w:hAnsi="Arial" w:cs="Arial"/>
          <w:lang w:val="fr-FR"/>
        </w:rPr>
        <w:t>3.2</w:t>
      </w:r>
      <w:r w:rsidRPr="00DE5863">
        <w:rPr>
          <w:rFonts w:ascii="Arial" w:hAnsi="Arial" w:cs="Arial"/>
          <w:lang w:val="fr-FR"/>
        </w:rPr>
        <w:tab/>
        <w:t>Proportion de la population qui migre et raisons pour lesquelles cette proportion est importante</w:t>
      </w:r>
    </w:p>
    <w:p w14:paraId="7803F207" w14:textId="77777777" w:rsidR="00A6618C" w:rsidRPr="00DE5863" w:rsidRDefault="00A6618C">
      <w:pPr>
        <w:spacing w:after="0"/>
        <w:jc w:val="both"/>
        <w:rPr>
          <w:rFonts w:ascii="Arial" w:hAnsi="Arial" w:cs="Arial"/>
          <w:lang w:val="fr-FR"/>
        </w:rPr>
      </w:pPr>
    </w:p>
    <w:p w14:paraId="4A68F2EC" w14:textId="77777777" w:rsidR="00A6618C" w:rsidRPr="00DE5863" w:rsidRDefault="00D1732A">
      <w:pPr>
        <w:autoSpaceDE w:val="0"/>
        <w:adjustRightInd w:val="0"/>
        <w:spacing w:after="0"/>
        <w:jc w:val="both"/>
        <w:rPr>
          <w:rFonts w:ascii="Arial" w:eastAsia="Arial" w:hAnsi="Arial" w:cs="Arial"/>
          <w:lang w:val="fr-FR"/>
        </w:rPr>
      </w:pPr>
      <w:r w:rsidRPr="00DE5863">
        <w:rPr>
          <w:rFonts w:ascii="Arial" w:eastAsia="Arial" w:hAnsi="Arial" w:cs="Arial"/>
          <w:lang w:val="fr-FR"/>
        </w:rPr>
        <w:t xml:space="preserve">L'ensemble de la population de courlis corlieu entreprend des migrations sur de longues distances </w:t>
      </w:r>
      <w:r w:rsidRPr="00DE5863">
        <w:rPr>
          <w:rFonts w:ascii="Arial" w:hAnsi="Arial" w:cs="Arial"/>
          <w:sz w:val="21"/>
          <w:szCs w:val="21"/>
          <w:lang w:val="fr-FR"/>
        </w:rPr>
        <w:fldChar w:fldCharType="begin"/>
      </w:r>
      <w:r w:rsidRPr="00DE5863">
        <w:rPr>
          <w:rFonts w:ascii="Arial" w:hAnsi="Arial" w:cs="Arial"/>
          <w:sz w:val="21"/>
          <w:szCs w:val="21"/>
          <w:lang w:val="fr-FR"/>
        </w:rPr>
        <w:instrText xml:space="preserve"> ADDIN ZOTERO_ITEM CSL_CITATION {"citationID":"cVsgAQEy","properties":{"formattedCitation":"(Skeel &amp; Mallory, 2020)","plainCitation":"(Skeel &amp; Mallory, 2020)","noteIndex":0},"citationItems":[{"id":1279,"uris":["http://zotero.org/users/11283305/items/6N4A6WQA"],"itemData":{"id":1279,"type":"entry-encyclopedia","collection-number":"version 1.0","container-title":"Birds of the World","event-place":"Cornell Lab of Ornithology, Ithaca, NY, USA","publisher":"S. M. Billerman","publisher-place":"Cornell Lab of Orni</w:instrText>
      </w:r>
      <w:r w:rsidRPr="00DE5863">
        <w:rPr>
          <w:rFonts w:ascii="Arial" w:hAnsi="Arial" w:cs="Arial"/>
          <w:sz w:val="21"/>
          <w:szCs w:val="21"/>
          <w:lang w:val="fr-FR"/>
        </w:rPr>
        <w:instrText xml:space="preserve">thology, Ithaca, NY, USA","title":"Whimbrel (Numenius phaeopus)","URL":"https://doi.org/10.2173/bow.whimbr.01","author":[{"family":"Skeel","given":"M.A."},{"family":"Mallory","given":"E.P."}],"issued":{"date-parts":[["2020"]]}}}],"schema":"https://github.com/citation-style-language/schema/raw/master/csl-citation.json"} </w:instrText>
      </w:r>
      <w:r w:rsidRPr="00DE5863">
        <w:rPr>
          <w:rFonts w:ascii="Arial" w:hAnsi="Arial" w:cs="Arial"/>
          <w:sz w:val="21"/>
          <w:szCs w:val="21"/>
          <w:lang w:val="fr-FR"/>
        </w:rPr>
        <w:fldChar w:fldCharType="separate"/>
      </w:r>
      <w:r w:rsidRPr="00DE5863">
        <w:rPr>
          <w:rFonts w:ascii="Arial" w:eastAsia="Arial" w:hAnsi="Arial" w:cs="Arial"/>
          <w:lang w:val="fr-FR"/>
        </w:rPr>
        <w:t>(Skeel &amp; Mallory, 2020)</w:t>
      </w:r>
      <w:r w:rsidRPr="00DE5863">
        <w:rPr>
          <w:rFonts w:ascii="Arial" w:hAnsi="Arial" w:cs="Arial"/>
          <w:sz w:val="21"/>
          <w:szCs w:val="21"/>
          <w:lang w:val="fr-FR"/>
        </w:rPr>
        <w:fldChar w:fldCharType="end"/>
      </w:r>
      <w:r w:rsidRPr="00DE5863">
        <w:rPr>
          <w:rFonts w:ascii="Arial" w:eastAsia="Arial" w:hAnsi="Arial" w:cs="Arial"/>
          <w:lang w:val="fr-FR"/>
        </w:rPr>
        <w:t>.</w:t>
      </w:r>
    </w:p>
    <w:p w14:paraId="373C35A8" w14:textId="77777777" w:rsidR="00A6618C" w:rsidRPr="00DE5863" w:rsidRDefault="00A6618C">
      <w:pPr>
        <w:spacing w:after="0"/>
        <w:jc w:val="both"/>
        <w:rPr>
          <w:rFonts w:ascii="Arial" w:hAnsi="Arial" w:cs="Arial"/>
          <w:lang w:val="fr-FR"/>
        </w:rPr>
      </w:pPr>
    </w:p>
    <w:p w14:paraId="1BE3336B" w14:textId="77777777" w:rsidR="00A6618C" w:rsidRPr="00DE5863" w:rsidRDefault="00D1732A">
      <w:pPr>
        <w:spacing w:after="0"/>
        <w:ind w:left="540" w:hanging="540"/>
        <w:jc w:val="both"/>
        <w:rPr>
          <w:rFonts w:ascii="Arial" w:hAnsi="Arial" w:cs="Arial"/>
          <w:b/>
          <w:bCs/>
          <w:lang w:val="fr-FR"/>
        </w:rPr>
      </w:pPr>
      <w:r w:rsidRPr="00DE5863">
        <w:rPr>
          <w:rFonts w:ascii="Arial" w:hAnsi="Arial" w:cs="Arial"/>
          <w:b/>
          <w:bCs/>
          <w:lang w:val="fr-FR"/>
        </w:rPr>
        <w:t>4</w:t>
      </w:r>
      <w:r w:rsidRPr="00DE5863">
        <w:rPr>
          <w:rFonts w:ascii="Arial" w:hAnsi="Arial" w:cs="Arial"/>
          <w:b/>
          <w:bCs/>
          <w:lang w:val="fr-FR"/>
        </w:rPr>
        <w:tab/>
        <w:t>Données biologiques (autres que la migration)</w:t>
      </w:r>
    </w:p>
    <w:p w14:paraId="76384AFD" w14:textId="77777777" w:rsidR="00A6618C" w:rsidRPr="00DE5863" w:rsidRDefault="00A6618C">
      <w:pPr>
        <w:spacing w:after="0"/>
        <w:ind w:left="540" w:hanging="540"/>
        <w:jc w:val="both"/>
        <w:rPr>
          <w:rFonts w:ascii="Arial" w:hAnsi="Arial" w:cs="Arial"/>
          <w:lang w:val="fr-FR"/>
        </w:rPr>
      </w:pPr>
    </w:p>
    <w:p w14:paraId="68A1B1CF" w14:textId="77777777" w:rsidR="00A6618C" w:rsidRPr="00DE5863" w:rsidRDefault="00D1732A">
      <w:pPr>
        <w:spacing w:after="0"/>
        <w:ind w:left="567" w:hanging="540"/>
        <w:jc w:val="both"/>
        <w:rPr>
          <w:rFonts w:ascii="Arial" w:hAnsi="Arial" w:cs="Arial"/>
          <w:lang w:val="fr-FR"/>
        </w:rPr>
      </w:pPr>
      <w:r w:rsidRPr="00DE5863">
        <w:rPr>
          <w:rFonts w:ascii="Arial" w:hAnsi="Arial" w:cs="Arial"/>
          <w:lang w:val="fr-FR"/>
        </w:rPr>
        <w:t>4.1</w:t>
      </w:r>
      <w:r w:rsidRPr="00DE5863">
        <w:rPr>
          <w:rFonts w:ascii="Arial" w:hAnsi="Arial" w:cs="Arial"/>
          <w:lang w:val="fr-FR"/>
        </w:rPr>
        <w:tab/>
        <w:t xml:space="preserve">Répartition (actuelle et historique) </w:t>
      </w:r>
    </w:p>
    <w:p w14:paraId="1E2F539A" w14:textId="77777777" w:rsidR="00A6618C" w:rsidRPr="00DE5863" w:rsidRDefault="00A6618C">
      <w:pPr>
        <w:spacing w:after="0"/>
        <w:jc w:val="both"/>
        <w:rPr>
          <w:rFonts w:ascii="Arial" w:hAnsi="Arial" w:cs="Arial"/>
          <w:lang w:val="fr-FR"/>
        </w:rPr>
      </w:pPr>
    </w:p>
    <w:p w14:paraId="18A70906" w14:textId="77777777" w:rsidR="00A6618C" w:rsidRPr="00DE5863" w:rsidRDefault="00D1732A">
      <w:pPr>
        <w:autoSpaceDE w:val="0"/>
        <w:adjustRightInd w:val="0"/>
        <w:spacing w:after="0"/>
        <w:jc w:val="both"/>
        <w:rPr>
          <w:rFonts w:ascii="Arial" w:eastAsia="Arial" w:hAnsi="Arial" w:cs="Arial"/>
          <w:lang w:val="fr-FR"/>
        </w:rPr>
      </w:pPr>
      <w:r w:rsidRPr="00DE5863">
        <w:rPr>
          <w:rFonts w:ascii="Arial" w:eastAsia="Arial" w:hAnsi="Arial" w:cs="Arial"/>
          <w:lang w:val="fr-FR"/>
        </w:rPr>
        <w:t xml:space="preserve">L’aire de reproduction actuelle du courlis corlieu en Arctique et subarctique comprend les côtes et le centre-sud de l’Alaska, le nord-ouest du Canada, ainsi que l’ouest et le sud de la </w:t>
      </w:r>
      <w:r w:rsidRPr="00DE5863">
        <w:rPr>
          <w:rFonts w:ascii="Arial" w:eastAsia="Arial" w:hAnsi="Arial" w:cs="Arial"/>
          <w:lang w:val="fr-FR"/>
        </w:rPr>
        <w:lastRenderedPageBreak/>
        <w:t xml:space="preserve">baie d’Hudson </w:t>
      </w:r>
      <w:r w:rsidRPr="00DE5863">
        <w:rPr>
          <w:rFonts w:ascii="Arial" w:hAnsi="Arial" w:cs="Arial"/>
          <w:sz w:val="21"/>
          <w:szCs w:val="21"/>
          <w:lang w:val="fr-FR"/>
        </w:rPr>
        <w:fldChar w:fldCharType="begin"/>
      </w:r>
      <w:r w:rsidRPr="00DE5863">
        <w:rPr>
          <w:rFonts w:ascii="Arial" w:hAnsi="Arial" w:cs="Arial"/>
          <w:sz w:val="21"/>
          <w:szCs w:val="21"/>
          <w:lang w:val="fr-FR"/>
        </w:rPr>
        <w:instrText xml:space="preserve"> ADDIN ZOTERO_ITEM CSL_CITATION {"citationID":"pzeZ0g4J","properties":{"formattedCitation":"(Skeel &amp; Mallory, 2020)","plainCitation":"(Skeel &amp; Mallory, 2020)","noteIndex":0},"citationItems":[{"id":1279,"uris":["http://zotero.org/users/11283305/items/6N4A6WQA"],"itemData":{"id":1279,"type":"entry-encyclopedia","collection-number":"version 1.0","container-title":"Birds of the World","event-place":"Cornell Lab of Ornithology, Ithaca, NY, USA","publisher":"S. M. Billerman","publisher-place":"Cornell Lab of Orni</w:instrText>
      </w:r>
      <w:r w:rsidRPr="00DE5863">
        <w:rPr>
          <w:rFonts w:ascii="Arial" w:hAnsi="Arial" w:cs="Arial"/>
          <w:sz w:val="21"/>
          <w:szCs w:val="21"/>
          <w:lang w:val="fr-FR"/>
        </w:rPr>
        <w:instrText xml:space="preserve">thology, Ithaca, NY, USA","title":"Whimbrel (Numenius phaeopus)","URL":"https://doi.org/10.2173/bow.whimbr.01","author":[{"family":"Skeel","given":"M.A."},{"family":"Mallory","given":"E.P."}],"issued":{"date-parts":[["2020"]]}}}],"schema":"https://github.com/citation-style-language/schema/raw/master/csl-citation.json"} </w:instrText>
      </w:r>
      <w:r w:rsidRPr="00DE5863">
        <w:rPr>
          <w:rFonts w:ascii="Arial" w:hAnsi="Arial" w:cs="Arial"/>
          <w:sz w:val="21"/>
          <w:szCs w:val="21"/>
          <w:lang w:val="fr-FR"/>
        </w:rPr>
        <w:fldChar w:fldCharType="separate"/>
      </w:r>
      <w:r w:rsidRPr="00DE5863">
        <w:rPr>
          <w:rFonts w:ascii="Arial" w:eastAsia="Arial" w:hAnsi="Arial" w:cs="Arial"/>
          <w:lang w:val="fr-FR"/>
        </w:rPr>
        <w:t>(Skeel &amp; Mallory, 2020)</w:t>
      </w:r>
      <w:r w:rsidRPr="00DE5863">
        <w:rPr>
          <w:rFonts w:ascii="Arial" w:hAnsi="Arial" w:cs="Arial"/>
          <w:sz w:val="21"/>
          <w:szCs w:val="21"/>
          <w:lang w:val="fr-FR"/>
        </w:rPr>
        <w:fldChar w:fldCharType="end"/>
      </w:r>
      <w:r w:rsidRPr="00DE5863">
        <w:rPr>
          <w:rFonts w:ascii="Arial" w:eastAsia="Arial" w:hAnsi="Arial" w:cs="Arial"/>
          <w:lang w:val="fr-FR"/>
        </w:rPr>
        <w:t>. Il existe des preuves de l'existence de trois sous-populations reproductrices distinctes de cette (sous-)espèce : l'une se reproduit dans le centre et l'ouest de l'Alaska et migre le long de la côte Pacifique, des États-Unis jusqu'au Chili ; une deuxième se reproduit dans le nord-ouest du Canada et l'est de l'Alaska, et migre le long de la côte Atlantique des Amériques jusqu'au nord de l'Amérique du Sud ; et une troisième sous-population se reproduit à l'ouest et au sud de la baie d'Hudson, migrant égalem</w:t>
      </w:r>
      <w:r w:rsidRPr="00DE5863">
        <w:rPr>
          <w:rFonts w:ascii="Arial" w:eastAsia="Arial" w:hAnsi="Arial" w:cs="Arial"/>
          <w:lang w:val="fr-FR"/>
        </w:rPr>
        <w:t xml:space="preserve">ent par la voie de migration Atlantique et partageant des aires non reproductives avec la sous-population du nord-ouest du Canada et de l'est de l'Alaska </w:t>
      </w:r>
      <w:r w:rsidRPr="00DE5863">
        <w:rPr>
          <w:rFonts w:ascii="Arial" w:hAnsi="Arial" w:cs="Arial"/>
          <w:sz w:val="21"/>
          <w:szCs w:val="21"/>
          <w:lang w:val="fr-FR"/>
        </w:rPr>
        <w:fldChar w:fldCharType="begin"/>
      </w:r>
      <w:r w:rsidRPr="00DE5863">
        <w:rPr>
          <w:rFonts w:ascii="Arial" w:hAnsi="Arial" w:cs="Arial"/>
          <w:sz w:val="21"/>
          <w:szCs w:val="21"/>
          <w:lang w:val="fr-FR"/>
        </w:rPr>
        <w:instrText xml:space="preserve"> ADDIN ZOTERO_ITEM CSL_CITATION {"citationID":"17jbgde9","properties":{"formattedCitation":"(Skeel &amp; Mallory, 2020; Watts et al., 2021)","plainCitation":"(Skeel &amp; Mallory, 2020; Watts et al., 2021)","noteIndex":0},"citationItems":[{"id":1279,"uris":["http://zotero.org/users/11283305/items/6N4A6WQA"],"itemData":{"id":1279,"type":"entry-encyclopedia","collection-number":"version 1.0","container-title":"Birds of the World","event-place":"Cornell Lab of Ornithology, Ithaca, NY, USA","publisher":"S. M. Billerman</w:instrText>
      </w:r>
      <w:r w:rsidRPr="00DE5863">
        <w:rPr>
          <w:rFonts w:ascii="Arial" w:hAnsi="Arial" w:cs="Arial"/>
          <w:sz w:val="21"/>
          <w:szCs w:val="21"/>
          <w:lang w:val="fr-FR"/>
        </w:rPr>
        <w:instrText>","publisher-place":"Cornell Lab of Ornithology, Ithaca, NY, USA","title":"Whimbrel (Numenius phaeopus)","URL":"https://doi.org/10.2173/bow.whimbr.01","author":[{"family":"Skeel","given":"M.A."},{"family":"Mallory","given":"E.P."}],"issued":{"date-parts":[["2020"]]}}},{"id":765,"uris":["http://zotero.org/users/11283305/items/QTEJB6VD"],"itemData":{"id":765,"type":"article-journal","abstract":"Many long-distance migratory birds use habitats that are scattered across continents and confront hazards throughout</w:instrText>
      </w:r>
      <w:r w:rsidRPr="00DE5863">
        <w:rPr>
          <w:rFonts w:ascii="Arial" w:hAnsi="Arial" w:cs="Arial"/>
          <w:sz w:val="21"/>
          <w:szCs w:val="21"/>
          <w:lang w:val="fr-FR"/>
        </w:rPr>
        <w:instrText xml:space="preserve"> the annual cycle that may be population-limiting. Identifying where and when populations spend their time is fundamental to effective management. We tracked 34 adult whimbrels (Numenius phaeopus) from two breeding populations (Mackenzie Delta and Hudson Bay) with satellite transmitters to document the structure of their annual cycles. The two populations differed in their use of migratory pathways and their seasonal schedules. Mackenzie Delta whimbrels made long (22,800 km) loop migrations with different a</w:instrText>
      </w:r>
      <w:r w:rsidRPr="00DE5863">
        <w:rPr>
          <w:rFonts w:ascii="Arial" w:hAnsi="Arial" w:cs="Arial"/>
          <w:sz w:val="21"/>
          <w:szCs w:val="21"/>
          <w:lang w:val="fr-FR"/>
        </w:rPr>
        <w:instrText>utumn and spring routes. Hudson Bay whimbrels made shorter (17,500 km) and more direct migrations along the same route during autumn and spring. The two populations overlap on the winter grounds and within one spring staging area. Mackenzie Delta whimbrels left the breeding ground, arrived on winter grounds, left winter grounds and arrived on spring staging areas earlier compared to whimbrels from Hudson Bay. For both populations, migration speed was significantly higher during spring compared to autumn mig</w:instrText>
      </w:r>
      <w:r w:rsidRPr="00DE5863">
        <w:rPr>
          <w:rFonts w:ascii="Arial" w:hAnsi="Arial" w:cs="Arial"/>
          <w:sz w:val="21"/>
          <w:szCs w:val="21"/>
          <w:lang w:val="fr-FR"/>
        </w:rPr>
        <w:instrText>ration. Faster migration was achieved by having fewer and shorter stopovers en route. We identified five migratory staging areas including four that were used during autumn and two that were used during spring. Whimbrels tracked for multiple years had high (98%) fidelity to staging areas. We documented dozens of locations where birds stopped for short periods along nearly all migration routes. The consistent use of very few staging areas suggests that these areas are integral to the annual cycle of both pop</w:instrText>
      </w:r>
      <w:r w:rsidRPr="00DE5863">
        <w:rPr>
          <w:rFonts w:ascii="Arial" w:hAnsi="Arial" w:cs="Arial"/>
          <w:sz w:val="21"/>
          <w:szCs w:val="21"/>
          <w:lang w:val="fr-FR"/>
        </w:rPr>
        <w:instrText>ulations and have high conservation value.","container-title":"PLoS ONE","DOI":"10.1371/journal.pone.0260339","ISSN":"1932-6203","issue":"12","journalAbbreviation":"PLoS One","note":"PMID: 34972114\nPMCID: PMC8719713","page":"e0260339","source":"PubMed Central","title":"The annual cycle for whimbrel populations using the Western Atlantic Flyway","volume":"16","author":[{"family":"Watts","given":"Bryan D."},{"family":"Smith","given":"Fletcher M."},{"family":"Hines","given":"Chance"},{"family":"Duval","given"</w:instrText>
      </w:r>
      <w:r w:rsidRPr="00DE5863">
        <w:rPr>
          <w:rFonts w:ascii="Arial" w:hAnsi="Arial" w:cs="Arial"/>
          <w:sz w:val="21"/>
          <w:szCs w:val="21"/>
          <w:lang w:val="fr-FR"/>
        </w:rPr>
        <w:instrText xml:space="preserve">:"Laura"},{"family":"Hamilton","given":"Diana J."},{"family":"Keyes","given":"Tim"},{"family":"Paquet","given":"Julie"},{"family":"Pirie-Dominix","given":"Lisa"},{"family":"Rausch","given":"Jennie"},{"family":"Truitt","given":"Barry"},{"family":"Winn","given":"Brad"},{"family":"Woodard","given":"Paul"}],"issued":{"date-parts":[["2021",12,31]]}}}],"schema":"https://github.com/citation-style-language/schema/raw/master/csl-citation.json"} </w:instrText>
      </w:r>
      <w:r w:rsidRPr="00DE5863">
        <w:rPr>
          <w:rFonts w:ascii="Arial" w:hAnsi="Arial" w:cs="Arial"/>
          <w:sz w:val="21"/>
          <w:szCs w:val="21"/>
          <w:lang w:val="fr-FR"/>
        </w:rPr>
        <w:fldChar w:fldCharType="separate"/>
      </w:r>
      <w:r w:rsidRPr="00DE5863">
        <w:rPr>
          <w:rFonts w:ascii="Arial" w:eastAsia="Arial" w:hAnsi="Arial" w:cs="Arial"/>
          <w:lang w:val="fr-FR"/>
        </w:rPr>
        <w:t>(Skeel &amp; Mallory, 2020 ; Watts et al., 2021)</w:t>
      </w:r>
      <w:r w:rsidRPr="00DE5863">
        <w:rPr>
          <w:rFonts w:ascii="Arial" w:hAnsi="Arial" w:cs="Arial"/>
          <w:sz w:val="21"/>
          <w:szCs w:val="21"/>
          <w:lang w:val="fr-FR"/>
        </w:rPr>
        <w:fldChar w:fldCharType="end"/>
      </w:r>
      <w:r w:rsidRPr="00DE5863">
        <w:rPr>
          <w:rFonts w:ascii="Arial" w:eastAsia="Arial" w:hAnsi="Arial" w:cs="Arial"/>
          <w:lang w:val="fr-FR"/>
        </w:rPr>
        <w:t xml:space="preserve">. De plus, toutes les populations qui passent la saison non-reproductrice sur la côte nord de l'Amérique du Sud migrent vers le nord à travers les Caraïbes et le Golfe du Mexique pour se poser principalement dans le sud-est et sur la côte du Golfe des États-Unis </w:t>
      </w:r>
      <w:r w:rsidRPr="00DE5863">
        <w:rPr>
          <w:rFonts w:ascii="Arial" w:hAnsi="Arial" w:cs="Arial"/>
          <w:sz w:val="21"/>
          <w:szCs w:val="21"/>
          <w:lang w:val="fr-FR"/>
        </w:rPr>
        <w:fldChar w:fldCharType="begin"/>
      </w:r>
      <w:r w:rsidRPr="00DE5863">
        <w:rPr>
          <w:rFonts w:ascii="Arial" w:hAnsi="Arial" w:cs="Arial"/>
          <w:sz w:val="21"/>
          <w:szCs w:val="21"/>
          <w:lang w:val="fr-FR"/>
        </w:rPr>
        <w:instrText xml:space="preserve"> ADDIN ZOTERO_ITEM CSL_CITATION {"citationID":"BITRMPvI","properties":{"formattedCitation":"(Sanders, Handmaker, Johnson, &amp; Senner, 2021; Watts et al., 2021; Watts &amp; Truitt, 2011)","plainCitation":"(Sanders, Handmaker, Johnson, &amp; Senner, 2021; Watts et al., 2021; Watts &amp; Truitt, 2011)","noteIndex":0},"citationItems":[{"id":749,"uris":["http://zotero.org/users/11283305/items/4MQAMLZ5"],"itemData":{"id":749,"type":"article-journal","container-title":"International Wader Study Group","DOI":"doi:10.18194/ws.002</w:instrText>
      </w:r>
      <w:r w:rsidRPr="00DE5863">
        <w:rPr>
          <w:rFonts w:ascii="Arial" w:hAnsi="Arial" w:cs="Arial"/>
          <w:sz w:val="21"/>
          <w:szCs w:val="21"/>
          <w:lang w:val="fr-FR"/>
        </w:rPr>
        <w:instrText>28","issue":"2","language":"en-US","note":"DOI: 10.18194/ws.00228","page":"117-124","title":"Nocturnal roost on South Carolina coast supports nearly half of Atlantic coast population of Hudsonian Whimbrel Numenius hudsonicus during northward migration","volume":"128","author":[{"family":"Sanders","given":"Felicia J"},{"family":"Handmaker","given":"Maina C"},{"family":"Johnson","given":"Andrew"},{"family":"Senner","given":"Nathan"}],"issued":{"date-parts":[["2021"]]}}},{"id":765,"uris":["http://zotero.org/us</w:instrText>
      </w:r>
      <w:r w:rsidRPr="00DE5863">
        <w:rPr>
          <w:rFonts w:ascii="Arial" w:hAnsi="Arial" w:cs="Arial"/>
          <w:sz w:val="21"/>
          <w:szCs w:val="21"/>
          <w:lang w:val="fr-FR"/>
        </w:rPr>
        <w:instrText>ers/11283305/items/QTEJB6VD"],"itemData":{"id":765,"type":"article-journal","abstract":"Many long-distance migratory birds use habitats that are scattered across continents and confront hazards throughout the annual cycle that may be population-limiting. Identifying where and when populations spend their time is fundamental to effective management. We tracked 34 adult whimbrels (Numenius phaeopus) from two breeding populations (Mackenzie Delta and Hudson Bay) with satellite transmitters to document the stru</w:instrText>
      </w:r>
      <w:r w:rsidRPr="00DE5863">
        <w:rPr>
          <w:rFonts w:ascii="Arial" w:hAnsi="Arial" w:cs="Arial"/>
          <w:sz w:val="21"/>
          <w:szCs w:val="21"/>
          <w:lang w:val="fr-FR"/>
        </w:rPr>
        <w:instrText>cture of their annual cycles. The two populations differed in their use of migratory pathways and their seasonal schedules. Mackenzie Delta whimbrels made long (22,800 km) loop migrations with different autumn and spring routes. Hudson Bay whimbrels made shorter (17,500 km) and more direct migrations along the same route during autumn and spring. The two populations overlap on the winter grounds and within one spring staging area. Mackenzie Delta whimbrels left the breeding ground, arrived on winter grounds</w:instrText>
      </w:r>
      <w:r w:rsidRPr="00DE5863">
        <w:rPr>
          <w:rFonts w:ascii="Arial" w:hAnsi="Arial" w:cs="Arial"/>
          <w:sz w:val="21"/>
          <w:szCs w:val="21"/>
          <w:lang w:val="fr-FR"/>
        </w:rPr>
        <w:instrText>, left winter grounds and arrived on spring staging areas earlier compared to whimbrels from Hudson Bay. For both populations, migration speed was significantly higher during spring compared to autumn migration. Faster migration was achieved by having fewer and shorter stopovers en route. We identified five migratory staging areas including four that were used during autumn and two that were used during spring. Whimbrels tracked for multiple years had high (98%) fidelity to staging areas. We documented doze</w:instrText>
      </w:r>
      <w:r w:rsidRPr="00DE5863">
        <w:rPr>
          <w:rFonts w:ascii="Arial" w:hAnsi="Arial" w:cs="Arial"/>
          <w:sz w:val="21"/>
          <w:szCs w:val="21"/>
          <w:lang w:val="fr-FR"/>
        </w:rPr>
        <w:instrText>ns of locations where birds stopped for short periods along nearly all migration routes. The consistent use of very few staging areas suggests that these areas are integral to the annual cycle of both populations and have high conservation value.","container-title":"PLoS ONE","DOI":"10.1371/journal.pone.0260339","ISSN":"1932-6203","issue":"12","journalAbbreviation":"PLoS One","note":"PMID: 34972114\nPMCID: PMC8719713","page":"e0260339","source":"PubMed Central","title":"The annual cycle for whimbrel populat</w:instrText>
      </w:r>
      <w:r w:rsidRPr="00DE5863">
        <w:rPr>
          <w:rFonts w:ascii="Arial" w:hAnsi="Arial" w:cs="Arial"/>
          <w:sz w:val="21"/>
          <w:szCs w:val="21"/>
          <w:lang w:val="fr-FR"/>
        </w:rPr>
        <w:instrText>ions using the Western Atlantic Flyway","volume":"16","author":[{"family":"Watts","given":"Bryan D."},{"family":"Smith","given":"Fletcher M."},{"family":"Hines","given":"Chance"},{"family":"Duval","given":"Laura"},{"family":"Hamilton","given":"Diana J."},{"family":"Keyes","given":"Tim"},{"family":"Paquet","given":"Julie"},{"family":"Pirie-Dominix","given":"Lisa"},{"family":"Rausch","given":"Jennie"},{"family":"Truitt","given":"Barry"},{"family":"Winn","given":"Brad"},{"family":"Woodard","given":"Paul"}],"is</w:instrText>
      </w:r>
      <w:r w:rsidRPr="00DE5863">
        <w:rPr>
          <w:rFonts w:ascii="Arial" w:hAnsi="Arial" w:cs="Arial"/>
          <w:sz w:val="21"/>
          <w:szCs w:val="21"/>
          <w:lang w:val="fr-FR"/>
        </w:rPr>
        <w:instrText>sued":{"date-parts":[["2021",12,31]]}}},{"id":1297,"uris":["http://zotero.org/users/11283305/items/GZMR9GRU"],"itemData":{"id":1297,"type":"article-journal","abstract":"Whimbrels (Numenius phaeopus) were monitored during spring migration across a network of ten aerial transects within the barrier island-lagoon system along the lower Delmarva Peninsula, Virginia, USA. Transects were surveyed weekly from the last week of April through the first week of June (1994–1996, 2008–2009). Whimbrel numbers increased t</w:instrText>
      </w:r>
      <w:r w:rsidRPr="00DE5863">
        <w:rPr>
          <w:rFonts w:ascii="Arial" w:hAnsi="Arial" w:cs="Arial"/>
          <w:sz w:val="21"/>
          <w:szCs w:val="21"/>
          <w:lang w:val="fr-FR"/>
        </w:rPr>
        <w:instrText>o a peak during the first and second weeks of May then decreased sharply during the third and fourth weeks of May in all years. Between the 1990's and 2000's, peak numbers declined by 50%, corresponding to a 4.2% annual rate of decline. A similar decline was detected in accumulated, season-wide numbers. Though similar in pattern, migration phenology was significantly different between the decades. The phenology difference resulted from a greater reduction in numbers during the first half of the study period</w:instrText>
      </w:r>
      <w:r w:rsidRPr="00DE5863">
        <w:rPr>
          <w:rFonts w:ascii="Arial" w:hAnsi="Arial" w:cs="Arial"/>
          <w:sz w:val="21"/>
          <w:szCs w:val="21"/>
          <w:lang w:val="fr-FR"/>
        </w:rPr>
        <w:instrText xml:space="preserve"> compared to the last. Habitats used by Whimbrels (N = 31,314) included mudflats (95%) and salt marshes (5%). Habitat-specific densities (birds/km2) were 443 ± 26.6 and 9 ± 1.6 (mean ± SE) for mudflat and marsh patches, respectively, during the 1990's and 222 ± 11.1 and 8 ± 4.6 during the 2000's. These results support suggestions that Whimbrels are declining on the Hudson Bay breeding grounds and perhaps at major Atlantic Coast wintering sites.","container-title":"Waterbirds","DOI":"10.1675/063.034.0308","I</w:instrText>
      </w:r>
      <w:r w:rsidRPr="00DE5863">
        <w:rPr>
          <w:rFonts w:ascii="Arial" w:hAnsi="Arial" w:cs="Arial"/>
          <w:sz w:val="21"/>
          <w:szCs w:val="21"/>
          <w:lang w:val="fr-FR"/>
        </w:rPr>
        <w:instrText xml:space="preserve">SSN":"1524-4695, 1938-5390","issue":"3","journalAbbreviation":"cowa","note":"publisher: The Waterbird Society","page":"347-351","source":"bioone.org","title":"Decline of Whimbrels within a Mid-Atlantic Staging Area (1994–2009)","volume":"34","author":[{"family":"Watts","given":"Bryan D."},{"family":"Truitt","given":"Barry R."}],"issued":{"date-parts":[["2011",9]]}}}],"schema":"https://github.com/citation-style-language/schema/raw/master/csl-citation.json"} </w:instrText>
      </w:r>
      <w:r w:rsidRPr="00DE5863">
        <w:rPr>
          <w:rFonts w:ascii="Arial" w:hAnsi="Arial" w:cs="Arial"/>
          <w:sz w:val="21"/>
          <w:szCs w:val="21"/>
          <w:lang w:val="fr-FR"/>
        </w:rPr>
        <w:fldChar w:fldCharType="separate"/>
      </w:r>
      <w:r w:rsidRPr="00DE5863">
        <w:rPr>
          <w:rFonts w:ascii="Arial" w:eastAsia="Arial" w:hAnsi="Arial" w:cs="Arial"/>
          <w:lang w:val="fr-FR"/>
        </w:rPr>
        <w:t>(Sanders et al., 2021 ; Watts et al., 2021 ; Watts &amp; Truitt, 2011)</w:t>
      </w:r>
      <w:r w:rsidRPr="00DE5863">
        <w:rPr>
          <w:rFonts w:ascii="Arial" w:hAnsi="Arial" w:cs="Arial"/>
          <w:sz w:val="21"/>
          <w:szCs w:val="21"/>
          <w:lang w:val="fr-FR"/>
        </w:rPr>
        <w:fldChar w:fldCharType="end"/>
      </w:r>
      <w:r w:rsidRPr="00DE5863">
        <w:rPr>
          <w:rFonts w:ascii="Arial" w:eastAsia="Arial" w:hAnsi="Arial" w:cs="Arial"/>
          <w:lang w:val="fr-FR"/>
        </w:rPr>
        <w:t>, ainsi que dans la Laguna Madre au Mexique. La plupart de ces individus proviennent des zones de reproduction de l'ouest du Canada et de l'Alaska (</w:t>
      </w:r>
      <w:proofErr w:type="spellStart"/>
      <w:r w:rsidRPr="00DE5863">
        <w:rPr>
          <w:rFonts w:ascii="Arial" w:eastAsia="Arial" w:hAnsi="Arial" w:cs="Arial"/>
          <w:lang w:val="fr-FR"/>
        </w:rPr>
        <w:t>Manomet</w:t>
      </w:r>
      <w:proofErr w:type="spellEnd"/>
      <w:r w:rsidRPr="00DE5863">
        <w:rPr>
          <w:rFonts w:ascii="Arial" w:eastAsia="Arial" w:hAnsi="Arial" w:cs="Arial"/>
          <w:lang w:val="fr-FR"/>
        </w:rPr>
        <w:t xml:space="preserve"> Conservation Sciences, données non publiées). Les migrateurs de la voie de migration du Pacifique se concentrent dans les régions côtières du Pérou et du Chili pendant la saison de non-reproduction (Figure 1). L'aire de non-reproduction actuelle des deux sous-populations de la voie de migration atlantique, englobe la côte nord de l'Amérique du Sud : Vene</w:t>
      </w:r>
      <w:r w:rsidRPr="00DE5863">
        <w:rPr>
          <w:rFonts w:ascii="Arial" w:eastAsia="Arial" w:hAnsi="Arial" w:cs="Arial"/>
          <w:lang w:val="fr-FR"/>
        </w:rPr>
        <w:t>zuela, Guyana, Suriname, Guyane française et nord du Brésil.</w:t>
      </w:r>
    </w:p>
    <w:p w14:paraId="5B11E8FF" w14:textId="77777777" w:rsidR="00A6618C" w:rsidRPr="00DE5863" w:rsidRDefault="00D1732A">
      <w:pPr>
        <w:autoSpaceDE w:val="0"/>
        <w:adjustRightInd w:val="0"/>
        <w:spacing w:after="0"/>
        <w:jc w:val="both"/>
        <w:rPr>
          <w:rFonts w:ascii="Arial" w:eastAsia="Arial" w:hAnsi="Arial" w:cs="Arial"/>
          <w:lang w:val="fr-FR"/>
        </w:rPr>
      </w:pPr>
      <w:r w:rsidRPr="00DE5863">
        <w:rPr>
          <w:noProof/>
          <w:lang w:val="fr-FR"/>
        </w:rPr>
        <w:drawing>
          <wp:inline distT="0" distB="0" distL="0" distR="0" wp14:anchorId="35531D7A" wp14:editId="509E97D4">
            <wp:extent cx="3924044" cy="4467225"/>
            <wp:effectExtent l="0" t="0" r="635" b="0"/>
            <wp:docPr id="1440602224" name="Imagem 1" descr="A map of the north and south americ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602224" name="Imagem 1" descr="A map of the north and south america&#10;&#10;AI-generated content may be incorrect."/>
                    <pic:cNvPicPr/>
                  </pic:nvPicPr>
                  <pic:blipFill rotWithShape="1">
                    <a:blip r:embed="rId16"/>
                    <a:srcRect t="17168" r="1624" b="3595"/>
                    <a:stretch/>
                  </pic:blipFill>
                  <pic:spPr bwMode="auto">
                    <a:xfrm>
                      <a:off x="0" y="0"/>
                      <a:ext cx="3927529" cy="4471193"/>
                    </a:xfrm>
                    <a:prstGeom prst="rect">
                      <a:avLst/>
                    </a:prstGeom>
                    <a:ln>
                      <a:noFill/>
                    </a:ln>
                    <a:extLst>
                      <a:ext uri="{53640926-AAD7-44D8-BBD7-CCE9431645EC}">
                        <a14:shadowObscured xmlns:a14="http://schemas.microsoft.com/office/drawing/2010/main"/>
                      </a:ext>
                    </a:extLst>
                  </pic:spPr>
                </pic:pic>
              </a:graphicData>
            </a:graphic>
          </wp:inline>
        </w:drawing>
      </w:r>
    </w:p>
    <w:p w14:paraId="592452DB" w14:textId="77777777" w:rsidR="00A6618C" w:rsidRPr="00DE5863" w:rsidRDefault="00D1732A">
      <w:pPr>
        <w:autoSpaceDE w:val="0"/>
        <w:adjustRightInd w:val="0"/>
        <w:spacing w:after="0"/>
        <w:jc w:val="both"/>
        <w:rPr>
          <w:rFonts w:ascii="Arial" w:eastAsia="Arial" w:hAnsi="Arial" w:cs="Arial"/>
          <w:sz w:val="20"/>
          <w:szCs w:val="20"/>
          <w:lang w:val="fr-FR"/>
        </w:rPr>
      </w:pPr>
      <w:r w:rsidRPr="00DE5863">
        <w:rPr>
          <w:rFonts w:ascii="Arial" w:eastAsia="Arial" w:hAnsi="Arial" w:cs="Arial"/>
          <w:b/>
          <w:bCs/>
          <w:sz w:val="20"/>
          <w:szCs w:val="20"/>
          <w:lang w:val="fr-FR"/>
        </w:rPr>
        <w:t>Figure 1.</w:t>
      </w:r>
      <w:r w:rsidRPr="00DE5863">
        <w:rPr>
          <w:rFonts w:ascii="Arial" w:eastAsia="Arial" w:hAnsi="Arial" w:cs="Arial"/>
          <w:sz w:val="20"/>
          <w:szCs w:val="20"/>
          <w:lang w:val="fr-FR"/>
        </w:rPr>
        <w:t xml:space="preserve"> Répartition géographique du courlis corlieu.</w:t>
      </w:r>
    </w:p>
    <w:p w14:paraId="618B7BB1" w14:textId="77777777" w:rsidR="00A6618C" w:rsidRPr="00DE5863" w:rsidRDefault="00A6618C">
      <w:pPr>
        <w:autoSpaceDE w:val="0"/>
        <w:adjustRightInd w:val="0"/>
        <w:spacing w:after="0"/>
        <w:jc w:val="both"/>
        <w:rPr>
          <w:rFonts w:ascii="Arial" w:eastAsia="Arial" w:hAnsi="Arial" w:cs="Arial"/>
          <w:sz w:val="20"/>
          <w:szCs w:val="20"/>
          <w:lang w:val="fr-FR"/>
        </w:rPr>
      </w:pPr>
    </w:p>
    <w:p w14:paraId="3F1510DD" w14:textId="77777777" w:rsidR="00A6618C" w:rsidRPr="00DE5863" w:rsidRDefault="00D1732A">
      <w:pPr>
        <w:autoSpaceDE w:val="0"/>
        <w:adjustRightInd w:val="0"/>
        <w:spacing w:after="0"/>
        <w:jc w:val="both"/>
        <w:rPr>
          <w:rFonts w:ascii="Arial" w:eastAsia="Arial" w:hAnsi="Arial" w:cs="Arial"/>
          <w:lang w:val="fr-FR"/>
        </w:rPr>
      </w:pPr>
      <w:r w:rsidRPr="00DE5863">
        <w:rPr>
          <w:rFonts w:ascii="Arial" w:eastAsia="Arial" w:hAnsi="Arial" w:cs="Arial"/>
          <w:lang w:val="fr-FR"/>
        </w:rPr>
        <w:t xml:space="preserve">Il existe cependant des preuves d'une réduction de la répartition de la reproduction de cette sous-espèce le long de la baie d'Hudson. La densité de nidification a diminué dans une zone historiquement importante, où certaines des plus fortes densités de nidification du courlis corlieu avaient été rapportées au milieu des années 1970, coïncidant avec une tendance au réchauffement climatique et des changements significatifs de l’habitat </w:t>
      </w:r>
      <w:r w:rsidRPr="00DE5863">
        <w:rPr>
          <w:rFonts w:ascii="Arial" w:hAnsi="Arial" w:cs="Arial"/>
          <w:sz w:val="21"/>
          <w:szCs w:val="21"/>
          <w:lang w:val="fr-FR"/>
        </w:rPr>
        <w:fldChar w:fldCharType="begin"/>
      </w:r>
      <w:r w:rsidRPr="00DE5863">
        <w:rPr>
          <w:rFonts w:ascii="Arial" w:hAnsi="Arial" w:cs="Arial"/>
          <w:sz w:val="21"/>
          <w:szCs w:val="21"/>
          <w:lang w:val="fr-FR"/>
        </w:rPr>
        <w:instrText xml:space="preserve"> ADDIN ZOTERO_ITEM CSL_CITATION {"citationID":"MPMFFhut","properties":{"formattedCitation":"(Ballantyne &amp; Nol, 2015)","plainCitation":"(Ballantyne &amp; Nol, 2015)","noteIndex":0},"citationItems":[{"id":1282,"uris":["http://zotero.org/users/11283305/items/YKIS8WA7"],"itemData":{"id":1282,"type":"article-journal","abstract":"Whimbrels (Numenius phaeopus) are large shorebirds that breed in two geographically disjunct regions in the North American Subarctic and Arctic. Since the early 1970s, the nesting distributi</w:instrText>
      </w:r>
      <w:r w:rsidRPr="00DE5863">
        <w:rPr>
          <w:rFonts w:ascii="Arial" w:hAnsi="Arial" w:cs="Arial"/>
          <w:sz w:val="21"/>
          <w:szCs w:val="21"/>
          <w:lang w:val="fr-FR"/>
        </w:rPr>
        <w:instrText>on of Whimbrels in the Subarctic near Churchill, Manitoba, Canada has changed, and an area of historic breeding importance was no longer used as nesting habitat in 2008. We compared aerial photography of the 2.55 km2 area from 1973 to 1986, to high-resolution satellite imagery from 2006 to assess structural habitat change. Comparison of the three time-period imagery showed that over the 33-year span shrubs and trees increased in cover by 12.6 and 6.9 %, respectively, whereas other vegetation, including lich</w:instrText>
      </w:r>
      <w:r w:rsidRPr="00DE5863">
        <w:rPr>
          <w:rFonts w:ascii="Arial" w:hAnsi="Arial" w:cs="Arial"/>
          <w:sz w:val="21"/>
          <w:szCs w:val="21"/>
          <w:lang w:val="fr-FR"/>
        </w:rPr>
        <w:instrText>en, decreased by 19.1 %. This localized evidence of shrub and tree encroachment is accompanied by a decline in Whimbrel nesting densities from 17–19 pairs (max. 7.45 pairs/km2) in 1973 and 1974, to 1–2 pairs (max. 0.78 pairs/km2) in 2007, and 0 pairs in 2008. Change in vegetation structure has important implications for the long-term viability of Subarctic and Arctic breeding shorebird populations.","container-title":"Polar Biology","DOI":"10.1007/s00300-014-1615-6","ISSN":"1432-2056","issue":"4","journalAb</w:instrText>
      </w:r>
      <w:r w:rsidRPr="00DE5863">
        <w:rPr>
          <w:rFonts w:ascii="Arial" w:hAnsi="Arial" w:cs="Arial"/>
          <w:sz w:val="21"/>
          <w:szCs w:val="21"/>
          <w:lang w:val="fr-FR"/>
        </w:rPr>
        <w:instrText xml:space="preserve">breviation":"Polar Biol","language":"en","page":"529-537","source":"Springer Link","title":"Localized habitat change near Churchill, Manitoba and the decline of nesting Whimbrels (Numenius phaeopus)","volume":"38","author":[{"family":"Ballantyne","given":"Kate"},{"family":"Nol","given":"Erica"}],"issued":{"date-parts":[["2015",4,1]]}}}],"schema":"https://github.com/citation-style-language/schema/raw/master/csl-citation.json"} </w:instrText>
      </w:r>
      <w:r w:rsidRPr="00DE5863">
        <w:rPr>
          <w:rFonts w:ascii="Arial" w:hAnsi="Arial" w:cs="Arial"/>
          <w:sz w:val="21"/>
          <w:szCs w:val="21"/>
          <w:lang w:val="fr-FR"/>
        </w:rPr>
        <w:fldChar w:fldCharType="separate"/>
      </w:r>
      <w:r w:rsidRPr="00DE5863">
        <w:rPr>
          <w:rFonts w:ascii="Arial" w:eastAsia="Arial" w:hAnsi="Arial" w:cs="Arial"/>
          <w:lang w:val="fr-FR"/>
        </w:rPr>
        <w:t>(Ballantyne &amp; Nol, 2015)</w:t>
      </w:r>
      <w:r w:rsidRPr="00DE5863">
        <w:rPr>
          <w:rFonts w:ascii="Arial" w:hAnsi="Arial" w:cs="Arial"/>
          <w:sz w:val="21"/>
          <w:szCs w:val="21"/>
          <w:lang w:val="fr-FR"/>
        </w:rPr>
        <w:fldChar w:fldCharType="end"/>
      </w:r>
      <w:r w:rsidRPr="00DE5863">
        <w:rPr>
          <w:rFonts w:ascii="Arial" w:eastAsia="Arial" w:hAnsi="Arial" w:cs="Arial"/>
          <w:lang w:val="fr-FR"/>
        </w:rPr>
        <w:t>.</w:t>
      </w:r>
    </w:p>
    <w:p w14:paraId="2634C6C7" w14:textId="77777777" w:rsidR="00A6618C" w:rsidRPr="00DE5863" w:rsidRDefault="00A6618C">
      <w:pPr>
        <w:spacing w:after="0"/>
        <w:jc w:val="both"/>
        <w:rPr>
          <w:rFonts w:ascii="Arial" w:hAnsi="Arial" w:cs="Arial"/>
          <w:lang w:val="fr-FR"/>
        </w:rPr>
      </w:pPr>
    </w:p>
    <w:p w14:paraId="51BA87A0" w14:textId="77777777" w:rsidR="00A6618C" w:rsidRPr="00DE5863" w:rsidRDefault="00D1732A">
      <w:pPr>
        <w:spacing w:after="0"/>
        <w:ind w:left="567" w:hanging="540"/>
        <w:jc w:val="both"/>
        <w:rPr>
          <w:rFonts w:ascii="Arial" w:hAnsi="Arial" w:cs="Arial"/>
          <w:lang w:val="fr-FR"/>
        </w:rPr>
      </w:pPr>
      <w:r w:rsidRPr="00DE5863">
        <w:rPr>
          <w:rFonts w:ascii="Arial" w:hAnsi="Arial" w:cs="Arial"/>
          <w:lang w:val="fr-FR"/>
        </w:rPr>
        <w:lastRenderedPageBreak/>
        <w:t>4.2</w:t>
      </w:r>
      <w:r w:rsidRPr="00DE5863">
        <w:rPr>
          <w:rFonts w:ascii="Arial" w:hAnsi="Arial" w:cs="Arial"/>
          <w:lang w:val="fr-FR"/>
        </w:rPr>
        <w:tab/>
        <w:t>Population (estimations et tendances)</w:t>
      </w:r>
    </w:p>
    <w:p w14:paraId="7BF1DBF7" w14:textId="77777777" w:rsidR="00A6618C" w:rsidRPr="00DE5863" w:rsidRDefault="00A6618C">
      <w:pPr>
        <w:spacing w:after="0"/>
        <w:jc w:val="both"/>
        <w:rPr>
          <w:rFonts w:ascii="Arial" w:hAnsi="Arial" w:cs="Arial"/>
          <w:lang w:val="fr-FR"/>
        </w:rPr>
      </w:pPr>
    </w:p>
    <w:p w14:paraId="08908094" w14:textId="77777777" w:rsidR="00A6618C" w:rsidRPr="00DE5863" w:rsidRDefault="00D1732A">
      <w:pPr>
        <w:autoSpaceDE w:val="0"/>
        <w:adjustRightInd w:val="0"/>
        <w:spacing w:after="0"/>
        <w:jc w:val="both"/>
        <w:rPr>
          <w:rFonts w:ascii="Arial" w:eastAsia="Arial" w:hAnsi="Arial" w:cs="Arial"/>
          <w:lang w:val="fr-FR"/>
        </w:rPr>
      </w:pPr>
      <w:r w:rsidRPr="00DE5863">
        <w:rPr>
          <w:rFonts w:ascii="Arial" w:eastAsia="Arial" w:hAnsi="Arial" w:cs="Arial"/>
          <w:lang w:val="fr-FR"/>
        </w:rPr>
        <w:t xml:space="preserve">La dernière estimation pour l’ensemble de la (sous-)espèce est de 40 000 individus pour la sous-population de la voie de migration pacifique et de 40 000 individus pour les sous-populations de la voie de migration atlantique ; la taille totale de la population du courlis corlieu est donc estimée à 80 000 individus </w:t>
      </w:r>
      <w:r w:rsidRPr="00DE5863">
        <w:rPr>
          <w:rFonts w:ascii="Arial" w:hAnsi="Arial" w:cs="Arial"/>
          <w:sz w:val="21"/>
          <w:szCs w:val="21"/>
          <w:lang w:val="fr-FR"/>
        </w:rPr>
        <w:fldChar w:fldCharType="begin"/>
      </w:r>
      <w:r w:rsidRPr="00DE5863">
        <w:rPr>
          <w:rFonts w:ascii="Arial" w:hAnsi="Arial" w:cs="Arial"/>
          <w:sz w:val="21"/>
          <w:szCs w:val="21"/>
          <w:lang w:val="fr-FR"/>
        </w:rPr>
        <w:instrText xml:space="preserve"> ADDIN ZOTERO_ITEM CSL_CITATION {"citationID":"F3YUmjeg","properties":{"formattedCitation":"(Andres et al., 2012)","plainCitation":"(Andres et al., 2012)","noteIndex":0},"citationItems":[{"id":1280,"uris":["http://zotero.org/users/11283305/items/LRENLANH"],"itemData":{"id":1280,"type":"article-journal","container-title":"Wader Study Group Bulletin","issue":"3","page":"178-194","title":"Population estimates of North American shorebirds, 2012","volume":"119","author":[{"family":"Andres","given":"Brad"},{"fami</w:instrText>
      </w:r>
      <w:r w:rsidRPr="00DE5863">
        <w:rPr>
          <w:rFonts w:ascii="Arial" w:hAnsi="Arial" w:cs="Arial"/>
          <w:sz w:val="21"/>
          <w:szCs w:val="21"/>
          <w:lang w:val="fr-FR"/>
        </w:rPr>
        <w:instrText xml:space="preserve">ly":"Smith","given":"Paul A."},{"family":"Morrison","given":"R I Guy"},{"family":"Gratto-Trevor","given":"Cheri"},{"family":"Brown","given":"Stephen"},{"family":"Friis","given":"Christian"}],"issued":{"date-parts":[["2012"]]}}}],"schema":"https://github.com/citation-style-language/schema/raw/master/csl-citation.json"} </w:instrText>
      </w:r>
      <w:r w:rsidRPr="00DE5863">
        <w:rPr>
          <w:rFonts w:ascii="Arial" w:hAnsi="Arial" w:cs="Arial"/>
          <w:sz w:val="21"/>
          <w:szCs w:val="21"/>
          <w:lang w:val="fr-FR"/>
        </w:rPr>
        <w:fldChar w:fldCharType="separate"/>
      </w:r>
      <w:r w:rsidRPr="00DE5863">
        <w:rPr>
          <w:rFonts w:ascii="Arial" w:eastAsia="Arial" w:hAnsi="Arial" w:cs="Arial"/>
          <w:lang w:val="fr-FR"/>
        </w:rPr>
        <w:t>(Andres et al., 2012)</w:t>
      </w:r>
      <w:r w:rsidRPr="00DE5863">
        <w:rPr>
          <w:rFonts w:ascii="Arial" w:hAnsi="Arial" w:cs="Arial"/>
          <w:sz w:val="21"/>
          <w:szCs w:val="21"/>
          <w:lang w:val="fr-FR"/>
        </w:rPr>
        <w:fldChar w:fldCharType="end"/>
      </w:r>
      <w:r w:rsidRPr="00DE5863">
        <w:rPr>
          <w:rFonts w:ascii="Arial" w:eastAsia="Arial" w:hAnsi="Arial" w:cs="Arial"/>
          <w:lang w:val="fr-FR"/>
        </w:rPr>
        <w:t xml:space="preserve">. En plus de cette faible taille de population, il a été estimé que la population du courlis corlieu a décliné d’environ 70 % au cours des trois dernières générations </w:t>
      </w:r>
      <w:r w:rsidRPr="00DE5863">
        <w:rPr>
          <w:rFonts w:ascii="Arial" w:hAnsi="Arial" w:cs="Arial"/>
          <w:sz w:val="21"/>
          <w:szCs w:val="21"/>
          <w:lang w:val="fr-FR"/>
        </w:rPr>
        <w:fldChar w:fldCharType="begin"/>
      </w:r>
      <w:r w:rsidRPr="00DE5863">
        <w:rPr>
          <w:rFonts w:ascii="Arial" w:hAnsi="Arial" w:cs="Arial"/>
          <w:sz w:val="21"/>
          <w:szCs w:val="21"/>
          <w:lang w:val="fr-FR"/>
        </w:rPr>
        <w:instrText xml:space="preserve"> ADDIN ZOTERO_ITEM CSL_CITATION {"citationID":"YFr1iOyD","properties":{"formattedCitation":"(Smith et al., 2023)","plainCitation":"(Smith et al., 2023)","noteIndex":0},"citationItems":[{"id":378,"uris":["http://zotero.org/users/11283305/items/UFZ9SKSC"],"itemData":{"id":378,"type":"article-journal","abstract":"Shorebirds are declining to a greater extent than many other avian taxa around the world. In North America, shorebirds, along with aerial insectivores and grassland birds, have some of the highest pro</w:instrText>
      </w:r>
      <w:r w:rsidRPr="00DE5863">
        <w:rPr>
          <w:rFonts w:ascii="Arial" w:hAnsi="Arial" w:cs="Arial"/>
          <w:sz w:val="21"/>
          <w:szCs w:val="21"/>
          <w:lang w:val="fr-FR"/>
        </w:rPr>
        <w:instrText>portions of declining species of any group. Here, we apply a new hierarchical Bayesian model to analyze shorebird migration monitoring data from across North America, from 1980 to 2019, and present the most recent available estimates of trends for 28 species. Point estimates for survey-wide trends in abundance were negative for 26 of 28 species (93%). Despite challenges with low precision associated with migration count data, trends for 19 species had 95% credible intervals that were entirely negative. More</w:instrText>
      </w:r>
      <w:r w:rsidRPr="00DE5863">
        <w:rPr>
          <w:rFonts w:ascii="Arial" w:hAnsi="Arial" w:cs="Arial"/>
          <w:sz w:val="21"/>
          <w:szCs w:val="21"/>
          <w:lang w:val="fr-FR"/>
        </w:rPr>
        <w:instrText xml:space="preserve"> than half of the species were estimated to have lost &amp;gt;50% of their abundance. Furthermore, estimated rates of decline have accelerated during the last three generations for most species. Point estimates of trend were more negative for 18 species (64%) during the most recent three-generation period in comparison to the previous three-generation period. Many species now exceed international criteria for threatened species listing. The analytic approach used here allows us to model regional variation in tr</w:instrText>
      </w:r>
      <w:r w:rsidRPr="00DE5863">
        <w:rPr>
          <w:rFonts w:ascii="Arial" w:hAnsi="Arial" w:cs="Arial"/>
          <w:sz w:val="21"/>
          <w:szCs w:val="21"/>
          <w:lang w:val="fr-FR"/>
        </w:rPr>
        <w:instrText xml:space="preserve">ends, although survey coverage and strength of inference were greatest in the eastern portions of North America (east of 100°W). We found the greatest declines at staging sites along the Atlantic Coast from North Carolina to Nova Scotia, and lesser declines along the Gulf Coast and in the midcontinental United States. The declines in shorebird populations reported here are worrisome and signal the urgent need for conservation action. In addition, it would be beneficial to validate these results through the </w:instrText>
      </w:r>
      <w:r w:rsidRPr="00DE5863">
        <w:rPr>
          <w:rFonts w:ascii="Arial" w:hAnsi="Arial" w:cs="Arial"/>
          <w:sz w:val="21"/>
          <w:szCs w:val="21"/>
          <w:lang w:val="fr-FR"/>
        </w:rPr>
        <w:instrText>collection and analysis of complementary data, and to initiate demographic studies throughout the annual cycle to determine where and when declines are most likely to originate. This improved information will allow for the development of more targeted efforts to reverse declines through conservation action.• Surveys of North American shorebirds during fall migration, carried out largely by volunteers, are used to monitor trends in the abundance of their populations.• Between 1980 and 2019, 26 of the 28 shor</w:instrText>
      </w:r>
      <w:r w:rsidRPr="00DE5863">
        <w:rPr>
          <w:rFonts w:ascii="Arial" w:hAnsi="Arial" w:cs="Arial"/>
          <w:sz w:val="21"/>
          <w:szCs w:val="21"/>
          <w:lang w:val="fr-FR"/>
        </w:rPr>
        <w:instrText>ebird species analyzed were found to be declining with more than half of the species losing more than half of their abundance.• Declines were greatest along the Atlantic coast from Nova Scotia to North Carolina, and less severe along the Gulf coast and in the Midcontinent.• Declines are worsening in recent years. These large and accelerating declines mean that many species now exceed international criteria for threatened species listing.• Urgent conservation action is needed to slow and eventually reverse d</w:instrText>
      </w:r>
      <w:r w:rsidRPr="00DE5863">
        <w:rPr>
          <w:rFonts w:ascii="Arial" w:hAnsi="Arial" w:cs="Arial"/>
          <w:sz w:val="21"/>
          <w:szCs w:val="21"/>
          <w:lang w:val="fr-FR"/>
        </w:rPr>
        <w:instrText>eclines. Targeted research, and in particular studies of survival throughout the year, could help to pinpoint where shorebirds are most strongly impacted, so that conservation attention can be focused where it is most needed.","container-title":"Ornithological Applications","DOI":"10.1093/ornithapp/duad003","ISSN":"0010-5422","issue":"2","journalAbbreviation":"Ornithological Applications","page":"duad003","source":"Silverchair","title":"Accelerating declines of North America’s shorebirds signal the need for</w:instrText>
      </w:r>
      <w:r w:rsidRPr="00DE5863">
        <w:rPr>
          <w:rFonts w:ascii="Arial" w:hAnsi="Arial" w:cs="Arial"/>
          <w:sz w:val="21"/>
          <w:szCs w:val="21"/>
          <w:lang w:val="fr-FR"/>
        </w:rPr>
        <w:instrText xml:space="preserve"> urgent conservation action","volume":"125","author":[{"family":"Smith","given":"Paul A"},{"family":"Smith","given":"Adam C"},{"family":"Andres","given":"Brad"},{"family":"Francis","given":"Charles M"},{"family":"Harrington","given":"Brian"},{"family":"Friis","given":"Christian"},{"family":"Morrison","given":"R I Guy"},{"family":"Paquet","given":"Julie"},{"family":"Winn","given":"Brad"},{"family":"Brown","given":"Stephen"}],"issued":{"date-parts":[["2023",5,1]]}}}],"schema":"https://github.com/citation-styl</w:instrText>
      </w:r>
      <w:r w:rsidRPr="00DE5863">
        <w:rPr>
          <w:rFonts w:ascii="Arial" w:hAnsi="Arial" w:cs="Arial"/>
          <w:sz w:val="21"/>
          <w:szCs w:val="21"/>
          <w:lang w:val="fr-FR"/>
        </w:rPr>
        <w:instrText xml:space="preserve">e-language/schema/raw/master/csl-citation.json"} </w:instrText>
      </w:r>
      <w:r w:rsidRPr="00DE5863">
        <w:rPr>
          <w:rFonts w:ascii="Arial" w:hAnsi="Arial" w:cs="Arial"/>
          <w:sz w:val="21"/>
          <w:szCs w:val="21"/>
          <w:lang w:val="fr-FR"/>
        </w:rPr>
        <w:fldChar w:fldCharType="separate"/>
      </w:r>
      <w:r w:rsidRPr="00DE5863">
        <w:rPr>
          <w:rFonts w:ascii="Arial" w:eastAsia="Arial" w:hAnsi="Arial" w:cs="Arial"/>
          <w:lang w:val="fr-FR"/>
        </w:rPr>
        <w:t>(Smith et al., 2023)</w:t>
      </w:r>
      <w:r w:rsidRPr="00DE5863">
        <w:rPr>
          <w:rFonts w:ascii="Arial" w:hAnsi="Arial" w:cs="Arial"/>
          <w:sz w:val="21"/>
          <w:szCs w:val="21"/>
          <w:lang w:val="fr-FR"/>
        </w:rPr>
        <w:fldChar w:fldCharType="end"/>
      </w:r>
      <w:r w:rsidRPr="00DE5863">
        <w:rPr>
          <w:rFonts w:ascii="Arial" w:eastAsia="Arial" w:hAnsi="Arial" w:cs="Arial"/>
          <w:lang w:val="fr-FR"/>
        </w:rPr>
        <w:t>. Comparée à la période des trois générations précédente, l’ampleur du déclin s’est accrue.</w:t>
      </w:r>
    </w:p>
    <w:p w14:paraId="2AA16C55" w14:textId="77777777" w:rsidR="00A6618C" w:rsidRPr="00DE5863" w:rsidRDefault="00A6618C">
      <w:pPr>
        <w:autoSpaceDE w:val="0"/>
        <w:adjustRightInd w:val="0"/>
        <w:spacing w:after="0"/>
        <w:jc w:val="both"/>
        <w:rPr>
          <w:rFonts w:ascii="Arial" w:eastAsia="Arial" w:hAnsi="Arial" w:cs="Arial"/>
          <w:lang w:val="fr-FR"/>
        </w:rPr>
      </w:pPr>
    </w:p>
    <w:p w14:paraId="0DC5C60F" w14:textId="77777777" w:rsidR="00A6618C" w:rsidRPr="00DE5863" w:rsidRDefault="00D1732A">
      <w:pPr>
        <w:autoSpaceDE w:val="0"/>
        <w:adjustRightInd w:val="0"/>
        <w:spacing w:after="0"/>
        <w:jc w:val="both"/>
        <w:rPr>
          <w:rFonts w:ascii="Arial" w:eastAsia="Arial" w:hAnsi="Arial" w:cs="Arial"/>
          <w:lang w:val="fr-FR"/>
        </w:rPr>
      </w:pPr>
      <w:r w:rsidRPr="00DE5863">
        <w:rPr>
          <w:rFonts w:ascii="Arial" w:eastAsia="Arial" w:hAnsi="Arial" w:cs="Arial"/>
          <w:lang w:val="fr-FR"/>
        </w:rPr>
        <w:t xml:space="preserve">Smith et al. (2023) ont obtenu la durée de génération – l’âge moyen des parents de la cohorte actuelle – pour le courlis (6,46 ans) à partir de Bird et al. (2020), ce qui correspond à une période de trois générations équivalente à 19,38 ans. Smith et al. (2023) ont estimé la tendance en utilisant les données de comptage de l'International </w:t>
      </w:r>
      <w:proofErr w:type="spellStart"/>
      <w:r w:rsidRPr="00DE5863">
        <w:rPr>
          <w:rFonts w:ascii="Arial" w:eastAsia="Arial" w:hAnsi="Arial" w:cs="Arial"/>
          <w:lang w:val="fr-FR"/>
        </w:rPr>
        <w:t>Shorebird</w:t>
      </w:r>
      <w:proofErr w:type="spellEnd"/>
      <w:r w:rsidRPr="00DE5863">
        <w:rPr>
          <w:rFonts w:ascii="Arial" w:eastAsia="Arial" w:hAnsi="Arial" w:cs="Arial"/>
          <w:lang w:val="fr-FR"/>
        </w:rPr>
        <w:t xml:space="preserve"> Survey (ISS), de l'Atlantic Canada </w:t>
      </w:r>
      <w:proofErr w:type="spellStart"/>
      <w:r w:rsidRPr="00DE5863">
        <w:rPr>
          <w:rFonts w:ascii="Arial" w:eastAsia="Arial" w:hAnsi="Arial" w:cs="Arial"/>
          <w:lang w:val="fr-FR"/>
        </w:rPr>
        <w:t>Shorebird</w:t>
      </w:r>
      <w:proofErr w:type="spellEnd"/>
      <w:r w:rsidRPr="00DE5863">
        <w:rPr>
          <w:rFonts w:ascii="Arial" w:eastAsia="Arial" w:hAnsi="Arial" w:cs="Arial"/>
          <w:lang w:val="fr-FR"/>
        </w:rPr>
        <w:t xml:space="preserve"> Survey (ACSS) et de l'Ontario </w:t>
      </w:r>
      <w:proofErr w:type="spellStart"/>
      <w:r w:rsidRPr="00DE5863">
        <w:rPr>
          <w:rFonts w:ascii="Arial" w:eastAsia="Arial" w:hAnsi="Arial" w:cs="Arial"/>
          <w:lang w:val="fr-FR"/>
        </w:rPr>
        <w:t>Shorebird</w:t>
      </w:r>
      <w:proofErr w:type="spellEnd"/>
      <w:r w:rsidRPr="00DE5863">
        <w:rPr>
          <w:rFonts w:ascii="Arial" w:eastAsia="Arial" w:hAnsi="Arial" w:cs="Arial"/>
          <w:lang w:val="fr-FR"/>
        </w:rPr>
        <w:t xml:space="preserve"> Survey (OSS). Bien que ces comptages couvrent à la fois les voies de migration pacifique et atlantique dans les Amériques, l’effort du comptage est plus important dans le nord-est des États-Unis et le Canada atlantique, car ce sont les régions où ces programmes de comptage bénévoles ont été initiés. Par conséquent, cette estimation de tendance peut être considérée comme plus représentative des deux populations de </w:t>
      </w:r>
      <w:r w:rsidRPr="00DE5863">
        <w:rPr>
          <w:rFonts w:ascii="Arial" w:eastAsia="Arial" w:hAnsi="Arial" w:cs="Arial"/>
          <w:lang w:val="fr-FR"/>
        </w:rPr>
        <w:t>courlis corlieu de la voie de migration atlantique. Cependant, une analyse récente de dix années de comptage d'oiseaux de rivage en période non reproductrice dans la voie de migration pacifique a également indiqué un déclin significatif de la population (Reiter et al. sous presse).</w:t>
      </w:r>
    </w:p>
    <w:p w14:paraId="774BE45E" w14:textId="77777777" w:rsidR="00A6618C" w:rsidRPr="00DE5863" w:rsidRDefault="00A6618C">
      <w:pPr>
        <w:autoSpaceDE w:val="0"/>
        <w:adjustRightInd w:val="0"/>
        <w:spacing w:after="0"/>
        <w:jc w:val="both"/>
        <w:rPr>
          <w:rFonts w:ascii="Arial" w:eastAsia="Arial" w:hAnsi="Arial" w:cs="Arial"/>
          <w:lang w:val="fr-FR"/>
        </w:rPr>
      </w:pPr>
    </w:p>
    <w:p w14:paraId="3584EFD2" w14:textId="77777777" w:rsidR="00A6618C" w:rsidRPr="00DE5863" w:rsidRDefault="00D1732A">
      <w:pPr>
        <w:autoSpaceDE w:val="0"/>
        <w:adjustRightInd w:val="0"/>
        <w:spacing w:after="0"/>
        <w:jc w:val="both"/>
        <w:rPr>
          <w:rFonts w:ascii="Arial" w:eastAsia="Arial" w:hAnsi="Arial" w:cs="Arial"/>
          <w:lang w:val="fr-FR"/>
        </w:rPr>
      </w:pPr>
      <w:r w:rsidRPr="00DE5863">
        <w:rPr>
          <w:rFonts w:ascii="Arial" w:eastAsia="Arial" w:hAnsi="Arial" w:cs="Arial"/>
          <w:lang w:val="fr-FR"/>
        </w:rPr>
        <w:t xml:space="preserve">Conformément à l’estimation mise à jour fournie par Smith et al. (2023), une évaluation antérieure de la population avait déjà révélé un déclin du courlis corlieu remontant aux années 1970-1980 </w:t>
      </w:r>
      <w:r w:rsidRPr="00DE5863">
        <w:rPr>
          <w:rFonts w:ascii="Arial" w:hAnsi="Arial" w:cs="Arial"/>
          <w:sz w:val="21"/>
          <w:szCs w:val="21"/>
          <w:lang w:val="fr-FR"/>
        </w:rPr>
        <w:fldChar w:fldCharType="begin"/>
      </w:r>
      <w:r w:rsidRPr="00DE5863">
        <w:rPr>
          <w:rFonts w:ascii="Arial" w:hAnsi="Arial" w:cs="Arial"/>
          <w:sz w:val="21"/>
          <w:szCs w:val="21"/>
          <w:lang w:val="fr-FR"/>
        </w:rPr>
        <w:instrText xml:space="preserve"> ADDIN ZOTERO_ITEM CSL_CITATION {"citationID":"c1t8e9zB","properties":{"formattedCitation":"(Howe, Geissler, &amp; Harrington, 1989)","plainCitation":"(Howe, Geissler, &amp; Harrington, 1989)","noteIndex":0},"citationItems":[{"id":1310,"uris":["http://zotero.org/users/11283305/items/THJFFQ4D"],"itemData":{"id":1310,"type":"article-journal","abstract":"Shorebirds Charadrii are prime candidates for population decline because of their dependence on wetlands that are being lost at a rapid pace. Thirty-six of the 49 spe</w:instrText>
      </w:r>
      <w:r w:rsidRPr="00DE5863">
        <w:rPr>
          <w:rFonts w:ascii="Arial" w:hAnsi="Arial" w:cs="Arial"/>
          <w:sz w:val="21"/>
          <w:szCs w:val="21"/>
          <w:lang w:val="fr-FR"/>
        </w:rPr>
        <w:instrText>cies of shorebirds that breed in North America spend most of the year in Latin America. Because populations of most species breed and winter at remote sites, it may be most feasible to monitor their numbers at migration stopovers. In this study, we used statistical trend analysis methods, developed for the North America Breeding Bird Survey, to analyze data on shorebird populations during southbound migration in the United States. Survey data were collected by volunteers in the International Shorebird Surve</w:instrText>
      </w:r>
      <w:r w:rsidRPr="00DE5863">
        <w:rPr>
          <w:rFonts w:ascii="Arial" w:hAnsi="Arial" w:cs="Arial"/>
          <w:sz w:val="21"/>
          <w:szCs w:val="21"/>
          <w:lang w:val="fr-FR"/>
        </w:rPr>
        <w:instrText>y (ISS). The analyses indicate that whimbrels Numenius phaeopus, short-billed dowitchers Limnodromus griseus, and sanderlings Calidris alba have undergone statistically significant declines. Methodological concerns over both the ISS and the trend analysis procedures are discussed in detail and biological interpretations of the results are suggested.","container-title":"Biological Conservation","DOI":"10.1016/0006-3207(89)90035-9","ISSN":"0006-3207","issue":"3","journalAbbreviation":"Biological Conservation"</w:instrText>
      </w:r>
      <w:r w:rsidRPr="00DE5863">
        <w:rPr>
          <w:rFonts w:ascii="Arial" w:hAnsi="Arial" w:cs="Arial"/>
          <w:sz w:val="21"/>
          <w:szCs w:val="21"/>
          <w:lang w:val="fr-FR"/>
        </w:rPr>
        <w:instrText xml:space="preserve">,"page":"185-199","source":"ScienceDirect","title":"Population trends of North American shorebirds based on the International Shorebird Survey","volume":"49","author":[{"family":"Howe","given":"Marshall A."},{"family":"Geissler","given":"Paul H."},{"family":"Harrington","given":"Brian A."}],"issued":{"date-parts":[["1989",1,1]]}}}],"schema":"https://github.com/citation-style-language/schema/raw/master/csl-citation.json"} </w:instrText>
      </w:r>
      <w:r w:rsidRPr="00DE5863">
        <w:rPr>
          <w:rFonts w:ascii="Arial" w:hAnsi="Arial" w:cs="Arial"/>
          <w:sz w:val="21"/>
          <w:szCs w:val="21"/>
          <w:lang w:val="fr-FR"/>
        </w:rPr>
        <w:fldChar w:fldCharType="separate"/>
      </w:r>
      <w:r w:rsidRPr="00DE5863">
        <w:rPr>
          <w:rFonts w:ascii="Arial" w:eastAsia="Arial" w:hAnsi="Arial" w:cs="Arial"/>
          <w:lang w:val="fr-FR"/>
        </w:rPr>
        <w:t>(Howe et al., 1989)</w:t>
      </w:r>
      <w:r w:rsidRPr="00DE5863">
        <w:rPr>
          <w:rFonts w:ascii="Arial" w:hAnsi="Arial" w:cs="Arial"/>
          <w:sz w:val="21"/>
          <w:szCs w:val="21"/>
          <w:lang w:val="fr-FR"/>
        </w:rPr>
        <w:fldChar w:fldCharType="end"/>
      </w:r>
      <w:r w:rsidRPr="00DE5863">
        <w:rPr>
          <w:rFonts w:ascii="Arial" w:eastAsia="Arial" w:hAnsi="Arial" w:cs="Arial"/>
          <w:lang w:val="fr-FR"/>
        </w:rPr>
        <w:t xml:space="preserve">. De plus, une étude précédente avait également montré une diminution d’une des populations de courlis corlieu au fil du temps sur la péninsule de </w:t>
      </w:r>
      <w:proofErr w:type="spellStart"/>
      <w:r w:rsidRPr="00DE5863">
        <w:rPr>
          <w:rFonts w:ascii="Arial" w:eastAsia="Arial" w:hAnsi="Arial" w:cs="Arial"/>
          <w:lang w:val="fr-FR"/>
        </w:rPr>
        <w:t>Delmarva</w:t>
      </w:r>
      <w:proofErr w:type="spellEnd"/>
      <w:r w:rsidRPr="00DE5863">
        <w:rPr>
          <w:rFonts w:ascii="Arial" w:eastAsia="Arial" w:hAnsi="Arial" w:cs="Arial"/>
          <w:lang w:val="fr-FR"/>
        </w:rPr>
        <w:t xml:space="preserve">, un site de halte migratoire, où le nombre d’individus en escale avait diminué de 50 % entre 1994 et 2009 </w:t>
      </w:r>
      <w:r w:rsidRPr="00DE5863">
        <w:rPr>
          <w:rFonts w:ascii="Arial" w:hAnsi="Arial" w:cs="Arial"/>
          <w:sz w:val="21"/>
          <w:szCs w:val="21"/>
          <w:lang w:val="fr-FR"/>
        </w:rPr>
        <w:fldChar w:fldCharType="begin"/>
      </w:r>
      <w:r w:rsidRPr="00DE5863">
        <w:rPr>
          <w:rFonts w:ascii="Arial" w:hAnsi="Arial" w:cs="Arial"/>
          <w:sz w:val="21"/>
          <w:szCs w:val="21"/>
          <w:lang w:val="fr-FR"/>
        </w:rPr>
        <w:instrText xml:space="preserve"> ADDIN ZOTERO_ITEM CSL_CITATION {"citationID":"rAv0pWnK","properties":{"formattedCitation":"(Watts &amp; Truitt, 2011)","plainCitation":"(Watts &amp; Truitt, 2011)","noteIndex":0},"citationItems":[{"id":1297,"uris":["http://zotero.org/users/11283305/items/GZMR9GRU"],"itemData":{"id":1297,"type":"article-journal","abstract":"Whimbrels (Numenius phaeopus) were monitored during spring migration across a network of ten aerial transects within the barrier island-lagoon system along the lower Delmarva Peninsula, Virginia</w:instrText>
      </w:r>
      <w:r w:rsidRPr="00DE5863">
        <w:rPr>
          <w:rFonts w:ascii="Arial" w:hAnsi="Arial" w:cs="Arial"/>
          <w:sz w:val="21"/>
          <w:szCs w:val="21"/>
          <w:lang w:val="fr-FR"/>
        </w:rPr>
        <w:instrText>, USA. Transects were surveyed weekly from the last week of April through the first week of June (1994–1996, 2008–2009). Whimbrel numbers increased to a peak during the first and second weeks of May then decreased sharply during the third and fourth weeks of May in all years. Between the 1990's and 2000's, peak numbers declined by 50%, corresponding to a 4.2% annual rate of decline. A similar decline was detected in accumulated, season-wide numbers. Though similar in pattern, migration phenology was signifi</w:instrText>
      </w:r>
      <w:r w:rsidRPr="00DE5863">
        <w:rPr>
          <w:rFonts w:ascii="Arial" w:hAnsi="Arial" w:cs="Arial"/>
          <w:sz w:val="21"/>
          <w:szCs w:val="21"/>
          <w:lang w:val="fr-FR"/>
        </w:rPr>
        <w:instrText>cantly different between the decades. The phenology difference resulted from a greater reduction in numbers during the first half of the study period compared to the last. Habitats used by Whimbrels (N = 31,314) included mudflats (95%) and salt marshes (5%). Habitat-specific densities (birds/km2) were 443 ± 26.6 and 9 ± 1.6 (mean ± SE) for mudflat and marsh patches, respectively, during the 1990's and 222 ± 11.1 and 8 ± 4.6 during the 2000's. These results support suggestions that Whimbrels are declining on</w:instrText>
      </w:r>
      <w:r w:rsidRPr="00DE5863">
        <w:rPr>
          <w:rFonts w:ascii="Arial" w:hAnsi="Arial" w:cs="Arial"/>
          <w:sz w:val="21"/>
          <w:szCs w:val="21"/>
          <w:lang w:val="fr-FR"/>
        </w:rPr>
        <w:instrText xml:space="preserve"> the Hudson Bay breeding grounds and perhaps at major Atlantic Coast wintering sites.","container-title":"Waterbirds","DOI":"10.1675/063.034.0308","ISSN":"1524-4695, 1938-5390","issue":"3","journalAbbreviation":"cowa","note":"publisher: The Waterbird Society","page":"347-351","source":"bioone.org","title":"Decline of Whimbrels within a Mid-Atlantic Staging Area (1994–2009)","volume":"34","author":[{"family":"Watts","given":"Bryan D."},{"family":"Truitt","given":"Barry R."}],"issued":{"date-parts":[["2011",9</w:instrText>
      </w:r>
      <w:r w:rsidRPr="00DE5863">
        <w:rPr>
          <w:rFonts w:ascii="Arial" w:hAnsi="Arial" w:cs="Arial"/>
          <w:sz w:val="21"/>
          <w:szCs w:val="21"/>
          <w:lang w:val="fr-FR"/>
        </w:rPr>
        <w:instrText xml:space="preserve">]]}}}],"schema":"https://github.com/citation-style-language/schema/raw/master/csl-citation.json"} </w:instrText>
      </w:r>
      <w:r w:rsidRPr="00DE5863">
        <w:rPr>
          <w:rFonts w:ascii="Arial" w:hAnsi="Arial" w:cs="Arial"/>
          <w:sz w:val="21"/>
          <w:szCs w:val="21"/>
          <w:lang w:val="fr-FR"/>
        </w:rPr>
        <w:fldChar w:fldCharType="separate"/>
      </w:r>
      <w:r w:rsidRPr="00DE5863">
        <w:rPr>
          <w:rFonts w:ascii="Arial" w:eastAsia="Arial" w:hAnsi="Arial" w:cs="Arial"/>
          <w:lang w:val="fr-FR"/>
        </w:rPr>
        <w:t>(Watts &amp; Truitt, 2011)</w:t>
      </w:r>
      <w:r w:rsidRPr="00DE5863">
        <w:rPr>
          <w:rFonts w:ascii="Arial" w:hAnsi="Arial" w:cs="Arial"/>
          <w:sz w:val="21"/>
          <w:szCs w:val="21"/>
          <w:lang w:val="fr-FR"/>
        </w:rPr>
        <w:fldChar w:fldCharType="end"/>
      </w:r>
      <w:r w:rsidRPr="00DE5863">
        <w:rPr>
          <w:rFonts w:ascii="Arial" w:eastAsia="Arial" w:hAnsi="Arial" w:cs="Arial"/>
          <w:lang w:val="fr-FR"/>
        </w:rPr>
        <w:t>.</w:t>
      </w:r>
    </w:p>
    <w:p w14:paraId="47F126ED" w14:textId="77777777" w:rsidR="00A6618C" w:rsidRPr="00DE5863" w:rsidRDefault="00A6618C">
      <w:pPr>
        <w:spacing w:after="0"/>
        <w:jc w:val="both"/>
        <w:rPr>
          <w:rFonts w:ascii="Arial" w:hAnsi="Arial" w:cs="Arial"/>
          <w:lang w:val="fr-FR"/>
        </w:rPr>
      </w:pPr>
    </w:p>
    <w:p w14:paraId="096F318F" w14:textId="77777777" w:rsidR="00A6618C" w:rsidRPr="00DE5863" w:rsidRDefault="00D1732A">
      <w:pPr>
        <w:spacing w:after="0"/>
        <w:ind w:left="567" w:hanging="567"/>
        <w:jc w:val="both"/>
        <w:rPr>
          <w:rFonts w:ascii="Arial" w:hAnsi="Arial" w:cs="Arial"/>
          <w:lang w:val="fr-FR"/>
        </w:rPr>
      </w:pPr>
      <w:r w:rsidRPr="00DE5863">
        <w:rPr>
          <w:rFonts w:ascii="Arial" w:hAnsi="Arial" w:cs="Arial"/>
          <w:lang w:val="fr-FR"/>
        </w:rPr>
        <w:t>4.3</w:t>
      </w:r>
      <w:r w:rsidRPr="00DE5863">
        <w:rPr>
          <w:rFonts w:ascii="Arial" w:hAnsi="Arial" w:cs="Arial"/>
          <w:lang w:val="fr-FR"/>
        </w:rPr>
        <w:tab/>
        <w:t>Habitat (brève description et tendances)</w:t>
      </w:r>
    </w:p>
    <w:p w14:paraId="09CCFE2A" w14:textId="77777777" w:rsidR="00A6618C" w:rsidRPr="00DE5863" w:rsidRDefault="00A6618C">
      <w:pPr>
        <w:spacing w:after="0"/>
        <w:jc w:val="both"/>
        <w:rPr>
          <w:rFonts w:ascii="Arial" w:hAnsi="Arial" w:cs="Arial"/>
          <w:lang w:val="fr-FR"/>
        </w:rPr>
      </w:pPr>
    </w:p>
    <w:p w14:paraId="183F421D" w14:textId="77777777" w:rsidR="00A6618C" w:rsidRPr="00DE5863" w:rsidRDefault="00D1732A">
      <w:pPr>
        <w:autoSpaceDE w:val="0"/>
        <w:adjustRightInd w:val="0"/>
        <w:spacing w:after="0"/>
        <w:jc w:val="both"/>
        <w:rPr>
          <w:rFonts w:ascii="Arial" w:eastAsia="Arial" w:hAnsi="Arial" w:cs="Arial"/>
          <w:lang w:val="fr-FR"/>
        </w:rPr>
      </w:pPr>
      <w:r w:rsidRPr="00DE5863">
        <w:rPr>
          <w:rFonts w:ascii="Arial" w:eastAsia="Arial" w:hAnsi="Arial" w:cs="Arial"/>
          <w:lang w:val="fr-FR"/>
        </w:rPr>
        <w:t xml:space="preserve">Le courlis corlieu se reproduit dans les landes et la toundra près de la limite forestière, sur des sites à forte couverture de lichens, notamment sur des hummocks ou des crêtes de lichen </w:t>
      </w:r>
      <w:r w:rsidRPr="00DE5863">
        <w:rPr>
          <w:rFonts w:ascii="Arial" w:hAnsi="Arial" w:cs="Arial"/>
          <w:sz w:val="21"/>
          <w:szCs w:val="21"/>
          <w:lang w:val="fr-FR"/>
        </w:rPr>
        <w:fldChar w:fldCharType="begin"/>
      </w:r>
      <w:r w:rsidRPr="00DE5863">
        <w:rPr>
          <w:rFonts w:ascii="Arial" w:hAnsi="Arial" w:cs="Arial"/>
          <w:sz w:val="21"/>
          <w:szCs w:val="21"/>
          <w:lang w:val="fr-FR"/>
        </w:rPr>
        <w:instrText xml:space="preserve"> ADDIN ZOTERO_ITEM CSL_CITATION {"citationID":"iPm1ZOKr","properties":{"formattedCitation":"(Ballantyne &amp; Nol, 2011)","plainCitation":"(Ballantyne &amp; Nol, 2011)","noteIndex":0},"citationItems":[{"id":737,"uris":["http://zotero.org/users/11283305/items/F4WF6IGL"],"itemData":{"id":737,"type":"article-journal","abstract":"The Whimbrel (Numenius phaeopus) is one of a suite of sub-arctic- and arctic-nesting shorebirds for which encroachment of woody vegetation into previously open habitats may cause a reduction i</w:instrText>
      </w:r>
      <w:r w:rsidRPr="00DE5863">
        <w:rPr>
          <w:rFonts w:ascii="Arial" w:hAnsi="Arial" w:cs="Arial"/>
          <w:sz w:val="21"/>
          <w:szCs w:val="21"/>
          <w:lang w:val="fr-FR"/>
        </w:rPr>
        <w:instrText>n breeding habitat. Whimbrel nesting habitat selection was studied at two spatial scales near Churchill, Manitoba, Canada, to determine habitat preferences and the degree to which the species avoided woody vegetation. Whimbrels occupied sites at the mesohabitat (territory) scale characterized by either high lichen cover, or high graminoid and standing water cover. No Whimbrels nested in mesohabitat with &gt;17.5% tall shrub cover, and only one pair nested where &gt;38 trees existed within 30 m of the nest. At the</w:instrText>
      </w:r>
      <w:r w:rsidRPr="00DE5863">
        <w:rPr>
          <w:rFonts w:ascii="Arial" w:hAnsi="Arial" w:cs="Arial"/>
          <w:sz w:val="21"/>
          <w:szCs w:val="21"/>
          <w:lang w:val="fr-FR"/>
        </w:rPr>
        <w:instrText xml:space="preserve"> microhabitat (nest) scale, Whimbrels nested in two distinct habitats. In lichen-dominated sites, nests had less concealing vegetation than unused sites whereas in graminoid dominated habitats, nests were more concealed than unused sites. Sixty-eight percent of nests were on hummocks or lichen ridges. Hatching success was not predicted by habitat characteristics and was lower than previously reported (2007: 26%; 2008: 14%). Avoidance of woody vegetation by breeding Whimbrels suggests that shrub and tree enc</w:instrText>
      </w:r>
      <w:r w:rsidRPr="00DE5863">
        <w:rPr>
          <w:rFonts w:ascii="Arial" w:hAnsi="Arial" w:cs="Arial"/>
          <w:sz w:val="21"/>
          <w:szCs w:val="21"/>
          <w:lang w:val="fr-FR"/>
        </w:rPr>
        <w:instrText>roachment would reduce habitat availability in the Churchill region.","container-title":"Waterbirds","DOI":"10.1675/063.034.0203","ISSN":"1524-4695, 1938-5390","issue":"2","journalAbbreviation":"cowa","note":"publisher: The Waterbird Society","page":"151-159","source":"bioone.org","title":"Nesting Habitat Selection and Hatching Success of Whimbrels Near Churchill, Manitoba, Canada","volume":"34","author":[{"family":"Ballantyne","given":"Kate"},{"family":"Nol","given":"Erica"}],"issued":{"date-parts":[["2011</w:instrText>
      </w:r>
      <w:r w:rsidRPr="00DE5863">
        <w:rPr>
          <w:rFonts w:ascii="Arial" w:hAnsi="Arial" w:cs="Arial"/>
          <w:sz w:val="21"/>
          <w:szCs w:val="21"/>
          <w:lang w:val="fr-FR"/>
        </w:rPr>
        <w:instrText xml:space="preserve">",6]]}}}],"schema":"https://github.com/citation-style-language/schema/raw/master/csl-citation.json"} </w:instrText>
      </w:r>
      <w:r w:rsidRPr="00DE5863">
        <w:rPr>
          <w:rFonts w:ascii="Arial" w:hAnsi="Arial" w:cs="Arial"/>
          <w:sz w:val="21"/>
          <w:szCs w:val="21"/>
          <w:lang w:val="fr-FR"/>
        </w:rPr>
        <w:fldChar w:fldCharType="separate"/>
      </w:r>
      <w:r w:rsidRPr="00DE5863">
        <w:rPr>
          <w:rFonts w:ascii="Arial" w:eastAsia="Arial" w:hAnsi="Arial" w:cs="Arial"/>
          <w:lang w:val="fr-FR"/>
        </w:rPr>
        <w:t>(Ballantyne &amp; Nol, 2011)</w:t>
      </w:r>
      <w:r w:rsidRPr="00DE5863">
        <w:rPr>
          <w:rFonts w:ascii="Arial" w:hAnsi="Arial" w:cs="Arial"/>
          <w:sz w:val="21"/>
          <w:szCs w:val="21"/>
          <w:lang w:val="fr-FR"/>
        </w:rPr>
        <w:fldChar w:fldCharType="end"/>
      </w:r>
      <w:r w:rsidRPr="00DE5863">
        <w:rPr>
          <w:rFonts w:ascii="Arial" w:eastAsia="Arial" w:hAnsi="Arial" w:cs="Arial"/>
          <w:lang w:val="fr-FR"/>
        </w:rPr>
        <w:t xml:space="preserve">. Il se reproduit également sur des sites à forte couverture de graminoïdes et d’eau stagnante, bien que moins fréquemment En général, cette (sous-)espèce préfère les habitats à faible couverture arbustive et arborée ou la toundra, avec très peu d'individus nidifiant dans des zones à plus forte densité d'arbres </w:t>
      </w:r>
      <w:r w:rsidRPr="00DE5863">
        <w:rPr>
          <w:rFonts w:ascii="Arial" w:hAnsi="Arial" w:cs="Arial"/>
          <w:sz w:val="21"/>
          <w:szCs w:val="21"/>
          <w:lang w:val="fr-FR"/>
        </w:rPr>
        <w:fldChar w:fldCharType="begin"/>
      </w:r>
      <w:r w:rsidRPr="00DE5863">
        <w:rPr>
          <w:rFonts w:ascii="Arial" w:hAnsi="Arial" w:cs="Arial"/>
          <w:sz w:val="21"/>
          <w:szCs w:val="21"/>
          <w:lang w:val="fr-FR"/>
        </w:rPr>
        <w:instrText xml:space="preserve"> ADDIN ZOTERO_ITEM CSL_CITATION {"citationID":"9vhF5y2o","properties":{"formattedCitation":"(Ballantyne &amp; Nol, 2011)","plainCitation":"(Ballantyne &amp; Nol, 2011)","noteIndex":0},"citationItems":[{"id":737,"uris":["http://zotero.org/users/11283305/items/F4WF6IGL"],"itemData":{"id":737,"type":"article-journal","abstract":"The Whimbrel (Numenius phaeopus) is one of a suite of sub-arctic- and arctic-nesting shorebirds for which encroachment of woody vegetation into previously open habitats may cause a reduction i</w:instrText>
      </w:r>
      <w:r w:rsidRPr="00DE5863">
        <w:rPr>
          <w:rFonts w:ascii="Arial" w:hAnsi="Arial" w:cs="Arial"/>
          <w:sz w:val="21"/>
          <w:szCs w:val="21"/>
          <w:lang w:val="fr-FR"/>
        </w:rPr>
        <w:instrText>n breeding habitat. Whimbrel nesting habitat selection was studied at two spatial scales near Churchill, Manitoba, Canada, to determine habitat preferences and the degree to which the species avoided woody vegetation. Whimbrels occupied sites at the mesohabitat (territory) scale characterized by either high lichen cover, or high graminoid and standing water cover. No Whimbrels nested in mesohabitat with &gt;17.5% tall shrub cover, and only one pair nested where &gt;38 trees existed within 30 m of the nest. At the</w:instrText>
      </w:r>
      <w:r w:rsidRPr="00DE5863">
        <w:rPr>
          <w:rFonts w:ascii="Arial" w:hAnsi="Arial" w:cs="Arial"/>
          <w:sz w:val="21"/>
          <w:szCs w:val="21"/>
          <w:lang w:val="fr-FR"/>
        </w:rPr>
        <w:instrText xml:space="preserve"> microhabitat (nest) scale, Whimbrels nested in two distinct habitats. In lichen-dominated sites, nests had less concealing vegetation than unused sites whereas in graminoid dominated habitats, nests were more concealed than unused sites. Sixty-eight percent of nests were on hummocks or lichen ridges. Hatching success was not predicted by habitat characteristics and was lower than previously reported (2007: 26%; 2008: 14%). Avoidance of woody vegetation by breeding Whimbrels suggests that shrub and tree enc</w:instrText>
      </w:r>
      <w:r w:rsidRPr="00DE5863">
        <w:rPr>
          <w:rFonts w:ascii="Arial" w:hAnsi="Arial" w:cs="Arial"/>
          <w:sz w:val="21"/>
          <w:szCs w:val="21"/>
          <w:lang w:val="fr-FR"/>
        </w:rPr>
        <w:instrText>roachment would reduce habitat availability in the Churchill region.","container-title":"Waterbirds","DOI":"10.1675/063.034.0203","ISSN":"1524-4695, 1938-5390","issue":"2","journalAbbreviation":"cowa","note":"publisher: The Waterbird Society","page":"151-159","source":"bioone.org","title":"Nesting Habitat Selection and Hatching Success of Whimbrels Near Churchill, Manitoba, Canada","volume":"34","author":[{"family":"Ballantyne","given":"Kate"},{"family":"Nol","given":"Erica"}],"issued":{"date-parts":[["2011</w:instrText>
      </w:r>
      <w:r w:rsidRPr="00DE5863">
        <w:rPr>
          <w:rFonts w:ascii="Arial" w:hAnsi="Arial" w:cs="Arial"/>
          <w:sz w:val="21"/>
          <w:szCs w:val="21"/>
          <w:lang w:val="fr-FR"/>
        </w:rPr>
        <w:instrText xml:space="preserve">",6]]}}}],"schema":"https://github.com/citation-style-language/schema/raw/master/csl-citation.json"} </w:instrText>
      </w:r>
      <w:r w:rsidRPr="00DE5863">
        <w:rPr>
          <w:rFonts w:ascii="Arial" w:hAnsi="Arial" w:cs="Arial"/>
          <w:sz w:val="21"/>
          <w:szCs w:val="21"/>
          <w:lang w:val="fr-FR"/>
        </w:rPr>
        <w:fldChar w:fldCharType="separate"/>
      </w:r>
      <w:r w:rsidRPr="00DE5863">
        <w:rPr>
          <w:rFonts w:ascii="Arial" w:eastAsia="Arial" w:hAnsi="Arial" w:cs="Arial"/>
          <w:lang w:val="fr-FR"/>
        </w:rPr>
        <w:t>(Ballantyne &amp; Nol, 2011)</w:t>
      </w:r>
      <w:r w:rsidRPr="00DE5863">
        <w:rPr>
          <w:rFonts w:ascii="Arial" w:hAnsi="Arial" w:cs="Arial"/>
          <w:sz w:val="21"/>
          <w:szCs w:val="21"/>
          <w:lang w:val="fr-FR"/>
        </w:rPr>
        <w:fldChar w:fldCharType="end"/>
      </w:r>
      <w:r w:rsidRPr="00DE5863">
        <w:rPr>
          <w:rFonts w:ascii="Arial" w:eastAsia="Arial" w:hAnsi="Arial" w:cs="Arial"/>
          <w:lang w:val="fr-FR"/>
        </w:rPr>
        <w:t>.</w:t>
      </w:r>
    </w:p>
    <w:p w14:paraId="4DD8167F" w14:textId="77777777" w:rsidR="00A6618C" w:rsidRPr="00DE5863" w:rsidRDefault="00A6618C">
      <w:pPr>
        <w:autoSpaceDE w:val="0"/>
        <w:adjustRightInd w:val="0"/>
        <w:spacing w:after="0"/>
        <w:jc w:val="both"/>
        <w:rPr>
          <w:rFonts w:ascii="Arial" w:eastAsia="Arial" w:hAnsi="Arial" w:cs="Arial"/>
          <w:lang w:val="fr-FR"/>
        </w:rPr>
      </w:pPr>
    </w:p>
    <w:p w14:paraId="75E3D64F" w14:textId="77777777" w:rsidR="00A6618C" w:rsidRPr="00DE5863" w:rsidRDefault="00D1732A">
      <w:pPr>
        <w:autoSpaceDE w:val="0"/>
        <w:adjustRightInd w:val="0"/>
        <w:spacing w:after="0"/>
        <w:jc w:val="both"/>
        <w:rPr>
          <w:rFonts w:ascii="Arial" w:eastAsia="Arial" w:hAnsi="Arial" w:cs="Arial"/>
          <w:lang w:val="fr-FR"/>
        </w:rPr>
      </w:pPr>
      <w:r w:rsidRPr="00DE5863">
        <w:rPr>
          <w:rFonts w:ascii="Arial" w:eastAsia="Arial" w:hAnsi="Arial" w:cs="Arial"/>
          <w:lang w:val="fr-FR"/>
        </w:rPr>
        <w:t xml:space="preserve">Pendant la migration ou en dehors de la saison de reproduction, le courlis corlieu utilise les estrans, les marais salants et les prairies. Il montre une préférence pour se nourrir dans des habitats vaseux, passant généralement à des zones sablonneuses ou herbeuses lorsque la marée haute recouvre la vase exposée </w:t>
      </w:r>
      <w:r w:rsidRPr="00DE5863">
        <w:rPr>
          <w:rFonts w:ascii="Arial" w:hAnsi="Arial" w:cs="Arial"/>
          <w:sz w:val="21"/>
          <w:szCs w:val="21"/>
          <w:lang w:val="fr-FR"/>
        </w:rPr>
        <w:fldChar w:fldCharType="begin"/>
      </w:r>
      <w:r w:rsidRPr="00DE5863">
        <w:rPr>
          <w:rFonts w:ascii="Arial" w:hAnsi="Arial" w:cs="Arial"/>
          <w:sz w:val="21"/>
          <w:szCs w:val="21"/>
          <w:lang w:val="fr-FR"/>
        </w:rPr>
        <w:instrText xml:space="preserve"> ADDIN ZOTERO_ITEM CSL_CITATION {"citationID":"gV5lM0kS","properties":{"formattedCitation":"(Skeel &amp; Mallory, 2020)","plainCitation":"(Skeel &amp; Mallory, 2020)","noteIndex":0},"citationItems":[{"id":1279,"uris":["http://zotero.org/users/11283305/items/6N4A6WQA"],"itemData":{"id":1279,"type":"entry-encyclopedia","collection-number":"version 1.0","container-title":"Birds of the World","event-place":"Cornell Lab of Ornithology, Ithaca, NY, USA","publisher":"S. M. Billerman","publisher-place":"Cornell Lab of Orni</w:instrText>
      </w:r>
      <w:r w:rsidRPr="00DE5863">
        <w:rPr>
          <w:rFonts w:ascii="Arial" w:hAnsi="Arial" w:cs="Arial"/>
          <w:sz w:val="21"/>
          <w:szCs w:val="21"/>
          <w:lang w:val="fr-FR"/>
        </w:rPr>
        <w:instrText xml:space="preserve">thology, Ithaca, NY, USA","title":"Whimbrel (Numenius phaeopus)","URL":"https://doi.org/10.2173/bow.whimbr.01","author":[{"family":"Skeel","given":"M.A."},{"family":"Mallory","given":"E.P."}],"issued":{"date-parts":[["2020"]]}}}],"schema":"https://github.com/citation-style-language/schema/raw/master/csl-citation.json"} </w:instrText>
      </w:r>
      <w:r w:rsidRPr="00DE5863">
        <w:rPr>
          <w:rFonts w:ascii="Arial" w:hAnsi="Arial" w:cs="Arial"/>
          <w:sz w:val="21"/>
          <w:szCs w:val="21"/>
          <w:lang w:val="fr-FR"/>
        </w:rPr>
        <w:fldChar w:fldCharType="separate"/>
      </w:r>
      <w:r w:rsidRPr="00DE5863">
        <w:rPr>
          <w:rFonts w:ascii="Arial" w:eastAsia="Arial" w:hAnsi="Arial" w:cs="Arial"/>
          <w:lang w:val="fr-FR"/>
        </w:rPr>
        <w:t>(Skeel &amp; Mallory, 2020)</w:t>
      </w:r>
      <w:r w:rsidRPr="00DE5863">
        <w:rPr>
          <w:rFonts w:ascii="Arial" w:hAnsi="Arial" w:cs="Arial"/>
          <w:sz w:val="21"/>
          <w:szCs w:val="21"/>
          <w:lang w:val="fr-FR"/>
        </w:rPr>
        <w:fldChar w:fldCharType="end"/>
      </w:r>
      <w:r w:rsidRPr="00DE5863">
        <w:rPr>
          <w:rFonts w:ascii="Arial" w:eastAsia="Arial" w:hAnsi="Arial" w:cs="Arial"/>
          <w:lang w:val="fr-FR"/>
        </w:rPr>
        <w:t xml:space="preserve">. En dehors de la saison de reproduction, il est également associé aux écosystèmes de mangrove, où il se nourrit sur les vasières exposées et se perche dans les arbres de mangrove lors de la marée haute </w:t>
      </w:r>
      <w:r w:rsidRPr="00DE5863">
        <w:rPr>
          <w:rFonts w:ascii="Arial" w:hAnsi="Arial" w:cs="Arial"/>
          <w:sz w:val="21"/>
          <w:szCs w:val="21"/>
          <w:lang w:val="fr-FR"/>
        </w:rPr>
        <w:fldChar w:fldCharType="begin"/>
      </w:r>
      <w:r w:rsidRPr="00DE5863">
        <w:rPr>
          <w:rFonts w:ascii="Arial" w:hAnsi="Arial" w:cs="Arial"/>
          <w:sz w:val="21"/>
          <w:szCs w:val="21"/>
          <w:lang w:val="fr-FR"/>
        </w:rPr>
        <w:instrText xml:space="preserve"> ADDIN ZOTERO_ITEM CSL_CITATION {"citationID":"Wdf9JrwV","properties":{"formattedCitation":"(Johnston-Gonz\\uc0\\u225{}lez &amp; Abril, 2019; Skeel &amp; Mallory, 2020)","plainCitation":"(Johnston-González &amp; Abril, 2019; Skeel &amp; Mallory, 2020)","noteIndex":0},"citationItems":[{"id":114,"uris":["http://zotero.org/users/11283305/items/GE5N38VH"],"itemData":{"id":114,"type":"article-journal","abstract":"Roosts are important sites for shorebirds in non-breeding areas at night and during high tides. How the spatial conf</w:instrText>
      </w:r>
      <w:r w:rsidRPr="00DE5863">
        <w:rPr>
          <w:rFonts w:ascii="Arial" w:hAnsi="Arial" w:cs="Arial"/>
          <w:sz w:val="21"/>
          <w:szCs w:val="21"/>
          <w:lang w:val="fr-FR"/>
        </w:rPr>
        <w:instrText>iguration of food and risk of predation and disturbance influence roost site use in tropical locations remains poorly known. We analysed the locations of nocturnal roosts of Whimbrel Numenius phaeopus in mangroves of Sanquianga National Park, Colombia, with respect to variation in spatial variables related to food resources and risk of predation and disturbance. We contrasted characteristics of all 13 known nocturnal roost locations with those of all other mangrove islands (n = 209) within the limits of the</w:instrText>
      </w:r>
      <w:r w:rsidRPr="00DE5863">
        <w:rPr>
          <w:rFonts w:ascii="Arial" w:hAnsi="Arial" w:cs="Arial"/>
          <w:sz w:val="21"/>
          <w:szCs w:val="21"/>
          <w:lang w:val="fr-FR"/>
        </w:rPr>
        <w:instrText xml:space="preserve"> park. We estimated the distance from roosts and other mangrove islands to foraging sites, and sources of predators and human disturbance. Larger areas of feeding habitat surrounded nocturnal roosts than other mangrove islands, and the average distance to individual feeding patches was shorter. Roosts were also more isolated than other islands, but proximity to sources of human disturbance did not differ. We conclude that Whimbrel roost site use in Sanquianga was best explained by a combination of access to</w:instrText>
      </w:r>
      <w:r w:rsidRPr="00DE5863">
        <w:rPr>
          <w:rFonts w:ascii="Arial" w:hAnsi="Arial" w:cs="Arial"/>
          <w:sz w:val="21"/>
          <w:szCs w:val="21"/>
          <w:lang w:val="fr-FR"/>
        </w:rPr>
        <w:instrText xml:space="preserve"> feeding territories and isolation from potential sources of mainland predators, but not by avoidance of human disturbance. Beyond identifying factors influencing roost site selection, the large aggregations of individuals in single locations may suggest that presence of conspecifics itself also plays a role in the formation of Whimbrel roosts. We highlight the interaction of food and risk landscapes with intraspecific attraction on the roost site selection by Whimbrels and the importance of mangroves as ro</w:instrText>
      </w:r>
      <w:r w:rsidRPr="00DE5863">
        <w:rPr>
          <w:rFonts w:ascii="Arial" w:hAnsi="Arial" w:cs="Arial"/>
          <w:sz w:val="21"/>
          <w:szCs w:val="21"/>
          <w:lang w:val="fr-FR"/>
        </w:rPr>
        <w:instrText>osting sites in tropical regions.","container-title":"Ibis","DOI":"10.1111/ibi.12678","ISSN":"1474-919X","issue":"4","language":"en","note":"_eprint: https://onlinelibrary.wiley.com/doi/pdf/10.1111/ibi.12678","page":"839-853","source":"Wiley Online Library","title":"Predation risk and resource availability explain roost locations of Whimbrel Numenius phaeopus in a tropical mangrove delta","volume":"161","author":[{"family":"Johnston-González","given":"Richard"},{"family":"Abril","given":"Elizabeth"}],"issue</w:instrText>
      </w:r>
      <w:r w:rsidRPr="00DE5863">
        <w:rPr>
          <w:rFonts w:ascii="Arial" w:hAnsi="Arial" w:cs="Arial"/>
          <w:sz w:val="21"/>
          <w:szCs w:val="21"/>
          <w:lang w:val="fr-FR"/>
        </w:rPr>
        <w:instrText>d":{"date-parts":[["2019"]]}}},{"id":1279,"uris":["http://zotero.org/users/11283305/items/6N4A6WQA"],"itemData":{"id":1279,"type":"entry-encyclopedia","collection-number":"version 1.0","container-title":"Birds of the World","event-place":"Cornell Lab of Ornithology, Ithaca, NY, USA","publisher":"S. M. Billerman","publisher-place":"Cornell Lab of Ornithology, Ithaca, NY, USA","title":"Whimbrel (Numenius phaeopus)","URL":"https://doi.org/10.2173/bow.whimbr.01","author":[{"family":"Skeel","given":"M.A."},{"fam</w:instrText>
      </w:r>
      <w:r w:rsidRPr="00DE5863">
        <w:rPr>
          <w:rFonts w:ascii="Arial" w:hAnsi="Arial" w:cs="Arial"/>
          <w:sz w:val="21"/>
          <w:szCs w:val="21"/>
          <w:lang w:val="fr-FR"/>
        </w:rPr>
        <w:instrText xml:space="preserve">ily":"Mallory","given":"E.P."}],"issued":{"date-parts":[["2020"]]}}}],"schema":"https://github.com/citation-style-language/schema/raw/master/csl-citation.json"} </w:instrText>
      </w:r>
      <w:r w:rsidRPr="00DE5863">
        <w:rPr>
          <w:rFonts w:ascii="Arial" w:hAnsi="Arial" w:cs="Arial"/>
          <w:sz w:val="21"/>
          <w:szCs w:val="21"/>
          <w:lang w:val="fr-FR"/>
        </w:rPr>
        <w:fldChar w:fldCharType="separate"/>
      </w:r>
      <w:r w:rsidRPr="00DE5863">
        <w:rPr>
          <w:rFonts w:ascii="Arial" w:eastAsia="Arial" w:hAnsi="Arial" w:cs="Arial"/>
          <w:lang w:val="fr-FR" w:eastAsia="en-GB"/>
        </w:rPr>
        <w:t>(Johnston-González &amp; Abril, 2019 ; Skeel &amp; Mallory, 2020)</w:t>
      </w:r>
      <w:r w:rsidRPr="00DE5863">
        <w:rPr>
          <w:rFonts w:ascii="Arial" w:hAnsi="Arial" w:cs="Arial"/>
          <w:sz w:val="21"/>
          <w:szCs w:val="21"/>
          <w:lang w:val="fr-FR"/>
        </w:rPr>
        <w:fldChar w:fldCharType="end"/>
      </w:r>
      <w:r w:rsidRPr="00DE5863">
        <w:rPr>
          <w:rFonts w:ascii="Arial" w:eastAsia="Arial" w:hAnsi="Arial" w:cs="Arial"/>
          <w:lang w:val="fr-FR"/>
        </w:rPr>
        <w:t>.</w:t>
      </w:r>
    </w:p>
    <w:p w14:paraId="40A17C2D" w14:textId="77777777" w:rsidR="00A6618C" w:rsidRPr="00DE5863" w:rsidRDefault="00A6618C">
      <w:pPr>
        <w:autoSpaceDE w:val="0"/>
        <w:adjustRightInd w:val="0"/>
        <w:spacing w:after="0"/>
        <w:jc w:val="both"/>
        <w:rPr>
          <w:rFonts w:ascii="Arial" w:eastAsia="Arial" w:hAnsi="Arial" w:cs="Arial"/>
          <w:lang w:val="fr-FR"/>
        </w:rPr>
      </w:pPr>
    </w:p>
    <w:p w14:paraId="0E259E58" w14:textId="77777777" w:rsidR="00A6618C" w:rsidRPr="00DE5863" w:rsidRDefault="00D1732A">
      <w:pPr>
        <w:autoSpaceDE w:val="0"/>
        <w:adjustRightInd w:val="0"/>
        <w:spacing w:after="0"/>
        <w:jc w:val="both"/>
        <w:rPr>
          <w:rFonts w:ascii="Arial" w:eastAsia="Arial" w:hAnsi="Arial" w:cs="Arial"/>
          <w:lang w:val="fr-FR"/>
        </w:rPr>
      </w:pPr>
      <w:proofErr w:type="spellStart"/>
      <w:r w:rsidRPr="00DE5863">
        <w:rPr>
          <w:rFonts w:ascii="Arial" w:eastAsia="Arial" w:hAnsi="Arial" w:cs="Arial"/>
          <w:lang w:val="fr-FR"/>
        </w:rPr>
        <w:t>Ballantyne</w:t>
      </w:r>
      <w:proofErr w:type="spellEnd"/>
      <w:r w:rsidRPr="00DE5863">
        <w:rPr>
          <w:rFonts w:ascii="Arial" w:eastAsia="Arial" w:hAnsi="Arial" w:cs="Arial"/>
          <w:lang w:val="fr-FR"/>
        </w:rPr>
        <w:t xml:space="preserve"> &amp; </w:t>
      </w:r>
      <w:proofErr w:type="spellStart"/>
      <w:r w:rsidRPr="00DE5863">
        <w:rPr>
          <w:rFonts w:ascii="Arial" w:eastAsia="Arial" w:hAnsi="Arial" w:cs="Arial"/>
          <w:lang w:val="fr-FR"/>
        </w:rPr>
        <w:t>Nol</w:t>
      </w:r>
      <w:proofErr w:type="spellEnd"/>
      <w:r w:rsidRPr="00DE5863">
        <w:rPr>
          <w:rFonts w:ascii="Arial" w:eastAsia="Arial" w:hAnsi="Arial" w:cs="Arial"/>
          <w:lang w:val="fr-FR"/>
        </w:rPr>
        <w:t xml:space="preserve"> (2015) ont montré que, sur une période de 33 ans, les habitats de reproduction du courlis corlieu ont subi des changements significatifs, avec une augmentation des arbustes et des arbres, tandis que la couverture de lichens a diminué. Ces changements dans l’étendue et la qualité des habitats pourraient être associés au déclin de la population de courlis corlieu étant donné qu’ils ont déjà été liés à une diminution de la densité de nidification </w:t>
      </w:r>
      <w:r w:rsidRPr="00DE5863">
        <w:rPr>
          <w:rFonts w:ascii="Arial" w:hAnsi="Arial" w:cs="Arial"/>
          <w:sz w:val="21"/>
          <w:szCs w:val="21"/>
          <w:lang w:val="fr-FR"/>
        </w:rPr>
        <w:fldChar w:fldCharType="begin"/>
      </w:r>
      <w:r w:rsidRPr="00DE5863">
        <w:rPr>
          <w:rFonts w:ascii="Arial" w:hAnsi="Arial" w:cs="Arial"/>
          <w:sz w:val="21"/>
          <w:szCs w:val="21"/>
          <w:lang w:val="fr-FR"/>
        </w:rPr>
        <w:instrText xml:space="preserve"> ADDIN ZOTERO_ITEM CSL_CITATION {"citationID":"lDoEjAA5","properties":{"formattedCitation":"(Ballantyne &amp; Nol, 2015)","plainCitation":"(Ballantyne &amp; Nol, 2015)","noteIndex":0},"citationItems":[{"id":1282,"uris":["http://zotero.org/users/11283305/items/YKIS8WA7"],"itemData":{"id":1282,"type":"article-journal","abstract":"Whimbrels (Numenius phaeopus) are large shorebirds that breed in two geographically disjunct regions in the North American Subarctic and Arctic. Since the early 1970s, the nesting distributi</w:instrText>
      </w:r>
      <w:r w:rsidRPr="00DE5863">
        <w:rPr>
          <w:rFonts w:ascii="Arial" w:hAnsi="Arial" w:cs="Arial"/>
          <w:sz w:val="21"/>
          <w:szCs w:val="21"/>
          <w:lang w:val="fr-FR"/>
        </w:rPr>
        <w:instrText>on of Whimbrels in the Subarctic near Churchill, Manitoba, Canada has changed, and an area of historic breeding importance was no longer used as nesting habitat in 2008. We compared aerial photography of the 2.55 km2 area from 1973 to 1986, to high-resolution satellite imagery from 2006 to assess structural habitat change. Comparison of the three time-period imagery showed that over the 33-year span shrubs and trees increased in cover by 12.6 and 6.9 %, respectively, whereas other vegetation, including lich</w:instrText>
      </w:r>
      <w:r w:rsidRPr="00DE5863">
        <w:rPr>
          <w:rFonts w:ascii="Arial" w:hAnsi="Arial" w:cs="Arial"/>
          <w:sz w:val="21"/>
          <w:szCs w:val="21"/>
          <w:lang w:val="fr-FR"/>
        </w:rPr>
        <w:instrText>en, decreased by 19.1 %. This localized evidence of shrub and tree encroachment is accompanied by a decline in Whimbrel nesting densities from 17–19 pairs (max. 7.45 pairs/km2) in 1973 and 1974, to 1–2 pairs (max. 0.78 pairs/km2) in 2007, and 0 pairs in 2008. Change in vegetation structure has important implications for the long-term viability of Subarctic and Arctic breeding shorebird populations.","container-title":"Polar Biology","DOI":"10.1007/s00300-014-1615-6","ISSN":"1432-2056","issue":"4","journalAb</w:instrText>
      </w:r>
      <w:r w:rsidRPr="00DE5863">
        <w:rPr>
          <w:rFonts w:ascii="Arial" w:hAnsi="Arial" w:cs="Arial"/>
          <w:sz w:val="21"/>
          <w:szCs w:val="21"/>
          <w:lang w:val="fr-FR"/>
        </w:rPr>
        <w:instrText xml:space="preserve">breviation":"Polar Biol","language":"en","page":"529-537","source":"Springer Link","title":"Localized habitat change near Churchill, Manitoba and the decline of nesting Whimbrels (Numenius phaeopus)","volume":"38","author":[{"family":"Ballantyne","given":"Kate"},{"family":"Nol","given":"Erica"}],"issued":{"date-parts":[["2015",4,1]]}}}],"schema":"https://github.com/citation-style-language/schema/raw/master/csl-citation.json"} </w:instrText>
      </w:r>
      <w:r w:rsidRPr="00DE5863">
        <w:rPr>
          <w:rFonts w:ascii="Arial" w:hAnsi="Arial" w:cs="Arial"/>
          <w:sz w:val="21"/>
          <w:szCs w:val="21"/>
          <w:lang w:val="fr-FR"/>
        </w:rPr>
        <w:fldChar w:fldCharType="separate"/>
      </w:r>
      <w:r w:rsidRPr="00DE5863">
        <w:rPr>
          <w:rFonts w:ascii="Arial" w:eastAsia="Arial" w:hAnsi="Arial" w:cs="Arial"/>
          <w:lang w:val="fr-FR"/>
        </w:rPr>
        <w:t>(Ballantyne &amp; Nol, 2015)</w:t>
      </w:r>
      <w:r w:rsidRPr="00DE5863">
        <w:rPr>
          <w:rFonts w:ascii="Arial" w:hAnsi="Arial" w:cs="Arial"/>
          <w:sz w:val="21"/>
          <w:szCs w:val="21"/>
          <w:lang w:val="fr-FR"/>
        </w:rPr>
        <w:fldChar w:fldCharType="end"/>
      </w:r>
      <w:r w:rsidRPr="00DE5863">
        <w:rPr>
          <w:rFonts w:ascii="Arial" w:eastAsia="Arial" w:hAnsi="Arial" w:cs="Arial"/>
          <w:lang w:val="fr-FR"/>
        </w:rPr>
        <w:t xml:space="preserve">. De plus, l’un de leurs habitats non reproducteurs connaît </w:t>
      </w:r>
      <w:r w:rsidRPr="00DE5863">
        <w:rPr>
          <w:rFonts w:ascii="Arial" w:eastAsia="Arial" w:hAnsi="Arial" w:cs="Arial"/>
          <w:lang w:val="fr-FR"/>
        </w:rPr>
        <w:lastRenderedPageBreak/>
        <w:t xml:space="preserve">également un déclin sévère : les mangroves représentent le type de zone humide ayant subi la plus grande réduction de surface au niveau mondial </w:t>
      </w:r>
      <w:r w:rsidRPr="00DE5863">
        <w:rPr>
          <w:rFonts w:ascii="Arial" w:hAnsi="Arial" w:cs="Arial"/>
          <w:sz w:val="21"/>
          <w:szCs w:val="21"/>
          <w:lang w:val="fr-FR"/>
        </w:rPr>
        <w:fldChar w:fldCharType="begin"/>
      </w:r>
      <w:r w:rsidRPr="00DE5863">
        <w:rPr>
          <w:rFonts w:ascii="Arial" w:hAnsi="Arial" w:cs="Arial"/>
          <w:sz w:val="21"/>
          <w:szCs w:val="21"/>
          <w:lang w:val="fr-FR"/>
        </w:rPr>
        <w:instrText xml:space="preserve"> ADDIN ZOTERO_ITEM CSL_CITATION {"citationID":"sZmhv97z","properties":{"formattedCitation":"(Ballut-Dajud et al., 2022)","plainCitation":"(Ballut-Dajud et al., 2022)","noteIndex":0},"citationItems":[{"id":196,"uris":["http://zotero.org/users/11283305/items/HNIGD995"],"itemData":{"id":196,"type":"article-journal","abstract":"Despite occupying an area no greater than 8% of the earth’s surface, natural wetland ecosystems fulfill multiple ecological functions: 1. Soil formation and stabilization support, 2. Foo</w:instrText>
      </w:r>
      <w:r w:rsidRPr="00DE5863">
        <w:rPr>
          <w:rFonts w:ascii="Arial" w:hAnsi="Arial" w:cs="Arial"/>
          <w:sz w:val="21"/>
          <w:szCs w:val="21"/>
          <w:lang w:val="fr-FR"/>
        </w:rPr>
        <w:instrText>d, water, and plant biomass supply, 3. Cultural/recreational services, landscape, and ecological tourism, 4. Climate regulation, and 5. Carbon sequestration; with the last one being its most important function. They are subject to direct and indirect incident factors that affect plant productivity and the sequestration of carbon from the soil. Thus, the objective of this review was to identify the incident factors in the loss of area and carbon sequestration in marine, coastal, and continental wetlands that</w:instrText>
      </w:r>
      <w:r w:rsidRPr="00DE5863">
        <w:rPr>
          <w:rFonts w:ascii="Arial" w:hAnsi="Arial" w:cs="Arial"/>
          <w:sz w:val="21"/>
          <w:szCs w:val="21"/>
          <w:lang w:val="fr-FR"/>
        </w:rPr>
        <w:instrText xml:space="preserve"> have had an impact on climate change in the last 14 years, globally. The methodology consisted of conducting a literature review in international databases, analyzing a sample of 134 research studies from 37 countries, organized in tables and figures supported by descriptive statistics and content analysis. Global results indicate that agriculture (25%), urbanization (16.8%), aquaculture (10.7%), and industry (7.6%) are incident factors that promote wetlands effective loss affecting continental wetlands mo</w:instrText>
      </w:r>
      <w:r w:rsidRPr="00DE5863">
        <w:rPr>
          <w:rFonts w:ascii="Arial" w:hAnsi="Arial" w:cs="Arial"/>
          <w:sz w:val="21"/>
          <w:szCs w:val="21"/>
          <w:lang w:val="fr-FR"/>
        </w:rPr>
        <w:instrText>re than coastal and marine ones. Regarding carbon sequestration, this is reduced by vegetation loss since GHG emissions raise because the soil is exposed to sun rays, increasing surface temperature and oxidation, and raising organic matter decomposition and the eutrophication phenomenon caused by the previous incident factors that generate wastewater rich in nutrients in their different activities, thus creating biomass and plant growth imbalances, either at the foliage or root levels and altering the accum</w:instrText>
      </w:r>
      <w:r w:rsidRPr="00DE5863">
        <w:rPr>
          <w:rFonts w:ascii="Arial" w:hAnsi="Arial" w:cs="Arial"/>
          <w:sz w:val="21"/>
          <w:szCs w:val="21"/>
          <w:lang w:val="fr-FR"/>
        </w:rPr>
        <w:instrText>ulation of organic matter and carbon. It is possible to affirm in conclusion that the most affected types of wetlands are: mangroves (25.7%), lagoons (19.11%), and marine waters (11.7%). Furthermore, it was identified that agriculture has a greater incidence in the loss of wetlands, followed by urbanization and industry in a lower percentage.","container-title":"Land","DOI":"10.3390/land11030434","ISSN":"2073-445X","issue":"3","language":"en","license":"http://creativecommons.org/licenses/by/3.0/","note":"n</w:instrText>
      </w:r>
      <w:r w:rsidRPr="00DE5863">
        <w:rPr>
          <w:rFonts w:ascii="Arial" w:hAnsi="Arial" w:cs="Arial"/>
          <w:sz w:val="21"/>
          <w:szCs w:val="21"/>
          <w:lang w:val="fr-FR"/>
        </w:rPr>
        <w:instrText>umber: 3\npublisher: Multidisciplinary Digital Publishing Institute","page":"434","source":"www.mdpi.com","title":"Factors Affecting Wetland Loss: A Review","title-short":"Factors Affecting Wetland Loss","volume":"11","author":[{"family":"Ballut-Dajud","given":"Gastón Antonio"},{"family":"Sandoval Herazo","given":"Luis Carlos"},{"family":"Fernández-Lambert","given":"Gregorio"},{"family":"Marín-Muñiz","given":"José Luis"},{"family":"López Méndez","given":"María Cristina"},{"family":"Betanzo-Torres","given":"</w:instrText>
      </w:r>
      <w:r w:rsidRPr="00DE5863">
        <w:rPr>
          <w:rFonts w:ascii="Arial" w:hAnsi="Arial" w:cs="Arial"/>
          <w:sz w:val="21"/>
          <w:szCs w:val="21"/>
          <w:lang w:val="fr-FR"/>
        </w:rPr>
        <w:instrText xml:space="preserve">Erick Arturo"}],"issued":{"date-parts":[["2022",3]]}}}],"schema":"https://github.com/citation-style-language/schema/raw/master/csl-citation.json"} </w:instrText>
      </w:r>
      <w:r w:rsidRPr="00DE5863">
        <w:rPr>
          <w:rFonts w:ascii="Arial" w:hAnsi="Arial" w:cs="Arial"/>
          <w:sz w:val="21"/>
          <w:szCs w:val="21"/>
          <w:lang w:val="fr-FR"/>
        </w:rPr>
        <w:fldChar w:fldCharType="separate"/>
      </w:r>
      <w:r w:rsidRPr="00DE5863">
        <w:rPr>
          <w:rFonts w:ascii="Arial" w:eastAsia="Arial" w:hAnsi="Arial" w:cs="Arial"/>
          <w:lang w:val="fr-FR"/>
        </w:rPr>
        <w:t>(Ballut-Dajud et al., 2022)</w:t>
      </w:r>
      <w:r w:rsidRPr="00DE5863">
        <w:rPr>
          <w:rFonts w:ascii="Arial" w:hAnsi="Arial" w:cs="Arial"/>
          <w:sz w:val="21"/>
          <w:szCs w:val="21"/>
          <w:lang w:val="fr-FR"/>
        </w:rPr>
        <w:fldChar w:fldCharType="end"/>
      </w:r>
      <w:r w:rsidRPr="00DE5863">
        <w:rPr>
          <w:rFonts w:ascii="Arial" w:eastAsia="Arial" w:hAnsi="Arial" w:cs="Arial"/>
          <w:lang w:val="fr-FR"/>
        </w:rPr>
        <w:t>.</w:t>
      </w:r>
    </w:p>
    <w:p w14:paraId="54386132" w14:textId="77777777" w:rsidR="00A6618C" w:rsidRPr="00DE5863" w:rsidRDefault="00A6618C">
      <w:pPr>
        <w:spacing w:after="0"/>
        <w:jc w:val="both"/>
        <w:rPr>
          <w:rFonts w:ascii="Arial" w:hAnsi="Arial" w:cs="Arial"/>
          <w:lang w:val="fr-FR"/>
        </w:rPr>
      </w:pPr>
    </w:p>
    <w:p w14:paraId="11F5A318" w14:textId="77777777" w:rsidR="00A6618C" w:rsidRPr="00DE5863" w:rsidRDefault="00D1732A">
      <w:pPr>
        <w:spacing w:after="0"/>
        <w:ind w:left="567" w:hanging="540"/>
        <w:jc w:val="both"/>
        <w:rPr>
          <w:rFonts w:ascii="Arial" w:hAnsi="Arial" w:cs="Arial"/>
          <w:lang w:val="fr-FR"/>
        </w:rPr>
      </w:pPr>
      <w:r w:rsidRPr="00DE5863">
        <w:rPr>
          <w:rFonts w:ascii="Arial" w:hAnsi="Arial" w:cs="Arial"/>
          <w:lang w:val="fr-FR"/>
        </w:rPr>
        <w:t>4.4</w:t>
      </w:r>
      <w:r w:rsidRPr="00DE5863">
        <w:rPr>
          <w:rFonts w:ascii="Arial" w:hAnsi="Arial" w:cs="Arial"/>
          <w:lang w:val="fr-FR"/>
        </w:rPr>
        <w:tab/>
        <w:t>Caractéristiques biologiques</w:t>
      </w:r>
    </w:p>
    <w:p w14:paraId="177E80BA" w14:textId="77777777" w:rsidR="00A6618C" w:rsidRPr="00DE5863" w:rsidRDefault="00A6618C">
      <w:pPr>
        <w:autoSpaceDE w:val="0"/>
        <w:adjustRightInd w:val="0"/>
        <w:spacing w:after="0"/>
        <w:jc w:val="both"/>
        <w:rPr>
          <w:rFonts w:ascii="Arial" w:eastAsia="Arial" w:hAnsi="Arial" w:cs="Arial"/>
          <w:lang w:val="fr-FR"/>
        </w:rPr>
      </w:pPr>
    </w:p>
    <w:p w14:paraId="6B1D0B1A" w14:textId="77777777" w:rsidR="00A6618C" w:rsidRPr="00DE5863" w:rsidRDefault="00D1732A">
      <w:pPr>
        <w:autoSpaceDE w:val="0"/>
        <w:adjustRightInd w:val="0"/>
        <w:spacing w:after="0"/>
        <w:jc w:val="both"/>
        <w:rPr>
          <w:rFonts w:ascii="Arial" w:hAnsi="Arial" w:cs="Arial"/>
          <w:lang w:val="fr-FR"/>
        </w:rPr>
      </w:pPr>
      <w:r w:rsidRPr="00DE5863">
        <w:rPr>
          <w:rFonts w:ascii="Arial" w:eastAsia="Arial" w:hAnsi="Arial" w:cs="Arial"/>
          <w:lang w:val="fr-FR"/>
        </w:rPr>
        <w:t xml:space="preserve">Le courlis corlieu est une espèce à longue durée de vie (³ 11 ans), monogame et territoriale ; les mâles établissent généralement un territoire de reproduction et effectuent parfois des parades aériennes. Pendant la saison de reproduction, il se nourrit d'insectes et de baies </w:t>
      </w:r>
      <w:r w:rsidRPr="00DE5863">
        <w:rPr>
          <w:rFonts w:ascii="Arial" w:hAnsi="Arial" w:cs="Arial"/>
          <w:sz w:val="21"/>
          <w:szCs w:val="21"/>
          <w:lang w:val="fr-FR"/>
        </w:rPr>
        <w:fldChar w:fldCharType="begin"/>
      </w:r>
      <w:r w:rsidRPr="00DE5863">
        <w:rPr>
          <w:rFonts w:ascii="Arial" w:hAnsi="Arial" w:cs="Arial"/>
          <w:sz w:val="21"/>
          <w:szCs w:val="21"/>
          <w:lang w:val="fr-FR"/>
        </w:rPr>
        <w:instrText xml:space="preserve"> ADDIN ZOTERO_ITEM CSL_CITATION {"citationID":"N411Svah","properties":{"formattedCitation":"(Skeel &amp; Mallory, 2020)","plainCitation":"(Skeel &amp; Mallory, 2020)","noteIndex":0},"citationItems":[{"id":1279,"uris":["http://zotero.org/users/11283305/items/6N4A6WQA"],"itemData":{"id":1279,"type":"entry-encyclopedia","collection-number":"version 1.0","container-title":"Birds of the World","event-place":"Cornell Lab of Ornithology, Ithaca, NY, USA","publisher":"S. M. Billerman","publisher-place":"Cornell Lab of Orni</w:instrText>
      </w:r>
      <w:r w:rsidRPr="00DE5863">
        <w:rPr>
          <w:rFonts w:ascii="Arial" w:hAnsi="Arial" w:cs="Arial"/>
          <w:sz w:val="21"/>
          <w:szCs w:val="21"/>
          <w:lang w:val="fr-FR"/>
        </w:rPr>
        <w:instrText xml:space="preserve">thology, Ithaca, NY, USA","title":"Whimbrel (Numenius phaeopus)","URL":"https://doi.org/10.2173/bow.whimbr.01","author":[{"family":"Skeel","given":"M.A."},{"family":"Mallory","given":"E.P."}],"issued":{"date-parts":[["2020"]]}}}],"schema":"https://github.com/citation-style-language/schema/raw/master/csl-citation.json"} </w:instrText>
      </w:r>
      <w:r w:rsidRPr="00DE5863">
        <w:rPr>
          <w:rFonts w:ascii="Arial" w:hAnsi="Arial" w:cs="Arial"/>
          <w:sz w:val="21"/>
          <w:szCs w:val="21"/>
          <w:lang w:val="fr-FR"/>
        </w:rPr>
        <w:fldChar w:fldCharType="separate"/>
      </w:r>
      <w:r w:rsidRPr="00DE5863">
        <w:rPr>
          <w:rFonts w:ascii="Arial" w:eastAsia="Arial" w:hAnsi="Arial" w:cs="Arial"/>
          <w:lang w:val="fr-FR"/>
        </w:rPr>
        <w:t>(Skeel &amp; Mallory, 2020)</w:t>
      </w:r>
      <w:r w:rsidRPr="00DE5863">
        <w:rPr>
          <w:rFonts w:ascii="Arial" w:hAnsi="Arial" w:cs="Arial"/>
          <w:sz w:val="21"/>
          <w:szCs w:val="21"/>
          <w:lang w:val="fr-FR"/>
        </w:rPr>
        <w:fldChar w:fldCharType="end"/>
      </w:r>
      <w:r w:rsidRPr="00DE5863">
        <w:rPr>
          <w:rFonts w:ascii="Arial" w:eastAsia="Arial" w:hAnsi="Arial" w:cs="Arial"/>
          <w:lang w:val="fr-FR"/>
        </w:rPr>
        <w:t xml:space="preserve">. Les deux sexes participent à l'incubation des œufs, et il y a généralement quatre œufs. Le succès de l’éclosion a été rapporté comme variant entre 26 % et 14 % selon deux années différentes sur un site de reproduction </w:t>
      </w:r>
      <w:r w:rsidRPr="00DE5863">
        <w:rPr>
          <w:rFonts w:ascii="Arial" w:hAnsi="Arial" w:cs="Arial"/>
          <w:sz w:val="21"/>
          <w:szCs w:val="21"/>
          <w:lang w:val="fr-FR"/>
        </w:rPr>
        <w:fldChar w:fldCharType="begin"/>
      </w:r>
      <w:r w:rsidRPr="00DE5863">
        <w:rPr>
          <w:rFonts w:ascii="Arial" w:hAnsi="Arial" w:cs="Arial"/>
          <w:sz w:val="21"/>
          <w:szCs w:val="21"/>
          <w:lang w:val="fr-FR"/>
        </w:rPr>
        <w:instrText xml:space="preserve"> ADDIN ZOTERO_ITEM CSL_CITATION {"citationID":"NUoo5AAZ","properties":{"formattedCitation":"(Ballantyne &amp; Nol, 2011)","plainCitation":"(Ballantyne &amp; Nol, 2011)","noteIndex":0},"citationItems":[{"id":737,"uris":["http://zotero.org/users/11283305/items/F4WF6IGL"],"itemData":{"id":737,"type":"article-journal","abstract":"The Whimbrel (Numenius phaeopus) is one of a suite of sub-arctic- and arctic-nesting shorebirds for which encroachment of woody vegetation into previously open habitats may cause a reduction i</w:instrText>
      </w:r>
      <w:r w:rsidRPr="00DE5863">
        <w:rPr>
          <w:rFonts w:ascii="Arial" w:hAnsi="Arial" w:cs="Arial"/>
          <w:sz w:val="21"/>
          <w:szCs w:val="21"/>
          <w:lang w:val="fr-FR"/>
        </w:rPr>
        <w:instrText>n breeding habitat. Whimbrel nesting habitat selection was studied at two spatial scales near Churchill, Manitoba, Canada, to determine habitat preferences and the degree to which the species avoided woody vegetation. Whimbrels occupied sites at the mesohabitat (territory) scale characterized by either high lichen cover, or high graminoid and standing water cover. No Whimbrels nested in mesohabitat with &gt;17.5% tall shrub cover, and only one pair nested where &gt;38 trees existed within 30 m of the nest. At the</w:instrText>
      </w:r>
      <w:r w:rsidRPr="00DE5863">
        <w:rPr>
          <w:rFonts w:ascii="Arial" w:hAnsi="Arial" w:cs="Arial"/>
          <w:sz w:val="21"/>
          <w:szCs w:val="21"/>
          <w:lang w:val="fr-FR"/>
        </w:rPr>
        <w:instrText xml:space="preserve"> microhabitat (nest) scale, Whimbrels nested in two distinct habitats. In lichen-dominated sites, nests had less concealing vegetation than unused sites whereas in graminoid dominated habitats, nests were more concealed than unused sites. Sixty-eight percent of nests were on hummocks or lichen ridges. Hatching success was not predicted by habitat characteristics and was lower than previously reported (2007: 26%; 2008: 14%). Avoidance of woody vegetation by breeding Whimbrels suggests that shrub and tree enc</w:instrText>
      </w:r>
      <w:r w:rsidRPr="00DE5863">
        <w:rPr>
          <w:rFonts w:ascii="Arial" w:hAnsi="Arial" w:cs="Arial"/>
          <w:sz w:val="21"/>
          <w:szCs w:val="21"/>
          <w:lang w:val="fr-FR"/>
        </w:rPr>
        <w:instrText>roachment would reduce habitat availability in the Churchill region.","container-title":"Waterbirds","DOI":"10.1675/063.034.0203","ISSN":"1524-4695, 1938-5390","issue":"2","journalAbbreviation":"cowa","note":"publisher: The Waterbird Society","page":"151-159","source":"bioone.org","title":"Nesting Habitat Selection and Hatching Success of Whimbrels Near Churchill, Manitoba, Canada","volume":"34","author":[{"family":"Ballantyne","given":"Kate"},{"family":"Nol","given":"Erica"}],"issued":{"date-parts":[["2011</w:instrText>
      </w:r>
      <w:r w:rsidRPr="00DE5863">
        <w:rPr>
          <w:rFonts w:ascii="Arial" w:hAnsi="Arial" w:cs="Arial"/>
          <w:sz w:val="21"/>
          <w:szCs w:val="21"/>
          <w:lang w:val="fr-FR"/>
        </w:rPr>
        <w:instrText xml:space="preserve">",6]]}}}],"schema":"https://github.com/citation-style-language/schema/raw/master/csl-citation.json"} </w:instrText>
      </w:r>
      <w:r w:rsidRPr="00DE5863">
        <w:rPr>
          <w:rFonts w:ascii="Arial" w:hAnsi="Arial" w:cs="Arial"/>
          <w:sz w:val="21"/>
          <w:szCs w:val="21"/>
          <w:lang w:val="fr-FR"/>
        </w:rPr>
        <w:fldChar w:fldCharType="separate"/>
      </w:r>
      <w:r w:rsidRPr="00DE5863">
        <w:rPr>
          <w:rFonts w:ascii="Arial" w:eastAsia="Arial" w:hAnsi="Arial" w:cs="Arial"/>
          <w:lang w:val="fr-FR"/>
        </w:rPr>
        <w:t>(Ballantyne &amp; Nol, 2011)</w:t>
      </w:r>
      <w:r w:rsidRPr="00DE5863">
        <w:rPr>
          <w:rFonts w:ascii="Arial" w:hAnsi="Arial" w:cs="Arial"/>
          <w:sz w:val="21"/>
          <w:szCs w:val="21"/>
          <w:lang w:val="fr-FR"/>
        </w:rPr>
        <w:fldChar w:fldCharType="end"/>
      </w:r>
      <w:r w:rsidRPr="00DE5863">
        <w:rPr>
          <w:rFonts w:ascii="Arial" w:eastAsia="Arial" w:hAnsi="Arial" w:cs="Arial"/>
          <w:lang w:val="fr-FR"/>
        </w:rPr>
        <w:t xml:space="preserve">. Quelques espèces différentes de rapaces, de renards et de loups agissent comme des prédateurs des nids du courlis corlieu. Les poussins quittent généralement le nid quelques heures seulement après l’éclosion pour se nourrir à proximité, car ils ne sont pas nourris par les parents. Les juvéniles migrent environ un mois après les adultes et passent une année entière sur les sites de non-reproduction avant de retourner aux zones de reproduction ; l’âge de la première reproduction est généralement de 2 ans </w:t>
      </w:r>
      <w:r w:rsidRPr="00DE5863">
        <w:rPr>
          <w:rFonts w:ascii="Arial" w:hAnsi="Arial" w:cs="Arial"/>
          <w:sz w:val="21"/>
          <w:szCs w:val="21"/>
          <w:lang w:val="fr-FR"/>
        </w:rPr>
        <w:fldChar w:fldCharType="begin"/>
      </w:r>
      <w:r w:rsidRPr="00DE5863">
        <w:rPr>
          <w:rFonts w:ascii="Arial" w:hAnsi="Arial" w:cs="Arial"/>
          <w:sz w:val="21"/>
          <w:szCs w:val="21"/>
          <w:lang w:val="fr-FR"/>
        </w:rPr>
        <w:instrText xml:space="preserve"> ADDIN ZOTERO_ITEM CSL_CITATION {"citationID":"D4qQPlvX","properties":{"formattedCitation":"(Skeel &amp; Mallory, 2020)","plainCitation":"(Skeel &amp; Mallory, 2020)","noteIndex":0},"citationItems":[{"id":1279,"uris":["http://zotero.org/users/11283305/items/6N4A6WQA"],"itemData":{"id":1279,"type":"entry-encyclopedia","collection-number":"version 1.0","container-title":"Birds of the World","event-place":"Cornell Lab of Ornithology, Ithaca, NY, USA","publisher":"S. M. Billerman","publisher-place":"Cornell Lab of Orni</w:instrText>
      </w:r>
      <w:r w:rsidRPr="00DE5863">
        <w:rPr>
          <w:rFonts w:ascii="Arial" w:hAnsi="Arial" w:cs="Arial"/>
          <w:sz w:val="21"/>
          <w:szCs w:val="21"/>
          <w:lang w:val="fr-FR"/>
        </w:rPr>
        <w:instrText xml:space="preserve">thology, Ithaca, NY, USA","title":"Whimbrel (Numenius phaeopus)","URL":"https://doi.org/10.2173/bow.whimbr.01","author":[{"family":"Skeel","given":"M.A."},{"family":"Mallory","given":"E.P."}],"issued":{"date-parts":[["2020"]]}}}],"schema":"https://github.com/citation-style-language/schema/raw/master/csl-citation.json"} </w:instrText>
      </w:r>
      <w:r w:rsidRPr="00DE5863">
        <w:rPr>
          <w:rFonts w:ascii="Arial" w:hAnsi="Arial" w:cs="Arial"/>
          <w:sz w:val="21"/>
          <w:szCs w:val="21"/>
          <w:lang w:val="fr-FR"/>
        </w:rPr>
        <w:fldChar w:fldCharType="separate"/>
      </w:r>
      <w:r w:rsidRPr="00DE5863">
        <w:rPr>
          <w:rFonts w:ascii="Arial" w:eastAsia="Arial" w:hAnsi="Arial" w:cs="Arial"/>
          <w:lang w:val="fr-FR"/>
        </w:rPr>
        <w:t>(Skeel &amp; Mallory, 2020)</w:t>
      </w:r>
      <w:r w:rsidRPr="00DE5863">
        <w:rPr>
          <w:rFonts w:ascii="Arial" w:hAnsi="Arial" w:cs="Arial"/>
          <w:sz w:val="21"/>
          <w:szCs w:val="21"/>
          <w:lang w:val="fr-FR"/>
        </w:rPr>
        <w:fldChar w:fldCharType="end"/>
      </w:r>
      <w:r w:rsidRPr="00DE5863">
        <w:rPr>
          <w:rFonts w:ascii="Arial" w:eastAsia="Arial" w:hAnsi="Arial" w:cs="Arial"/>
          <w:lang w:val="fr-FR"/>
        </w:rPr>
        <w:t xml:space="preserve">. Il existe des preuves que les femelles quittent les aires de reproduction avant les mâles </w:t>
      </w:r>
      <w:r w:rsidRPr="00DE5863">
        <w:rPr>
          <w:rFonts w:ascii="Arial" w:hAnsi="Arial" w:cs="Arial"/>
          <w:sz w:val="21"/>
          <w:szCs w:val="21"/>
          <w:lang w:val="fr-FR"/>
        </w:rPr>
        <w:fldChar w:fldCharType="begin"/>
      </w:r>
      <w:r w:rsidRPr="00DE5863">
        <w:rPr>
          <w:rFonts w:ascii="Arial" w:hAnsi="Arial" w:cs="Arial"/>
          <w:sz w:val="21"/>
          <w:szCs w:val="21"/>
          <w:lang w:val="fr-FR"/>
        </w:rPr>
        <w:instrText xml:space="preserve"> ADDIN ZOTERO_ITEM CSL_CITATION {"citationID":"85ugWtVe","properties":{"formattedCitation":"(Ausems, MacKellar, Brown, &amp; Nol, 2025)","plainCitation":"(Ausems, MacKellar, Brown, &amp; Nol, 2025)","noteIndex":0},"citationItems":[{"id":768,"uris":["http://zotero.org/users/11283305/items/NDYCUNQ7"],"itemData":{"id":768,"type":"article-journal","abstract":"Understanding movement ecology of long-distance migrants is essential for effective conservation. We showed that West Atlantic Flyway Whimbrels (Numenius phaeopus</w:instrText>
      </w:r>
      <w:r w:rsidRPr="00DE5863">
        <w:rPr>
          <w:rFonts w:ascii="Arial" w:hAnsi="Arial" w:cs="Arial"/>
          <w:sz w:val="21"/>
          <w:szCs w:val="21"/>
          <w:lang w:val="fr-FR"/>
        </w:rPr>
        <w:instrText>) depart their breeding grounds at different times based on breeding latitude, sex, and nest fate. Whimbrel may exhibit sex-specific preferences in migration, with males favoring oceanic routes, or molt strategies, with males losing glued-on tags earlier than females. We radio-tracked 45 birds from two study sites 710 km apart, with 30 detected after departure. The northern population departed significantly later than the southern population. Successful males in the north tended to depart later than the oth</w:instrText>
      </w:r>
      <w:r w:rsidRPr="00DE5863">
        <w:rPr>
          <w:rFonts w:ascii="Arial" w:hAnsi="Arial" w:cs="Arial"/>
          <w:sz w:val="21"/>
          <w:szCs w:val="21"/>
          <w:lang w:val="fr-FR"/>
        </w:rPr>
        <w:instrText>er groups. Detection probability declined with time after departure, and males were less likely to be detected than females. Seven females, but no males, were detected in one location for more than 1 day. Birds detected in the Maritime Provinces were not detected farther south, while all other birds were detected farther south along the Western Atlantic coast. This suggests that birds detected in the Maritimes may continue with overwater flights to their wintering areas. Our results are the first to suggest</w:instrText>
      </w:r>
      <w:r w:rsidRPr="00DE5863">
        <w:rPr>
          <w:rFonts w:ascii="Arial" w:hAnsi="Arial" w:cs="Arial"/>
          <w:sz w:val="21"/>
          <w:szCs w:val="21"/>
          <w:lang w:val="fr-FR"/>
        </w:rPr>
        <w:instrText xml:space="preserve"> that there may be sex-specific preferences for migration routes, or molt strategies in Whimbrel, implying the need for more complex conservation actions.","container-title":"Scientific Reports","DOI":"10.1038/s41598-025-90388-3","ISSN":"2045-2322","issue":"1","journalAbbreviation":"Sci Rep","language":"en","license":"2025 The Author(s)","note":"publisher: Nature Publishing Group","page":"6735","source":"www-nature-com.ez78.periodicos.capes.gov.br","title":"Sex-specific variation in breeding-ground departur</w:instrText>
      </w:r>
      <w:r w:rsidRPr="00DE5863">
        <w:rPr>
          <w:rFonts w:ascii="Arial" w:hAnsi="Arial" w:cs="Arial"/>
          <w:sz w:val="21"/>
          <w:szCs w:val="21"/>
          <w:lang w:val="fr-FR"/>
        </w:rPr>
        <w:instrText xml:space="preserve">e decisions and detection rates during southbound migration in West Atlantic Flyway Whimbrels (Numenius phaeopus)","volume":"15","author":[{"family":"Ausems","given":"Anne N. M. A."},{"family":"MacKellar","given":"Hannah"},{"family":"Brown","given":"Glen S."},{"family":"Nol","given":"Erica"}],"issued":{"date-parts":[["2025",2,25]]}}}],"schema":"https://github.com/citation-style-language/schema/raw/master/csl-citation.json"} </w:instrText>
      </w:r>
      <w:r w:rsidRPr="00DE5863">
        <w:rPr>
          <w:rFonts w:ascii="Arial" w:hAnsi="Arial" w:cs="Arial"/>
          <w:sz w:val="21"/>
          <w:szCs w:val="21"/>
          <w:lang w:val="fr-FR"/>
        </w:rPr>
        <w:fldChar w:fldCharType="separate"/>
      </w:r>
      <w:r w:rsidRPr="00DE5863">
        <w:rPr>
          <w:rFonts w:ascii="Arial" w:eastAsia="Arial" w:hAnsi="Arial" w:cs="Arial"/>
          <w:lang w:val="fr-FR"/>
        </w:rPr>
        <w:t>(Ausems, MacKellar, Brown, &amp; Nol, 2025)</w:t>
      </w:r>
      <w:r w:rsidRPr="00DE5863">
        <w:rPr>
          <w:rFonts w:ascii="Arial" w:hAnsi="Arial" w:cs="Arial"/>
          <w:sz w:val="21"/>
          <w:szCs w:val="21"/>
          <w:lang w:val="fr-FR"/>
        </w:rPr>
        <w:fldChar w:fldCharType="end"/>
      </w:r>
      <w:r w:rsidRPr="00DE5863">
        <w:rPr>
          <w:rFonts w:ascii="Arial" w:eastAsia="Arial" w:hAnsi="Arial" w:cs="Arial"/>
          <w:lang w:val="fr-FR"/>
        </w:rPr>
        <w:t xml:space="preserve">, si bien qu’il est inconnu si les couples passent la saison non reproductrice ensemble. Cependant, cette espèce montre une grande fidélité à son site de reproduction, et il a été observé que les couples marqués se retrouvent les années suivantes </w:t>
      </w:r>
      <w:r w:rsidRPr="00DE5863">
        <w:rPr>
          <w:rFonts w:ascii="Arial" w:hAnsi="Arial" w:cs="Arial"/>
          <w:sz w:val="21"/>
          <w:szCs w:val="21"/>
          <w:lang w:val="fr-FR"/>
        </w:rPr>
        <w:fldChar w:fldCharType="begin"/>
      </w:r>
      <w:r w:rsidRPr="00DE5863">
        <w:rPr>
          <w:rFonts w:ascii="Arial" w:hAnsi="Arial" w:cs="Arial"/>
          <w:sz w:val="21"/>
          <w:szCs w:val="21"/>
          <w:lang w:val="fr-FR"/>
        </w:rPr>
        <w:instrText xml:space="preserve"> ADDIN ZOTERO_ITEM CSL_CITATION {"citationID":"lmhkgNNP","properties":{"formattedCitation":"(Skeel &amp; Mallory, 2020)","plainCitation":"(Skeel &amp; Mallory, 2020)","noteIndex":0},"citationItems":[{"id":1279,"uris":["http://zotero.org/users/11283305/items/6N4A6WQA"],"itemData":{"id":1279,"type":"entry-encyclopedia","collection-number":"version 1.0","container-title":"Birds of the World","event-place":"Cornell Lab of Ornithology, Ithaca, NY, USA","publisher":"S. M. Billerman","publisher-place":"Cornell Lab of Orni</w:instrText>
      </w:r>
      <w:r w:rsidRPr="00DE5863">
        <w:rPr>
          <w:rFonts w:ascii="Arial" w:hAnsi="Arial" w:cs="Arial"/>
          <w:sz w:val="21"/>
          <w:szCs w:val="21"/>
          <w:lang w:val="fr-FR"/>
        </w:rPr>
        <w:instrText xml:space="preserve">thology, Ithaca, NY, USA","title":"Whimbrel (Numenius phaeopus)","URL":"https://doi.org/10.2173/bow.whimbr.01","author":[{"family":"Skeel","given":"M.A."},{"family":"Mallory","given":"E.P."}],"issued":{"date-parts":[["2020"]]}}}],"schema":"https://github.com/citation-style-language/schema/raw/master/csl-citation.json"} </w:instrText>
      </w:r>
      <w:r w:rsidRPr="00DE5863">
        <w:rPr>
          <w:rFonts w:ascii="Arial" w:hAnsi="Arial" w:cs="Arial"/>
          <w:sz w:val="21"/>
          <w:szCs w:val="21"/>
          <w:lang w:val="fr-FR"/>
        </w:rPr>
        <w:fldChar w:fldCharType="separate"/>
      </w:r>
      <w:r w:rsidRPr="00DE5863">
        <w:rPr>
          <w:rFonts w:ascii="Arial" w:eastAsia="Arial" w:hAnsi="Arial" w:cs="Arial"/>
          <w:lang w:val="fr-FR"/>
        </w:rPr>
        <w:t>(Skeel &amp; Mallory, 2020)</w:t>
      </w:r>
      <w:r w:rsidRPr="00DE5863">
        <w:rPr>
          <w:rFonts w:ascii="Arial" w:hAnsi="Arial" w:cs="Arial"/>
          <w:sz w:val="21"/>
          <w:szCs w:val="21"/>
          <w:lang w:val="fr-FR"/>
        </w:rPr>
        <w:fldChar w:fldCharType="end"/>
      </w:r>
      <w:r w:rsidRPr="00DE5863">
        <w:rPr>
          <w:rFonts w:ascii="Arial" w:eastAsia="Arial" w:hAnsi="Arial" w:cs="Arial"/>
          <w:lang w:val="fr-FR"/>
        </w:rPr>
        <w:t xml:space="preserve">. Pendant la migration ou la saison non reproductrice, le courlis corlieu se nourrit principalement de crabes et </w:t>
      </w:r>
      <w:proofErr w:type="spellStart"/>
      <w:r w:rsidRPr="00DE5863">
        <w:rPr>
          <w:rFonts w:ascii="Arial" w:eastAsia="Arial" w:hAnsi="Arial" w:cs="Arial"/>
          <w:lang w:val="fr-FR"/>
        </w:rPr>
        <w:t>maintient</w:t>
      </w:r>
      <w:proofErr w:type="spellEnd"/>
      <w:r w:rsidRPr="00DE5863">
        <w:rPr>
          <w:rFonts w:ascii="Arial" w:eastAsia="Arial" w:hAnsi="Arial" w:cs="Arial"/>
          <w:lang w:val="fr-FR"/>
        </w:rPr>
        <w:t xml:space="preserve"> des territoires de nourrissage individuels </w:t>
      </w:r>
      <w:r w:rsidRPr="00DE5863">
        <w:rPr>
          <w:rFonts w:ascii="Arial" w:hAnsi="Arial" w:cs="Arial"/>
          <w:sz w:val="21"/>
          <w:szCs w:val="21"/>
          <w:lang w:val="fr-FR"/>
        </w:rPr>
        <w:fldChar w:fldCharType="begin"/>
      </w:r>
      <w:r w:rsidRPr="00DE5863">
        <w:rPr>
          <w:rFonts w:ascii="Arial" w:hAnsi="Arial" w:cs="Arial"/>
          <w:sz w:val="21"/>
          <w:szCs w:val="21"/>
          <w:lang w:val="fr-FR"/>
        </w:rPr>
        <w:instrText xml:space="preserve"> ADDIN ZOTERO_ITEM CSL_CITATION {"citationID":"LlxGuquW","properties":{"formattedCitation":"(Handmaker et al., 2024; Skeel &amp; Mallory, 2020)","plainCitation":"(Handmaker et al., 2024; Skeel &amp; Mallory, 2020)","noteIndex":0},"citationItems":[{"id":223,"uris":["http://zotero.org/users/11283305/items/EJLGFU3T"],"itemData":{"id":223,"type":"article-journal","abstract":"Site fidelity—returning repeatedly to the same site—can help many migratory species reduce uncertainty in their environment, especially when migra</w:instrText>
      </w:r>
      <w:r w:rsidRPr="00DE5863">
        <w:rPr>
          <w:rFonts w:ascii="Arial" w:hAnsi="Arial" w:cs="Arial"/>
          <w:sz w:val="21"/>
          <w:szCs w:val="21"/>
          <w:lang w:val="fr-FR"/>
        </w:rPr>
        <w:instrText>tory stopover periods leave little time to explore and evaluate new habitat. Avian taxa, though, have shown wide variation in their levels of site fidelity during migration, and few studies have been able to examine individual-level fidelity at fine spatiotemporal scales. We used a high-resolution GPS tracking dataset of Numenius phaeopus (Whimbrel), a long-distance migratory shorebird, to assess levels of fidelity to specific foraging and roosting sites during migration, both within and between stopover se</w:instrText>
      </w:r>
      <w:r w:rsidRPr="00DE5863">
        <w:rPr>
          <w:rFonts w:ascii="Arial" w:hAnsi="Arial" w:cs="Arial"/>
          <w:sz w:val="21"/>
          <w:szCs w:val="21"/>
          <w:lang w:val="fr-FR"/>
        </w:rPr>
        <w:instrText xml:space="preserve">asons. We found that individuals are almost exclusively faithful to one shared roost site at night, but disperse to individual foraging territories during the day that overlap with each other by &amp;lt;20%. Individuals remain faithful to these distinct territories over time, on average shifting the center of their daily home ranges by &amp;lt;1.5 km within a single season, and overlapping with their previous season’s home range by 70% when they return during subsequent stopovers. Our findings reveal for the first </w:instrText>
      </w:r>
      <w:r w:rsidRPr="00DE5863">
        <w:rPr>
          <w:rFonts w:ascii="Arial" w:hAnsi="Arial" w:cs="Arial"/>
          <w:sz w:val="21"/>
          <w:szCs w:val="21"/>
          <w:lang w:val="fr-FR"/>
        </w:rPr>
        <w:instrText>time that a shorebird species exhibits fine-scale, individual foraging site fidelity during and between migratory stopovers—an important insight to inform effective conservation and management action.• Returning to the same suite of sites every year (called site fidelity) can help migratory animals reduce the uncertainty they face in their environment, but the spatial and temporal scale of site fidelity during migration remains poorly understood in many bird species.• We tracked the movements of Numenius ph</w:instrText>
      </w:r>
      <w:r w:rsidRPr="00DE5863">
        <w:rPr>
          <w:rFonts w:ascii="Arial" w:hAnsi="Arial" w:cs="Arial"/>
          <w:sz w:val="21"/>
          <w:szCs w:val="21"/>
          <w:lang w:val="fr-FR"/>
        </w:rPr>
        <w:instrText>aeopus (Whimbrel), a migratory shorebird, to explore whether they exhibit site fidelity to specific foraging and roosting sites during migratory stopovers, and assessed whether this fidelity changes over time.• We found that N. phaeopus show strong fidelity not only to the same roost site at night but also to their own unique feeding territories during the day.• We show that not only does this fidelity remain high within a single stopover season but that individuals return to their same small-scale foraging</w:instrText>
      </w:r>
      <w:r w:rsidRPr="00DE5863">
        <w:rPr>
          <w:rFonts w:ascii="Arial" w:hAnsi="Arial" w:cs="Arial"/>
          <w:sz w:val="21"/>
          <w:szCs w:val="21"/>
          <w:lang w:val="fr-FR"/>
        </w:rPr>
        <w:instrText xml:space="preserve"> territories when they return to this stopover site each year.","container-title":"Ornithology","DOI":"10.1093/ornithology/ukae021","ISSN":"0004-8038","journalAbbreviation":"Ornithology","page":"ukae021","source":"Silverchair","title":"Individual foraging site fidelity persists within and across stopover seasons in a migratory shorebird, Numenius phaeopus (Whimbrel)","author":[{"family":"Handmaker","given":"Maina C"},{"family":"Sanders","given":"Felicia J"},{"family":"Smith","given":"Adam D"},{"family":"She</w:instrText>
      </w:r>
      <w:r w:rsidRPr="00DE5863">
        <w:rPr>
          <w:rFonts w:ascii="Arial" w:hAnsi="Arial" w:cs="Arial"/>
          <w:sz w:val="21"/>
          <w:szCs w:val="21"/>
          <w:lang w:val="fr-FR"/>
        </w:rPr>
        <w:instrText>aly","given":"Ethan P"},{"family":"Fontaine","given":"Natasza"},{"family":"Kaplin","given":"Madelyn B"},{"family":"Thibault","given":"Janet M"},{"family":"Martin","given":"Mary Catherine"},{"family":"Duquet","given":"Camille"},{"family":"Sterling","given":"Abby V"},{"family":"Senner","given":"Nathan R"}],"issued":{"date-parts":[["2024",5,18]]}}},{"id":1279,"uris":["http://zotero.org/users/11283305/items/6N4A6WQA"],"itemData":{"id":1279,"type":"entry-encyclopedia","collection-number":"version 1.0","container</w:instrText>
      </w:r>
      <w:r w:rsidRPr="00DE5863">
        <w:rPr>
          <w:rFonts w:ascii="Arial" w:hAnsi="Arial" w:cs="Arial"/>
          <w:sz w:val="21"/>
          <w:szCs w:val="21"/>
          <w:lang w:val="fr-FR"/>
        </w:rPr>
        <w:instrText xml:space="preserve">-title":"Birds of the World","event-place":"Cornell Lab of Ornithology, Ithaca, NY, USA","publisher":"S. M. Billerman","publisher-place":"Cornell Lab of Ornithology, Ithaca, NY, USA","title":"Whimbrel (Numenius phaeopus)","URL":"https://doi.org/10.2173/bow.whimbr.01","author":[{"family":"Skeel","given":"M.A."},{"family":"Mallory","given":"E.P."}],"issued":{"date-parts":[["2020"]]}}}],"schema":"https://github.com/citation-style-language/schema/raw/master/csl-citation.json"} </w:instrText>
      </w:r>
      <w:r w:rsidRPr="00DE5863">
        <w:rPr>
          <w:rFonts w:ascii="Arial" w:hAnsi="Arial" w:cs="Arial"/>
          <w:sz w:val="21"/>
          <w:szCs w:val="21"/>
          <w:lang w:val="fr-FR"/>
        </w:rPr>
        <w:fldChar w:fldCharType="separate"/>
      </w:r>
      <w:r w:rsidRPr="00DE5863">
        <w:rPr>
          <w:rFonts w:ascii="Arial" w:eastAsia="Arial" w:hAnsi="Arial" w:cs="Arial"/>
          <w:lang w:val="fr-FR"/>
        </w:rPr>
        <w:t>(Handmaker et al., 2024 ; Skeel &amp; Mallory, 2020)</w:t>
      </w:r>
      <w:r w:rsidRPr="00DE5863">
        <w:rPr>
          <w:rFonts w:ascii="Arial" w:hAnsi="Arial" w:cs="Arial"/>
          <w:sz w:val="21"/>
          <w:szCs w:val="21"/>
          <w:lang w:val="fr-FR"/>
        </w:rPr>
        <w:fldChar w:fldCharType="end"/>
      </w:r>
      <w:r w:rsidRPr="00DE5863">
        <w:rPr>
          <w:rFonts w:ascii="Arial" w:eastAsia="Arial" w:hAnsi="Arial" w:cs="Arial"/>
          <w:lang w:val="fr-FR"/>
        </w:rPr>
        <w:t>.</w:t>
      </w:r>
    </w:p>
    <w:p w14:paraId="0C58E149" w14:textId="77777777" w:rsidR="00576266" w:rsidRDefault="00576266">
      <w:pPr>
        <w:spacing w:after="0"/>
        <w:ind w:left="567" w:hanging="540"/>
        <w:jc w:val="both"/>
        <w:rPr>
          <w:rFonts w:ascii="Arial" w:hAnsi="Arial" w:cs="Arial"/>
          <w:lang w:val="fr-FR"/>
        </w:rPr>
      </w:pPr>
    </w:p>
    <w:p w14:paraId="2F8484E3" w14:textId="527923A2" w:rsidR="00A6618C" w:rsidRPr="00DE5863" w:rsidRDefault="00D1732A">
      <w:pPr>
        <w:spacing w:after="0"/>
        <w:ind w:left="567" w:hanging="540"/>
        <w:jc w:val="both"/>
        <w:rPr>
          <w:rFonts w:ascii="Arial" w:hAnsi="Arial" w:cs="Arial"/>
          <w:lang w:val="fr-FR"/>
        </w:rPr>
      </w:pPr>
      <w:r w:rsidRPr="00DE5863">
        <w:rPr>
          <w:rFonts w:ascii="Arial" w:hAnsi="Arial" w:cs="Arial"/>
          <w:lang w:val="fr-FR"/>
        </w:rPr>
        <w:t>4.5</w:t>
      </w:r>
      <w:r w:rsidRPr="00DE5863">
        <w:rPr>
          <w:rFonts w:ascii="Arial" w:hAnsi="Arial" w:cs="Arial"/>
          <w:lang w:val="fr-FR"/>
        </w:rPr>
        <w:tab/>
        <w:t xml:space="preserve">Rôle du taxon dans son écosystème </w:t>
      </w:r>
    </w:p>
    <w:p w14:paraId="09EAC558" w14:textId="77777777" w:rsidR="00A6618C" w:rsidRPr="00DE5863" w:rsidRDefault="00A6618C">
      <w:pPr>
        <w:autoSpaceDE w:val="0"/>
        <w:adjustRightInd w:val="0"/>
        <w:spacing w:after="0"/>
        <w:jc w:val="both"/>
        <w:rPr>
          <w:rFonts w:ascii="Arial" w:eastAsia="Arial" w:hAnsi="Arial" w:cs="Arial"/>
          <w:lang w:val="fr-FR"/>
        </w:rPr>
      </w:pPr>
    </w:p>
    <w:p w14:paraId="0EA18262" w14:textId="77777777" w:rsidR="00A6618C" w:rsidRPr="00DE5863" w:rsidRDefault="00D1732A">
      <w:pPr>
        <w:autoSpaceDE w:val="0"/>
        <w:adjustRightInd w:val="0"/>
        <w:spacing w:after="0"/>
        <w:jc w:val="both"/>
        <w:rPr>
          <w:rFonts w:ascii="Arial" w:hAnsi="Arial" w:cs="Arial"/>
          <w:lang w:val="fr-FR"/>
        </w:rPr>
      </w:pPr>
      <w:r w:rsidRPr="00DE5863">
        <w:rPr>
          <w:rFonts w:ascii="Arial" w:eastAsia="Arial" w:hAnsi="Arial" w:cs="Arial"/>
          <w:lang w:val="fr-FR"/>
        </w:rPr>
        <w:t xml:space="preserve">Le courlis corlieu joue un rôle vital dans les écosystèmes auxquels cette (sous-)espèce est liée, servant notamment de régulateur de l’abondance des proies, tant pendant la saison de reproduction (insectes) que pendant la saison non reproductrice (macrofaune intertidale), entraînant des effets descendants importants sur le fonctionnement des écosystèmes de vasières </w:t>
      </w:r>
      <w:r w:rsidRPr="00DE5863">
        <w:rPr>
          <w:rFonts w:ascii="Arial" w:hAnsi="Arial" w:cs="Arial"/>
          <w:sz w:val="21"/>
          <w:szCs w:val="21"/>
          <w:lang w:val="fr-FR"/>
        </w:rPr>
        <w:fldChar w:fldCharType="begin"/>
      </w:r>
      <w:r w:rsidRPr="00DE5863">
        <w:rPr>
          <w:rFonts w:ascii="Arial" w:hAnsi="Arial" w:cs="Arial"/>
          <w:sz w:val="21"/>
          <w:szCs w:val="21"/>
          <w:lang w:val="fr-FR"/>
        </w:rPr>
        <w:instrText xml:space="preserve"> ADDIN ZOTERO_ITEM CSL_CITATION {"citationID":"dDFCl63l","properties":{"formattedCitation":"(Booty, Underwood, Parris, Davies, &amp; Tolhurst, 2020; Sekercioglu, 2006)","plainCitation":"(Booty, Underwood, Parris, Davies, &amp; Tolhurst, 2020; Sekercioglu, 2006)","noteIndex":0},"citationItems":[{"id":1320,"uris":["http://zotero.org/users/11283305/items/CJ23B3R3"],"itemData":{"id":1320,"type":"article-journal","abstract":"Ecosystem functioning and services have provided a rationale for conservation over the past deca</w:instrText>
      </w:r>
      <w:r w:rsidRPr="00DE5863">
        <w:rPr>
          <w:rFonts w:ascii="Arial" w:hAnsi="Arial" w:cs="Arial"/>
          <w:sz w:val="21"/>
          <w:szCs w:val="21"/>
          <w:lang w:val="fr-FR"/>
        </w:rPr>
        <w:instrText>des. Intertidal muddy sediments perform crucial functions, including erosion protection, nutrient cycling and carbon sequestration. Key mediators within this system include microphytobenthic biofilms, which bind sediment and influence nutrient biogeochemistry, and wading birds which feed extensively on sediment dwelling infauna, which in turn graze biofilms. Some wader species, specifically small sandpipers, have recently been found to interact directly with biofilms, e.g. by grazing, adding complexity to t</w:instrText>
      </w:r>
      <w:r w:rsidRPr="00DE5863">
        <w:rPr>
          <w:rFonts w:ascii="Arial" w:hAnsi="Arial" w:cs="Arial"/>
          <w:sz w:val="21"/>
          <w:szCs w:val="21"/>
          <w:lang w:val="fr-FR"/>
        </w:rPr>
        <w:instrText>his food web. It has been suggested that infauna grazing by waders may lead to a reduction in biofilm grazing pressure by infauna. If this was the case it would likely have significant top-down, trophic cascade effects on key mudflat ecosystem functions. We carried out an exclusion experiment on the Colne Estuary, Essex, UK to examine whether wader presence significantly affects sediment erodibility, microphytobenthos fluorescence (Fo) and sediment-water nutrient fluxes (nitrate, nitrite, ammonia, phosphate</w:instrText>
      </w:r>
      <w:r w:rsidRPr="00DE5863">
        <w:rPr>
          <w:rFonts w:ascii="Arial" w:hAnsi="Arial" w:cs="Arial"/>
          <w:sz w:val="21"/>
          <w:szCs w:val="21"/>
          <w:lang w:val="fr-FR"/>
        </w:rPr>
        <w:instrText xml:space="preserve"> and dissolved organic carbon (DOC)). Excluding wading birds caused significant changes in regulating and provisioning ecosystem functions, including mudflat erodibility and nutrient fluxes (with the exception of DOC). Fo was significantly greater, sediment critical shear strength increased, and the magnitude of nutrient fluxes increased where waders were absent. Excluding waders did not cause a significant difference in infauna density within the sediment, suggesting that a trophic cascade was not the caus</w:instrText>
      </w:r>
      <w:r w:rsidRPr="00DE5863">
        <w:rPr>
          <w:rFonts w:ascii="Arial" w:hAnsi="Arial" w:cs="Arial"/>
          <w:sz w:val="21"/>
          <w:szCs w:val="21"/>
          <w:lang w:val="fr-FR"/>
        </w:rPr>
        <w:instrText>e of the measured effects. The dominant wading species at the site, dunlin Calidris alpina, is reported to consume biofilm and is considered to play a key role in maintenance of ecosystem stability on mudflats. After a period of 23 days, the arrival of the mud snail Peringia ulvae appeared to compensate for the absence of waders, consuming biofilm and causing a reduction in surface biofilm differences between presence/absence plots. This study introduces a previously unknown effect of wader foraging and bio</w:instrText>
      </w:r>
      <w:r w:rsidRPr="00DE5863">
        <w:rPr>
          <w:rFonts w:ascii="Arial" w:hAnsi="Arial" w:cs="Arial"/>
          <w:sz w:val="21"/>
          <w:szCs w:val="21"/>
          <w:lang w:val="fr-FR"/>
        </w:rPr>
        <w:instrText>turbation within this system, and highlights an area of wader science which could aid joint conservation and human provisioning action.","container-title":"Frontiers in Marine Science","DOI":"10.3389/fmars.2020.00685","ISSN":"2296-7745","journalAbbreviation":"Front. Mar. Sci.","language":"English","note":"publisher: Frontiers","source":"Frontiers","title":"Shorebirds Affect Ecosystem Functioning on an Intertidal Mudflat","URL":"https://www.frontiersin.org/journals/marine-science/articles/10.3389/fmars.2020.</w:instrText>
      </w:r>
      <w:r w:rsidRPr="00DE5863">
        <w:rPr>
          <w:rFonts w:ascii="Arial" w:hAnsi="Arial" w:cs="Arial"/>
          <w:sz w:val="21"/>
          <w:szCs w:val="21"/>
          <w:lang w:val="fr-FR"/>
        </w:rPr>
        <w:instrText>00685/full","volume":"7","author":[{"family":"Booty","given":"James M."},{"family":"Underwood","given":"Graham J. C."},{"family":"Parris","given":"Amie"},{"family":"Davies","given":"Richard G."},{"family":"Tolhurst","given":"Trevor J."}],"accessed":{"date-parts":[["2025",10,3]]},"issued":{"date-parts":[["2020",8,25]]}}},{"id":636,"uris":["http://zotero.org/users/11283305/items/LPTEANHT"],"itemData":{"id":636,"type":"article-journal","abstract":"Birds are one of the most diverse groups of ecosystem service p</w:instrText>
      </w:r>
      <w:r w:rsidRPr="00DE5863">
        <w:rPr>
          <w:rFonts w:ascii="Arial" w:hAnsi="Arial" w:cs="Arial"/>
          <w:sz w:val="21"/>
          <w:szCs w:val="21"/>
          <w:lang w:val="fr-FR"/>
        </w:rPr>
        <w:instrText xml:space="preserve">roviders, whose ecological functions range from creating soil to shaping primate behavior, Nevertheless, the impression that birds have little influence on ecological processes has been hard to change. Given the ongoing declines in avian functional groups, there is a pressing need to compare avian ecological functions to those of other taxa, to understand how these functions translate to ecosystem services and to estimate the ecological implications of bird declines. Here, I review the ecological functions </w:instrText>
      </w:r>
      <w:r w:rsidRPr="00DE5863">
        <w:rPr>
          <w:rFonts w:ascii="Arial" w:hAnsi="Arial" w:cs="Arial"/>
          <w:sz w:val="21"/>
          <w:szCs w:val="21"/>
          <w:lang w:val="fr-FR"/>
        </w:rPr>
        <w:instrText>of birds, link them to ecosystem services and outline research priorities for understanding avian contributions to ecosystem functioning.","container-title":"Trends in Ecology &amp; Evolution","DOI":"10.1016/j.tree.2006.05.007","ISSN":"0169-5347","issue":"8","journalAbbreviation":"Trends in Ecology &amp; Evolution","page":"464-471","source":"ScienceDirect","title":"Increasing awareness of avian ecological function","volume":"21","author":[{"family":"Sekercioglu","given":"Cagan H."}],"issued":{"date-parts":[["2006",</w:instrText>
      </w:r>
      <w:r w:rsidRPr="00DE5863">
        <w:rPr>
          <w:rFonts w:ascii="Arial" w:hAnsi="Arial" w:cs="Arial"/>
          <w:sz w:val="21"/>
          <w:szCs w:val="21"/>
          <w:lang w:val="fr-FR"/>
        </w:rPr>
        <w:instrText xml:space="preserve">8,1]]}}}],"schema":"https://github.com/citation-style-language/schema/raw/master/csl-citation.json"} </w:instrText>
      </w:r>
      <w:r w:rsidRPr="00DE5863">
        <w:rPr>
          <w:rFonts w:ascii="Arial" w:hAnsi="Arial" w:cs="Arial"/>
          <w:sz w:val="21"/>
          <w:szCs w:val="21"/>
          <w:lang w:val="fr-FR"/>
        </w:rPr>
        <w:fldChar w:fldCharType="separate"/>
      </w:r>
      <w:r w:rsidRPr="00DE5863">
        <w:rPr>
          <w:rFonts w:ascii="Arial" w:eastAsia="Arial" w:hAnsi="Arial" w:cs="Arial"/>
          <w:lang w:val="fr-FR"/>
        </w:rPr>
        <w:t>(Booty, Underwood, Parris, Davies, &amp; Tolhurst, 2020 ; Sekercioglu, 2006)</w:t>
      </w:r>
      <w:r w:rsidRPr="00DE5863">
        <w:rPr>
          <w:rFonts w:ascii="Arial" w:hAnsi="Arial" w:cs="Arial"/>
          <w:sz w:val="21"/>
          <w:szCs w:val="21"/>
          <w:lang w:val="fr-FR"/>
        </w:rPr>
        <w:fldChar w:fldCharType="end"/>
      </w:r>
      <w:r w:rsidRPr="00DE5863">
        <w:rPr>
          <w:rFonts w:ascii="Arial" w:eastAsia="Arial" w:hAnsi="Arial" w:cs="Arial"/>
          <w:lang w:val="fr-FR"/>
        </w:rPr>
        <w:t xml:space="preserve">. De plus, en tant qu’oiseau de rivage migrateur de longue distance qui se reproduit en Arctique et subarctique et dépend de plusieurs autres écosystèmes tout au long de son cycle annuel, y compris les mangroves, le courlis corlieu joue également un rôle dans le recyclage des nutriments et la connectivité biologique </w:t>
      </w:r>
      <w:r w:rsidRPr="00DE5863">
        <w:rPr>
          <w:rFonts w:ascii="Arial" w:hAnsi="Arial" w:cs="Arial"/>
          <w:sz w:val="21"/>
          <w:szCs w:val="21"/>
          <w:lang w:val="fr-FR"/>
        </w:rPr>
        <w:fldChar w:fldCharType="begin"/>
      </w:r>
      <w:r w:rsidRPr="00DE5863">
        <w:rPr>
          <w:rFonts w:ascii="Arial" w:hAnsi="Arial" w:cs="Arial"/>
          <w:sz w:val="21"/>
          <w:szCs w:val="21"/>
          <w:lang w:val="fr-FR"/>
        </w:rPr>
        <w:instrText xml:space="preserve"> ADDIN ZOTERO_ITEM CSL_CITATION {"citationID":"cYXERmtL","properties":{"formattedCitation":"(Buelow &amp; Sheaves, 2015)","plainCitation":"(Buelow &amp; Sheaves, 2015)","noteIndex":0},"citationItems":[{"id":687,"uris":["http://zotero.org/users/11283305/items/WTJDS4LJ"],"itemData":{"id":687,"type":"article-journal","abstract":"Considerable advances in understanding of biological connectivity have flowed from studies of fish-facilitated connectivity within the coastal ecosystem mosaic. However, there are limits to th</w:instrText>
      </w:r>
      <w:r w:rsidRPr="00DE5863">
        <w:rPr>
          <w:rFonts w:ascii="Arial" w:hAnsi="Arial" w:cs="Arial"/>
          <w:sz w:val="21"/>
          <w:szCs w:val="21"/>
          <w:lang w:val="fr-FR"/>
        </w:rPr>
        <w:instrText>e information that fish can provide on connectivity. Mangrove-bird communities have the potential to connect coastal habitats in different ways and at different scales than fish, so incorporation of these links into our models of coastal ecosystem mosaics affords the opportunity to greatly increase the breadth of our understanding. We review the habitat and foraging requirements of mangrove-bird functional groups to understand how bird use of mangroves facilitates biological connectivity in coastal ecosyste</w:instrText>
      </w:r>
      <w:r w:rsidRPr="00DE5863">
        <w:rPr>
          <w:rFonts w:ascii="Arial" w:hAnsi="Arial" w:cs="Arial"/>
          <w:sz w:val="21"/>
          <w:szCs w:val="21"/>
          <w:lang w:val="fr-FR"/>
        </w:rPr>
        <w:instrText>m mosaics, and how that connectivity adds to the diversity and complexity of ecological processes in mangrove ecosystems. Avian biological connectivity is primarily characterized by foraging behavior and habitat/resource requirements. Therefore, the consequence of bird links for coastal ecosystem functioning largely depends on patterns of habitat use and foraging, and potentially influences nutrient cycling, top–down control and genetic information linkage. Habitats that experience concentrated bird guano d</w:instrText>
      </w:r>
      <w:r w:rsidRPr="00DE5863">
        <w:rPr>
          <w:rFonts w:ascii="Arial" w:hAnsi="Arial" w:cs="Arial"/>
          <w:sz w:val="21"/>
          <w:szCs w:val="21"/>
          <w:lang w:val="fr-FR"/>
        </w:rPr>
        <w:instrText>eposition have high levels of nitrogen and phosphorus, placing particular importance on the consequences of avian nutrient translocation and subsidization for coastal ecosystem functioning. High mobility allows mangrove-bird communities to link mangrove forests to other mangrove, terrestrial and marine-pelagic systems. Therefore, the spatial scale of coastal connectivity facilitated by birds is substantially more extensive than fish-facilitated connectivity. In particular, migratory birds link habitats at r</w:instrText>
      </w:r>
      <w:r w:rsidRPr="00DE5863">
        <w:rPr>
          <w:rFonts w:ascii="Arial" w:hAnsi="Arial" w:cs="Arial"/>
          <w:sz w:val="21"/>
          <w:szCs w:val="21"/>
          <w:lang w:val="fr-FR"/>
        </w:rPr>
        <w:instrText>egional, continental and inter-continental scales as they travel among seasonally available feeding areas from breeding grounds to non-breeding grounds; scales at which there are few fish equivalents. Knowledge of the nature and patterns of fish connectivity have contributed to shifting the initial, historical perception of mangrove-ecosystem functioning from that of a simple system based on nutrient and energy retention, to a view that includes fish-facilitated energy export. In a similar way, understandin</w:instrText>
      </w:r>
      <w:r w:rsidRPr="00DE5863">
        <w:rPr>
          <w:rFonts w:ascii="Arial" w:hAnsi="Arial" w:cs="Arial"/>
          <w:sz w:val="21"/>
          <w:szCs w:val="21"/>
          <w:lang w:val="fr-FR"/>
        </w:rPr>
        <w:instrText>g the nature and implications of mangrove connectivity through bird movements and migrations affords new possibilities for revising our view of the extent of functional links between mangroves and other ecosystems.","container-title":"Estuarine, Coastal and Shelf Science","DOI":"10.1016/j.ecss.2014.10.014","ISSN":"0272-7714","journalAbbreviation":"Estuarine, Coastal and Shelf Science","page":"33-43","source":"ScienceDirect","title":"A birds-eye view of biological connectivity in mangrove systems","volume":"</w:instrText>
      </w:r>
      <w:r w:rsidRPr="00DE5863">
        <w:rPr>
          <w:rFonts w:ascii="Arial" w:hAnsi="Arial" w:cs="Arial"/>
          <w:sz w:val="21"/>
          <w:szCs w:val="21"/>
          <w:lang w:val="fr-FR"/>
        </w:rPr>
        <w:instrText xml:space="preserve">152","author":[{"family":"Buelow","given":"Christina"},{"family":"Sheaves","given":"Marcus"}],"issued":{"date-parts":[["2015",1,5]]}}}],"schema":"https://github.com/citation-style-language/schema/raw/master/csl-citation.json"} </w:instrText>
      </w:r>
      <w:r w:rsidRPr="00DE5863">
        <w:rPr>
          <w:rFonts w:ascii="Arial" w:hAnsi="Arial" w:cs="Arial"/>
          <w:sz w:val="21"/>
          <w:szCs w:val="21"/>
          <w:lang w:val="fr-FR"/>
        </w:rPr>
        <w:fldChar w:fldCharType="separate"/>
      </w:r>
      <w:r w:rsidRPr="00DE5863">
        <w:rPr>
          <w:rFonts w:ascii="Arial" w:eastAsia="Arial" w:hAnsi="Arial" w:cs="Arial"/>
          <w:lang w:val="fr-FR"/>
        </w:rPr>
        <w:t>(Buelow &amp; Sheaves, 2015)</w:t>
      </w:r>
      <w:r w:rsidRPr="00DE5863">
        <w:rPr>
          <w:rFonts w:ascii="Arial" w:hAnsi="Arial" w:cs="Arial"/>
          <w:sz w:val="21"/>
          <w:szCs w:val="21"/>
          <w:lang w:val="fr-FR"/>
        </w:rPr>
        <w:fldChar w:fldCharType="end"/>
      </w:r>
      <w:r w:rsidRPr="00DE5863">
        <w:rPr>
          <w:rFonts w:ascii="Arial" w:eastAsia="Arial" w:hAnsi="Arial" w:cs="Arial"/>
          <w:lang w:val="fr-FR"/>
        </w:rPr>
        <w:t>.</w:t>
      </w:r>
    </w:p>
    <w:p w14:paraId="6513B308" w14:textId="77777777" w:rsidR="00A6618C" w:rsidRPr="00DE5863" w:rsidRDefault="00A6618C">
      <w:pPr>
        <w:spacing w:after="0"/>
        <w:ind w:left="720"/>
        <w:jc w:val="both"/>
        <w:rPr>
          <w:rFonts w:ascii="Arial" w:hAnsi="Arial" w:cs="Arial"/>
          <w:lang w:val="fr-FR"/>
        </w:rPr>
      </w:pPr>
    </w:p>
    <w:p w14:paraId="3FC8140C" w14:textId="77777777" w:rsidR="00A6618C" w:rsidRPr="00DE5863" w:rsidRDefault="00D1732A">
      <w:pPr>
        <w:tabs>
          <w:tab w:val="left" w:pos="630"/>
        </w:tabs>
        <w:spacing w:after="0"/>
        <w:ind w:left="540" w:hanging="540"/>
        <w:jc w:val="both"/>
        <w:rPr>
          <w:rFonts w:ascii="Arial" w:hAnsi="Arial" w:cs="Arial"/>
          <w:b/>
          <w:bCs/>
          <w:lang w:val="fr-FR"/>
        </w:rPr>
      </w:pPr>
      <w:r w:rsidRPr="00DE5863">
        <w:rPr>
          <w:rFonts w:ascii="Arial" w:hAnsi="Arial" w:cs="Arial"/>
          <w:b/>
          <w:bCs/>
          <w:lang w:val="fr-FR"/>
        </w:rPr>
        <w:t>5.</w:t>
      </w:r>
      <w:r w:rsidRPr="00DE5863">
        <w:rPr>
          <w:rFonts w:ascii="Arial" w:hAnsi="Arial" w:cs="Arial"/>
          <w:b/>
          <w:bCs/>
          <w:lang w:val="fr-FR"/>
        </w:rPr>
        <w:tab/>
      </w:r>
      <w:r w:rsidRPr="00DE5863">
        <w:rPr>
          <w:rFonts w:ascii="Arial" w:hAnsi="Arial" w:cs="Arial"/>
          <w:b/>
          <w:bCs/>
          <w:lang w:val="fr-FR"/>
        </w:rPr>
        <w:t xml:space="preserve">État de conservation et menaces </w:t>
      </w:r>
    </w:p>
    <w:p w14:paraId="79B5D78A" w14:textId="77777777" w:rsidR="00A6618C" w:rsidRPr="00DE5863" w:rsidRDefault="00A6618C">
      <w:pPr>
        <w:tabs>
          <w:tab w:val="left" w:pos="630"/>
        </w:tabs>
        <w:spacing w:after="0"/>
        <w:ind w:left="540" w:hanging="540"/>
        <w:jc w:val="both"/>
        <w:rPr>
          <w:rFonts w:ascii="Arial" w:hAnsi="Arial" w:cs="Arial"/>
          <w:lang w:val="fr-FR"/>
        </w:rPr>
      </w:pPr>
    </w:p>
    <w:p w14:paraId="501AB867" w14:textId="77777777" w:rsidR="00A6618C" w:rsidRPr="00DE5863" w:rsidRDefault="00D1732A">
      <w:pPr>
        <w:spacing w:after="0"/>
        <w:ind w:left="567" w:hanging="540"/>
        <w:jc w:val="both"/>
        <w:rPr>
          <w:rFonts w:ascii="Arial" w:hAnsi="Arial" w:cs="Arial"/>
          <w:lang w:val="fr-FR"/>
        </w:rPr>
      </w:pPr>
      <w:r w:rsidRPr="00DE5863">
        <w:rPr>
          <w:rFonts w:ascii="Arial" w:hAnsi="Arial" w:cs="Arial"/>
          <w:lang w:val="fr-FR"/>
        </w:rPr>
        <w:t>5.1</w:t>
      </w:r>
      <w:r w:rsidRPr="00DE5863">
        <w:rPr>
          <w:rFonts w:ascii="Arial" w:hAnsi="Arial" w:cs="Arial"/>
          <w:lang w:val="fr-FR"/>
        </w:rPr>
        <w:tab/>
        <w:t>Évaluation de la liste rouge de l'UICN (si disponible)</w:t>
      </w:r>
    </w:p>
    <w:p w14:paraId="2C211738" w14:textId="77777777" w:rsidR="00A6618C" w:rsidRPr="00DE5863" w:rsidRDefault="00A6618C">
      <w:pPr>
        <w:autoSpaceDE w:val="0"/>
        <w:adjustRightInd w:val="0"/>
        <w:spacing w:after="0"/>
        <w:jc w:val="both"/>
        <w:rPr>
          <w:rFonts w:ascii="Arial" w:eastAsia="Arial" w:hAnsi="Arial" w:cs="Arial"/>
          <w:lang w:val="fr-FR"/>
        </w:rPr>
      </w:pPr>
    </w:p>
    <w:p w14:paraId="0C8483FB" w14:textId="77777777" w:rsidR="00A6618C" w:rsidRPr="00DE5863" w:rsidRDefault="00D1732A">
      <w:pPr>
        <w:autoSpaceDE w:val="0"/>
        <w:adjustRightInd w:val="0"/>
        <w:spacing w:after="0"/>
        <w:jc w:val="both"/>
        <w:rPr>
          <w:rFonts w:ascii="Arial" w:eastAsia="Arial" w:hAnsi="Arial" w:cs="Arial"/>
          <w:lang w:val="fr-FR"/>
        </w:rPr>
      </w:pPr>
      <w:r w:rsidRPr="00DE5863">
        <w:rPr>
          <w:rFonts w:ascii="Arial" w:eastAsia="Arial" w:hAnsi="Arial" w:cs="Arial"/>
          <w:lang w:val="fr-FR"/>
        </w:rPr>
        <w:t>À ce jour, aucune évaluation sur la Liste rouge de l'Union internationale pour la conservation de la nature (UICN) n’a été réalisée pour le courlis corlieu, tandis que l’espèce entière de courlis (</w:t>
      </w:r>
      <w:r w:rsidRPr="00DE5863">
        <w:rPr>
          <w:rFonts w:ascii="Arial" w:eastAsia="Arial" w:hAnsi="Arial" w:cs="Arial"/>
          <w:i/>
          <w:iCs/>
          <w:lang w:val="fr-FR"/>
        </w:rPr>
        <w:t xml:space="preserve">Numenius </w:t>
      </w:r>
      <w:proofErr w:type="spellStart"/>
      <w:r w:rsidRPr="00DE5863">
        <w:rPr>
          <w:rFonts w:ascii="Arial" w:eastAsia="Arial" w:hAnsi="Arial" w:cs="Arial"/>
          <w:i/>
          <w:iCs/>
          <w:lang w:val="fr-FR"/>
        </w:rPr>
        <w:t>phaeopus</w:t>
      </w:r>
      <w:proofErr w:type="spellEnd"/>
      <w:r w:rsidRPr="00DE5863">
        <w:rPr>
          <w:rFonts w:ascii="Arial" w:eastAsia="Arial" w:hAnsi="Arial" w:cs="Arial"/>
          <w:lang w:val="fr-FR"/>
        </w:rPr>
        <w:t>) est classée dans la catégorie « Préoccupation mineure », en raison du fait que la sous‑espèce et les populations eurasiennes seraient stables et beaucoup plus nombreuses ; la sous‑espèce corlieu en déclin ne représentant qu’une faible partie de la population totale de l’espèce.</w:t>
      </w:r>
    </w:p>
    <w:p w14:paraId="52C7F658" w14:textId="77777777" w:rsidR="00A6618C" w:rsidRPr="00DE5863" w:rsidRDefault="00A6618C">
      <w:pPr>
        <w:spacing w:after="0"/>
        <w:jc w:val="both"/>
        <w:rPr>
          <w:rFonts w:ascii="Arial" w:hAnsi="Arial" w:cs="Arial"/>
          <w:lang w:val="fr-FR"/>
        </w:rPr>
      </w:pPr>
    </w:p>
    <w:p w14:paraId="5C4276B8" w14:textId="77777777" w:rsidR="00A6618C" w:rsidRPr="00DE5863" w:rsidRDefault="00D1732A">
      <w:pPr>
        <w:spacing w:after="0"/>
        <w:ind w:left="567" w:hanging="540"/>
        <w:jc w:val="both"/>
        <w:rPr>
          <w:rFonts w:ascii="Arial" w:hAnsi="Arial" w:cs="Arial"/>
          <w:lang w:val="fr-FR"/>
        </w:rPr>
      </w:pPr>
      <w:r w:rsidRPr="00DE5863">
        <w:rPr>
          <w:rFonts w:ascii="Arial" w:hAnsi="Arial" w:cs="Arial"/>
          <w:lang w:val="fr-FR"/>
        </w:rPr>
        <w:t>5.2</w:t>
      </w:r>
      <w:r w:rsidRPr="00DE5863">
        <w:rPr>
          <w:rFonts w:ascii="Arial" w:hAnsi="Arial" w:cs="Arial"/>
          <w:lang w:val="fr-FR"/>
        </w:rPr>
        <w:tab/>
        <w:t xml:space="preserve">Informations équivalentes pertinentes pour l'évaluation de l'état de conservation </w:t>
      </w:r>
    </w:p>
    <w:p w14:paraId="7CD14822" w14:textId="77777777" w:rsidR="00A6618C" w:rsidRPr="00DE5863" w:rsidRDefault="00A6618C">
      <w:pPr>
        <w:spacing w:after="0"/>
        <w:jc w:val="both"/>
        <w:rPr>
          <w:rFonts w:ascii="Arial" w:hAnsi="Arial" w:cs="Arial"/>
          <w:lang w:val="fr-FR"/>
        </w:rPr>
      </w:pPr>
    </w:p>
    <w:p w14:paraId="03C931A6" w14:textId="77777777" w:rsidR="00A6618C" w:rsidRPr="00DE5863" w:rsidRDefault="00D1732A">
      <w:pPr>
        <w:autoSpaceDE w:val="0"/>
        <w:adjustRightInd w:val="0"/>
        <w:spacing w:after="0"/>
        <w:jc w:val="both"/>
        <w:rPr>
          <w:rFonts w:ascii="Arial" w:eastAsia="Arial" w:hAnsi="Arial" w:cs="Arial"/>
          <w:lang w:val="fr-FR"/>
        </w:rPr>
      </w:pPr>
      <w:r w:rsidRPr="00DE5863">
        <w:rPr>
          <w:rFonts w:ascii="Arial" w:eastAsia="Arial" w:hAnsi="Arial" w:cs="Arial"/>
          <w:lang w:val="fr-FR"/>
        </w:rPr>
        <w:t>Les populations de courlis corlieu ont décliné d’environ 70 % au cours des trois dernières générations (voir plus de détails dans la section C 4.2 ; Smith et al., 2023), ce qui est cohérent avec une inscription de l’espèce dans la catégorie En danger à l’échelle mondiale selon les critères A de la Liste rouge de l’Union internationale pour la conservation de la nature (UICN).</w:t>
      </w:r>
    </w:p>
    <w:p w14:paraId="588252FE" w14:textId="77777777" w:rsidR="00A6618C" w:rsidRPr="00DE5863" w:rsidRDefault="00A6618C">
      <w:pPr>
        <w:autoSpaceDE w:val="0"/>
        <w:adjustRightInd w:val="0"/>
        <w:spacing w:after="0"/>
        <w:jc w:val="both"/>
        <w:rPr>
          <w:rFonts w:ascii="Arial" w:eastAsia="Arial" w:hAnsi="Arial" w:cs="Arial"/>
          <w:lang w:val="fr-FR"/>
        </w:rPr>
      </w:pPr>
    </w:p>
    <w:p w14:paraId="1AB6C220" w14:textId="77777777" w:rsidR="00A6618C" w:rsidRPr="00DE5863" w:rsidRDefault="00D1732A">
      <w:pPr>
        <w:autoSpaceDE w:val="0"/>
        <w:adjustRightInd w:val="0"/>
        <w:spacing w:after="0"/>
        <w:jc w:val="both"/>
        <w:rPr>
          <w:rFonts w:ascii="Arial" w:eastAsia="Arial" w:hAnsi="Arial" w:cs="Arial"/>
          <w:lang w:val="fr-FR"/>
        </w:rPr>
      </w:pPr>
      <w:r w:rsidRPr="00DE5863">
        <w:rPr>
          <w:rFonts w:ascii="Arial" w:eastAsia="Arial" w:hAnsi="Arial" w:cs="Arial"/>
          <w:lang w:val="fr-FR"/>
        </w:rPr>
        <w:lastRenderedPageBreak/>
        <w:t xml:space="preserve">En raison de la petite taille de sa population et de sa tendance au déclin, cette (sous-)espèce est déjà considérée comme Vulnérable au niveau national, selon le critère A2b de la Liste rouge de l’UICN sur la liste brésilienne des espèces menacées </w:t>
      </w:r>
      <w:r w:rsidRPr="00DE5863">
        <w:rPr>
          <w:rFonts w:ascii="Arial" w:hAnsi="Arial" w:cs="Arial"/>
          <w:sz w:val="21"/>
          <w:szCs w:val="21"/>
          <w:lang w:val="fr-FR"/>
        </w:rPr>
        <w:fldChar w:fldCharType="begin"/>
      </w:r>
      <w:r w:rsidRPr="00DE5863">
        <w:rPr>
          <w:rFonts w:ascii="Arial" w:hAnsi="Arial" w:cs="Arial"/>
          <w:sz w:val="21"/>
          <w:szCs w:val="21"/>
          <w:lang w:val="fr-FR"/>
        </w:rPr>
        <w:instrText xml:space="preserve"> ADDIN ZOTERO_ITEM CSL_CITATION {"citationID":"CWYaQK6i","properties":{"formattedCitation":"(MMA, 2022)","plainCitation":"(MMA, 2022)","noteIndex":0},"citationItems":[{"id":653,"uris":["http://zotero.org/users/11283305/items/YQ8X7SFF"],"itemData":{"id":653,"type":"bill","title":"Portaria MMA Nº 148","author":[{"family":"MMA","given":""}],"issued":{"date-parts":[["2022",6,7]]}}}],"schema":"https://github.com/citation-style-language/schema/raw/master/csl-citation.json"} </w:instrText>
      </w:r>
      <w:r w:rsidRPr="00DE5863">
        <w:rPr>
          <w:rFonts w:ascii="Arial" w:hAnsi="Arial" w:cs="Arial"/>
          <w:sz w:val="21"/>
          <w:szCs w:val="21"/>
          <w:lang w:val="fr-FR"/>
        </w:rPr>
        <w:fldChar w:fldCharType="separate"/>
      </w:r>
      <w:r w:rsidRPr="00DE5863">
        <w:rPr>
          <w:rFonts w:ascii="Arial" w:eastAsia="Arial" w:hAnsi="Arial" w:cs="Arial"/>
          <w:lang w:val="fr-FR"/>
        </w:rPr>
        <w:t>(MMA, 2022 ; Telino Jr. et al., 2023)</w:t>
      </w:r>
      <w:r w:rsidRPr="00DE5863">
        <w:rPr>
          <w:rFonts w:ascii="Arial" w:hAnsi="Arial" w:cs="Arial"/>
          <w:sz w:val="21"/>
          <w:szCs w:val="21"/>
          <w:lang w:val="fr-FR"/>
        </w:rPr>
        <w:fldChar w:fldCharType="end"/>
      </w:r>
      <w:r w:rsidRPr="00DE5863">
        <w:rPr>
          <w:rFonts w:ascii="Arial" w:eastAsia="Arial" w:hAnsi="Arial" w:cs="Arial"/>
          <w:lang w:val="fr-FR"/>
        </w:rPr>
        <w:t xml:space="preserve">. Il est également considéré comme une préoccupation majeure en matière de conservation, tant aux États-Unis </w:t>
      </w:r>
      <w:r w:rsidRPr="00DE5863">
        <w:rPr>
          <w:rFonts w:ascii="Arial" w:hAnsi="Arial" w:cs="Arial"/>
          <w:sz w:val="21"/>
          <w:szCs w:val="21"/>
          <w:lang w:val="fr-FR"/>
        </w:rPr>
        <w:fldChar w:fldCharType="begin"/>
      </w:r>
      <w:r w:rsidRPr="00DE5863">
        <w:rPr>
          <w:rFonts w:ascii="Arial" w:hAnsi="Arial" w:cs="Arial"/>
          <w:sz w:val="21"/>
          <w:szCs w:val="21"/>
          <w:lang w:val="fr-FR"/>
        </w:rPr>
        <w:instrText xml:space="preserve"> ADDIN ZOTERO_ITEM CSL_CITATION {"citationID":"xplhP4Km","properties":{"formattedCitation":"(U.S. Shorebird Conservation Plan Partnership, 2016)","plainCitation":"(U.S. Shorebird Conservation Plan Partnership, 2016)","noteIndex":0},"citationItems":[{"id":1323,"uris":["http://zotero.org/users/11283305/items/7D64PY53"],"itemData":{"id":1323,"type":"article-journal","title":"Shorebirds of Conservation Concern in the United States of America ─ 2016","URL":"http://www.shorebirdplan.org/science/assessment-conserv</w:instrText>
      </w:r>
      <w:r w:rsidRPr="00DE5863">
        <w:rPr>
          <w:rFonts w:ascii="Arial" w:hAnsi="Arial" w:cs="Arial"/>
          <w:sz w:val="21"/>
          <w:szCs w:val="21"/>
          <w:lang w:val="fr-FR"/>
        </w:rPr>
        <w:instrText xml:space="preserve">ation-status-shorebirds/","author":[{"family":"U.S. Shorebird Conservation Plan Partnership","given":""}],"issued":{"date-parts":[["2016"]]}}}],"schema":"https://github.com/citation-style-language/schema/raw/master/csl-citation.json"} </w:instrText>
      </w:r>
      <w:r w:rsidRPr="00DE5863">
        <w:rPr>
          <w:rFonts w:ascii="Arial" w:hAnsi="Arial" w:cs="Arial"/>
          <w:sz w:val="21"/>
          <w:szCs w:val="21"/>
          <w:lang w:val="fr-FR"/>
        </w:rPr>
        <w:fldChar w:fldCharType="separate"/>
      </w:r>
      <w:r w:rsidRPr="00DE5863">
        <w:rPr>
          <w:rFonts w:ascii="Arial" w:eastAsia="Arial" w:hAnsi="Arial" w:cs="Arial"/>
          <w:lang w:val="fr-FR"/>
        </w:rPr>
        <w:t>(Partenariat du Plan de Conservation des Oiseaux de Rivage des États-Unis, 2016)</w:t>
      </w:r>
      <w:r w:rsidRPr="00DE5863">
        <w:rPr>
          <w:rFonts w:ascii="Arial" w:hAnsi="Arial" w:cs="Arial"/>
          <w:sz w:val="21"/>
          <w:szCs w:val="21"/>
          <w:lang w:val="fr-FR"/>
        </w:rPr>
        <w:fldChar w:fldCharType="end"/>
      </w:r>
      <w:r w:rsidRPr="00DE5863">
        <w:rPr>
          <w:rFonts w:ascii="Arial" w:eastAsia="Arial" w:hAnsi="Arial" w:cs="Arial"/>
          <w:lang w:val="fr-FR"/>
        </w:rPr>
        <w:t xml:space="preserve"> qu'au Canada </w:t>
      </w:r>
      <w:r w:rsidRPr="00DE5863">
        <w:rPr>
          <w:rFonts w:ascii="Arial" w:hAnsi="Arial" w:cs="Arial"/>
          <w:sz w:val="21"/>
          <w:szCs w:val="21"/>
          <w:lang w:val="fr-FR"/>
        </w:rPr>
        <w:fldChar w:fldCharType="begin"/>
      </w:r>
      <w:r w:rsidRPr="00DE5863">
        <w:rPr>
          <w:rFonts w:ascii="Arial" w:hAnsi="Arial" w:cs="Arial"/>
          <w:sz w:val="21"/>
          <w:szCs w:val="21"/>
          <w:lang w:val="fr-FR"/>
        </w:rPr>
        <w:instrText xml:space="preserve"> ADDIN ZOTERO_ITEM CSL_CITATION {"citationID":"sVceoSEo","properties":{"formattedCitation":"(Hope et al., 2019)","plainCitation":"(Hope et al., 2019)","noteIndex":0},"citationItems":[{"id":1324,"uris":["http://zotero.org/users/11283305/items/C43J99BJ"],"itemData":{"id":1324,"type":"article-journal","container-title":"Wader Study","DOI":"doi:10.18194/ws.00148","issue":"2","language":"en-US","note":"DOI: 10.18194/ws.00148","page":"88-100","title":"Shorebirds of conservation concern in Canada – 2019","volume":</w:instrText>
      </w:r>
      <w:r w:rsidRPr="00DE5863">
        <w:rPr>
          <w:rFonts w:ascii="Arial" w:hAnsi="Arial" w:cs="Arial"/>
          <w:sz w:val="21"/>
          <w:szCs w:val="21"/>
          <w:lang w:val="fr-FR"/>
        </w:rPr>
        <w:instrText>"126","author":[{"family":"Hope","given":"David D."},{"family":"Pekerik","given":"Cynthia"},{"family":"Drever","given":"Mark C."},{"family":"Smith","given":"Paul"},{"family":"Gratto-Trevor","given":"Cheri"},{"family":"Paquet","given":"Julie"},{"family":"Aubry","given":"Y."},{"family":"Donaldson","given":"Gary"},{"family":"Friis","given":"Christian"},{"family":"Gurney","given":"Kirsty"},{"family":"Rausch","given":"Jennie"},{"family":"McKellar","given":"Ann E."},{"family":"Andres","given":"Brad"}],"issued":{"</w:instrText>
      </w:r>
      <w:r w:rsidRPr="00DE5863">
        <w:rPr>
          <w:rFonts w:ascii="Arial" w:hAnsi="Arial" w:cs="Arial"/>
          <w:sz w:val="21"/>
          <w:szCs w:val="21"/>
          <w:lang w:val="fr-FR"/>
        </w:rPr>
        <w:instrText xml:space="preserve">date-parts":[["2019"]]}}}],"schema":"https://github.com/citation-style-language/schema/raw/master/csl-citation.json"} </w:instrText>
      </w:r>
      <w:r w:rsidRPr="00DE5863">
        <w:rPr>
          <w:rFonts w:ascii="Arial" w:hAnsi="Arial" w:cs="Arial"/>
          <w:sz w:val="21"/>
          <w:szCs w:val="21"/>
          <w:lang w:val="fr-FR"/>
        </w:rPr>
        <w:fldChar w:fldCharType="separate"/>
      </w:r>
      <w:r w:rsidRPr="00DE5863">
        <w:rPr>
          <w:rFonts w:ascii="Arial" w:eastAsia="Arial" w:hAnsi="Arial" w:cs="Arial"/>
          <w:lang w:val="fr-FR"/>
        </w:rPr>
        <w:t>(Hope et al., 2019)</w:t>
      </w:r>
      <w:r w:rsidRPr="00DE5863">
        <w:rPr>
          <w:rFonts w:ascii="Arial" w:hAnsi="Arial" w:cs="Arial"/>
          <w:sz w:val="21"/>
          <w:szCs w:val="21"/>
          <w:lang w:val="fr-FR"/>
        </w:rPr>
        <w:fldChar w:fldCharType="end"/>
      </w:r>
      <w:r w:rsidRPr="00DE5863">
        <w:rPr>
          <w:rFonts w:ascii="Arial" w:eastAsia="Arial" w:hAnsi="Arial" w:cs="Arial"/>
          <w:lang w:val="fr-FR"/>
        </w:rPr>
        <w:t>.</w:t>
      </w:r>
    </w:p>
    <w:p w14:paraId="70421605" w14:textId="77777777" w:rsidR="00A6618C" w:rsidRPr="00DE5863" w:rsidRDefault="00A6618C">
      <w:pPr>
        <w:spacing w:after="0"/>
        <w:jc w:val="both"/>
        <w:rPr>
          <w:rFonts w:ascii="Arial" w:hAnsi="Arial" w:cs="Arial"/>
          <w:lang w:val="fr-FR"/>
        </w:rPr>
      </w:pPr>
    </w:p>
    <w:p w14:paraId="3253BA33" w14:textId="77777777" w:rsidR="00A6618C" w:rsidRPr="00DE5863" w:rsidRDefault="00D1732A">
      <w:pPr>
        <w:spacing w:after="0"/>
        <w:ind w:left="567" w:hanging="540"/>
        <w:jc w:val="both"/>
        <w:rPr>
          <w:rFonts w:ascii="Arial" w:hAnsi="Arial" w:cs="Arial"/>
          <w:lang w:val="fr-FR"/>
        </w:rPr>
      </w:pPr>
      <w:r w:rsidRPr="00DE5863">
        <w:rPr>
          <w:rFonts w:ascii="Arial" w:hAnsi="Arial" w:cs="Arial"/>
          <w:lang w:val="fr-FR"/>
        </w:rPr>
        <w:t>5.3</w:t>
      </w:r>
      <w:r w:rsidRPr="00DE5863">
        <w:rPr>
          <w:rFonts w:ascii="Arial" w:hAnsi="Arial" w:cs="Arial"/>
          <w:lang w:val="fr-FR"/>
        </w:rPr>
        <w:tab/>
        <w:t>Menaces pour la population (facteurs, intensité)</w:t>
      </w:r>
      <w:r w:rsidRPr="00DE5863">
        <w:rPr>
          <w:rFonts w:ascii="Arial" w:hAnsi="Arial" w:cs="Arial"/>
          <w:lang w:val="fr-FR"/>
        </w:rPr>
        <w:tab/>
      </w:r>
    </w:p>
    <w:p w14:paraId="511AFE15" w14:textId="77777777" w:rsidR="00A6618C" w:rsidRPr="00DE5863" w:rsidRDefault="00A6618C">
      <w:pPr>
        <w:spacing w:after="0"/>
        <w:jc w:val="both"/>
        <w:rPr>
          <w:rFonts w:ascii="Arial" w:hAnsi="Arial" w:cs="Arial"/>
          <w:lang w:val="fr-FR"/>
        </w:rPr>
      </w:pPr>
    </w:p>
    <w:p w14:paraId="13925761" w14:textId="77777777" w:rsidR="00A6618C" w:rsidRPr="00DE5863" w:rsidRDefault="00D1732A">
      <w:pPr>
        <w:autoSpaceDE w:val="0"/>
        <w:adjustRightInd w:val="0"/>
        <w:spacing w:after="0"/>
        <w:jc w:val="both"/>
        <w:rPr>
          <w:rFonts w:ascii="Arial" w:eastAsia="Arial" w:hAnsi="Arial" w:cs="Arial"/>
          <w:lang w:val="fr-FR"/>
        </w:rPr>
      </w:pPr>
      <w:r w:rsidRPr="00DE5863">
        <w:rPr>
          <w:rFonts w:ascii="Arial" w:eastAsia="Arial" w:hAnsi="Arial" w:cs="Arial"/>
          <w:lang w:val="fr-FR"/>
        </w:rPr>
        <w:t xml:space="preserve">La perte de l'habitat et la dégradation sont probablement la menace la plus pressante qui pèse sur les populations de courlis corlieu </w:t>
      </w:r>
      <w:r w:rsidRPr="00DE5863">
        <w:rPr>
          <w:rFonts w:ascii="Arial" w:hAnsi="Arial" w:cs="Arial"/>
          <w:sz w:val="21"/>
          <w:szCs w:val="21"/>
          <w:lang w:val="fr-FR"/>
        </w:rPr>
        <w:fldChar w:fldCharType="begin"/>
      </w:r>
      <w:r w:rsidRPr="00DE5863">
        <w:rPr>
          <w:rFonts w:ascii="Arial" w:hAnsi="Arial" w:cs="Arial"/>
          <w:sz w:val="21"/>
          <w:szCs w:val="21"/>
          <w:lang w:val="fr-FR"/>
        </w:rPr>
        <w:instrText xml:space="preserve"> ADDIN ZOTERO_ITEM CSL_CITATION {"citationID":"HsBh4Meo","properties":{"formattedCitation":"(Wilke &amp; Johnston-Gonz\\uc0\\u225{}lez, 2010)","plainCitation":"(Wilke &amp; Johnston-González, 2010)","noteIndex":0},"citationItems":[{"id":753,"uris":["http://zotero.org/users/11283305/items/D73PQLMU"],"itemData":{"id":753,"type":"article-journal","language":"en","source":"Zotero","title":"Conservation Plan for the Whimbrel Version 1.1 February 2010","author":[{"family":"Wilke","given":"Alexandra L"},{"family":"Johnsto</w:instrText>
      </w:r>
      <w:r w:rsidRPr="00DE5863">
        <w:rPr>
          <w:rFonts w:ascii="Arial" w:hAnsi="Arial" w:cs="Arial"/>
          <w:sz w:val="21"/>
          <w:szCs w:val="21"/>
          <w:lang w:val="fr-FR"/>
        </w:rPr>
        <w:instrText xml:space="preserve">n-González","given":"Richard"}],"issued":{"date-parts":[["2010"]]}}}],"schema":"https://github.com/citation-style-language/schema/raw/master/csl-citation.json"} </w:instrText>
      </w:r>
      <w:r w:rsidRPr="00DE5863">
        <w:rPr>
          <w:rFonts w:ascii="Arial" w:hAnsi="Arial" w:cs="Arial"/>
          <w:sz w:val="21"/>
          <w:szCs w:val="21"/>
          <w:lang w:val="fr-FR"/>
        </w:rPr>
        <w:fldChar w:fldCharType="separate"/>
      </w:r>
      <w:r w:rsidRPr="00DE5863">
        <w:rPr>
          <w:rFonts w:ascii="Arial" w:eastAsia="Arial" w:hAnsi="Arial" w:cs="Arial"/>
          <w:lang w:val="fr-FR" w:eastAsia="en-GB"/>
        </w:rPr>
        <w:t>(Wilke &amp; Johnston-González, 2010)</w:t>
      </w:r>
      <w:r w:rsidRPr="00DE5863">
        <w:rPr>
          <w:rFonts w:ascii="Arial" w:hAnsi="Arial" w:cs="Arial"/>
          <w:sz w:val="21"/>
          <w:szCs w:val="21"/>
          <w:lang w:val="fr-FR"/>
        </w:rPr>
        <w:fldChar w:fldCharType="end"/>
      </w:r>
      <w:r w:rsidRPr="00DE5863">
        <w:rPr>
          <w:rFonts w:ascii="Arial" w:eastAsia="Arial" w:hAnsi="Arial" w:cs="Arial"/>
          <w:lang w:val="fr-FR"/>
        </w:rPr>
        <w:t>. Cette (sous-)espèce est confrontée à une perte d’habitat sur l’ensemble de ses aires de reproduction et de non-reproduction, principalement en raison du développement urbain, de l'élevage de crevettes et de la production de sel. Des perturbations causées par les activités récréatives et la circulation des véhicules sur certaines plages ont également été signalées (</w:t>
      </w:r>
      <w:proofErr w:type="spellStart"/>
      <w:r w:rsidRPr="00DE5863">
        <w:rPr>
          <w:rFonts w:ascii="Arial" w:eastAsia="Arial" w:hAnsi="Arial" w:cs="Arial"/>
          <w:lang w:val="fr-FR"/>
        </w:rPr>
        <w:t>Telino</w:t>
      </w:r>
      <w:proofErr w:type="spellEnd"/>
      <w:r w:rsidRPr="00DE5863">
        <w:rPr>
          <w:rFonts w:ascii="Arial" w:eastAsia="Arial" w:hAnsi="Arial" w:cs="Arial"/>
          <w:lang w:val="fr-FR"/>
        </w:rPr>
        <w:t xml:space="preserve"> Jr. et al., 2023). Le changement climatique est également lié à la dégradation de l'habitat de reproduction du courlis corlieu </w:t>
      </w:r>
      <w:r w:rsidRPr="00DE5863">
        <w:rPr>
          <w:rFonts w:ascii="Arial" w:hAnsi="Arial" w:cs="Arial"/>
          <w:sz w:val="21"/>
          <w:szCs w:val="21"/>
          <w:lang w:val="fr-FR"/>
        </w:rPr>
        <w:fldChar w:fldCharType="begin"/>
      </w:r>
      <w:r w:rsidRPr="00DE5863">
        <w:rPr>
          <w:rFonts w:ascii="Arial" w:hAnsi="Arial" w:cs="Arial"/>
          <w:sz w:val="21"/>
          <w:szCs w:val="21"/>
          <w:lang w:val="fr-FR"/>
        </w:rPr>
        <w:instrText xml:space="preserve"> ADDIN ZOTERO_ITEM CSL_CITATION {"citationID":"Om116pzp","properties":{"formattedCitation":"(Ballantyne &amp; Nol, 2015)","plainCitation":"(Ballantyne &amp; Nol, 2015)","noteIndex":0},"citationItems":[{"id":1282,"uris":["http://zotero.org/users/11283305/items/YKIS8WA7"],"itemData":{"id":1282,"type":"article-journal","abstract":"Whimbrels (Numenius phaeopus) are large shorebirds that breed in two geographically disjunct regions in the North American Subarctic and Arctic. Since the early 1970s, the nesting distributi</w:instrText>
      </w:r>
      <w:r w:rsidRPr="00DE5863">
        <w:rPr>
          <w:rFonts w:ascii="Arial" w:hAnsi="Arial" w:cs="Arial"/>
          <w:sz w:val="21"/>
          <w:szCs w:val="21"/>
          <w:lang w:val="fr-FR"/>
        </w:rPr>
        <w:instrText>on of Whimbrels in the Subarctic near Churchill, Manitoba, Canada has changed, and an area of historic breeding importance was no longer used as nesting habitat in 2008. We compared aerial photography of the 2.55 km2 area from 1973 to 1986, to high-resolution satellite imagery from 2006 to assess structural habitat change. Comparison of the three time-period imagery showed that over the 33-year span shrubs and trees increased in cover by 12.6 and 6.9 %, respectively, whereas other vegetation, including lich</w:instrText>
      </w:r>
      <w:r w:rsidRPr="00DE5863">
        <w:rPr>
          <w:rFonts w:ascii="Arial" w:hAnsi="Arial" w:cs="Arial"/>
          <w:sz w:val="21"/>
          <w:szCs w:val="21"/>
          <w:lang w:val="fr-FR"/>
        </w:rPr>
        <w:instrText>en, decreased by 19.1 %. This localized evidence of shrub and tree encroachment is accompanied by a decline in Whimbrel nesting densities from 17–19 pairs (max. 7.45 pairs/km2) in 1973 and 1974, to 1–2 pairs (max. 0.78 pairs/km2) in 2007, and 0 pairs in 2008. Change in vegetation structure has important implications for the long-term viability of Subarctic and Arctic breeding shorebird populations.","container-title":"Polar Biology","DOI":"10.1007/s00300-014-1615-6","ISSN":"1432-2056","issue":"4","journalAb</w:instrText>
      </w:r>
      <w:r w:rsidRPr="00DE5863">
        <w:rPr>
          <w:rFonts w:ascii="Arial" w:hAnsi="Arial" w:cs="Arial"/>
          <w:sz w:val="21"/>
          <w:szCs w:val="21"/>
          <w:lang w:val="fr-FR"/>
        </w:rPr>
        <w:instrText xml:space="preserve">breviation":"Polar Biol","language":"en","page":"529-537","source":"Springer Link","title":"Localized habitat change near Churchill, Manitoba and the decline of nesting Whimbrels (Numenius phaeopus)","volume":"38","author":[{"family":"Ballantyne","given":"Kate"},{"family":"Nol","given":"Erica"}],"issued":{"date-parts":[["2015",4,1]]}}}],"schema":"https://github.com/citation-style-language/schema/raw/master/csl-citation.json"} </w:instrText>
      </w:r>
      <w:r w:rsidRPr="00DE5863">
        <w:rPr>
          <w:rFonts w:ascii="Arial" w:hAnsi="Arial" w:cs="Arial"/>
          <w:sz w:val="21"/>
          <w:szCs w:val="21"/>
          <w:lang w:val="fr-FR"/>
        </w:rPr>
        <w:fldChar w:fldCharType="separate"/>
      </w:r>
      <w:r w:rsidRPr="00DE5863">
        <w:rPr>
          <w:rFonts w:ascii="Arial" w:eastAsia="Arial" w:hAnsi="Arial" w:cs="Arial"/>
          <w:lang w:val="fr-FR"/>
        </w:rPr>
        <w:t>(Ballantyne &amp; Nol, 2015)</w:t>
      </w:r>
      <w:r w:rsidRPr="00DE5863">
        <w:rPr>
          <w:rFonts w:ascii="Arial" w:hAnsi="Arial" w:cs="Arial"/>
          <w:sz w:val="21"/>
          <w:szCs w:val="21"/>
          <w:lang w:val="fr-FR"/>
        </w:rPr>
        <w:fldChar w:fldCharType="end"/>
      </w:r>
      <w:r w:rsidRPr="00DE5863">
        <w:rPr>
          <w:rFonts w:ascii="Arial" w:eastAsia="Arial" w:hAnsi="Arial" w:cs="Arial"/>
          <w:lang w:val="fr-FR"/>
        </w:rPr>
        <w:t xml:space="preserve">, ainsi qu’à une série d’autres menaces complexes, allant de la perte d’habitat côtier liée à l’élévation du niveau de la mer, à des coûts accrus et à une mortalité plus élevée pendant la migration en raison de la modification des régimes de vent, et à une reproduction et une survie réduites en raison d’un manque de synchronisation entre la migration et le pic de disponibilité des ressources </w:t>
      </w:r>
      <w:r w:rsidRPr="00DE5863">
        <w:rPr>
          <w:rFonts w:ascii="Arial" w:hAnsi="Arial" w:cs="Arial"/>
          <w:sz w:val="21"/>
          <w:szCs w:val="21"/>
          <w:lang w:val="fr-FR"/>
        </w:rPr>
        <w:fldChar w:fldCharType="begin"/>
      </w:r>
      <w:r w:rsidRPr="00DE5863">
        <w:rPr>
          <w:rFonts w:ascii="Arial" w:hAnsi="Arial" w:cs="Arial"/>
          <w:sz w:val="21"/>
          <w:szCs w:val="21"/>
          <w:lang w:val="fr-FR"/>
        </w:rPr>
        <w:instrText xml:space="preserve"> ADDIN ZOTERO_ITEM CSL_CITATION {"citationID":"P1Mqb2Gq","properties":{"formattedCitation":"(Wilke &amp; Johnston-Gonz\\uc0\\u225{}lez, 2010)","plainCitation":"(Wilke &amp; Johnston-González, 2010)","noteIndex":0},"citationItems":[{"id":753,"uris":["http://zotero.org/users/11283305/items/D73PQLMU"],"itemData":{"id":753,"type":"article-journal","language":"en","source":"Zotero","title":"Conservation Plan for the Whimbrel Version 1.1 February 2010","author":[{"family":"Wilke","given":"Alexandra L"},{"family":"Johnsto</w:instrText>
      </w:r>
      <w:r w:rsidRPr="00DE5863">
        <w:rPr>
          <w:rFonts w:ascii="Arial" w:hAnsi="Arial" w:cs="Arial"/>
          <w:sz w:val="21"/>
          <w:szCs w:val="21"/>
          <w:lang w:val="fr-FR"/>
        </w:rPr>
        <w:instrText xml:space="preserve">n-González","given":"Richard"}],"issued":{"date-parts":[["2010"]]}}}],"schema":"https://github.com/citation-style-language/schema/raw/master/csl-citation.json"} </w:instrText>
      </w:r>
      <w:r w:rsidRPr="00DE5863">
        <w:rPr>
          <w:rFonts w:ascii="Arial" w:hAnsi="Arial" w:cs="Arial"/>
          <w:sz w:val="21"/>
          <w:szCs w:val="21"/>
          <w:lang w:val="fr-FR"/>
        </w:rPr>
        <w:fldChar w:fldCharType="separate"/>
      </w:r>
      <w:r w:rsidRPr="00DE5863">
        <w:rPr>
          <w:rFonts w:ascii="Arial" w:eastAsia="Arial" w:hAnsi="Arial" w:cs="Arial"/>
          <w:lang w:val="fr-FR" w:eastAsia="en-GB"/>
        </w:rPr>
        <w:t>(Wilke &amp; Johnston-González, 2010)</w:t>
      </w:r>
      <w:r w:rsidRPr="00DE5863">
        <w:rPr>
          <w:rFonts w:ascii="Arial" w:hAnsi="Arial" w:cs="Arial"/>
          <w:sz w:val="21"/>
          <w:szCs w:val="21"/>
          <w:lang w:val="fr-FR"/>
        </w:rPr>
        <w:fldChar w:fldCharType="end"/>
      </w:r>
      <w:r w:rsidRPr="00DE5863">
        <w:rPr>
          <w:rFonts w:ascii="Arial" w:eastAsia="Arial" w:hAnsi="Arial" w:cs="Arial"/>
          <w:lang w:val="fr-FR"/>
        </w:rPr>
        <w:t xml:space="preserve">. La chasse en dehors de la période de reproduction est également considérée comme une menace importante pour cette (sous-)espèce, notamment en Guadeloupe, en Martinique, à la Barbade, au Suriname et en Guyane française </w:t>
      </w:r>
      <w:r w:rsidRPr="00DE5863">
        <w:rPr>
          <w:rFonts w:ascii="Arial" w:hAnsi="Arial" w:cs="Arial"/>
          <w:sz w:val="21"/>
          <w:szCs w:val="21"/>
          <w:lang w:val="fr-FR"/>
        </w:rPr>
        <w:fldChar w:fldCharType="begin"/>
      </w:r>
      <w:r w:rsidRPr="00DE5863">
        <w:rPr>
          <w:rFonts w:ascii="Arial" w:hAnsi="Arial" w:cs="Arial"/>
          <w:sz w:val="21"/>
          <w:szCs w:val="21"/>
          <w:lang w:val="fr-FR"/>
        </w:rPr>
        <w:instrText xml:space="preserve"> ADDIN ZOTERO_ITEM CSL_CITATION {"citationID":"h0PSdLop","properties":{"formattedCitation":"(Atlantic Flyway Shorebird Initiative Harvest Working Group, 2017)","plainCitation":"(Atlantic Flyway Shorebird Initiative Harvest Working Group, 2017)","noteIndex":0},"citationItems":[{"id":1326,"uris":["http://zotero.org/users/11283305/items/Y743YMLT"],"itemData":{"id":1326,"type":"report","event-place":"Falls Church, Virginia, USA","publisher":"U.S. Fish and Wildlife Service, Migratory Bird Program","publisher-pla</w:instrText>
      </w:r>
      <w:r w:rsidRPr="00DE5863">
        <w:rPr>
          <w:rFonts w:ascii="Arial" w:hAnsi="Arial" w:cs="Arial"/>
          <w:sz w:val="21"/>
          <w:szCs w:val="21"/>
          <w:lang w:val="fr-FR"/>
        </w:rPr>
        <w:instrText xml:space="preserve">ce":"Falls Church, Virginia, USA","title":"Achieving a sustainable shorebird harvest in the Caribbean and northern South America, progress report, 2011-2017","author":[{"family":"Atlantic Flyway Shorebird Initiative Harvest Working Group","given":""}],"issued":{"date-parts":[["2017"]]}}}],"schema":"https://github.com/citation-style-language/schema/raw/master/csl-citation.json"} </w:instrText>
      </w:r>
      <w:r w:rsidRPr="00DE5863">
        <w:rPr>
          <w:rFonts w:ascii="Arial" w:hAnsi="Arial" w:cs="Arial"/>
          <w:sz w:val="21"/>
          <w:szCs w:val="21"/>
          <w:lang w:val="fr-FR"/>
        </w:rPr>
        <w:fldChar w:fldCharType="separate"/>
      </w:r>
      <w:r w:rsidRPr="00DE5863">
        <w:rPr>
          <w:rFonts w:ascii="Arial" w:eastAsia="Arial" w:hAnsi="Arial" w:cs="Arial"/>
          <w:lang w:val="fr-FR"/>
        </w:rPr>
        <w:t>(Atlantic Flyway Shorebird Initiative Harvest Groupe de travail, 2017)</w:t>
      </w:r>
      <w:r w:rsidRPr="00DE5863">
        <w:rPr>
          <w:rFonts w:ascii="Arial" w:hAnsi="Arial" w:cs="Arial"/>
          <w:sz w:val="21"/>
          <w:szCs w:val="21"/>
          <w:lang w:val="fr-FR"/>
        </w:rPr>
        <w:fldChar w:fldCharType="end"/>
      </w:r>
      <w:r w:rsidRPr="00DE5863">
        <w:rPr>
          <w:rFonts w:ascii="Arial" w:eastAsia="Arial" w:hAnsi="Arial" w:cs="Arial"/>
          <w:lang w:val="fr-FR"/>
        </w:rPr>
        <w:t xml:space="preserve">.  La chasse pendant la saison non reproductrice est également considérée comme une menace importante pour cette (sous-)espèce, notamment en Guadeloupe, en Martinique, à la Barbade, au Suriname et en Guyane française (Groupe de travail sur la chasse des oiseaux de rivage de la voie migratoire atlantique, 2017). De plus, le courlis corlieu subit les conséquences des marées noires et est exposé à la contamination par les métaux lourds </w:t>
      </w:r>
      <w:r w:rsidRPr="00DE5863">
        <w:rPr>
          <w:rFonts w:ascii="Arial" w:hAnsi="Arial" w:cs="Arial"/>
          <w:sz w:val="21"/>
          <w:szCs w:val="21"/>
          <w:lang w:val="fr-FR"/>
        </w:rPr>
        <w:fldChar w:fldCharType="begin"/>
      </w:r>
      <w:r w:rsidRPr="00DE5863">
        <w:rPr>
          <w:rFonts w:ascii="Arial" w:hAnsi="Arial" w:cs="Arial"/>
          <w:sz w:val="21"/>
          <w:szCs w:val="21"/>
          <w:lang w:val="fr-FR"/>
        </w:rPr>
        <w:instrText xml:space="preserve"> ADDIN ZOTERO_ITEM CSL_CITATION {"citationID":"EzSRxjZP","properties":{"formattedCitation":"(Wilke &amp; Johnston-Gonz\\uc0\\u225{}lez, 2010)","plainCitation":"(Wilke &amp; Johnston-González, 2010)","noteIndex":0},"citationItems":[{"id":753,"uris":["http://zotero.org/users/11283305/items/D73PQLMU"],"itemData":{"id":753,"type":"article-journal","language":"en","source":"Zotero","title":"Conservation Plan for the Whimbrel Version 1.1 February 2010","author":[{"family":"Wilke","given":"Alexandra L"},{"family":"Johnsto</w:instrText>
      </w:r>
      <w:r w:rsidRPr="00DE5863">
        <w:rPr>
          <w:rFonts w:ascii="Arial" w:hAnsi="Arial" w:cs="Arial"/>
          <w:sz w:val="21"/>
          <w:szCs w:val="21"/>
          <w:lang w:val="fr-FR"/>
        </w:rPr>
        <w:instrText xml:space="preserve">n-González","given":"Richard"}],"issued":{"date-parts":[["2010"]]}}}],"schema":"https://github.com/citation-style-language/schema/raw/master/csl-citation.json"} </w:instrText>
      </w:r>
      <w:r w:rsidRPr="00DE5863">
        <w:rPr>
          <w:rFonts w:ascii="Arial" w:hAnsi="Arial" w:cs="Arial"/>
          <w:sz w:val="21"/>
          <w:szCs w:val="21"/>
          <w:lang w:val="fr-FR"/>
        </w:rPr>
        <w:fldChar w:fldCharType="separate"/>
      </w:r>
      <w:r w:rsidRPr="00DE5863">
        <w:rPr>
          <w:rFonts w:ascii="Arial" w:eastAsia="Arial" w:hAnsi="Arial" w:cs="Arial"/>
          <w:lang w:val="fr-FR" w:eastAsia="en-GB"/>
        </w:rPr>
        <w:t>(Wilke &amp; Johnston-González, 2010)</w:t>
      </w:r>
      <w:r w:rsidRPr="00DE5863">
        <w:rPr>
          <w:rFonts w:ascii="Arial" w:hAnsi="Arial" w:cs="Arial"/>
          <w:sz w:val="21"/>
          <w:szCs w:val="21"/>
          <w:lang w:val="fr-FR"/>
        </w:rPr>
        <w:fldChar w:fldCharType="end"/>
      </w:r>
      <w:r w:rsidRPr="00DE5863">
        <w:rPr>
          <w:rFonts w:ascii="Arial" w:eastAsia="Arial" w:hAnsi="Arial" w:cs="Arial"/>
          <w:lang w:val="fr-FR"/>
        </w:rPr>
        <w:t>.</w:t>
      </w:r>
    </w:p>
    <w:p w14:paraId="702EDF5B" w14:textId="77777777" w:rsidR="00A6618C" w:rsidRPr="00DE5863" w:rsidRDefault="00A6618C">
      <w:pPr>
        <w:spacing w:after="0"/>
        <w:jc w:val="both"/>
        <w:rPr>
          <w:rFonts w:ascii="Arial" w:hAnsi="Arial" w:cs="Arial"/>
          <w:lang w:val="fr-FR"/>
        </w:rPr>
      </w:pPr>
    </w:p>
    <w:p w14:paraId="513B8BF6" w14:textId="77777777" w:rsidR="00A6618C" w:rsidRPr="00DE5863" w:rsidRDefault="00D1732A">
      <w:pPr>
        <w:spacing w:after="0"/>
        <w:ind w:left="567" w:hanging="540"/>
        <w:jc w:val="both"/>
        <w:rPr>
          <w:rFonts w:ascii="Arial" w:hAnsi="Arial" w:cs="Arial"/>
          <w:lang w:val="fr-FR"/>
        </w:rPr>
      </w:pPr>
      <w:r w:rsidRPr="00DE5863">
        <w:rPr>
          <w:rFonts w:ascii="Arial" w:hAnsi="Arial" w:cs="Arial"/>
          <w:lang w:val="fr-FR"/>
        </w:rPr>
        <w:t>5.4</w:t>
      </w:r>
      <w:r w:rsidRPr="00DE5863">
        <w:rPr>
          <w:rFonts w:ascii="Arial" w:hAnsi="Arial" w:cs="Arial"/>
          <w:lang w:val="fr-FR"/>
        </w:rPr>
        <w:tab/>
        <w:t>Menaces liées notamment aux migrations</w:t>
      </w:r>
    </w:p>
    <w:p w14:paraId="74753767" w14:textId="77777777" w:rsidR="00A6618C" w:rsidRPr="00DE5863" w:rsidRDefault="00A6618C">
      <w:pPr>
        <w:spacing w:after="0"/>
        <w:jc w:val="both"/>
        <w:rPr>
          <w:rFonts w:ascii="Arial" w:hAnsi="Arial" w:cs="Arial"/>
          <w:lang w:val="fr-FR"/>
        </w:rPr>
      </w:pPr>
    </w:p>
    <w:p w14:paraId="4FDB5EDB" w14:textId="77777777" w:rsidR="00A6618C" w:rsidRPr="00DE5863" w:rsidRDefault="00D1732A">
      <w:pPr>
        <w:keepNext/>
        <w:autoSpaceDE w:val="0"/>
        <w:adjustRightInd w:val="0"/>
        <w:spacing w:after="0"/>
        <w:jc w:val="both"/>
        <w:rPr>
          <w:rFonts w:ascii="Arial" w:eastAsia="Arial" w:hAnsi="Arial" w:cs="Arial"/>
          <w:lang w:val="fr-FR"/>
        </w:rPr>
      </w:pPr>
      <w:r w:rsidRPr="00DE5863">
        <w:rPr>
          <w:rFonts w:ascii="Arial" w:eastAsia="Arial" w:hAnsi="Arial" w:cs="Arial"/>
          <w:lang w:val="fr-FR"/>
        </w:rPr>
        <w:t xml:space="preserve">Toutes les menaces pesant sur les populations de courlis corlieu peuvent affecter leur comportement migratoire : la perte et la dégradation des habitats peuvent réduire la disponibilité des sites de halte et compromettre la survie des individus pendant la migration, tandis que les changements dans les régimes de vent, les événements météorologiques extrêmes, la chasse et les marées noires peuvent entraîner une mortalité accrue durant la migration. </w:t>
      </w:r>
    </w:p>
    <w:p w14:paraId="2DD2DBE4" w14:textId="77777777" w:rsidR="00A6618C" w:rsidRPr="00DE5863" w:rsidRDefault="00A6618C">
      <w:pPr>
        <w:spacing w:after="0"/>
        <w:jc w:val="both"/>
        <w:rPr>
          <w:rFonts w:ascii="Arial" w:hAnsi="Arial" w:cs="Arial"/>
          <w:lang w:val="fr-FR"/>
        </w:rPr>
      </w:pPr>
    </w:p>
    <w:p w14:paraId="0D4A75A0" w14:textId="77777777" w:rsidR="00A6618C" w:rsidRPr="00DE5863" w:rsidRDefault="00D1732A">
      <w:pPr>
        <w:spacing w:after="0"/>
        <w:ind w:left="567" w:hanging="540"/>
        <w:jc w:val="both"/>
        <w:rPr>
          <w:rFonts w:ascii="Arial" w:hAnsi="Arial" w:cs="Arial"/>
          <w:lang w:val="fr-FR"/>
        </w:rPr>
      </w:pPr>
      <w:r w:rsidRPr="00DE5863">
        <w:rPr>
          <w:rFonts w:ascii="Arial" w:hAnsi="Arial" w:cs="Arial"/>
          <w:lang w:val="fr-FR"/>
        </w:rPr>
        <w:t>5.5</w:t>
      </w:r>
      <w:r w:rsidRPr="00DE5863">
        <w:rPr>
          <w:rFonts w:ascii="Arial" w:hAnsi="Arial" w:cs="Arial"/>
          <w:lang w:val="fr-FR"/>
        </w:rPr>
        <w:tab/>
        <w:t>Utilisation nationale et internationale</w:t>
      </w:r>
    </w:p>
    <w:p w14:paraId="7C8F2CA6" w14:textId="77777777" w:rsidR="00A6618C" w:rsidRPr="00DE5863" w:rsidRDefault="00A6618C">
      <w:pPr>
        <w:spacing w:after="0"/>
        <w:jc w:val="both"/>
        <w:rPr>
          <w:rFonts w:ascii="Arial" w:hAnsi="Arial" w:cs="Arial"/>
          <w:lang w:val="fr-FR"/>
        </w:rPr>
      </w:pPr>
    </w:p>
    <w:p w14:paraId="1BB0DEFB" w14:textId="77777777" w:rsidR="00A6618C" w:rsidRPr="00DE5863" w:rsidRDefault="00D1732A">
      <w:pPr>
        <w:autoSpaceDE w:val="0"/>
        <w:adjustRightInd w:val="0"/>
        <w:spacing w:after="0"/>
        <w:jc w:val="both"/>
        <w:rPr>
          <w:rFonts w:ascii="Arial" w:eastAsia="Arial" w:hAnsi="Arial" w:cs="Arial"/>
          <w:lang w:val="fr-FR"/>
        </w:rPr>
      </w:pPr>
      <w:r w:rsidRPr="00DE5863">
        <w:rPr>
          <w:rFonts w:ascii="Arial" w:eastAsia="Arial" w:hAnsi="Arial" w:cs="Arial"/>
          <w:lang w:val="fr-FR"/>
        </w:rPr>
        <w:t xml:space="preserve">Cette (sous-)espèce est chassée à la fois pour le sport et pour la consommation dans certains pays </w:t>
      </w:r>
      <w:r w:rsidRPr="00DE5863">
        <w:rPr>
          <w:rFonts w:ascii="Arial" w:hAnsi="Arial" w:cs="Arial"/>
          <w:sz w:val="21"/>
          <w:szCs w:val="21"/>
          <w:lang w:val="fr-FR"/>
        </w:rPr>
        <w:fldChar w:fldCharType="begin"/>
      </w:r>
      <w:r w:rsidRPr="00DE5863">
        <w:rPr>
          <w:rFonts w:ascii="Arial" w:hAnsi="Arial" w:cs="Arial"/>
          <w:sz w:val="21"/>
          <w:szCs w:val="21"/>
          <w:lang w:val="fr-FR"/>
        </w:rPr>
        <w:instrText xml:space="preserve"> ADDIN ZOTERO_ITEM CSL_CITATION {"citationID":"h0PSdLop","properties":{"formattedCitation":"(Atlantic Flyway Shorebird Initiative Harvest Working Group, 2017)","plainCitation":"(Atlantic Flyway Shorebird Initiative Harvest Working Group, 2017)","noteIndex":0},"citationItems":[{"id":1326,"uris":["http://zotero.org/users/11283305/items/Y743YMLT"],"itemData":{"id":1326,"type":"report","event-place":"Falls Church, Virginia, USA","publisher":"U.S. Fish and Wildlife Service, Migratory Bird Program","publisher-pla</w:instrText>
      </w:r>
      <w:r w:rsidRPr="00DE5863">
        <w:rPr>
          <w:rFonts w:ascii="Arial" w:hAnsi="Arial" w:cs="Arial"/>
          <w:sz w:val="21"/>
          <w:szCs w:val="21"/>
          <w:lang w:val="fr-FR"/>
        </w:rPr>
        <w:instrText xml:space="preserve">ce":"Falls Church, Virginia, USA","title":"Achieving a sustainable shorebird harvest in the Caribbean and northern South America, progress report, 2011-2017","author":[{"family":"Atlantic Flyway Shorebird Initiative Harvest Working Group","given":""}],"issued":{"date-parts":[["2017"]]}}}],"schema":"https://github.com/citation-style-language/schema/raw/master/csl-citation.json"} </w:instrText>
      </w:r>
      <w:r w:rsidRPr="00DE5863">
        <w:rPr>
          <w:rFonts w:ascii="Arial" w:hAnsi="Arial" w:cs="Arial"/>
          <w:sz w:val="21"/>
          <w:szCs w:val="21"/>
          <w:lang w:val="fr-FR"/>
        </w:rPr>
        <w:fldChar w:fldCharType="separate"/>
      </w:r>
      <w:r w:rsidRPr="00DE5863">
        <w:rPr>
          <w:rFonts w:ascii="Arial" w:eastAsia="Arial" w:hAnsi="Arial" w:cs="Arial"/>
          <w:lang w:val="fr-FR"/>
        </w:rPr>
        <w:t>(Groupe de travail sur la chasse des oiseaux de rivage de la voie migratoire atlantique, 2017)</w:t>
      </w:r>
      <w:r w:rsidRPr="00DE5863">
        <w:rPr>
          <w:rFonts w:ascii="Arial" w:hAnsi="Arial" w:cs="Arial"/>
          <w:sz w:val="21"/>
          <w:szCs w:val="21"/>
          <w:lang w:val="fr-FR"/>
        </w:rPr>
        <w:fldChar w:fldCharType="end"/>
      </w:r>
      <w:r w:rsidRPr="00DE5863">
        <w:rPr>
          <w:rFonts w:ascii="Arial" w:eastAsia="Arial" w:hAnsi="Arial" w:cs="Arial"/>
          <w:lang w:val="fr-FR"/>
        </w:rPr>
        <w:t xml:space="preserve">, bien qu’aucune estimation précise du nombre d’individus chassés chaque année ne soit disponible. Le courlis corlieu est également utilisé dans le cadre du tourisme ornithologique. </w:t>
      </w:r>
    </w:p>
    <w:p w14:paraId="6B6714A1" w14:textId="77777777" w:rsidR="00A6618C" w:rsidRPr="00DE5863" w:rsidRDefault="00A6618C">
      <w:pPr>
        <w:spacing w:after="0"/>
        <w:jc w:val="both"/>
        <w:rPr>
          <w:rFonts w:ascii="Arial" w:hAnsi="Arial" w:cs="Arial"/>
          <w:lang w:val="fr-FR"/>
        </w:rPr>
      </w:pPr>
    </w:p>
    <w:p w14:paraId="6C8F4F55" w14:textId="77777777" w:rsidR="00A6618C" w:rsidRPr="00DE5863" w:rsidRDefault="00D1732A">
      <w:pPr>
        <w:spacing w:after="0"/>
        <w:ind w:left="540" w:hanging="540"/>
        <w:jc w:val="both"/>
        <w:rPr>
          <w:rFonts w:ascii="Arial" w:hAnsi="Arial" w:cs="Arial"/>
          <w:b/>
          <w:bCs/>
          <w:lang w:val="fr-FR"/>
        </w:rPr>
      </w:pPr>
      <w:r w:rsidRPr="00DE5863">
        <w:rPr>
          <w:rFonts w:ascii="Arial" w:hAnsi="Arial" w:cs="Arial"/>
          <w:b/>
          <w:bCs/>
          <w:lang w:val="fr-FR"/>
        </w:rPr>
        <w:t xml:space="preserve">6. </w:t>
      </w:r>
      <w:r w:rsidRPr="00DE5863">
        <w:rPr>
          <w:rFonts w:ascii="Arial" w:hAnsi="Arial" w:cs="Arial"/>
          <w:b/>
          <w:bCs/>
          <w:lang w:val="fr-FR"/>
        </w:rPr>
        <w:tab/>
        <w:t xml:space="preserve">Niveau de protection et gestion de l'espèce </w:t>
      </w:r>
    </w:p>
    <w:p w14:paraId="50E370FB" w14:textId="77777777" w:rsidR="00A6618C" w:rsidRPr="00DE5863" w:rsidRDefault="00A6618C">
      <w:pPr>
        <w:spacing w:after="0"/>
        <w:ind w:left="540" w:hanging="540"/>
        <w:jc w:val="both"/>
        <w:rPr>
          <w:rFonts w:ascii="Arial" w:hAnsi="Arial" w:cs="Arial"/>
          <w:lang w:val="fr-FR"/>
        </w:rPr>
      </w:pPr>
    </w:p>
    <w:p w14:paraId="407225D3" w14:textId="77777777" w:rsidR="00A6618C" w:rsidRPr="00DE5863" w:rsidRDefault="00D1732A">
      <w:pPr>
        <w:spacing w:after="0"/>
        <w:ind w:left="567" w:hanging="540"/>
        <w:jc w:val="both"/>
        <w:rPr>
          <w:rFonts w:ascii="Arial" w:hAnsi="Arial" w:cs="Arial"/>
          <w:lang w:val="fr-FR"/>
        </w:rPr>
      </w:pPr>
      <w:r w:rsidRPr="00DE5863">
        <w:rPr>
          <w:rFonts w:ascii="Arial" w:hAnsi="Arial" w:cs="Arial"/>
          <w:lang w:val="fr-FR"/>
        </w:rPr>
        <w:t>6.1</w:t>
      </w:r>
      <w:r w:rsidRPr="00DE5863">
        <w:rPr>
          <w:rFonts w:ascii="Arial" w:hAnsi="Arial" w:cs="Arial"/>
          <w:lang w:val="fr-FR"/>
        </w:rPr>
        <w:tab/>
        <w:t>Niveau de protection nationale</w:t>
      </w:r>
    </w:p>
    <w:p w14:paraId="7621E4EB" w14:textId="77777777" w:rsidR="00A6618C" w:rsidRPr="00DE5863" w:rsidRDefault="00A6618C">
      <w:pPr>
        <w:autoSpaceDE w:val="0"/>
        <w:adjustRightInd w:val="0"/>
        <w:spacing w:after="0"/>
        <w:jc w:val="both"/>
        <w:rPr>
          <w:rFonts w:ascii="Arial" w:eastAsia="Arial" w:hAnsi="Arial" w:cs="Arial"/>
          <w:lang w:val="fr-FR"/>
        </w:rPr>
      </w:pPr>
    </w:p>
    <w:p w14:paraId="0D580056" w14:textId="77777777" w:rsidR="00A6618C" w:rsidRPr="00DE5863" w:rsidRDefault="00D1732A">
      <w:pPr>
        <w:autoSpaceDE w:val="0"/>
        <w:adjustRightInd w:val="0"/>
        <w:spacing w:after="0"/>
        <w:jc w:val="both"/>
        <w:rPr>
          <w:rFonts w:ascii="Arial" w:eastAsia="Arial" w:hAnsi="Arial" w:cs="Arial"/>
          <w:lang w:val="fr-FR"/>
        </w:rPr>
      </w:pPr>
      <w:r w:rsidRPr="00DE5863">
        <w:rPr>
          <w:rFonts w:ascii="Arial" w:eastAsia="Arial" w:hAnsi="Arial" w:cs="Arial"/>
          <w:lang w:val="fr-FR"/>
        </w:rPr>
        <w:t xml:space="preserve">Dans les zones de reproduction, cette (sous-)espèce est protégée au Canada par le Plan canadien de conservation des oiseaux de rivage et de la Loi sur la convention concernant les oiseaux migrateurs, ainsi qu'aux États-Unis par le biais de la loi sur le traité des oiseaux </w:t>
      </w:r>
      <w:r w:rsidRPr="00DE5863">
        <w:rPr>
          <w:rFonts w:ascii="Arial" w:eastAsia="Arial" w:hAnsi="Arial" w:cs="Arial"/>
          <w:lang w:val="fr-FR"/>
        </w:rPr>
        <w:lastRenderedPageBreak/>
        <w:t xml:space="preserve">migrateurs. Par conséquent, la chasse de cette (sous-)espèce est illégale dans ces deux pays. Aux États-Unis, le </w:t>
      </w:r>
      <w:proofErr w:type="spellStart"/>
      <w:r w:rsidRPr="00DE5863">
        <w:rPr>
          <w:rFonts w:ascii="Arial" w:eastAsia="Arial" w:hAnsi="Arial" w:cs="Arial"/>
          <w:lang w:val="fr-FR"/>
        </w:rPr>
        <w:t>Shorebird</w:t>
      </w:r>
      <w:proofErr w:type="spellEnd"/>
      <w:r w:rsidRPr="00DE5863">
        <w:rPr>
          <w:rFonts w:ascii="Arial" w:eastAsia="Arial" w:hAnsi="Arial" w:cs="Arial"/>
          <w:lang w:val="fr-FR"/>
        </w:rPr>
        <w:t xml:space="preserve"> Conservation Plan (Plan de conservation des oiseaux de rivage) fournit une stratégie de conservation pour les oiseaux de rivage en déclin, mais il n’accorde à ces espèces aucun statut de protection juridique supplémentaire dans le pays. </w:t>
      </w:r>
    </w:p>
    <w:p w14:paraId="0411AB8D" w14:textId="77777777" w:rsidR="00A6618C" w:rsidRPr="00DE5863" w:rsidRDefault="00A6618C">
      <w:pPr>
        <w:autoSpaceDE w:val="0"/>
        <w:adjustRightInd w:val="0"/>
        <w:spacing w:after="0"/>
        <w:jc w:val="both"/>
        <w:rPr>
          <w:rFonts w:ascii="Arial" w:eastAsia="Arial" w:hAnsi="Arial" w:cs="Arial"/>
          <w:lang w:val="fr-FR"/>
        </w:rPr>
      </w:pPr>
    </w:p>
    <w:p w14:paraId="34EEFE90" w14:textId="77777777" w:rsidR="00A6618C" w:rsidRPr="00DE5863" w:rsidRDefault="00D1732A">
      <w:pPr>
        <w:autoSpaceDE w:val="0"/>
        <w:adjustRightInd w:val="0"/>
        <w:spacing w:after="0"/>
        <w:jc w:val="both"/>
        <w:rPr>
          <w:rFonts w:ascii="Arial" w:eastAsia="Arial" w:hAnsi="Arial" w:cs="Arial"/>
          <w:lang w:val="fr-FR"/>
        </w:rPr>
      </w:pPr>
      <w:r w:rsidRPr="00DE5863">
        <w:rPr>
          <w:rFonts w:ascii="Arial" w:eastAsia="Arial" w:hAnsi="Arial" w:cs="Arial"/>
          <w:lang w:val="fr-FR"/>
        </w:rPr>
        <w:t xml:space="preserve">Au Brésil, l’un des pays accueillant les plus fortes concentrations de courlis corlieu en période non reproductrice, toutes les espèces sauvages sont protégées en vertu de la loi n° 5.197, qui interdit la chasse aux animaux sauvages dans le pays. Comme cette (sous-)espèce est également classée Vulnérable sur la liste nationale brésilienne des espèces menacées et fait partie des espèces incluses dans le Plan d’action national pour la conservation des oiseaux de rivage migrateurs </w:t>
      </w:r>
      <w:r w:rsidRPr="00DE5863">
        <w:rPr>
          <w:rFonts w:ascii="Arial" w:hAnsi="Arial" w:cs="Arial"/>
          <w:sz w:val="21"/>
          <w:szCs w:val="21"/>
          <w:lang w:val="fr-FR"/>
        </w:rPr>
        <w:fldChar w:fldCharType="begin"/>
      </w:r>
      <w:r w:rsidRPr="00DE5863">
        <w:rPr>
          <w:rFonts w:ascii="Arial" w:hAnsi="Arial" w:cs="Arial"/>
          <w:sz w:val="21"/>
          <w:szCs w:val="21"/>
          <w:lang w:val="fr-FR"/>
        </w:rPr>
        <w:instrText xml:space="preserve"> ADDIN ZOTERO_ITEM CSL_CITATION {"citationID":"eFHbT1HC","properties":{"formattedCitation":"(ICMBio, 2023)","plainCitation":"(ICMBio, 2023)","noteIndex":0},"citationItems":[{"id":525,"uris":["http://zotero.org/users/11283305/items/QZANIAWX"],"itemData":{"id":525,"type":"report","abstract":"Executive summary – . Brasília, 2023.","event-place":"Brasília","genre":"Executive summary","publisher-place":"Brasília","title":"Plano de Ação Nacional Aves Limícolas Migratórias","author":[{"family":"ICMBio","given":""}</w:instrText>
      </w:r>
      <w:r w:rsidRPr="00DE5863">
        <w:rPr>
          <w:rFonts w:ascii="Arial" w:hAnsi="Arial" w:cs="Arial"/>
          <w:sz w:val="21"/>
          <w:szCs w:val="21"/>
          <w:lang w:val="fr-FR"/>
        </w:rPr>
        <w:instrText xml:space="preserve">],"issued":{"date-parts":[["2023"]]}}}],"schema":"https://github.com/citation-style-language/schema/raw/master/csl-citation.json"} </w:instrText>
      </w:r>
      <w:r w:rsidRPr="00DE5863">
        <w:rPr>
          <w:rFonts w:ascii="Arial" w:hAnsi="Arial" w:cs="Arial"/>
          <w:sz w:val="21"/>
          <w:szCs w:val="21"/>
          <w:lang w:val="fr-FR"/>
        </w:rPr>
        <w:fldChar w:fldCharType="separate"/>
      </w:r>
      <w:r w:rsidRPr="00DE5863">
        <w:rPr>
          <w:rFonts w:ascii="Arial" w:eastAsia="Arial" w:hAnsi="Arial" w:cs="Arial"/>
          <w:lang w:val="fr-FR"/>
        </w:rPr>
        <w:t>(ICMBio, 2023)</w:t>
      </w:r>
      <w:r w:rsidRPr="00DE5863">
        <w:rPr>
          <w:rFonts w:ascii="Arial" w:hAnsi="Arial" w:cs="Arial"/>
          <w:sz w:val="21"/>
          <w:szCs w:val="21"/>
          <w:lang w:val="fr-FR"/>
        </w:rPr>
        <w:fldChar w:fldCharType="end"/>
      </w:r>
      <w:r w:rsidRPr="00DE5863">
        <w:rPr>
          <w:rFonts w:ascii="Arial" w:eastAsia="Arial" w:hAnsi="Arial" w:cs="Arial"/>
          <w:lang w:val="fr-FR"/>
        </w:rPr>
        <w:t xml:space="preserve">, elle bénéficie également d’une protection supplémentaire sur le territoire brésilien. En outre, toutes les zones humides, y compris tous les habitats utilisés par cette (sous-)espèce, sont protégées par le décret national brésilien n° 1.905, qui met en œuvre la Convention de Ramsar dans le pays. </w:t>
      </w:r>
    </w:p>
    <w:p w14:paraId="4FA8B8F2" w14:textId="77777777" w:rsidR="00A6618C" w:rsidRPr="00DE5863" w:rsidRDefault="00A6618C">
      <w:pPr>
        <w:autoSpaceDE w:val="0"/>
        <w:adjustRightInd w:val="0"/>
        <w:spacing w:after="0"/>
        <w:jc w:val="both"/>
        <w:rPr>
          <w:rFonts w:ascii="Arial" w:eastAsia="Arial" w:hAnsi="Arial" w:cs="Arial"/>
          <w:lang w:val="fr-FR"/>
        </w:rPr>
      </w:pPr>
    </w:p>
    <w:p w14:paraId="16CC0591" w14:textId="77777777" w:rsidR="00A6618C" w:rsidRPr="00DE5863" w:rsidRDefault="00D1732A">
      <w:pPr>
        <w:autoSpaceDE w:val="0"/>
        <w:adjustRightInd w:val="0"/>
        <w:spacing w:after="0"/>
        <w:jc w:val="both"/>
        <w:rPr>
          <w:rFonts w:ascii="Arial" w:eastAsia="Arial" w:hAnsi="Arial" w:cs="Arial"/>
          <w:lang w:val="fr-FR"/>
        </w:rPr>
      </w:pPr>
      <w:r w:rsidRPr="00DE5863">
        <w:rPr>
          <w:rFonts w:ascii="Arial" w:eastAsia="Arial" w:hAnsi="Arial" w:cs="Arial"/>
          <w:lang w:val="fr-FR"/>
        </w:rPr>
        <w:t>Cependant, le Suriname et la Guyane française accueillent également un nombre important de courlis corlieu dans la voie migratoire atlantique pendant la saison non reproductrice, et la chasse de cette (sous-)espèce y est autorisée.</w:t>
      </w:r>
    </w:p>
    <w:p w14:paraId="2BFE4380" w14:textId="77777777" w:rsidR="00A6618C" w:rsidRPr="00DE5863" w:rsidRDefault="00A6618C">
      <w:pPr>
        <w:autoSpaceDE w:val="0"/>
        <w:adjustRightInd w:val="0"/>
        <w:spacing w:after="0"/>
        <w:jc w:val="both"/>
        <w:rPr>
          <w:rFonts w:ascii="Arial" w:eastAsia="Arial" w:hAnsi="Arial" w:cs="Arial"/>
          <w:lang w:val="fr-FR"/>
        </w:rPr>
      </w:pPr>
    </w:p>
    <w:p w14:paraId="54704557" w14:textId="77777777" w:rsidR="00A6618C" w:rsidRPr="00DE5863" w:rsidRDefault="00D1732A">
      <w:pPr>
        <w:autoSpaceDE w:val="0"/>
        <w:adjustRightInd w:val="0"/>
        <w:spacing w:after="0"/>
        <w:jc w:val="both"/>
        <w:rPr>
          <w:rFonts w:ascii="Arial" w:eastAsia="Arial" w:hAnsi="Arial" w:cs="Arial"/>
          <w:lang w:val="fr-FR"/>
        </w:rPr>
      </w:pPr>
      <w:r w:rsidRPr="00DE5863">
        <w:rPr>
          <w:rFonts w:ascii="Arial" w:eastAsia="Arial" w:hAnsi="Arial" w:cs="Arial"/>
          <w:lang w:val="fr-FR"/>
        </w:rPr>
        <w:t>Dans la voie migratoire pacifique, le Chili et le Pérou disposent tous deux d’un Plan d’action national pour la conservation des oiseaux de rivage.</w:t>
      </w:r>
    </w:p>
    <w:p w14:paraId="7220EB27" w14:textId="77777777" w:rsidR="00A6618C" w:rsidRPr="00DE5863" w:rsidRDefault="00A6618C">
      <w:pPr>
        <w:spacing w:after="0"/>
        <w:jc w:val="both"/>
        <w:rPr>
          <w:rFonts w:ascii="Arial" w:hAnsi="Arial" w:cs="Arial"/>
          <w:lang w:val="fr-FR"/>
        </w:rPr>
      </w:pPr>
    </w:p>
    <w:p w14:paraId="73EA1B1F" w14:textId="77777777" w:rsidR="00A6618C" w:rsidRPr="00DE5863" w:rsidRDefault="00D1732A">
      <w:pPr>
        <w:spacing w:after="0"/>
        <w:ind w:left="567" w:hanging="540"/>
        <w:jc w:val="both"/>
        <w:rPr>
          <w:rFonts w:ascii="Arial" w:hAnsi="Arial" w:cs="Arial"/>
          <w:lang w:val="fr-FR"/>
        </w:rPr>
      </w:pPr>
      <w:r w:rsidRPr="00DE5863">
        <w:rPr>
          <w:rFonts w:ascii="Arial" w:hAnsi="Arial" w:cs="Arial"/>
          <w:lang w:val="fr-FR"/>
        </w:rPr>
        <w:t>6.2</w:t>
      </w:r>
      <w:r w:rsidRPr="00DE5863">
        <w:rPr>
          <w:rFonts w:ascii="Arial" w:hAnsi="Arial" w:cs="Arial"/>
          <w:lang w:val="fr-FR"/>
        </w:rPr>
        <w:tab/>
        <w:t>Niveau de protection internationale</w:t>
      </w:r>
    </w:p>
    <w:p w14:paraId="771F5A16" w14:textId="77777777" w:rsidR="00A6618C" w:rsidRPr="00DE5863" w:rsidRDefault="00A6618C">
      <w:pPr>
        <w:spacing w:after="0"/>
        <w:jc w:val="both"/>
        <w:rPr>
          <w:rFonts w:ascii="Arial" w:hAnsi="Arial" w:cs="Arial"/>
          <w:lang w:val="fr-FR"/>
        </w:rPr>
      </w:pPr>
    </w:p>
    <w:p w14:paraId="08CFF881" w14:textId="77777777" w:rsidR="00A6618C" w:rsidRPr="00DE5863" w:rsidRDefault="00D1732A">
      <w:pPr>
        <w:autoSpaceDE w:val="0"/>
        <w:adjustRightInd w:val="0"/>
        <w:spacing w:after="0"/>
        <w:jc w:val="both"/>
        <w:rPr>
          <w:rFonts w:ascii="Arial" w:eastAsia="Arial" w:hAnsi="Arial" w:cs="Arial"/>
          <w:lang w:val="fr-FR"/>
        </w:rPr>
      </w:pPr>
      <w:r w:rsidRPr="00DE5863">
        <w:rPr>
          <w:rFonts w:ascii="Arial" w:eastAsia="Arial" w:hAnsi="Arial" w:cs="Arial"/>
          <w:lang w:val="fr-FR"/>
        </w:rPr>
        <w:t>Actuellement, le courlis corlieu n'est protégé au niveau international qu'en vertu de la loi sur le traité des oiseaux migrateurs (MBTA). Ce traité a été promulgué en 1918 en tant que loi fédérale américaine pour protéger les oiseaux migrateurs dans le cadre d’une coopération internationale avec le Canada, et il a récemment été étendu pour inclure le Mexique, le Japon et la Fédération de Russie. Par conséquent, la chasse du courlis corlieu est interdite dans les trois pays couverts par le MBTA au sein de so</w:t>
      </w:r>
      <w:r w:rsidRPr="00DE5863">
        <w:rPr>
          <w:rFonts w:ascii="Arial" w:eastAsia="Arial" w:hAnsi="Arial" w:cs="Arial"/>
          <w:lang w:val="fr-FR"/>
        </w:rPr>
        <w:t>n aire de répartition (Canada, États-Unis et Mexique).</w:t>
      </w:r>
    </w:p>
    <w:p w14:paraId="2D7D1FBE" w14:textId="77777777" w:rsidR="00A6618C" w:rsidRPr="00DE5863" w:rsidRDefault="00A6618C">
      <w:pPr>
        <w:spacing w:after="0"/>
        <w:jc w:val="both"/>
        <w:rPr>
          <w:rFonts w:ascii="Arial" w:hAnsi="Arial" w:cs="Arial"/>
          <w:lang w:val="fr-FR"/>
        </w:rPr>
      </w:pPr>
    </w:p>
    <w:p w14:paraId="34377C50" w14:textId="77777777" w:rsidR="00A6618C" w:rsidRPr="00DE5863" w:rsidRDefault="00D1732A">
      <w:pPr>
        <w:spacing w:after="0"/>
        <w:ind w:left="567" w:hanging="540"/>
        <w:jc w:val="both"/>
        <w:rPr>
          <w:rFonts w:ascii="Arial" w:hAnsi="Arial" w:cs="Arial"/>
          <w:lang w:val="fr-FR"/>
        </w:rPr>
      </w:pPr>
      <w:r w:rsidRPr="00DE5863">
        <w:rPr>
          <w:rFonts w:ascii="Arial" w:hAnsi="Arial" w:cs="Arial"/>
          <w:lang w:val="fr-FR"/>
        </w:rPr>
        <w:t>6.3</w:t>
      </w:r>
      <w:r w:rsidRPr="00DE5863">
        <w:rPr>
          <w:rFonts w:ascii="Arial" w:hAnsi="Arial" w:cs="Arial"/>
          <w:lang w:val="fr-FR"/>
        </w:rPr>
        <w:tab/>
        <w:t>Mesures de gestion</w:t>
      </w:r>
    </w:p>
    <w:p w14:paraId="4FA8DD0E" w14:textId="77777777" w:rsidR="00A6618C" w:rsidRPr="00DE5863" w:rsidRDefault="00A6618C">
      <w:pPr>
        <w:spacing w:after="0"/>
        <w:jc w:val="both"/>
        <w:rPr>
          <w:rFonts w:ascii="Arial" w:hAnsi="Arial" w:cs="Arial"/>
          <w:lang w:val="fr-FR"/>
        </w:rPr>
      </w:pPr>
    </w:p>
    <w:p w14:paraId="1C3553AE" w14:textId="77777777" w:rsidR="00A6618C" w:rsidRPr="00DE5863" w:rsidRDefault="00D1732A">
      <w:pPr>
        <w:autoSpaceDE w:val="0"/>
        <w:adjustRightInd w:val="0"/>
        <w:spacing w:after="0"/>
        <w:jc w:val="both"/>
        <w:rPr>
          <w:rFonts w:ascii="Arial" w:eastAsia="Arial" w:hAnsi="Arial" w:cs="Arial"/>
          <w:lang w:val="fr-FR"/>
        </w:rPr>
      </w:pPr>
      <w:r w:rsidRPr="00DE5863">
        <w:rPr>
          <w:rFonts w:ascii="Arial" w:eastAsia="Arial" w:hAnsi="Arial" w:cs="Arial"/>
          <w:lang w:val="fr-FR"/>
        </w:rPr>
        <w:t xml:space="preserve">Parce qu'il a été reconnu comme une (sous-)espèce préoccupante pour la conservation dans divers plans de conservation nationaux (voir section 6.1), il y a plus d'une décennie (en 2009), un plan de conservation a été élaboré pour le courlis corlieu </w:t>
      </w:r>
      <w:r w:rsidRPr="00DE5863">
        <w:rPr>
          <w:rFonts w:ascii="Arial" w:hAnsi="Arial" w:cs="Arial"/>
          <w:sz w:val="21"/>
          <w:szCs w:val="21"/>
          <w:lang w:val="fr-FR"/>
        </w:rPr>
        <w:fldChar w:fldCharType="begin"/>
      </w:r>
      <w:r w:rsidRPr="00DE5863">
        <w:rPr>
          <w:rFonts w:ascii="Arial" w:hAnsi="Arial" w:cs="Arial"/>
          <w:sz w:val="21"/>
          <w:szCs w:val="21"/>
          <w:lang w:val="fr-FR"/>
        </w:rPr>
        <w:instrText xml:space="preserve"> ADDIN ZOTERO_ITEM CSL_CITATION {"citationID":"EtYiER1R","properties":{"formattedCitation":"(Wilke &amp; Johnston-Gonz\\uc0\\u225{}lez, 2010)","plainCitation":"(Wilke &amp; Johnston-González, 2010)","noteIndex":0},"citationItems":[{"id":753,"uris":["http://zotero.org/users/11283305/items/D73PQLMU"],"itemData":{"id":753,"type":"article-journal","language":"en","source":"Zotero","title":"Conservation Plan for the Whimbrel Version 1.1 February 2010","author":[{"family":"Wilke","given":"Alexandra L"},{"family":"Johnsto</w:instrText>
      </w:r>
      <w:r w:rsidRPr="00DE5863">
        <w:rPr>
          <w:rFonts w:ascii="Arial" w:hAnsi="Arial" w:cs="Arial"/>
          <w:sz w:val="21"/>
          <w:szCs w:val="21"/>
          <w:lang w:val="fr-FR"/>
        </w:rPr>
        <w:instrText xml:space="preserve">n-González","given":"Richard"}],"issued":{"date-parts":[["2010"]]}}}],"schema":"https://github.com/citation-style-language/schema/raw/master/csl-citation.json"} </w:instrText>
      </w:r>
      <w:r w:rsidRPr="00DE5863">
        <w:rPr>
          <w:rFonts w:ascii="Arial" w:hAnsi="Arial" w:cs="Arial"/>
          <w:sz w:val="21"/>
          <w:szCs w:val="21"/>
          <w:lang w:val="fr-FR"/>
        </w:rPr>
        <w:fldChar w:fldCharType="separate"/>
      </w:r>
      <w:r w:rsidRPr="00DE5863">
        <w:rPr>
          <w:rFonts w:ascii="Arial" w:eastAsia="Arial" w:hAnsi="Arial" w:cs="Arial"/>
          <w:lang w:val="fr-FR" w:eastAsia="en-GB"/>
        </w:rPr>
        <w:t>(Wilke &amp; Johnston-González, 2010)</w:t>
      </w:r>
      <w:r w:rsidRPr="00DE5863">
        <w:rPr>
          <w:rFonts w:ascii="Arial" w:hAnsi="Arial" w:cs="Arial"/>
          <w:sz w:val="21"/>
          <w:szCs w:val="21"/>
          <w:lang w:val="fr-FR"/>
        </w:rPr>
        <w:fldChar w:fldCharType="end"/>
      </w:r>
      <w:r w:rsidRPr="00DE5863">
        <w:rPr>
          <w:rFonts w:ascii="Arial" w:eastAsia="Arial" w:hAnsi="Arial" w:cs="Arial"/>
          <w:lang w:val="fr-FR"/>
        </w:rPr>
        <w:t>. L’objectif de ce plan était d’identifier les sites importants pour la conservation de cette (sous-)espèce à l’échelle internationale, ainsi que de recenser les principales menaces et de définir des mesures de conservation. Toutefois, étant donné l'intervalle de 15 ans depuis sa publication et les estimations récentes faisant état d'un grave déclin de la population, ce plan doit être actualisé. Aucun programme n’est actuellement en place pour l’élevage en captivité ou la réintroduction de cette (sous-)espè</w:t>
      </w:r>
      <w:r w:rsidRPr="00DE5863">
        <w:rPr>
          <w:rFonts w:ascii="Arial" w:eastAsia="Arial" w:hAnsi="Arial" w:cs="Arial"/>
          <w:lang w:val="fr-FR"/>
        </w:rPr>
        <w:t>ce, et le besoin potentiel de tels programmes n’a pas été évalué.</w:t>
      </w:r>
    </w:p>
    <w:p w14:paraId="44D7FBC6" w14:textId="77777777" w:rsidR="00A6618C" w:rsidRPr="00DE5863" w:rsidRDefault="00A6618C">
      <w:pPr>
        <w:spacing w:after="0"/>
        <w:jc w:val="both"/>
        <w:rPr>
          <w:rFonts w:ascii="Arial" w:hAnsi="Arial" w:cs="Arial"/>
          <w:lang w:val="fr-FR"/>
        </w:rPr>
      </w:pPr>
    </w:p>
    <w:p w14:paraId="2CE2B24C" w14:textId="77777777" w:rsidR="00A6618C" w:rsidRPr="00DE5863" w:rsidRDefault="00D1732A">
      <w:pPr>
        <w:spacing w:after="0"/>
        <w:ind w:left="567" w:hanging="540"/>
        <w:jc w:val="both"/>
        <w:rPr>
          <w:rFonts w:ascii="Arial" w:hAnsi="Arial" w:cs="Arial"/>
          <w:lang w:val="fr-FR"/>
        </w:rPr>
      </w:pPr>
      <w:r w:rsidRPr="00DE5863">
        <w:rPr>
          <w:rFonts w:ascii="Arial" w:hAnsi="Arial" w:cs="Arial"/>
          <w:lang w:val="fr-FR"/>
        </w:rPr>
        <w:t>6.4</w:t>
      </w:r>
      <w:r w:rsidRPr="00DE5863">
        <w:rPr>
          <w:rFonts w:ascii="Arial" w:hAnsi="Arial" w:cs="Arial"/>
          <w:lang w:val="fr-FR"/>
        </w:rPr>
        <w:tab/>
        <w:t>Conservation de l'habitat</w:t>
      </w:r>
    </w:p>
    <w:p w14:paraId="0FDEDF82" w14:textId="77777777" w:rsidR="00A6618C" w:rsidRPr="00DE5863" w:rsidRDefault="00A6618C">
      <w:pPr>
        <w:spacing w:after="0"/>
        <w:jc w:val="both"/>
        <w:rPr>
          <w:rFonts w:ascii="Arial" w:hAnsi="Arial" w:cs="Arial"/>
          <w:lang w:val="fr-FR"/>
        </w:rPr>
      </w:pPr>
    </w:p>
    <w:p w14:paraId="74314628" w14:textId="77777777" w:rsidR="00A6618C" w:rsidRPr="00DE5863" w:rsidRDefault="00D1732A">
      <w:pPr>
        <w:autoSpaceDE w:val="0"/>
        <w:adjustRightInd w:val="0"/>
        <w:spacing w:after="0"/>
        <w:jc w:val="both"/>
        <w:rPr>
          <w:rFonts w:ascii="Arial" w:eastAsia="Arial" w:hAnsi="Arial" w:cs="Arial"/>
          <w:lang w:val="fr-FR"/>
        </w:rPr>
      </w:pPr>
      <w:r w:rsidRPr="00DE5863">
        <w:rPr>
          <w:rFonts w:ascii="Arial" w:eastAsia="Arial" w:hAnsi="Arial" w:cs="Arial"/>
          <w:lang w:val="fr-FR"/>
        </w:rPr>
        <w:t xml:space="preserve">Les habitats importants utilisés par le courlis corlieu tout au long de son cycle annuel sont identifiés et protégés par l'Initiative pour les espèces migratrices de l'Hémisphère occidental (WHSRN). Dans la voie migratoire atlantique, par exemple, Deveaux Bank a été reconnu comme site de l'Initiative pour les espèces migratrices de l'Hémisphère occidental en raison du soutien apporté à près de la moitié de la population atlantique de cette (sous-)espèce </w:t>
      </w:r>
      <w:r w:rsidRPr="00DE5863">
        <w:rPr>
          <w:rFonts w:ascii="Arial" w:hAnsi="Arial" w:cs="Arial"/>
          <w:sz w:val="21"/>
          <w:szCs w:val="21"/>
          <w:lang w:val="fr-FR"/>
        </w:rPr>
        <w:fldChar w:fldCharType="begin"/>
      </w:r>
      <w:r w:rsidRPr="00DE5863">
        <w:rPr>
          <w:rFonts w:ascii="Arial" w:hAnsi="Arial" w:cs="Arial"/>
          <w:sz w:val="21"/>
          <w:szCs w:val="21"/>
          <w:lang w:val="fr-FR"/>
        </w:rPr>
        <w:instrText xml:space="preserve"> ADDIN ZOTERO_ITEM CSL_CITATION {"citationID":"TCsg60Q5","properties":{"formattedCitation":"(Sanders et al., 2021)","plainCitation":"(Sanders et al., 2021)","noteIndex":0},"citationItems":[{"id":749,"uris":["http://zotero.org/users/11283305/items/4MQAMLZ5"],"itemData":{"id":749,"type":"article-journal","container-title":"International Wader Study Group","DOI":"doi:10.18194/ws.00228","issue":"2","language":"en-US","note":"DOI: 10.18194/ws.00228","page":"117-124","title":"Nocturnal roost on South Carolina coa</w:instrText>
      </w:r>
      <w:r w:rsidRPr="00DE5863">
        <w:rPr>
          <w:rFonts w:ascii="Arial" w:hAnsi="Arial" w:cs="Arial"/>
          <w:sz w:val="21"/>
          <w:szCs w:val="21"/>
          <w:lang w:val="fr-FR"/>
        </w:rPr>
        <w:instrText xml:space="preserve">st supports nearly half of Atlantic coast population of Hudsonian Whimbrel Numenius hudsonicus during northward migration","volume":"128","author":[{"family":"Sanders","given":"Felicia J"},{"family":"Handmaker","given":"Maina C"},{"family":"Johnson","given":"Andrew"},{"family":"Senner","given":"Nathan"}],"issued":{"date-parts":[["2021"]]}}}],"schema":"https://github.com/citation-style-language/schema/raw/master/csl-citation.json"} </w:instrText>
      </w:r>
      <w:r w:rsidRPr="00DE5863">
        <w:rPr>
          <w:rFonts w:ascii="Arial" w:hAnsi="Arial" w:cs="Arial"/>
          <w:sz w:val="21"/>
          <w:szCs w:val="21"/>
          <w:lang w:val="fr-FR"/>
        </w:rPr>
        <w:fldChar w:fldCharType="separate"/>
      </w:r>
      <w:r w:rsidRPr="00DE5863">
        <w:rPr>
          <w:rFonts w:ascii="Arial" w:eastAsia="Arial" w:hAnsi="Arial" w:cs="Arial"/>
          <w:lang w:val="fr-FR"/>
        </w:rPr>
        <w:t>(Sanders et al., 2021)</w:t>
      </w:r>
      <w:r w:rsidRPr="00DE5863">
        <w:rPr>
          <w:rFonts w:ascii="Arial" w:hAnsi="Arial" w:cs="Arial"/>
          <w:sz w:val="21"/>
          <w:szCs w:val="21"/>
          <w:lang w:val="fr-FR"/>
        </w:rPr>
        <w:fldChar w:fldCharType="end"/>
      </w:r>
      <w:r w:rsidRPr="00DE5863">
        <w:rPr>
          <w:rFonts w:ascii="Arial" w:eastAsia="Arial" w:hAnsi="Arial" w:cs="Arial"/>
          <w:lang w:val="fr-FR"/>
        </w:rPr>
        <w:t xml:space="preserve">. Dans les zones de non-reproduction, </w:t>
      </w:r>
      <w:proofErr w:type="spellStart"/>
      <w:r w:rsidRPr="00DE5863">
        <w:rPr>
          <w:rFonts w:ascii="Arial" w:eastAsia="Arial" w:hAnsi="Arial" w:cs="Arial"/>
          <w:lang w:val="fr-FR"/>
        </w:rPr>
        <w:t>Reentrâncias</w:t>
      </w:r>
      <w:proofErr w:type="spellEnd"/>
      <w:r w:rsidRPr="00DE5863">
        <w:rPr>
          <w:rFonts w:ascii="Arial" w:eastAsia="Arial" w:hAnsi="Arial" w:cs="Arial"/>
          <w:lang w:val="fr-FR"/>
        </w:rPr>
        <w:t xml:space="preserve"> </w:t>
      </w:r>
      <w:proofErr w:type="spellStart"/>
      <w:r w:rsidRPr="00DE5863">
        <w:rPr>
          <w:rFonts w:ascii="Arial" w:eastAsia="Arial" w:hAnsi="Arial" w:cs="Arial"/>
          <w:lang w:val="fr-FR"/>
        </w:rPr>
        <w:t>Maranhenses</w:t>
      </w:r>
      <w:proofErr w:type="spellEnd"/>
      <w:r w:rsidRPr="00DE5863">
        <w:rPr>
          <w:rFonts w:ascii="Arial" w:eastAsia="Arial" w:hAnsi="Arial" w:cs="Arial"/>
          <w:lang w:val="fr-FR"/>
        </w:rPr>
        <w:t xml:space="preserve"> a été reconnu comme un site d'importance hémisphérique, car il accueille environ 44 % de tous les courlis corlieu comptés en Amérique du Sud. Dans la voie migratoire pacifique, les </w:t>
      </w:r>
      <w:proofErr w:type="spellStart"/>
      <w:r w:rsidRPr="00DE5863">
        <w:rPr>
          <w:rFonts w:ascii="Arial" w:eastAsia="Arial" w:hAnsi="Arial" w:cs="Arial"/>
          <w:lang w:val="fr-FR"/>
        </w:rPr>
        <w:t>Humedales</w:t>
      </w:r>
      <w:proofErr w:type="spellEnd"/>
      <w:r w:rsidRPr="00DE5863">
        <w:rPr>
          <w:rFonts w:ascii="Arial" w:eastAsia="Arial" w:hAnsi="Arial" w:cs="Arial"/>
          <w:lang w:val="fr-FR"/>
        </w:rPr>
        <w:t xml:space="preserve"> </w:t>
      </w:r>
      <w:r w:rsidRPr="00DE5863">
        <w:rPr>
          <w:rFonts w:ascii="Arial" w:eastAsia="Arial" w:hAnsi="Arial" w:cs="Arial"/>
          <w:lang w:val="fr-FR"/>
        </w:rPr>
        <w:lastRenderedPageBreak/>
        <w:t>Orientales de Chiloé soutiennent 61 % de la population pacifique de courlis corlieu, ce qui en fait un site de l'Initiative pour les espèces migratrices de l'Hémisphère occidental d'importance hémisphérique. En outre, la Convention de Ramsar sur les zones hu</w:t>
      </w:r>
      <w:r w:rsidRPr="00DE5863">
        <w:rPr>
          <w:rFonts w:ascii="Arial" w:eastAsia="Arial" w:hAnsi="Arial" w:cs="Arial"/>
          <w:lang w:val="fr-FR"/>
        </w:rPr>
        <w:t>mides collabore également avec ses parties contractantes pour identifier, gérer et protéger les zones humides d'importance internationale, dont beaucoup incluent les habitats du courlis corlieu.</w:t>
      </w:r>
    </w:p>
    <w:p w14:paraId="215D54C2" w14:textId="77777777" w:rsidR="00A6618C" w:rsidRPr="00DE5863" w:rsidRDefault="00A6618C">
      <w:pPr>
        <w:spacing w:after="0"/>
        <w:jc w:val="both"/>
        <w:rPr>
          <w:rFonts w:ascii="Arial" w:hAnsi="Arial" w:cs="Arial"/>
          <w:lang w:val="fr-FR"/>
        </w:rPr>
      </w:pPr>
    </w:p>
    <w:p w14:paraId="1489636E" w14:textId="77777777" w:rsidR="00A6618C" w:rsidRPr="00DE5863" w:rsidRDefault="00D1732A">
      <w:pPr>
        <w:spacing w:after="0"/>
        <w:ind w:left="567" w:hanging="540"/>
        <w:jc w:val="both"/>
        <w:rPr>
          <w:rFonts w:ascii="Arial" w:hAnsi="Arial" w:cs="Arial"/>
          <w:lang w:val="fr-FR"/>
        </w:rPr>
      </w:pPr>
      <w:r w:rsidRPr="00DE5863">
        <w:rPr>
          <w:rFonts w:ascii="Arial" w:hAnsi="Arial" w:cs="Arial"/>
          <w:lang w:val="fr-FR"/>
        </w:rPr>
        <w:t>6.5</w:t>
      </w:r>
      <w:r w:rsidRPr="00DE5863">
        <w:rPr>
          <w:rFonts w:ascii="Arial" w:hAnsi="Arial" w:cs="Arial"/>
          <w:lang w:val="fr-FR"/>
        </w:rPr>
        <w:tab/>
        <w:t>Suivi de la population</w:t>
      </w:r>
    </w:p>
    <w:p w14:paraId="75B83B57" w14:textId="77777777" w:rsidR="00A6618C" w:rsidRPr="00DE5863" w:rsidRDefault="00A6618C">
      <w:pPr>
        <w:spacing w:after="0"/>
        <w:jc w:val="both"/>
        <w:rPr>
          <w:rFonts w:ascii="Arial" w:hAnsi="Arial" w:cs="Arial"/>
          <w:lang w:val="fr-FR"/>
        </w:rPr>
      </w:pPr>
    </w:p>
    <w:p w14:paraId="37C96447" w14:textId="77777777" w:rsidR="00A6618C" w:rsidRPr="00DE5863" w:rsidRDefault="00D1732A">
      <w:pPr>
        <w:spacing w:after="0"/>
        <w:jc w:val="both"/>
        <w:rPr>
          <w:rFonts w:ascii="Arial" w:eastAsia="Arial" w:hAnsi="Arial" w:cs="Arial"/>
          <w:lang w:val="fr-FR"/>
        </w:rPr>
      </w:pPr>
      <w:r w:rsidRPr="00DE5863">
        <w:rPr>
          <w:rFonts w:ascii="Arial" w:eastAsia="Arial" w:hAnsi="Arial" w:cs="Arial"/>
          <w:lang w:val="fr-FR"/>
        </w:rPr>
        <w:t xml:space="preserve">La plupart des plans d’action nationaux pour les oiseaux de rivage des différents pays situés dans l’aire de répartition du courlis corlieu disposent de leur propre cadre de suivi des populations, mais l’International </w:t>
      </w:r>
      <w:proofErr w:type="spellStart"/>
      <w:r w:rsidRPr="00DE5863">
        <w:rPr>
          <w:rFonts w:ascii="Arial" w:eastAsia="Arial" w:hAnsi="Arial" w:cs="Arial"/>
          <w:lang w:val="fr-FR"/>
        </w:rPr>
        <w:t>Shorebird</w:t>
      </w:r>
      <w:proofErr w:type="spellEnd"/>
      <w:r w:rsidRPr="00DE5863">
        <w:rPr>
          <w:rFonts w:ascii="Arial" w:eastAsia="Arial" w:hAnsi="Arial" w:cs="Arial"/>
          <w:lang w:val="fr-FR"/>
        </w:rPr>
        <w:t xml:space="preserve"> Survey, coordonné par </w:t>
      </w:r>
      <w:proofErr w:type="spellStart"/>
      <w:r w:rsidRPr="00DE5863">
        <w:rPr>
          <w:rFonts w:ascii="Arial" w:eastAsia="Arial" w:hAnsi="Arial" w:cs="Arial"/>
          <w:lang w:val="fr-FR"/>
        </w:rPr>
        <w:t>Manomet</w:t>
      </w:r>
      <w:proofErr w:type="spellEnd"/>
      <w:r w:rsidRPr="00DE5863">
        <w:rPr>
          <w:rFonts w:ascii="Arial" w:eastAsia="Arial" w:hAnsi="Arial" w:cs="Arial"/>
          <w:lang w:val="fr-FR"/>
        </w:rPr>
        <w:t xml:space="preserve"> Conservation Sciences (</w:t>
      </w:r>
      <w:hyperlink r:id="rId17">
        <w:r w:rsidR="00A6618C" w:rsidRPr="00DE5863">
          <w:rPr>
            <w:rStyle w:val="Hyperlink"/>
            <w:rFonts w:ascii="Arial" w:eastAsia="Arial" w:hAnsi="Arial" w:cs="Arial"/>
            <w:lang w:val="fr-FR"/>
          </w:rPr>
          <w:t xml:space="preserve">https://www.manomet.org/project/international-shorebird-survey/ </w:t>
        </w:r>
      </w:hyperlink>
      <w:r w:rsidRPr="00DE5863">
        <w:rPr>
          <w:rFonts w:ascii="Arial" w:eastAsia="Arial" w:hAnsi="Arial" w:cs="Arial"/>
          <w:lang w:val="fr-FR"/>
        </w:rPr>
        <w:t xml:space="preserve">), établit une approche de suivi standardisée des populations d’oiseaux de rivage dans l’ensemble de l’hémisphère occidental. Le plan de conservation pour cette (sous-)espèce suggère également de soutenir les efforts du recensement des oiseaux d'eau néotropicaux comme moyen de maintenir le suivi des populations. </w:t>
      </w:r>
      <w:r w:rsidRPr="00DE5863">
        <w:rPr>
          <w:rFonts w:ascii="Arial" w:hAnsi="Arial" w:cs="Arial"/>
          <w:sz w:val="21"/>
          <w:szCs w:val="21"/>
          <w:lang w:val="fr-FR"/>
        </w:rPr>
        <w:fldChar w:fldCharType="begin"/>
      </w:r>
      <w:r w:rsidRPr="00DE5863">
        <w:rPr>
          <w:rFonts w:ascii="Arial" w:hAnsi="Arial" w:cs="Arial"/>
          <w:sz w:val="21"/>
          <w:szCs w:val="21"/>
          <w:lang w:val="fr-FR"/>
        </w:rPr>
        <w:instrText xml:space="preserve"> ADDIN ZOTERO_ITEM CSL_CITATION {"citationID":"DMXLF6bv","properties":{"formattedCitation":"(Wilke &amp; Johnston-Gonz\\uc0\\u225{}lez, 2010)","plainCitation":"(Wilke &amp; Johnston-González, 2010)","noteIndex":0},"citationItems":[{"id":753,"uris":["http://zotero.org/users/11283305/items/D73PQLMU"],"itemData":{"id":753,"type":"article-journal","language":"en","source":"Zotero","title":"Conservation Plan for the Whimbrel Version 1.1 February 2010","author":[{"family":"Wilke","given":"Alexandra L"},{"family":"Johnsto</w:instrText>
      </w:r>
      <w:r w:rsidRPr="00DE5863">
        <w:rPr>
          <w:rFonts w:ascii="Arial" w:hAnsi="Arial" w:cs="Arial"/>
          <w:sz w:val="21"/>
          <w:szCs w:val="21"/>
          <w:lang w:val="fr-FR"/>
        </w:rPr>
        <w:instrText xml:space="preserve">n-González","given":"Richard"}],"issued":{"date-parts":[["2010"]]}}}],"schema":"https://github.com/citation-style-language/schema/raw/master/csl-citation.json"} </w:instrText>
      </w:r>
      <w:r w:rsidRPr="00DE5863">
        <w:rPr>
          <w:rFonts w:ascii="Arial" w:hAnsi="Arial" w:cs="Arial"/>
          <w:sz w:val="21"/>
          <w:szCs w:val="21"/>
          <w:lang w:val="fr-FR"/>
        </w:rPr>
        <w:fldChar w:fldCharType="separate"/>
      </w:r>
      <w:r w:rsidRPr="00DE5863">
        <w:rPr>
          <w:rFonts w:ascii="Arial" w:eastAsia="Arial" w:hAnsi="Arial" w:cs="Arial"/>
          <w:lang w:val="fr-FR" w:eastAsia="en-GB"/>
        </w:rPr>
        <w:t>(Wilke &amp; Johnston-González, 2010)</w:t>
      </w:r>
      <w:r w:rsidRPr="00DE5863">
        <w:rPr>
          <w:rFonts w:ascii="Arial" w:hAnsi="Arial" w:cs="Arial"/>
          <w:sz w:val="21"/>
          <w:szCs w:val="21"/>
          <w:lang w:val="fr-FR"/>
        </w:rPr>
        <w:fldChar w:fldCharType="end"/>
      </w:r>
      <w:r w:rsidRPr="00DE5863">
        <w:rPr>
          <w:rFonts w:ascii="Arial" w:eastAsia="Arial" w:hAnsi="Arial" w:cs="Arial"/>
          <w:lang w:val="fr-FR"/>
        </w:rPr>
        <w:t>.</w:t>
      </w:r>
    </w:p>
    <w:p w14:paraId="4418D262" w14:textId="77777777" w:rsidR="00A6618C" w:rsidRPr="00DE5863" w:rsidRDefault="00A6618C">
      <w:pPr>
        <w:spacing w:after="0"/>
        <w:jc w:val="both"/>
        <w:rPr>
          <w:rFonts w:ascii="Arial" w:hAnsi="Arial" w:cs="Arial"/>
          <w:lang w:val="fr-FR"/>
        </w:rPr>
      </w:pPr>
    </w:p>
    <w:p w14:paraId="074BC43C" w14:textId="77777777" w:rsidR="00A6618C" w:rsidRPr="00DE5863" w:rsidRDefault="00D1732A">
      <w:pPr>
        <w:spacing w:after="0"/>
        <w:ind w:left="540" w:hanging="540"/>
        <w:rPr>
          <w:rFonts w:ascii="Arial" w:hAnsi="Arial" w:cs="Arial"/>
          <w:b/>
          <w:bCs/>
          <w:lang w:val="fr-FR"/>
        </w:rPr>
      </w:pPr>
      <w:r w:rsidRPr="00DE5863">
        <w:rPr>
          <w:rFonts w:ascii="Arial" w:hAnsi="Arial" w:cs="Arial"/>
          <w:b/>
          <w:bCs/>
          <w:lang w:val="fr-FR"/>
        </w:rPr>
        <w:t xml:space="preserve">7. </w:t>
      </w:r>
      <w:r w:rsidRPr="00DE5863">
        <w:rPr>
          <w:rFonts w:ascii="Arial" w:hAnsi="Arial" w:cs="Arial"/>
          <w:b/>
          <w:bCs/>
          <w:lang w:val="fr-FR"/>
        </w:rPr>
        <w:tab/>
        <w:t>Effets de l'amendement proposé</w:t>
      </w:r>
    </w:p>
    <w:p w14:paraId="00B3E1FB" w14:textId="77777777" w:rsidR="00A6618C" w:rsidRPr="00DE5863" w:rsidRDefault="00A6618C">
      <w:pPr>
        <w:spacing w:after="0"/>
        <w:ind w:left="540" w:hanging="540"/>
        <w:rPr>
          <w:rFonts w:ascii="Arial" w:hAnsi="Arial" w:cs="Arial"/>
          <w:lang w:val="fr-FR"/>
        </w:rPr>
      </w:pPr>
    </w:p>
    <w:p w14:paraId="0FF105CC" w14:textId="77777777" w:rsidR="00A6618C" w:rsidRPr="00DE5863" w:rsidRDefault="00D1732A">
      <w:pPr>
        <w:spacing w:after="0"/>
        <w:ind w:left="567" w:hanging="540"/>
        <w:jc w:val="both"/>
        <w:rPr>
          <w:rFonts w:ascii="Arial" w:hAnsi="Arial" w:cs="Arial"/>
          <w:lang w:val="fr-FR"/>
        </w:rPr>
      </w:pPr>
      <w:r w:rsidRPr="00DE5863">
        <w:rPr>
          <w:rFonts w:ascii="Arial" w:hAnsi="Arial" w:cs="Arial"/>
          <w:lang w:val="fr-FR"/>
        </w:rPr>
        <w:t>7.1</w:t>
      </w:r>
      <w:r w:rsidRPr="00DE5863">
        <w:rPr>
          <w:rFonts w:ascii="Arial" w:hAnsi="Arial" w:cs="Arial"/>
          <w:lang w:val="fr-FR"/>
        </w:rPr>
        <w:tab/>
        <w:t>Avantages prévus de l'amendement</w:t>
      </w:r>
    </w:p>
    <w:p w14:paraId="2C780BA6" w14:textId="77777777" w:rsidR="00A6618C" w:rsidRPr="00DE5863" w:rsidRDefault="00A6618C">
      <w:pPr>
        <w:spacing w:after="0"/>
        <w:jc w:val="both"/>
        <w:rPr>
          <w:rFonts w:ascii="Arial" w:eastAsia="Arial" w:hAnsi="Arial" w:cs="Arial"/>
          <w:lang w:val="fr-FR"/>
        </w:rPr>
      </w:pPr>
    </w:p>
    <w:p w14:paraId="1463A88D" w14:textId="77777777" w:rsidR="00A6618C" w:rsidRPr="00DE5863" w:rsidRDefault="00D1732A">
      <w:pPr>
        <w:spacing w:after="0"/>
        <w:jc w:val="both"/>
        <w:rPr>
          <w:rFonts w:ascii="Arial" w:eastAsia="Arial" w:hAnsi="Arial" w:cs="Arial"/>
          <w:lang w:val="fr-FR"/>
        </w:rPr>
      </w:pPr>
      <w:r w:rsidRPr="00DE5863">
        <w:rPr>
          <w:rFonts w:ascii="Arial" w:eastAsia="Arial" w:hAnsi="Arial" w:cs="Arial"/>
          <w:lang w:val="fr-FR"/>
        </w:rPr>
        <w:t>À la suite de l’inclusion du taxon dans l’Annexe I de la Convention sur la conservation des espèces migratrices appartenant à la faune sauvage, il est prévu que ce taxon devienne un axe central d’actions visant à développer des connaissances, à assurer sa conservation et sa gestion, afin de garantir, en fin de compte, la viabilité à long terme de sa population. Il est prévu que les initiatives existantes soient renforcées et étendues, et que la coopération internationale soit encouragée afin de favoriser l’</w:t>
      </w:r>
      <w:r w:rsidRPr="00DE5863">
        <w:rPr>
          <w:rFonts w:ascii="Arial" w:eastAsia="Arial" w:hAnsi="Arial" w:cs="Arial"/>
          <w:lang w:val="fr-FR"/>
        </w:rPr>
        <w:t xml:space="preserve">intégration du suivi des populations ainsi que des actions de gestion et de conservation. </w:t>
      </w:r>
    </w:p>
    <w:p w14:paraId="4E45DEC2" w14:textId="77777777" w:rsidR="00A6618C" w:rsidRPr="00DE5863" w:rsidRDefault="00A6618C">
      <w:pPr>
        <w:spacing w:after="0"/>
        <w:jc w:val="both"/>
        <w:rPr>
          <w:rFonts w:ascii="Arial" w:eastAsia="Arial" w:hAnsi="Arial" w:cs="Arial"/>
          <w:lang w:val="fr-FR"/>
        </w:rPr>
      </w:pPr>
    </w:p>
    <w:p w14:paraId="697F9D24" w14:textId="77777777" w:rsidR="00A6618C" w:rsidRPr="00DE5863" w:rsidRDefault="00D1732A">
      <w:pPr>
        <w:spacing w:after="0"/>
        <w:jc w:val="both"/>
        <w:rPr>
          <w:rFonts w:ascii="Arial" w:eastAsia="Arial" w:hAnsi="Arial" w:cs="Arial"/>
          <w:lang w:val="fr-FR"/>
        </w:rPr>
      </w:pPr>
      <w:r w:rsidRPr="00DE5863">
        <w:rPr>
          <w:rFonts w:ascii="Arial" w:eastAsia="Arial" w:hAnsi="Arial" w:cs="Arial"/>
          <w:lang w:val="fr-FR"/>
        </w:rPr>
        <w:t xml:space="preserve">Parmi les initiatives existantes visant à promouvoir des actions concertées pour la conservation du courlis corlieu et de son habitat, on peut citer : l'Atlantic </w:t>
      </w:r>
      <w:proofErr w:type="spellStart"/>
      <w:r w:rsidRPr="00DE5863">
        <w:rPr>
          <w:rFonts w:ascii="Arial" w:eastAsia="Arial" w:hAnsi="Arial" w:cs="Arial"/>
          <w:lang w:val="fr-FR"/>
        </w:rPr>
        <w:t>Flyway</w:t>
      </w:r>
      <w:proofErr w:type="spellEnd"/>
      <w:r w:rsidRPr="00DE5863">
        <w:rPr>
          <w:rFonts w:ascii="Arial" w:eastAsia="Arial" w:hAnsi="Arial" w:cs="Arial"/>
          <w:lang w:val="fr-FR"/>
        </w:rPr>
        <w:t xml:space="preserve"> </w:t>
      </w:r>
      <w:proofErr w:type="spellStart"/>
      <w:r w:rsidRPr="00DE5863">
        <w:rPr>
          <w:rFonts w:ascii="Arial" w:eastAsia="Arial" w:hAnsi="Arial" w:cs="Arial"/>
          <w:lang w:val="fr-FR"/>
        </w:rPr>
        <w:t>Shorebird</w:t>
      </w:r>
      <w:proofErr w:type="spellEnd"/>
      <w:r w:rsidRPr="00DE5863">
        <w:rPr>
          <w:rFonts w:ascii="Arial" w:eastAsia="Arial" w:hAnsi="Arial" w:cs="Arial"/>
          <w:lang w:val="fr-FR"/>
        </w:rPr>
        <w:t xml:space="preserve"> Initiative (AFSI ; </w:t>
      </w:r>
      <w:hyperlink r:id="rId18">
        <w:r w:rsidR="00A6618C" w:rsidRPr="00DE5863">
          <w:rPr>
            <w:rStyle w:val="Hyperlink"/>
            <w:sz w:val="21"/>
            <w:szCs w:val="21"/>
            <w:lang w:val="fr-FR"/>
          </w:rPr>
          <w:t>https://atlanticflywayshorebirds.org/</w:t>
        </w:r>
      </w:hyperlink>
      <w:r w:rsidRPr="00DE5863">
        <w:rPr>
          <w:rFonts w:ascii="Arial" w:eastAsia="Arial" w:hAnsi="Arial" w:cs="Arial"/>
          <w:lang w:val="fr-FR"/>
        </w:rPr>
        <w:t xml:space="preserve">), la </w:t>
      </w:r>
      <w:proofErr w:type="spellStart"/>
      <w:r w:rsidRPr="00DE5863">
        <w:rPr>
          <w:rFonts w:ascii="Arial" w:eastAsia="Arial" w:hAnsi="Arial" w:cs="Arial"/>
          <w:lang w:val="fr-FR"/>
        </w:rPr>
        <w:t>Midcontinent</w:t>
      </w:r>
      <w:proofErr w:type="spellEnd"/>
      <w:r w:rsidRPr="00DE5863">
        <w:rPr>
          <w:rFonts w:ascii="Arial" w:eastAsia="Arial" w:hAnsi="Arial" w:cs="Arial"/>
          <w:lang w:val="fr-FR"/>
        </w:rPr>
        <w:t xml:space="preserve"> </w:t>
      </w:r>
      <w:proofErr w:type="spellStart"/>
      <w:r w:rsidRPr="00DE5863">
        <w:rPr>
          <w:rFonts w:ascii="Arial" w:eastAsia="Arial" w:hAnsi="Arial" w:cs="Arial"/>
          <w:lang w:val="fr-FR"/>
        </w:rPr>
        <w:t>Shorebird</w:t>
      </w:r>
      <w:proofErr w:type="spellEnd"/>
      <w:r w:rsidRPr="00DE5863">
        <w:rPr>
          <w:rFonts w:ascii="Arial" w:eastAsia="Arial" w:hAnsi="Arial" w:cs="Arial"/>
          <w:lang w:val="fr-FR"/>
        </w:rPr>
        <w:t xml:space="preserve"> Conservation Initiative (MSCI ; </w:t>
      </w:r>
      <w:hyperlink r:id="rId19">
        <w:r w:rsidR="00A6618C" w:rsidRPr="00DE5863">
          <w:rPr>
            <w:rStyle w:val="Hyperlink"/>
            <w:sz w:val="21"/>
            <w:szCs w:val="21"/>
            <w:lang w:val="fr-FR"/>
          </w:rPr>
          <w:t>https://midamericasshorebirds.org/</w:t>
        </w:r>
      </w:hyperlink>
      <w:r w:rsidRPr="00DE5863">
        <w:rPr>
          <w:rFonts w:ascii="Arial" w:eastAsia="Arial" w:hAnsi="Arial" w:cs="Arial"/>
          <w:lang w:val="fr-FR"/>
        </w:rPr>
        <w:t xml:space="preserve">) et Road to </w:t>
      </w:r>
      <w:proofErr w:type="spellStart"/>
      <w:r w:rsidRPr="00DE5863">
        <w:rPr>
          <w:rFonts w:ascii="Arial" w:eastAsia="Arial" w:hAnsi="Arial" w:cs="Arial"/>
          <w:lang w:val="fr-FR"/>
        </w:rPr>
        <w:t>Recovery</w:t>
      </w:r>
      <w:proofErr w:type="spellEnd"/>
      <w:r w:rsidRPr="00DE5863">
        <w:rPr>
          <w:rFonts w:ascii="Arial" w:eastAsia="Arial" w:hAnsi="Arial" w:cs="Arial"/>
          <w:lang w:val="fr-FR"/>
        </w:rPr>
        <w:t xml:space="preserve"> (R2R ; </w:t>
      </w:r>
      <w:hyperlink r:id="rId20">
        <w:r w:rsidR="00A6618C" w:rsidRPr="00DE5863">
          <w:rPr>
            <w:rStyle w:val="Hyperlink"/>
            <w:sz w:val="21"/>
            <w:szCs w:val="21"/>
            <w:lang w:val="fr-FR"/>
          </w:rPr>
          <w:t>https://r2rbirds.org/</w:t>
        </w:r>
      </w:hyperlink>
      <w:r w:rsidRPr="00DE5863">
        <w:rPr>
          <w:rFonts w:ascii="Arial" w:eastAsia="Arial" w:hAnsi="Arial" w:cs="Arial"/>
          <w:lang w:val="fr-FR"/>
        </w:rPr>
        <w:t>). Tant l’AFSI que la MSCI ont identifié des actions prioritaires pour inverser le déclin des espèces d’oiseaux de rivage ciblées dans les Amériques, parmi lesquelles figure le courlis corlieu. Ces actions ont été élaborées de manière collaborative par des spécialistes, des acteurs de la conservation et des agences gouvernementales provenant de divers pays des Amériques. L’initiative R2R a été créée en réponse à la perte de trois milliards d’oiseaux aux États-Unis et au Canada (Rosenberg et al., 2019). La s</w:t>
      </w:r>
      <w:r w:rsidRPr="00DE5863">
        <w:rPr>
          <w:rFonts w:ascii="Arial" w:eastAsia="Arial" w:hAnsi="Arial" w:cs="Arial"/>
          <w:lang w:val="fr-FR"/>
        </w:rPr>
        <w:t>tratégie R2R est centrée sur des groupes de travail pour la conservation des espèces, fondés sur une collaboration internationale et interdisciplinaire. Le courlis corlieu a été identifié comme l’une des « espèces clés » et est inclus dans le groupe de travail sur les espèces de l’initiative R2R.</w:t>
      </w:r>
    </w:p>
    <w:p w14:paraId="2AB04C6F" w14:textId="77777777" w:rsidR="00576266" w:rsidRDefault="00576266">
      <w:pPr>
        <w:spacing w:after="0"/>
        <w:ind w:left="567" w:hanging="540"/>
        <w:jc w:val="both"/>
        <w:rPr>
          <w:rFonts w:ascii="Arial" w:hAnsi="Arial" w:cs="Arial"/>
          <w:lang w:val="fr-FR"/>
        </w:rPr>
      </w:pPr>
    </w:p>
    <w:p w14:paraId="583090BC" w14:textId="3576D403" w:rsidR="00A6618C" w:rsidRPr="00DE5863" w:rsidRDefault="00D1732A">
      <w:pPr>
        <w:spacing w:after="0"/>
        <w:ind w:left="567" w:hanging="540"/>
        <w:jc w:val="both"/>
        <w:rPr>
          <w:rFonts w:ascii="Arial" w:hAnsi="Arial" w:cs="Arial"/>
          <w:lang w:val="fr-FR"/>
        </w:rPr>
      </w:pPr>
      <w:r w:rsidRPr="00DE5863">
        <w:rPr>
          <w:rFonts w:ascii="Arial" w:hAnsi="Arial" w:cs="Arial"/>
          <w:lang w:val="fr-FR"/>
        </w:rPr>
        <w:t>7.2</w:t>
      </w:r>
      <w:r w:rsidRPr="00DE5863">
        <w:rPr>
          <w:rFonts w:ascii="Arial" w:hAnsi="Arial" w:cs="Arial"/>
          <w:lang w:val="fr-FR"/>
        </w:rPr>
        <w:tab/>
        <w:t>Risques potentiels de l'amendement</w:t>
      </w:r>
    </w:p>
    <w:p w14:paraId="5A2D6F89" w14:textId="77777777" w:rsidR="00A6618C" w:rsidRPr="00DE5863" w:rsidRDefault="00A6618C">
      <w:pPr>
        <w:spacing w:after="0"/>
        <w:jc w:val="both"/>
        <w:rPr>
          <w:rFonts w:ascii="Arial" w:hAnsi="Arial" w:cs="Arial"/>
          <w:lang w:val="fr-FR"/>
        </w:rPr>
      </w:pPr>
    </w:p>
    <w:p w14:paraId="1C1CC28C" w14:textId="77777777" w:rsidR="00A6618C" w:rsidRPr="00DE5863" w:rsidRDefault="00D1732A">
      <w:pPr>
        <w:autoSpaceDE w:val="0"/>
        <w:adjustRightInd w:val="0"/>
        <w:spacing w:after="0"/>
        <w:jc w:val="both"/>
        <w:rPr>
          <w:rFonts w:ascii="Arial" w:eastAsia="Arial" w:hAnsi="Arial" w:cs="Arial"/>
          <w:lang w:val="fr-FR"/>
        </w:rPr>
      </w:pPr>
      <w:r w:rsidRPr="00DE5863">
        <w:rPr>
          <w:rFonts w:ascii="Arial" w:eastAsia="Arial" w:hAnsi="Arial" w:cs="Arial"/>
          <w:lang w:val="fr-FR"/>
        </w:rPr>
        <w:t>Aucun risque potentiel n’a été identifié.</w:t>
      </w:r>
    </w:p>
    <w:p w14:paraId="16603E4B" w14:textId="77777777" w:rsidR="00A6618C" w:rsidRPr="00DE5863" w:rsidRDefault="00A6618C">
      <w:pPr>
        <w:spacing w:after="0"/>
        <w:jc w:val="both"/>
        <w:rPr>
          <w:rFonts w:ascii="Arial" w:hAnsi="Arial" w:cs="Arial"/>
          <w:lang w:val="fr-FR"/>
        </w:rPr>
      </w:pPr>
    </w:p>
    <w:p w14:paraId="05427707" w14:textId="77777777" w:rsidR="00A6618C" w:rsidRPr="00DE5863" w:rsidRDefault="00D1732A">
      <w:pPr>
        <w:spacing w:after="0"/>
        <w:ind w:left="567" w:hanging="540"/>
        <w:jc w:val="both"/>
        <w:rPr>
          <w:rFonts w:ascii="Arial" w:hAnsi="Arial" w:cs="Arial"/>
          <w:lang w:val="fr-FR"/>
        </w:rPr>
      </w:pPr>
      <w:r w:rsidRPr="00DE5863">
        <w:rPr>
          <w:rFonts w:ascii="Arial" w:hAnsi="Arial" w:cs="Arial"/>
          <w:lang w:val="fr-FR"/>
        </w:rPr>
        <w:t>7.3</w:t>
      </w:r>
      <w:r w:rsidRPr="00DE5863">
        <w:rPr>
          <w:rFonts w:ascii="Arial" w:hAnsi="Arial" w:cs="Arial"/>
          <w:lang w:val="fr-FR"/>
        </w:rPr>
        <w:tab/>
        <w:t>Intention de l'auteur de la proposition concernant l'élaboration d'un accord ou d'une action concertée</w:t>
      </w:r>
    </w:p>
    <w:p w14:paraId="61DCE85C" w14:textId="77777777" w:rsidR="00A6618C" w:rsidRPr="00DE5863" w:rsidRDefault="00A6618C">
      <w:pPr>
        <w:spacing w:after="0"/>
        <w:jc w:val="both"/>
        <w:rPr>
          <w:rFonts w:ascii="Arial" w:hAnsi="Arial" w:cs="Arial"/>
          <w:lang w:val="fr-FR"/>
        </w:rPr>
      </w:pPr>
    </w:p>
    <w:p w14:paraId="72CB00B0" w14:textId="77777777" w:rsidR="00A6618C" w:rsidRPr="00DE5863" w:rsidRDefault="00D1732A">
      <w:pPr>
        <w:spacing w:after="0"/>
        <w:jc w:val="both"/>
        <w:rPr>
          <w:rFonts w:ascii="Arial" w:eastAsia="Arial" w:hAnsi="Arial" w:cs="Arial"/>
          <w:lang w:val="fr-FR"/>
        </w:rPr>
      </w:pPr>
      <w:r w:rsidRPr="00DE5863">
        <w:rPr>
          <w:rFonts w:ascii="Arial" w:eastAsia="Arial" w:hAnsi="Arial" w:cs="Arial"/>
          <w:lang w:val="fr-FR"/>
        </w:rPr>
        <w:t>Actuellement, un groupe de travail formé lors de la deuxième réunion du groupe de travail sur les voies de migration des Amériques (AFTF, 2024) discute de la mise en œuvre d’un Mémorandum d’entente (</w:t>
      </w:r>
      <w:proofErr w:type="spellStart"/>
      <w:r w:rsidRPr="00DE5863">
        <w:rPr>
          <w:rFonts w:ascii="Arial" w:eastAsia="Arial" w:hAnsi="Arial" w:cs="Arial"/>
          <w:lang w:val="fr-FR"/>
        </w:rPr>
        <w:t>MdE</w:t>
      </w:r>
      <w:proofErr w:type="spellEnd"/>
      <w:r w:rsidRPr="00DE5863">
        <w:rPr>
          <w:rFonts w:ascii="Arial" w:eastAsia="Arial" w:hAnsi="Arial" w:cs="Arial"/>
          <w:lang w:val="fr-FR"/>
        </w:rPr>
        <w:t xml:space="preserve">) ou d'une initiative pour l'AFTF. Le courlis corlieu est l’une des (sous-)espèces incluses (sous </w:t>
      </w:r>
      <w:r w:rsidRPr="00DE5863">
        <w:rPr>
          <w:rFonts w:ascii="Arial" w:eastAsia="Arial" w:hAnsi="Arial" w:cs="Arial"/>
          <w:i/>
          <w:iCs/>
          <w:lang w:val="fr-FR"/>
        </w:rPr>
        <w:t xml:space="preserve">Numenius </w:t>
      </w:r>
      <w:proofErr w:type="spellStart"/>
      <w:r w:rsidRPr="00DE5863">
        <w:rPr>
          <w:rFonts w:ascii="Arial" w:eastAsia="Arial" w:hAnsi="Arial" w:cs="Arial"/>
          <w:i/>
          <w:iCs/>
          <w:lang w:val="fr-FR"/>
        </w:rPr>
        <w:t>phaeopus</w:t>
      </w:r>
      <w:proofErr w:type="spellEnd"/>
      <w:r w:rsidRPr="00DE5863">
        <w:rPr>
          <w:rFonts w:ascii="Arial" w:eastAsia="Arial" w:hAnsi="Arial" w:cs="Arial"/>
          <w:lang w:val="fr-FR"/>
        </w:rPr>
        <w:t xml:space="preserve">) dans l’Annexe III du plan d’action pour les voies de migration des Amériques 2018‑2023 (« Annexe 3 à la Résolution 12.11 </w:t>
      </w:r>
      <w:r w:rsidRPr="00DE5863">
        <w:rPr>
          <w:rFonts w:ascii="Arial" w:eastAsia="Arial" w:hAnsi="Arial" w:cs="Arial"/>
          <w:lang w:val="fr-FR"/>
        </w:rPr>
        <w:lastRenderedPageBreak/>
        <w:t>(Rev.COP13) »), et constitue par conséquent une espèce prioritaire pour le Mémorandum d'entente (</w:t>
      </w:r>
      <w:proofErr w:type="spellStart"/>
      <w:r w:rsidRPr="00DE5863">
        <w:rPr>
          <w:rFonts w:ascii="Arial" w:eastAsia="Arial" w:hAnsi="Arial" w:cs="Arial"/>
          <w:lang w:val="fr-FR"/>
        </w:rPr>
        <w:t>MdE</w:t>
      </w:r>
      <w:proofErr w:type="spellEnd"/>
      <w:r w:rsidRPr="00DE5863">
        <w:rPr>
          <w:rFonts w:ascii="Arial" w:eastAsia="Arial" w:hAnsi="Arial" w:cs="Arial"/>
          <w:lang w:val="fr-FR"/>
        </w:rPr>
        <w:t>) ou l’Initiative en cours de discussion.</w:t>
      </w:r>
    </w:p>
    <w:p w14:paraId="70E65606" w14:textId="77777777" w:rsidR="00A6618C" w:rsidRPr="00DE5863" w:rsidRDefault="00A6618C">
      <w:pPr>
        <w:spacing w:after="0"/>
        <w:jc w:val="both"/>
        <w:rPr>
          <w:rFonts w:ascii="Arial" w:hAnsi="Arial" w:cs="Arial"/>
          <w:lang w:val="fr-FR"/>
        </w:rPr>
      </w:pPr>
    </w:p>
    <w:p w14:paraId="4F7F0835" w14:textId="77777777" w:rsidR="00A6618C" w:rsidRPr="00DE5863" w:rsidRDefault="00D1732A">
      <w:pPr>
        <w:spacing w:after="0"/>
        <w:ind w:left="540" w:hanging="540"/>
        <w:jc w:val="both"/>
        <w:rPr>
          <w:rFonts w:ascii="Arial" w:hAnsi="Arial" w:cs="Arial"/>
          <w:b/>
          <w:bCs/>
          <w:lang w:val="fr-FR"/>
        </w:rPr>
      </w:pPr>
      <w:r w:rsidRPr="00DE5863">
        <w:rPr>
          <w:rFonts w:ascii="Arial" w:hAnsi="Arial" w:cs="Arial"/>
          <w:b/>
          <w:bCs/>
          <w:lang w:val="fr-FR"/>
        </w:rPr>
        <w:t>8.</w:t>
      </w:r>
      <w:r w:rsidRPr="00DE5863">
        <w:rPr>
          <w:rFonts w:ascii="Arial" w:hAnsi="Arial" w:cs="Arial"/>
          <w:b/>
          <w:bCs/>
          <w:lang w:val="fr-FR"/>
        </w:rPr>
        <w:tab/>
        <w:t>États de l'aire de répartition</w:t>
      </w:r>
    </w:p>
    <w:p w14:paraId="576AC5F9" w14:textId="77777777" w:rsidR="00A6618C" w:rsidRPr="00DE5863" w:rsidRDefault="00A6618C">
      <w:pPr>
        <w:spacing w:after="0"/>
        <w:ind w:left="540" w:hanging="540"/>
        <w:jc w:val="both"/>
        <w:rPr>
          <w:rFonts w:ascii="Arial" w:hAnsi="Arial" w:cs="Arial"/>
          <w:lang w:val="fr-FR"/>
        </w:rPr>
      </w:pPr>
    </w:p>
    <w:p w14:paraId="3639D0CD" w14:textId="77777777" w:rsidR="00A6618C" w:rsidRPr="00DE5863" w:rsidRDefault="00D1732A">
      <w:pPr>
        <w:pStyle w:val="ListParagraph"/>
        <w:widowControl/>
        <w:numPr>
          <w:ilvl w:val="0"/>
          <w:numId w:val="11"/>
        </w:numPr>
        <w:spacing w:after="80"/>
        <w:ind w:left="357" w:hanging="357"/>
        <w:contextualSpacing w:val="0"/>
        <w:jc w:val="both"/>
        <w:rPr>
          <w:rFonts w:eastAsia="Arial" w:cs="Arial"/>
          <w:sz w:val="22"/>
          <w:szCs w:val="22"/>
          <w:lang w:val="fr-FR"/>
        </w:rPr>
      </w:pPr>
      <w:r w:rsidRPr="00DE5863">
        <w:rPr>
          <w:rFonts w:eastAsia="Arial" w:cs="Arial"/>
          <w:sz w:val="22"/>
          <w:szCs w:val="22"/>
          <w:lang w:val="fr-FR"/>
        </w:rPr>
        <w:t>Argentine : non-reproduction.</w:t>
      </w:r>
    </w:p>
    <w:p w14:paraId="630C1F2A" w14:textId="77777777" w:rsidR="00A6618C" w:rsidRPr="00DE5863" w:rsidRDefault="00D1732A">
      <w:pPr>
        <w:pStyle w:val="ListParagraph"/>
        <w:widowControl/>
        <w:numPr>
          <w:ilvl w:val="0"/>
          <w:numId w:val="11"/>
        </w:numPr>
        <w:spacing w:after="80"/>
        <w:ind w:left="357" w:hanging="357"/>
        <w:contextualSpacing w:val="0"/>
        <w:jc w:val="both"/>
        <w:rPr>
          <w:rFonts w:eastAsia="Arial" w:cs="Arial"/>
          <w:sz w:val="22"/>
          <w:szCs w:val="22"/>
          <w:lang w:val="fr-FR"/>
        </w:rPr>
      </w:pPr>
      <w:r w:rsidRPr="00DE5863">
        <w:rPr>
          <w:rFonts w:eastAsia="Arial" w:cs="Arial"/>
          <w:sz w:val="22"/>
          <w:szCs w:val="22"/>
          <w:lang w:val="fr-FR"/>
        </w:rPr>
        <w:t>Belize : non-reproduction.</w:t>
      </w:r>
    </w:p>
    <w:p w14:paraId="63146E2A" w14:textId="77777777" w:rsidR="00A6618C" w:rsidRPr="00DE5863" w:rsidRDefault="00D1732A">
      <w:pPr>
        <w:pStyle w:val="ListParagraph"/>
        <w:widowControl/>
        <w:numPr>
          <w:ilvl w:val="0"/>
          <w:numId w:val="11"/>
        </w:numPr>
        <w:spacing w:after="80"/>
        <w:ind w:left="357" w:hanging="357"/>
        <w:contextualSpacing w:val="0"/>
        <w:jc w:val="both"/>
        <w:rPr>
          <w:rFonts w:eastAsia="Arial" w:cs="Arial"/>
          <w:sz w:val="22"/>
          <w:szCs w:val="22"/>
          <w:lang w:val="fr-FR"/>
        </w:rPr>
      </w:pPr>
      <w:r w:rsidRPr="00DE5863">
        <w:rPr>
          <w:rFonts w:eastAsia="Arial" w:cs="Arial"/>
          <w:sz w:val="22"/>
          <w:szCs w:val="22"/>
          <w:lang w:val="fr-FR"/>
        </w:rPr>
        <w:t>Brésil : non reproduction.</w:t>
      </w:r>
    </w:p>
    <w:p w14:paraId="21D32E48" w14:textId="77777777" w:rsidR="00A6618C" w:rsidRPr="00DE5863" w:rsidRDefault="00D1732A">
      <w:pPr>
        <w:pStyle w:val="ListParagraph"/>
        <w:widowControl/>
        <w:numPr>
          <w:ilvl w:val="0"/>
          <w:numId w:val="11"/>
        </w:numPr>
        <w:spacing w:after="80"/>
        <w:ind w:left="357" w:hanging="357"/>
        <w:contextualSpacing w:val="0"/>
        <w:jc w:val="both"/>
        <w:rPr>
          <w:rFonts w:eastAsia="Arial" w:cs="Arial"/>
          <w:sz w:val="22"/>
          <w:szCs w:val="22"/>
          <w:lang w:val="fr-FR"/>
        </w:rPr>
      </w:pPr>
      <w:r w:rsidRPr="00DE5863">
        <w:rPr>
          <w:rFonts w:eastAsia="Arial" w:cs="Arial"/>
          <w:sz w:val="22"/>
          <w:szCs w:val="22"/>
          <w:lang w:val="fr-FR"/>
        </w:rPr>
        <w:t>Îles Vierges britanniques : migration et non-reproduction.</w:t>
      </w:r>
    </w:p>
    <w:p w14:paraId="3DA33EA6" w14:textId="77777777" w:rsidR="00A6618C" w:rsidRPr="00DE5863" w:rsidRDefault="00D1732A">
      <w:pPr>
        <w:pStyle w:val="ListParagraph"/>
        <w:widowControl/>
        <w:numPr>
          <w:ilvl w:val="0"/>
          <w:numId w:val="11"/>
        </w:numPr>
        <w:spacing w:after="80"/>
        <w:ind w:left="357" w:hanging="357"/>
        <w:contextualSpacing w:val="0"/>
        <w:jc w:val="both"/>
        <w:rPr>
          <w:rFonts w:eastAsia="Arial" w:cs="Arial"/>
          <w:sz w:val="22"/>
          <w:szCs w:val="22"/>
          <w:lang w:val="fr-FR"/>
        </w:rPr>
      </w:pPr>
      <w:r w:rsidRPr="00DE5863">
        <w:rPr>
          <w:rFonts w:eastAsia="Arial" w:cs="Arial"/>
          <w:sz w:val="22"/>
          <w:szCs w:val="22"/>
          <w:lang w:val="fr-FR"/>
        </w:rPr>
        <w:t>Canada : reproduction et migration.</w:t>
      </w:r>
    </w:p>
    <w:p w14:paraId="3AA72C83" w14:textId="77777777" w:rsidR="00A6618C" w:rsidRPr="00DE5863" w:rsidRDefault="00D1732A">
      <w:pPr>
        <w:pStyle w:val="ListParagraph"/>
        <w:widowControl/>
        <w:numPr>
          <w:ilvl w:val="0"/>
          <w:numId w:val="11"/>
        </w:numPr>
        <w:spacing w:after="80"/>
        <w:ind w:left="357" w:hanging="357"/>
        <w:contextualSpacing w:val="0"/>
        <w:jc w:val="both"/>
        <w:rPr>
          <w:rFonts w:eastAsia="Arial" w:cs="Arial"/>
          <w:sz w:val="22"/>
          <w:szCs w:val="22"/>
          <w:lang w:val="fr-FR"/>
        </w:rPr>
      </w:pPr>
      <w:r w:rsidRPr="00DE5863">
        <w:rPr>
          <w:rFonts w:eastAsia="Arial" w:cs="Arial"/>
          <w:sz w:val="22"/>
          <w:szCs w:val="22"/>
          <w:lang w:val="fr-FR"/>
        </w:rPr>
        <w:t>Chili : non reproduction.</w:t>
      </w:r>
    </w:p>
    <w:p w14:paraId="3A637EFF" w14:textId="77777777" w:rsidR="00A6618C" w:rsidRPr="00DE5863" w:rsidRDefault="00D1732A">
      <w:pPr>
        <w:pStyle w:val="ListParagraph"/>
        <w:widowControl/>
        <w:numPr>
          <w:ilvl w:val="0"/>
          <w:numId w:val="11"/>
        </w:numPr>
        <w:spacing w:after="80"/>
        <w:ind w:left="357" w:hanging="357"/>
        <w:contextualSpacing w:val="0"/>
        <w:jc w:val="both"/>
        <w:rPr>
          <w:rFonts w:eastAsia="Arial" w:cs="Arial"/>
          <w:sz w:val="22"/>
          <w:szCs w:val="22"/>
          <w:lang w:val="fr-FR"/>
        </w:rPr>
      </w:pPr>
      <w:r w:rsidRPr="00DE5863">
        <w:rPr>
          <w:rFonts w:eastAsia="Arial" w:cs="Arial"/>
          <w:sz w:val="22"/>
          <w:szCs w:val="22"/>
          <w:lang w:val="fr-FR"/>
        </w:rPr>
        <w:t>Colombie : non reproduction.</w:t>
      </w:r>
    </w:p>
    <w:p w14:paraId="160BDB93" w14:textId="77777777" w:rsidR="00A6618C" w:rsidRPr="00DE5863" w:rsidRDefault="00D1732A">
      <w:pPr>
        <w:pStyle w:val="ListParagraph"/>
        <w:widowControl/>
        <w:numPr>
          <w:ilvl w:val="0"/>
          <w:numId w:val="11"/>
        </w:numPr>
        <w:spacing w:after="80"/>
        <w:ind w:left="357" w:hanging="357"/>
        <w:contextualSpacing w:val="0"/>
        <w:jc w:val="both"/>
        <w:rPr>
          <w:rFonts w:eastAsia="Arial" w:cs="Arial"/>
          <w:sz w:val="22"/>
          <w:szCs w:val="22"/>
          <w:lang w:val="fr-FR"/>
        </w:rPr>
      </w:pPr>
      <w:r w:rsidRPr="00DE5863">
        <w:rPr>
          <w:rFonts w:eastAsia="Arial" w:cs="Arial"/>
          <w:sz w:val="22"/>
          <w:szCs w:val="22"/>
          <w:lang w:val="fr-FR"/>
        </w:rPr>
        <w:t>Costa Rica : non-reproduction.</w:t>
      </w:r>
    </w:p>
    <w:p w14:paraId="5FF34F32" w14:textId="77777777" w:rsidR="00A6618C" w:rsidRPr="00DE5863" w:rsidRDefault="00D1732A">
      <w:pPr>
        <w:pStyle w:val="ListParagraph"/>
        <w:widowControl/>
        <w:numPr>
          <w:ilvl w:val="0"/>
          <w:numId w:val="11"/>
        </w:numPr>
        <w:spacing w:after="80"/>
        <w:ind w:left="357" w:hanging="357"/>
        <w:contextualSpacing w:val="0"/>
        <w:jc w:val="both"/>
        <w:rPr>
          <w:rFonts w:eastAsia="Arial" w:cs="Arial"/>
          <w:sz w:val="22"/>
          <w:szCs w:val="22"/>
          <w:lang w:val="fr-FR"/>
        </w:rPr>
      </w:pPr>
      <w:r w:rsidRPr="00DE5863">
        <w:rPr>
          <w:rFonts w:eastAsia="Arial" w:cs="Arial"/>
          <w:sz w:val="22"/>
          <w:szCs w:val="22"/>
          <w:lang w:val="fr-FR"/>
        </w:rPr>
        <w:t>Cuba : migration.</w:t>
      </w:r>
    </w:p>
    <w:p w14:paraId="1432253B" w14:textId="77777777" w:rsidR="00A6618C" w:rsidRPr="00DE5863" w:rsidRDefault="00D1732A">
      <w:pPr>
        <w:pStyle w:val="ListParagraph"/>
        <w:widowControl/>
        <w:numPr>
          <w:ilvl w:val="0"/>
          <w:numId w:val="11"/>
        </w:numPr>
        <w:spacing w:after="80"/>
        <w:ind w:left="357" w:hanging="357"/>
        <w:contextualSpacing w:val="0"/>
        <w:jc w:val="both"/>
        <w:rPr>
          <w:rFonts w:eastAsia="Arial" w:cs="Arial"/>
          <w:sz w:val="22"/>
          <w:szCs w:val="22"/>
          <w:lang w:val="fr-FR"/>
        </w:rPr>
      </w:pPr>
      <w:r w:rsidRPr="00DE5863">
        <w:rPr>
          <w:rFonts w:eastAsia="Arial" w:cs="Arial"/>
          <w:sz w:val="22"/>
          <w:szCs w:val="22"/>
          <w:lang w:val="fr-FR"/>
        </w:rPr>
        <w:t>République dominicaine : migration.</w:t>
      </w:r>
    </w:p>
    <w:p w14:paraId="62CB09C5" w14:textId="77777777" w:rsidR="00A6618C" w:rsidRPr="00DE5863" w:rsidRDefault="00D1732A">
      <w:pPr>
        <w:pStyle w:val="ListParagraph"/>
        <w:widowControl/>
        <w:numPr>
          <w:ilvl w:val="0"/>
          <w:numId w:val="11"/>
        </w:numPr>
        <w:spacing w:after="80"/>
        <w:ind w:left="357" w:hanging="357"/>
        <w:contextualSpacing w:val="0"/>
        <w:jc w:val="both"/>
        <w:rPr>
          <w:rFonts w:eastAsia="Arial" w:cs="Arial"/>
          <w:sz w:val="22"/>
          <w:szCs w:val="22"/>
          <w:lang w:val="fr-FR"/>
        </w:rPr>
      </w:pPr>
      <w:r w:rsidRPr="00DE5863">
        <w:rPr>
          <w:rFonts w:eastAsia="Arial" w:cs="Arial"/>
          <w:sz w:val="22"/>
          <w:szCs w:val="22"/>
          <w:lang w:val="fr-FR"/>
        </w:rPr>
        <w:t>Équateur : non reproduction.</w:t>
      </w:r>
    </w:p>
    <w:p w14:paraId="2242B365" w14:textId="77777777" w:rsidR="00A6618C" w:rsidRPr="00DE5863" w:rsidRDefault="00D1732A">
      <w:pPr>
        <w:pStyle w:val="ListParagraph"/>
        <w:widowControl/>
        <w:numPr>
          <w:ilvl w:val="0"/>
          <w:numId w:val="11"/>
        </w:numPr>
        <w:spacing w:after="80"/>
        <w:ind w:left="357" w:hanging="357"/>
        <w:contextualSpacing w:val="0"/>
        <w:jc w:val="both"/>
        <w:rPr>
          <w:rFonts w:eastAsia="Arial" w:cs="Arial"/>
          <w:sz w:val="22"/>
          <w:szCs w:val="22"/>
          <w:lang w:val="fr-FR"/>
        </w:rPr>
      </w:pPr>
      <w:r w:rsidRPr="00DE5863">
        <w:rPr>
          <w:rFonts w:eastAsia="Arial" w:cs="Arial"/>
          <w:sz w:val="22"/>
          <w:szCs w:val="22"/>
          <w:lang w:val="fr-FR"/>
        </w:rPr>
        <w:t>Salvador : non-reproduction.</w:t>
      </w:r>
    </w:p>
    <w:p w14:paraId="73E8E196" w14:textId="77777777" w:rsidR="00A6618C" w:rsidRPr="00DE5863" w:rsidRDefault="00D1732A">
      <w:pPr>
        <w:pStyle w:val="ListParagraph"/>
        <w:widowControl/>
        <w:numPr>
          <w:ilvl w:val="0"/>
          <w:numId w:val="11"/>
        </w:numPr>
        <w:spacing w:after="80"/>
        <w:ind w:left="357" w:hanging="357"/>
        <w:contextualSpacing w:val="0"/>
        <w:jc w:val="both"/>
        <w:rPr>
          <w:rFonts w:eastAsia="Arial" w:cs="Arial"/>
          <w:sz w:val="22"/>
          <w:szCs w:val="22"/>
          <w:lang w:val="fr-FR"/>
        </w:rPr>
      </w:pPr>
      <w:r w:rsidRPr="00DE5863">
        <w:rPr>
          <w:rFonts w:eastAsia="Arial" w:cs="Arial"/>
          <w:sz w:val="22"/>
          <w:szCs w:val="22"/>
          <w:lang w:val="fr-FR"/>
        </w:rPr>
        <w:t>Guyane française (France) : non-reproduction.</w:t>
      </w:r>
    </w:p>
    <w:p w14:paraId="482324AA" w14:textId="77777777" w:rsidR="00A6618C" w:rsidRPr="00DE5863" w:rsidRDefault="00D1732A">
      <w:pPr>
        <w:pStyle w:val="ListParagraph"/>
        <w:widowControl/>
        <w:numPr>
          <w:ilvl w:val="0"/>
          <w:numId w:val="11"/>
        </w:numPr>
        <w:spacing w:after="80"/>
        <w:ind w:left="357" w:hanging="357"/>
        <w:contextualSpacing w:val="0"/>
        <w:jc w:val="both"/>
        <w:rPr>
          <w:rFonts w:eastAsia="Arial" w:cs="Arial"/>
          <w:sz w:val="22"/>
          <w:szCs w:val="22"/>
          <w:lang w:val="fr-FR"/>
        </w:rPr>
      </w:pPr>
      <w:r w:rsidRPr="00DE5863">
        <w:rPr>
          <w:rFonts w:eastAsia="Arial" w:cs="Arial"/>
          <w:sz w:val="22"/>
          <w:szCs w:val="22"/>
          <w:lang w:val="fr-FR"/>
        </w:rPr>
        <w:t>Guatemala : non-reproduction.</w:t>
      </w:r>
    </w:p>
    <w:p w14:paraId="07425A43" w14:textId="77777777" w:rsidR="00A6618C" w:rsidRPr="00DE5863" w:rsidRDefault="00D1732A">
      <w:pPr>
        <w:pStyle w:val="ListParagraph"/>
        <w:widowControl/>
        <w:numPr>
          <w:ilvl w:val="0"/>
          <w:numId w:val="11"/>
        </w:numPr>
        <w:spacing w:after="80"/>
        <w:ind w:left="357" w:hanging="357"/>
        <w:contextualSpacing w:val="0"/>
        <w:jc w:val="both"/>
        <w:rPr>
          <w:rFonts w:eastAsia="Arial" w:cs="Arial"/>
          <w:sz w:val="22"/>
          <w:szCs w:val="22"/>
          <w:lang w:val="fr-FR"/>
        </w:rPr>
      </w:pPr>
      <w:r w:rsidRPr="00DE5863">
        <w:rPr>
          <w:rFonts w:eastAsia="Arial" w:cs="Arial"/>
          <w:sz w:val="22"/>
          <w:szCs w:val="22"/>
          <w:lang w:val="fr-FR"/>
        </w:rPr>
        <w:t>Guyana : non reproduction.</w:t>
      </w:r>
    </w:p>
    <w:p w14:paraId="178D8147" w14:textId="77777777" w:rsidR="00A6618C" w:rsidRPr="00DE5863" w:rsidRDefault="00D1732A">
      <w:pPr>
        <w:pStyle w:val="ListParagraph"/>
        <w:widowControl/>
        <w:numPr>
          <w:ilvl w:val="0"/>
          <w:numId w:val="11"/>
        </w:numPr>
        <w:spacing w:after="80"/>
        <w:ind w:left="357" w:hanging="357"/>
        <w:contextualSpacing w:val="0"/>
        <w:jc w:val="both"/>
        <w:rPr>
          <w:rFonts w:eastAsia="Arial" w:cs="Arial"/>
          <w:sz w:val="22"/>
          <w:szCs w:val="22"/>
          <w:lang w:val="fr-FR"/>
        </w:rPr>
      </w:pPr>
      <w:r w:rsidRPr="00DE5863">
        <w:rPr>
          <w:rFonts w:eastAsia="Arial" w:cs="Arial"/>
          <w:sz w:val="22"/>
          <w:szCs w:val="22"/>
          <w:lang w:val="fr-FR"/>
        </w:rPr>
        <w:t>Haïti : migration.</w:t>
      </w:r>
    </w:p>
    <w:p w14:paraId="2AA53877" w14:textId="77777777" w:rsidR="00A6618C" w:rsidRPr="00DE5863" w:rsidRDefault="00D1732A">
      <w:pPr>
        <w:pStyle w:val="ListParagraph"/>
        <w:widowControl/>
        <w:numPr>
          <w:ilvl w:val="0"/>
          <w:numId w:val="11"/>
        </w:numPr>
        <w:spacing w:after="80"/>
        <w:ind w:left="357" w:hanging="357"/>
        <w:contextualSpacing w:val="0"/>
        <w:jc w:val="both"/>
        <w:rPr>
          <w:rFonts w:eastAsia="Arial" w:cs="Arial"/>
          <w:sz w:val="22"/>
          <w:szCs w:val="22"/>
          <w:lang w:val="fr-FR"/>
        </w:rPr>
      </w:pPr>
      <w:r w:rsidRPr="00DE5863">
        <w:rPr>
          <w:rFonts w:eastAsia="Arial" w:cs="Arial"/>
          <w:sz w:val="22"/>
          <w:szCs w:val="22"/>
          <w:lang w:val="fr-FR"/>
        </w:rPr>
        <w:t>Honduras : non-reproduction.</w:t>
      </w:r>
    </w:p>
    <w:p w14:paraId="1F740580" w14:textId="77777777" w:rsidR="00A6618C" w:rsidRPr="00DE5863" w:rsidRDefault="00D1732A">
      <w:pPr>
        <w:pStyle w:val="ListParagraph"/>
        <w:widowControl/>
        <w:numPr>
          <w:ilvl w:val="0"/>
          <w:numId w:val="11"/>
        </w:numPr>
        <w:spacing w:after="80"/>
        <w:ind w:left="357" w:hanging="357"/>
        <w:contextualSpacing w:val="0"/>
        <w:jc w:val="both"/>
        <w:rPr>
          <w:rFonts w:eastAsia="Arial" w:cs="Arial"/>
          <w:sz w:val="22"/>
          <w:szCs w:val="22"/>
          <w:lang w:val="fr-FR"/>
        </w:rPr>
      </w:pPr>
      <w:r w:rsidRPr="00DE5863">
        <w:rPr>
          <w:rFonts w:eastAsia="Arial" w:cs="Arial"/>
          <w:sz w:val="22"/>
          <w:szCs w:val="22"/>
          <w:lang w:val="fr-FR"/>
        </w:rPr>
        <w:t>Jamaïque : migration.</w:t>
      </w:r>
    </w:p>
    <w:p w14:paraId="4103B1ED" w14:textId="77777777" w:rsidR="00A6618C" w:rsidRPr="00DE5863" w:rsidRDefault="00D1732A">
      <w:pPr>
        <w:pStyle w:val="ListParagraph"/>
        <w:widowControl/>
        <w:numPr>
          <w:ilvl w:val="0"/>
          <w:numId w:val="11"/>
        </w:numPr>
        <w:spacing w:after="80"/>
        <w:ind w:left="357" w:hanging="357"/>
        <w:contextualSpacing w:val="0"/>
        <w:jc w:val="both"/>
        <w:rPr>
          <w:rFonts w:eastAsia="Arial" w:cs="Arial"/>
          <w:sz w:val="22"/>
          <w:szCs w:val="22"/>
          <w:lang w:val="fr-FR"/>
        </w:rPr>
      </w:pPr>
      <w:r w:rsidRPr="00DE5863">
        <w:rPr>
          <w:rFonts w:eastAsia="Arial" w:cs="Arial"/>
          <w:sz w:val="22"/>
          <w:szCs w:val="22"/>
          <w:lang w:val="fr-FR"/>
        </w:rPr>
        <w:t>Antigua-et-Barbuda : migration.</w:t>
      </w:r>
    </w:p>
    <w:p w14:paraId="45CDB44D" w14:textId="77777777" w:rsidR="00A6618C" w:rsidRPr="00DE5863" w:rsidRDefault="00D1732A">
      <w:pPr>
        <w:pStyle w:val="ListParagraph"/>
        <w:widowControl/>
        <w:numPr>
          <w:ilvl w:val="0"/>
          <w:numId w:val="11"/>
        </w:numPr>
        <w:spacing w:after="80"/>
        <w:ind w:left="357" w:hanging="357"/>
        <w:contextualSpacing w:val="0"/>
        <w:jc w:val="both"/>
        <w:rPr>
          <w:rFonts w:eastAsia="Arial" w:cs="Arial"/>
          <w:sz w:val="22"/>
          <w:szCs w:val="22"/>
          <w:lang w:val="fr-FR"/>
        </w:rPr>
      </w:pPr>
      <w:r w:rsidRPr="00DE5863">
        <w:rPr>
          <w:rFonts w:eastAsia="Arial" w:cs="Arial"/>
          <w:sz w:val="22"/>
          <w:szCs w:val="22"/>
          <w:lang w:val="fr-FR"/>
        </w:rPr>
        <w:t>Barbade : migration.</w:t>
      </w:r>
    </w:p>
    <w:p w14:paraId="7F8ADAB1" w14:textId="77777777" w:rsidR="00A6618C" w:rsidRPr="00DE5863" w:rsidRDefault="00D1732A">
      <w:pPr>
        <w:pStyle w:val="ListParagraph"/>
        <w:widowControl/>
        <w:numPr>
          <w:ilvl w:val="0"/>
          <w:numId w:val="11"/>
        </w:numPr>
        <w:spacing w:after="80"/>
        <w:ind w:left="357" w:hanging="357"/>
        <w:contextualSpacing w:val="0"/>
        <w:jc w:val="both"/>
        <w:rPr>
          <w:rFonts w:eastAsia="Arial" w:cs="Arial"/>
          <w:sz w:val="22"/>
          <w:szCs w:val="22"/>
          <w:lang w:val="fr-FR"/>
        </w:rPr>
      </w:pPr>
      <w:r w:rsidRPr="00DE5863">
        <w:rPr>
          <w:rFonts w:eastAsia="Arial" w:cs="Arial"/>
          <w:sz w:val="22"/>
          <w:szCs w:val="22"/>
          <w:lang w:val="fr-FR"/>
        </w:rPr>
        <w:t>Dominique : migration.</w:t>
      </w:r>
    </w:p>
    <w:p w14:paraId="0CF4A7A6" w14:textId="77777777" w:rsidR="00A6618C" w:rsidRPr="00DE5863" w:rsidRDefault="00D1732A">
      <w:pPr>
        <w:pStyle w:val="ListParagraph"/>
        <w:widowControl/>
        <w:numPr>
          <w:ilvl w:val="0"/>
          <w:numId w:val="11"/>
        </w:numPr>
        <w:spacing w:after="80"/>
        <w:ind w:left="357" w:hanging="357"/>
        <w:contextualSpacing w:val="0"/>
        <w:jc w:val="both"/>
        <w:rPr>
          <w:rFonts w:eastAsia="Arial" w:cs="Arial"/>
          <w:sz w:val="22"/>
          <w:szCs w:val="22"/>
          <w:lang w:val="fr-FR"/>
        </w:rPr>
      </w:pPr>
      <w:r w:rsidRPr="00DE5863">
        <w:rPr>
          <w:rFonts w:eastAsia="Arial" w:cs="Arial"/>
          <w:sz w:val="22"/>
          <w:szCs w:val="22"/>
          <w:lang w:val="fr-FR"/>
        </w:rPr>
        <w:t>Grenade : migration.</w:t>
      </w:r>
    </w:p>
    <w:p w14:paraId="20D03BC9" w14:textId="77777777" w:rsidR="00A6618C" w:rsidRPr="00DE5863" w:rsidRDefault="00D1732A">
      <w:pPr>
        <w:pStyle w:val="ListParagraph"/>
        <w:widowControl/>
        <w:numPr>
          <w:ilvl w:val="0"/>
          <w:numId w:val="11"/>
        </w:numPr>
        <w:spacing w:after="80"/>
        <w:ind w:left="357" w:hanging="357"/>
        <w:contextualSpacing w:val="0"/>
        <w:jc w:val="both"/>
        <w:rPr>
          <w:rFonts w:eastAsia="Arial" w:cs="Arial"/>
          <w:sz w:val="22"/>
          <w:szCs w:val="22"/>
          <w:lang w:val="fr-FR"/>
        </w:rPr>
      </w:pPr>
      <w:r w:rsidRPr="00DE5863">
        <w:rPr>
          <w:rFonts w:eastAsia="Arial" w:cs="Arial"/>
          <w:sz w:val="22"/>
          <w:szCs w:val="22"/>
          <w:lang w:val="fr-FR"/>
        </w:rPr>
        <w:t>Saint-Kitts-et-Nevis : migration.</w:t>
      </w:r>
    </w:p>
    <w:p w14:paraId="6F925580" w14:textId="77777777" w:rsidR="00A6618C" w:rsidRPr="00DE5863" w:rsidRDefault="00D1732A">
      <w:pPr>
        <w:pStyle w:val="ListParagraph"/>
        <w:widowControl/>
        <w:numPr>
          <w:ilvl w:val="0"/>
          <w:numId w:val="11"/>
        </w:numPr>
        <w:spacing w:after="80"/>
        <w:ind w:left="357" w:hanging="357"/>
        <w:contextualSpacing w:val="0"/>
        <w:jc w:val="both"/>
        <w:rPr>
          <w:rFonts w:eastAsia="Arial" w:cs="Arial"/>
          <w:sz w:val="22"/>
          <w:szCs w:val="22"/>
          <w:lang w:val="fr-FR"/>
        </w:rPr>
      </w:pPr>
      <w:r w:rsidRPr="00DE5863">
        <w:rPr>
          <w:rFonts w:eastAsia="Arial" w:cs="Arial"/>
          <w:sz w:val="22"/>
          <w:szCs w:val="22"/>
          <w:lang w:val="fr-FR"/>
        </w:rPr>
        <w:t>Sainte-Lucie : migration.</w:t>
      </w:r>
    </w:p>
    <w:p w14:paraId="5BE6F447" w14:textId="77777777" w:rsidR="00A6618C" w:rsidRPr="00DE5863" w:rsidRDefault="00D1732A">
      <w:pPr>
        <w:pStyle w:val="ListParagraph"/>
        <w:widowControl/>
        <w:numPr>
          <w:ilvl w:val="0"/>
          <w:numId w:val="11"/>
        </w:numPr>
        <w:spacing w:after="80"/>
        <w:ind w:left="357" w:hanging="357"/>
        <w:contextualSpacing w:val="0"/>
        <w:jc w:val="both"/>
        <w:rPr>
          <w:rFonts w:eastAsia="Arial" w:cs="Arial"/>
          <w:sz w:val="22"/>
          <w:szCs w:val="22"/>
          <w:lang w:val="fr-FR"/>
        </w:rPr>
      </w:pPr>
      <w:r w:rsidRPr="00DE5863">
        <w:rPr>
          <w:rFonts w:eastAsia="Arial" w:cs="Arial"/>
          <w:sz w:val="22"/>
          <w:szCs w:val="22"/>
          <w:lang w:val="fr-FR"/>
        </w:rPr>
        <w:t>Saint-Vincent-et-les-Grenadines : migration.</w:t>
      </w:r>
    </w:p>
    <w:p w14:paraId="46362D78" w14:textId="77777777" w:rsidR="00A6618C" w:rsidRPr="00DE5863" w:rsidRDefault="00D1732A">
      <w:pPr>
        <w:pStyle w:val="ListParagraph"/>
        <w:widowControl/>
        <w:numPr>
          <w:ilvl w:val="0"/>
          <w:numId w:val="11"/>
        </w:numPr>
        <w:spacing w:after="80"/>
        <w:ind w:left="357" w:hanging="357"/>
        <w:contextualSpacing w:val="0"/>
        <w:jc w:val="both"/>
        <w:rPr>
          <w:rFonts w:eastAsia="Arial" w:cs="Arial"/>
          <w:sz w:val="22"/>
          <w:szCs w:val="22"/>
          <w:lang w:val="fr-FR"/>
        </w:rPr>
      </w:pPr>
      <w:r w:rsidRPr="00DE5863">
        <w:rPr>
          <w:rFonts w:eastAsia="Arial" w:cs="Arial"/>
          <w:sz w:val="22"/>
          <w:szCs w:val="22"/>
          <w:lang w:val="fr-FR"/>
        </w:rPr>
        <w:t>Trinité-et-Tobago : migration.</w:t>
      </w:r>
    </w:p>
    <w:p w14:paraId="277B4117" w14:textId="77777777" w:rsidR="00A6618C" w:rsidRPr="00DE5863" w:rsidRDefault="00D1732A">
      <w:pPr>
        <w:pStyle w:val="ListParagraph"/>
        <w:widowControl/>
        <w:numPr>
          <w:ilvl w:val="0"/>
          <w:numId w:val="11"/>
        </w:numPr>
        <w:spacing w:after="80"/>
        <w:ind w:left="357" w:hanging="357"/>
        <w:contextualSpacing w:val="0"/>
        <w:jc w:val="both"/>
        <w:rPr>
          <w:rFonts w:eastAsia="Arial" w:cs="Arial"/>
          <w:sz w:val="22"/>
          <w:szCs w:val="22"/>
          <w:lang w:val="fr-FR"/>
        </w:rPr>
      </w:pPr>
      <w:r w:rsidRPr="00DE5863">
        <w:rPr>
          <w:rFonts w:eastAsia="Arial" w:cs="Arial"/>
          <w:sz w:val="22"/>
          <w:szCs w:val="22"/>
          <w:lang w:val="fr-FR"/>
        </w:rPr>
        <w:t>Mexique : non reproduction</w:t>
      </w:r>
    </w:p>
    <w:p w14:paraId="3E7CE9CB" w14:textId="77777777" w:rsidR="00A6618C" w:rsidRPr="00DE5863" w:rsidRDefault="00D1732A">
      <w:pPr>
        <w:pStyle w:val="ListParagraph"/>
        <w:widowControl/>
        <w:numPr>
          <w:ilvl w:val="0"/>
          <w:numId w:val="11"/>
        </w:numPr>
        <w:spacing w:after="80"/>
        <w:ind w:left="357" w:hanging="357"/>
        <w:contextualSpacing w:val="0"/>
        <w:jc w:val="both"/>
        <w:rPr>
          <w:rFonts w:eastAsia="Arial" w:cs="Arial"/>
          <w:sz w:val="22"/>
          <w:szCs w:val="22"/>
          <w:lang w:val="fr-FR"/>
        </w:rPr>
      </w:pPr>
      <w:r w:rsidRPr="00DE5863">
        <w:rPr>
          <w:rFonts w:eastAsia="Arial" w:cs="Arial"/>
          <w:sz w:val="22"/>
          <w:szCs w:val="22"/>
          <w:lang w:val="fr-FR"/>
        </w:rPr>
        <w:t>Nicaragua : non-reproduction.</w:t>
      </w:r>
    </w:p>
    <w:p w14:paraId="5921F3CD" w14:textId="77777777" w:rsidR="00A6618C" w:rsidRPr="00DE5863" w:rsidRDefault="00D1732A">
      <w:pPr>
        <w:pStyle w:val="ListParagraph"/>
        <w:widowControl/>
        <w:numPr>
          <w:ilvl w:val="0"/>
          <w:numId w:val="11"/>
        </w:numPr>
        <w:spacing w:after="80"/>
        <w:ind w:left="357" w:hanging="357"/>
        <w:contextualSpacing w:val="0"/>
        <w:jc w:val="both"/>
        <w:rPr>
          <w:rFonts w:eastAsia="Arial" w:cs="Arial"/>
          <w:sz w:val="22"/>
          <w:szCs w:val="22"/>
          <w:lang w:val="fr-FR"/>
        </w:rPr>
      </w:pPr>
      <w:r w:rsidRPr="00DE5863">
        <w:rPr>
          <w:rFonts w:eastAsia="Arial" w:cs="Arial"/>
          <w:sz w:val="22"/>
          <w:szCs w:val="22"/>
          <w:lang w:val="fr-FR"/>
        </w:rPr>
        <w:t>Panama : non reproduction.</w:t>
      </w:r>
    </w:p>
    <w:p w14:paraId="0692DE43" w14:textId="77777777" w:rsidR="00A6618C" w:rsidRPr="00DE5863" w:rsidRDefault="00D1732A">
      <w:pPr>
        <w:pStyle w:val="ListParagraph"/>
        <w:widowControl/>
        <w:numPr>
          <w:ilvl w:val="0"/>
          <w:numId w:val="11"/>
        </w:numPr>
        <w:spacing w:after="80"/>
        <w:ind w:left="357" w:hanging="357"/>
        <w:contextualSpacing w:val="0"/>
        <w:jc w:val="both"/>
        <w:rPr>
          <w:rFonts w:eastAsia="Arial" w:cs="Arial"/>
          <w:sz w:val="22"/>
          <w:szCs w:val="22"/>
          <w:lang w:val="fr-FR"/>
        </w:rPr>
      </w:pPr>
      <w:r w:rsidRPr="00DE5863">
        <w:rPr>
          <w:rFonts w:eastAsia="Arial" w:cs="Arial"/>
          <w:sz w:val="22"/>
          <w:szCs w:val="22"/>
          <w:lang w:val="fr-FR"/>
        </w:rPr>
        <w:t>Pérou : non reproduction.</w:t>
      </w:r>
    </w:p>
    <w:p w14:paraId="4B655B33" w14:textId="77777777" w:rsidR="00A6618C" w:rsidRPr="00DE5863" w:rsidRDefault="00D1732A">
      <w:pPr>
        <w:pStyle w:val="ListParagraph"/>
        <w:widowControl/>
        <w:numPr>
          <w:ilvl w:val="0"/>
          <w:numId w:val="11"/>
        </w:numPr>
        <w:spacing w:after="80"/>
        <w:ind w:left="357" w:hanging="357"/>
        <w:contextualSpacing w:val="0"/>
        <w:jc w:val="both"/>
        <w:rPr>
          <w:rFonts w:eastAsia="Arial" w:cs="Arial"/>
          <w:sz w:val="22"/>
          <w:szCs w:val="22"/>
          <w:lang w:val="fr-FR"/>
        </w:rPr>
      </w:pPr>
      <w:r w:rsidRPr="00DE5863">
        <w:rPr>
          <w:rFonts w:eastAsia="Arial" w:cs="Arial"/>
          <w:sz w:val="22"/>
          <w:szCs w:val="22"/>
          <w:lang w:val="fr-FR"/>
        </w:rPr>
        <w:t>Porto Rico : migration.</w:t>
      </w:r>
    </w:p>
    <w:p w14:paraId="0A688979" w14:textId="77777777" w:rsidR="00A6618C" w:rsidRPr="00DE5863" w:rsidRDefault="00D1732A">
      <w:pPr>
        <w:pStyle w:val="ListParagraph"/>
        <w:widowControl/>
        <w:numPr>
          <w:ilvl w:val="0"/>
          <w:numId w:val="11"/>
        </w:numPr>
        <w:spacing w:after="80"/>
        <w:ind w:left="357" w:hanging="357"/>
        <w:contextualSpacing w:val="0"/>
        <w:jc w:val="both"/>
        <w:rPr>
          <w:rFonts w:eastAsia="Arial" w:cs="Arial"/>
          <w:sz w:val="22"/>
          <w:szCs w:val="22"/>
          <w:lang w:val="fr-FR"/>
        </w:rPr>
      </w:pPr>
      <w:r w:rsidRPr="00DE5863">
        <w:rPr>
          <w:rFonts w:eastAsia="Arial" w:cs="Arial"/>
          <w:sz w:val="22"/>
          <w:szCs w:val="22"/>
          <w:lang w:val="fr-FR"/>
        </w:rPr>
        <w:t>Suriname : non reproduction.</w:t>
      </w:r>
    </w:p>
    <w:p w14:paraId="676EA78B" w14:textId="77777777" w:rsidR="00A6618C" w:rsidRPr="00DE5863" w:rsidRDefault="00D1732A">
      <w:pPr>
        <w:pStyle w:val="ListParagraph"/>
        <w:widowControl/>
        <w:numPr>
          <w:ilvl w:val="0"/>
          <w:numId w:val="11"/>
        </w:numPr>
        <w:spacing w:after="80"/>
        <w:ind w:left="357" w:hanging="357"/>
        <w:contextualSpacing w:val="0"/>
        <w:jc w:val="both"/>
        <w:rPr>
          <w:rFonts w:eastAsia="Arial" w:cs="Arial"/>
          <w:sz w:val="22"/>
          <w:szCs w:val="22"/>
          <w:lang w:val="fr-FR"/>
        </w:rPr>
      </w:pPr>
      <w:r w:rsidRPr="00DE5863">
        <w:rPr>
          <w:rFonts w:eastAsia="Arial" w:cs="Arial"/>
          <w:sz w:val="22"/>
          <w:szCs w:val="22"/>
          <w:lang w:val="fr-FR"/>
        </w:rPr>
        <w:t>Bahamas : migration et non-reproduction.</w:t>
      </w:r>
    </w:p>
    <w:p w14:paraId="1B1E6F5E" w14:textId="77777777" w:rsidR="00A6618C" w:rsidRPr="00DE5863" w:rsidRDefault="00D1732A">
      <w:pPr>
        <w:pStyle w:val="ListParagraph"/>
        <w:widowControl/>
        <w:numPr>
          <w:ilvl w:val="0"/>
          <w:numId w:val="11"/>
        </w:numPr>
        <w:spacing w:after="80"/>
        <w:ind w:left="357" w:hanging="357"/>
        <w:contextualSpacing w:val="0"/>
        <w:jc w:val="both"/>
        <w:rPr>
          <w:rFonts w:eastAsia="Arial" w:cs="Arial"/>
          <w:sz w:val="22"/>
          <w:szCs w:val="22"/>
          <w:lang w:val="fr-FR"/>
        </w:rPr>
      </w:pPr>
      <w:r w:rsidRPr="00DE5863">
        <w:rPr>
          <w:rFonts w:eastAsia="Arial" w:cs="Arial"/>
          <w:sz w:val="22"/>
          <w:szCs w:val="22"/>
          <w:lang w:val="fr-FR"/>
        </w:rPr>
        <w:t>États-Unis d'Amérique : reproduction, migration et non-reproduction.</w:t>
      </w:r>
    </w:p>
    <w:p w14:paraId="79A323E4" w14:textId="77777777" w:rsidR="00A6618C" w:rsidRPr="00DE5863" w:rsidRDefault="00D1732A">
      <w:pPr>
        <w:pStyle w:val="ListParagraph"/>
        <w:widowControl/>
        <w:numPr>
          <w:ilvl w:val="0"/>
          <w:numId w:val="11"/>
        </w:numPr>
        <w:contextualSpacing w:val="0"/>
        <w:jc w:val="both"/>
        <w:rPr>
          <w:rFonts w:eastAsia="Arial" w:cs="Arial"/>
          <w:sz w:val="22"/>
          <w:szCs w:val="22"/>
          <w:lang w:val="fr-FR"/>
        </w:rPr>
      </w:pPr>
      <w:r w:rsidRPr="00DE5863">
        <w:rPr>
          <w:rFonts w:eastAsia="Arial" w:cs="Arial"/>
          <w:sz w:val="22"/>
          <w:szCs w:val="22"/>
          <w:lang w:val="fr-FR"/>
        </w:rPr>
        <w:t>Venezuela : non-reproduction.</w:t>
      </w:r>
    </w:p>
    <w:p w14:paraId="02A4CB42" w14:textId="77777777" w:rsidR="00A6618C" w:rsidRPr="00DE5863" w:rsidRDefault="00A6618C">
      <w:pPr>
        <w:spacing w:after="0"/>
        <w:jc w:val="both"/>
        <w:rPr>
          <w:rFonts w:ascii="Arial" w:hAnsi="Arial" w:cs="Arial"/>
          <w:lang w:val="fr-FR"/>
        </w:rPr>
      </w:pPr>
    </w:p>
    <w:p w14:paraId="071645F9" w14:textId="77777777" w:rsidR="00A6618C" w:rsidRPr="00DE5863" w:rsidRDefault="00D1732A">
      <w:pPr>
        <w:spacing w:after="0"/>
        <w:ind w:left="540" w:hanging="540"/>
        <w:jc w:val="both"/>
        <w:rPr>
          <w:rFonts w:ascii="Arial" w:hAnsi="Arial" w:cs="Arial"/>
          <w:b/>
          <w:bCs/>
        </w:rPr>
      </w:pPr>
      <w:r w:rsidRPr="00DE5863">
        <w:rPr>
          <w:rFonts w:ascii="Arial" w:hAnsi="Arial" w:cs="Arial"/>
          <w:b/>
          <w:bCs/>
        </w:rPr>
        <w:t>9.</w:t>
      </w:r>
      <w:r w:rsidRPr="00DE5863">
        <w:rPr>
          <w:rFonts w:ascii="Arial" w:hAnsi="Arial" w:cs="Arial"/>
          <w:b/>
          <w:bCs/>
        </w:rPr>
        <w:tab/>
        <w:t>Consultations</w:t>
      </w:r>
    </w:p>
    <w:p w14:paraId="7C870E43" w14:textId="77777777" w:rsidR="00A6618C" w:rsidRPr="00DE5863" w:rsidRDefault="00A6618C">
      <w:pPr>
        <w:spacing w:after="0"/>
        <w:jc w:val="both"/>
        <w:rPr>
          <w:rFonts w:ascii="Arial" w:hAnsi="Arial" w:cs="Arial"/>
          <w:lang w:val="fr-FR"/>
        </w:rPr>
      </w:pPr>
    </w:p>
    <w:p w14:paraId="643B28FF" w14:textId="77777777" w:rsidR="00A6618C" w:rsidRPr="00DE5863" w:rsidRDefault="00D1732A">
      <w:pPr>
        <w:spacing w:after="0"/>
        <w:ind w:left="540" w:hanging="540"/>
        <w:jc w:val="both"/>
        <w:rPr>
          <w:rFonts w:ascii="Arial" w:hAnsi="Arial" w:cs="Arial"/>
          <w:b/>
          <w:bCs/>
          <w:lang w:val="fr-FR"/>
        </w:rPr>
      </w:pPr>
      <w:r w:rsidRPr="00DE5863">
        <w:rPr>
          <w:rFonts w:ascii="Arial" w:hAnsi="Arial" w:cs="Arial"/>
          <w:b/>
          <w:bCs/>
          <w:lang w:val="fr-FR"/>
        </w:rPr>
        <w:t>10.</w:t>
      </w:r>
      <w:r w:rsidRPr="00DE5863">
        <w:rPr>
          <w:rFonts w:ascii="Arial" w:hAnsi="Arial" w:cs="Arial"/>
          <w:b/>
          <w:bCs/>
          <w:lang w:val="fr-FR"/>
        </w:rPr>
        <w:tab/>
        <w:t>Remarques supplémentaires</w:t>
      </w:r>
    </w:p>
    <w:p w14:paraId="2ACABF47" w14:textId="380B4B56" w:rsidR="00A6618C" w:rsidRPr="00D1732A" w:rsidRDefault="00D1732A">
      <w:pPr>
        <w:spacing w:after="0"/>
        <w:ind w:left="540" w:hanging="540"/>
        <w:jc w:val="both"/>
        <w:rPr>
          <w:rFonts w:ascii="Arial" w:hAnsi="Arial" w:cs="Arial"/>
          <w:b/>
          <w:bCs/>
        </w:rPr>
      </w:pPr>
      <w:r w:rsidRPr="00D1732A">
        <w:rPr>
          <w:rFonts w:ascii="Arial" w:hAnsi="Arial" w:cs="Arial"/>
          <w:b/>
          <w:bCs/>
        </w:rPr>
        <w:lastRenderedPageBreak/>
        <w:t>11.</w:t>
      </w:r>
      <w:r w:rsidRPr="00D1732A">
        <w:rPr>
          <w:rFonts w:ascii="Arial" w:hAnsi="Arial" w:cs="Arial"/>
          <w:b/>
          <w:bCs/>
        </w:rPr>
        <w:tab/>
      </w:r>
      <w:proofErr w:type="spellStart"/>
      <w:r w:rsidRPr="00D1732A">
        <w:rPr>
          <w:rFonts w:ascii="Arial" w:hAnsi="Arial" w:cs="Arial"/>
          <w:b/>
          <w:bCs/>
        </w:rPr>
        <w:t>R</w:t>
      </w:r>
      <w:r>
        <w:rPr>
          <w:rFonts w:ascii="Arial" w:hAnsi="Arial" w:cs="Arial"/>
          <w:b/>
          <w:bCs/>
        </w:rPr>
        <w:t>éfé</w:t>
      </w:r>
      <w:r w:rsidRPr="00D1732A">
        <w:rPr>
          <w:rFonts w:ascii="Arial" w:hAnsi="Arial" w:cs="Arial"/>
          <w:b/>
          <w:bCs/>
        </w:rPr>
        <w:t>rences</w:t>
      </w:r>
      <w:proofErr w:type="spellEnd"/>
    </w:p>
    <w:p w14:paraId="3F18C549" w14:textId="77777777" w:rsidR="00A6618C" w:rsidRPr="00D1732A" w:rsidRDefault="00A6618C">
      <w:pPr>
        <w:spacing w:after="0"/>
        <w:jc w:val="both"/>
        <w:rPr>
          <w:rFonts w:ascii="Arial" w:hAnsi="Arial" w:cs="Arial"/>
          <w:lang w:val="fr-FR"/>
        </w:rPr>
      </w:pPr>
    </w:p>
    <w:p w14:paraId="345547BA" w14:textId="77777777" w:rsidR="00A6618C" w:rsidRPr="00D1732A" w:rsidRDefault="00D1732A">
      <w:pPr>
        <w:pStyle w:val="Bibliography"/>
        <w:spacing w:after="80"/>
        <w:ind w:left="709" w:hanging="709"/>
        <w:jc w:val="both"/>
        <w:rPr>
          <w:rFonts w:ascii="Arial" w:eastAsia="Arial" w:hAnsi="Arial" w:cs="Arial"/>
          <w:sz w:val="20"/>
          <w:szCs w:val="20"/>
        </w:rPr>
      </w:pPr>
      <w:r w:rsidRPr="00D1732A">
        <w:rPr>
          <w:rFonts w:ascii="Arial" w:eastAsia="Arial" w:hAnsi="Arial" w:cs="Arial"/>
          <w:sz w:val="20"/>
          <w:szCs w:val="20"/>
        </w:rPr>
        <w:t>Andres, B., Smith, P. A., Morrison, R. I. G., Gratto-Trevor, C., Brown, S., &amp; Friis, C. (2012). Population estimates of North American shorebirds, 2012. Wader Study Group Bulletin, 119(3), 178–194.</w:t>
      </w:r>
    </w:p>
    <w:p w14:paraId="46AD8BFA" w14:textId="77777777" w:rsidR="00A6618C" w:rsidRPr="00D1732A" w:rsidRDefault="00D1732A">
      <w:pPr>
        <w:pStyle w:val="Bibliography"/>
        <w:spacing w:after="80"/>
        <w:ind w:left="709" w:hanging="709"/>
        <w:jc w:val="both"/>
        <w:rPr>
          <w:rFonts w:ascii="Arial" w:eastAsia="Arial" w:hAnsi="Arial" w:cs="Arial"/>
          <w:sz w:val="20"/>
          <w:szCs w:val="20"/>
        </w:rPr>
      </w:pPr>
      <w:r w:rsidRPr="00D1732A">
        <w:rPr>
          <w:rFonts w:ascii="Arial" w:eastAsia="Arial" w:hAnsi="Arial" w:cs="Arial"/>
          <w:sz w:val="20"/>
          <w:szCs w:val="20"/>
        </w:rPr>
        <w:t>Atlantic Flyway Shorebird Initiative Harvest Working Group. (2017). Achieving a sustainable shorebird harvest in the Caribbean and northern South America, progress report, 2011-2017. Falls Church, Virginia, USA: U.S. Fish and Wildlife Service, Migratory Bird Program.</w:t>
      </w:r>
    </w:p>
    <w:p w14:paraId="0ADFD4C2" w14:textId="77777777" w:rsidR="00A6618C" w:rsidRPr="00D1732A" w:rsidRDefault="00D1732A">
      <w:pPr>
        <w:pStyle w:val="Bibliography"/>
        <w:spacing w:after="80"/>
        <w:ind w:left="709" w:hanging="709"/>
        <w:jc w:val="both"/>
        <w:rPr>
          <w:rFonts w:ascii="Arial" w:eastAsia="Arial" w:hAnsi="Arial" w:cs="Arial"/>
          <w:sz w:val="20"/>
          <w:szCs w:val="20"/>
        </w:rPr>
      </w:pPr>
      <w:proofErr w:type="spellStart"/>
      <w:r w:rsidRPr="00D1732A">
        <w:rPr>
          <w:rFonts w:ascii="Arial" w:eastAsia="Arial" w:hAnsi="Arial" w:cs="Arial"/>
          <w:sz w:val="20"/>
          <w:szCs w:val="20"/>
        </w:rPr>
        <w:t>Ausems</w:t>
      </w:r>
      <w:proofErr w:type="spellEnd"/>
      <w:r w:rsidRPr="00D1732A">
        <w:rPr>
          <w:rFonts w:ascii="Arial" w:eastAsia="Arial" w:hAnsi="Arial" w:cs="Arial"/>
          <w:sz w:val="20"/>
          <w:szCs w:val="20"/>
        </w:rPr>
        <w:t xml:space="preserve">, A. N. M. A., </w:t>
      </w:r>
      <w:proofErr w:type="spellStart"/>
      <w:r w:rsidRPr="00D1732A">
        <w:rPr>
          <w:rFonts w:ascii="Arial" w:eastAsia="Arial" w:hAnsi="Arial" w:cs="Arial"/>
          <w:sz w:val="20"/>
          <w:szCs w:val="20"/>
        </w:rPr>
        <w:t>MacKellar</w:t>
      </w:r>
      <w:proofErr w:type="spellEnd"/>
      <w:r w:rsidRPr="00D1732A">
        <w:rPr>
          <w:rFonts w:ascii="Arial" w:eastAsia="Arial" w:hAnsi="Arial" w:cs="Arial"/>
          <w:sz w:val="20"/>
          <w:szCs w:val="20"/>
        </w:rPr>
        <w:t>, H., Brown, G. S., &amp; Nol, E. (2025). Sex-specific variation in breeding-ground departure decisions and detection rates during southbound migration in West Atlantic Flyway Whimbrels (</w:t>
      </w:r>
      <w:r w:rsidRPr="00D1732A">
        <w:rPr>
          <w:rFonts w:ascii="Arial" w:eastAsia="Arial" w:hAnsi="Arial" w:cs="Arial"/>
          <w:i/>
          <w:iCs/>
          <w:sz w:val="20"/>
          <w:szCs w:val="20"/>
        </w:rPr>
        <w:t xml:space="preserve">Numenius </w:t>
      </w:r>
      <w:proofErr w:type="spellStart"/>
      <w:r w:rsidRPr="00D1732A">
        <w:rPr>
          <w:rFonts w:ascii="Arial" w:eastAsia="Arial" w:hAnsi="Arial" w:cs="Arial"/>
          <w:i/>
          <w:iCs/>
          <w:sz w:val="20"/>
          <w:szCs w:val="20"/>
        </w:rPr>
        <w:t>phaeopus</w:t>
      </w:r>
      <w:proofErr w:type="spellEnd"/>
      <w:r w:rsidRPr="00D1732A">
        <w:rPr>
          <w:rFonts w:ascii="Arial" w:eastAsia="Arial" w:hAnsi="Arial" w:cs="Arial"/>
          <w:sz w:val="20"/>
          <w:szCs w:val="20"/>
        </w:rPr>
        <w:t xml:space="preserve">). Scientific Reports, 15(1), 6735. </w:t>
      </w:r>
      <w:hyperlink r:id="rId21">
        <w:r w:rsidR="00A6618C" w:rsidRPr="00D1732A">
          <w:rPr>
            <w:rStyle w:val="Hyperlink"/>
            <w:rFonts w:ascii="Arial" w:eastAsia="Arial" w:hAnsi="Arial" w:cs="Arial"/>
            <w:sz w:val="20"/>
            <w:szCs w:val="20"/>
          </w:rPr>
          <w:t>https://doi.org/10.1038/s41598-025-90388-3</w:t>
        </w:r>
      </w:hyperlink>
      <w:r w:rsidRPr="00D1732A">
        <w:rPr>
          <w:rFonts w:ascii="Arial" w:eastAsia="Arial" w:hAnsi="Arial" w:cs="Arial"/>
          <w:sz w:val="20"/>
          <w:szCs w:val="20"/>
        </w:rPr>
        <w:t xml:space="preserve"> </w:t>
      </w:r>
    </w:p>
    <w:p w14:paraId="47F1CF46" w14:textId="77777777" w:rsidR="00A6618C" w:rsidRPr="00D1732A" w:rsidRDefault="00D1732A">
      <w:pPr>
        <w:pStyle w:val="Bibliography"/>
        <w:spacing w:after="80"/>
        <w:ind w:left="709" w:hanging="709"/>
        <w:jc w:val="both"/>
        <w:rPr>
          <w:rFonts w:ascii="Arial" w:eastAsia="Arial" w:hAnsi="Arial" w:cs="Arial"/>
          <w:sz w:val="20"/>
          <w:szCs w:val="20"/>
        </w:rPr>
      </w:pPr>
      <w:proofErr w:type="spellStart"/>
      <w:r w:rsidRPr="00D1732A">
        <w:rPr>
          <w:rFonts w:ascii="Arial" w:eastAsia="Arial" w:hAnsi="Arial" w:cs="Arial"/>
          <w:sz w:val="20"/>
          <w:szCs w:val="20"/>
        </w:rPr>
        <w:t>AviList</w:t>
      </w:r>
      <w:proofErr w:type="spellEnd"/>
      <w:r w:rsidRPr="00D1732A">
        <w:rPr>
          <w:rFonts w:ascii="Arial" w:eastAsia="Arial" w:hAnsi="Arial" w:cs="Arial"/>
          <w:sz w:val="20"/>
          <w:szCs w:val="20"/>
        </w:rPr>
        <w:t xml:space="preserve"> Core Team. 2025. </w:t>
      </w:r>
      <w:proofErr w:type="spellStart"/>
      <w:r w:rsidRPr="00D1732A">
        <w:rPr>
          <w:rFonts w:ascii="Arial" w:eastAsia="Arial" w:hAnsi="Arial" w:cs="Arial"/>
          <w:sz w:val="20"/>
          <w:szCs w:val="20"/>
        </w:rPr>
        <w:t>AviList</w:t>
      </w:r>
      <w:proofErr w:type="spellEnd"/>
      <w:r w:rsidRPr="00D1732A">
        <w:rPr>
          <w:rFonts w:ascii="Arial" w:eastAsia="Arial" w:hAnsi="Arial" w:cs="Arial"/>
          <w:sz w:val="20"/>
          <w:szCs w:val="20"/>
        </w:rPr>
        <w:t xml:space="preserve">: The Global Avian Checklist, v2025. </w:t>
      </w:r>
      <w:hyperlink r:id="rId22">
        <w:r w:rsidR="00A6618C" w:rsidRPr="00D1732A">
          <w:rPr>
            <w:rStyle w:val="Hyperlink"/>
            <w:rFonts w:ascii="Arial" w:eastAsia="Arial" w:hAnsi="Arial" w:cs="Arial"/>
            <w:sz w:val="20"/>
            <w:szCs w:val="20"/>
          </w:rPr>
          <w:t>https://doi.org/10.2173/avilist.v2025</w:t>
        </w:r>
      </w:hyperlink>
      <w:r w:rsidRPr="00D1732A">
        <w:rPr>
          <w:rFonts w:ascii="Arial" w:eastAsia="Arial" w:hAnsi="Arial" w:cs="Arial"/>
          <w:sz w:val="20"/>
          <w:szCs w:val="20"/>
        </w:rPr>
        <w:t xml:space="preserve"> </w:t>
      </w:r>
    </w:p>
    <w:p w14:paraId="22A97E22" w14:textId="77777777" w:rsidR="00A6618C" w:rsidRPr="00D1732A" w:rsidRDefault="00D1732A">
      <w:pPr>
        <w:pStyle w:val="Bibliography"/>
        <w:spacing w:after="80"/>
        <w:ind w:left="709" w:hanging="709"/>
        <w:jc w:val="both"/>
        <w:rPr>
          <w:rFonts w:ascii="Arial" w:eastAsia="Arial" w:hAnsi="Arial" w:cs="Arial"/>
          <w:sz w:val="20"/>
          <w:szCs w:val="20"/>
        </w:rPr>
      </w:pPr>
      <w:r w:rsidRPr="00D1732A">
        <w:rPr>
          <w:rFonts w:ascii="Arial" w:eastAsia="Arial" w:hAnsi="Arial" w:cs="Arial"/>
          <w:sz w:val="20"/>
          <w:szCs w:val="20"/>
        </w:rPr>
        <w:t xml:space="preserve">Ballantyne, K., &amp; Nol, E. (2011). Nesting Habitat Selection and Hatching Success of Whimbrels Near Churchill, Manitoba, Canada. Waterbirds, 34(2), 151–159. </w:t>
      </w:r>
      <w:hyperlink r:id="rId23">
        <w:r w:rsidR="00A6618C" w:rsidRPr="00D1732A">
          <w:rPr>
            <w:rStyle w:val="Hyperlink"/>
            <w:rFonts w:ascii="Arial" w:eastAsia="Arial" w:hAnsi="Arial" w:cs="Arial"/>
            <w:sz w:val="20"/>
            <w:szCs w:val="20"/>
          </w:rPr>
          <w:t>https://doi.org/10.1675/063.034.0203</w:t>
        </w:r>
      </w:hyperlink>
    </w:p>
    <w:p w14:paraId="5B589FB0" w14:textId="77777777" w:rsidR="00A6618C" w:rsidRPr="00D1732A" w:rsidRDefault="00D1732A">
      <w:pPr>
        <w:pStyle w:val="Bibliography"/>
        <w:spacing w:after="80"/>
        <w:ind w:left="709" w:hanging="709"/>
        <w:jc w:val="both"/>
        <w:rPr>
          <w:rFonts w:ascii="Arial" w:eastAsia="Arial" w:hAnsi="Arial" w:cs="Arial"/>
          <w:sz w:val="20"/>
          <w:szCs w:val="20"/>
        </w:rPr>
      </w:pPr>
      <w:r w:rsidRPr="00D1732A">
        <w:rPr>
          <w:rFonts w:ascii="Arial" w:eastAsia="Arial" w:hAnsi="Arial" w:cs="Arial"/>
          <w:sz w:val="20"/>
          <w:szCs w:val="20"/>
        </w:rPr>
        <w:t xml:space="preserve">Ballantyne, K., &amp; Nol, E. (2015). Localized </w:t>
      </w:r>
      <w:proofErr w:type="gramStart"/>
      <w:r w:rsidRPr="00D1732A">
        <w:rPr>
          <w:rFonts w:ascii="Arial" w:eastAsia="Arial" w:hAnsi="Arial" w:cs="Arial"/>
          <w:sz w:val="20"/>
          <w:szCs w:val="20"/>
        </w:rPr>
        <w:t>habitat</w:t>
      </w:r>
      <w:proofErr w:type="gramEnd"/>
      <w:r w:rsidRPr="00D1732A">
        <w:rPr>
          <w:rFonts w:ascii="Arial" w:eastAsia="Arial" w:hAnsi="Arial" w:cs="Arial"/>
          <w:sz w:val="20"/>
          <w:szCs w:val="20"/>
        </w:rPr>
        <w:t xml:space="preserve"> </w:t>
      </w:r>
      <w:proofErr w:type="gramStart"/>
      <w:r w:rsidRPr="00D1732A">
        <w:rPr>
          <w:rFonts w:ascii="Arial" w:eastAsia="Arial" w:hAnsi="Arial" w:cs="Arial"/>
          <w:sz w:val="20"/>
          <w:szCs w:val="20"/>
        </w:rPr>
        <w:t>change</w:t>
      </w:r>
      <w:proofErr w:type="gramEnd"/>
      <w:r w:rsidRPr="00D1732A">
        <w:rPr>
          <w:rFonts w:ascii="Arial" w:eastAsia="Arial" w:hAnsi="Arial" w:cs="Arial"/>
          <w:sz w:val="20"/>
          <w:szCs w:val="20"/>
        </w:rPr>
        <w:t xml:space="preserve"> near Churchill, Manitoba and the decline of nesting Whimbrels (</w:t>
      </w:r>
      <w:r w:rsidRPr="00D1732A">
        <w:rPr>
          <w:rFonts w:ascii="Arial" w:eastAsia="Arial" w:hAnsi="Arial" w:cs="Arial"/>
          <w:i/>
          <w:iCs/>
          <w:sz w:val="20"/>
          <w:szCs w:val="20"/>
        </w:rPr>
        <w:t xml:space="preserve">Numenius </w:t>
      </w:r>
      <w:proofErr w:type="spellStart"/>
      <w:r w:rsidRPr="00D1732A">
        <w:rPr>
          <w:rFonts w:ascii="Arial" w:eastAsia="Arial" w:hAnsi="Arial" w:cs="Arial"/>
          <w:i/>
          <w:iCs/>
          <w:sz w:val="20"/>
          <w:szCs w:val="20"/>
        </w:rPr>
        <w:t>phaeopus</w:t>
      </w:r>
      <w:proofErr w:type="spellEnd"/>
      <w:r w:rsidRPr="00D1732A">
        <w:rPr>
          <w:rFonts w:ascii="Arial" w:eastAsia="Arial" w:hAnsi="Arial" w:cs="Arial"/>
          <w:sz w:val="20"/>
          <w:szCs w:val="20"/>
        </w:rPr>
        <w:t xml:space="preserve">). Polar Biology, 38(4), 529–537. </w:t>
      </w:r>
      <w:hyperlink r:id="rId24">
        <w:r w:rsidR="00A6618C" w:rsidRPr="00D1732A">
          <w:rPr>
            <w:rStyle w:val="Hyperlink"/>
            <w:rFonts w:ascii="Arial" w:eastAsia="Arial" w:hAnsi="Arial" w:cs="Arial"/>
            <w:sz w:val="20"/>
            <w:szCs w:val="20"/>
          </w:rPr>
          <w:t>https://doi.org/10.1007/s00300-014-1615-6</w:t>
        </w:r>
      </w:hyperlink>
      <w:r w:rsidRPr="00D1732A">
        <w:rPr>
          <w:rFonts w:ascii="Arial" w:eastAsia="Arial" w:hAnsi="Arial" w:cs="Arial"/>
          <w:sz w:val="20"/>
          <w:szCs w:val="20"/>
        </w:rPr>
        <w:t xml:space="preserve"> </w:t>
      </w:r>
    </w:p>
    <w:p w14:paraId="71F30BC2" w14:textId="77777777" w:rsidR="00A6618C" w:rsidRPr="00D1732A" w:rsidRDefault="00D1732A">
      <w:pPr>
        <w:pStyle w:val="Bibliography"/>
        <w:spacing w:after="80"/>
        <w:ind w:left="709" w:hanging="709"/>
        <w:jc w:val="both"/>
        <w:rPr>
          <w:rFonts w:ascii="Arial" w:eastAsia="Arial" w:hAnsi="Arial" w:cs="Arial"/>
          <w:sz w:val="20"/>
          <w:szCs w:val="20"/>
        </w:rPr>
      </w:pPr>
      <w:proofErr w:type="spellStart"/>
      <w:r w:rsidRPr="00D1732A">
        <w:rPr>
          <w:rFonts w:ascii="Arial" w:eastAsia="Arial" w:hAnsi="Arial" w:cs="Arial"/>
          <w:sz w:val="20"/>
          <w:szCs w:val="20"/>
        </w:rPr>
        <w:t>Ballut-Dajud</w:t>
      </w:r>
      <w:proofErr w:type="spellEnd"/>
      <w:r w:rsidRPr="00D1732A">
        <w:rPr>
          <w:rFonts w:ascii="Arial" w:eastAsia="Arial" w:hAnsi="Arial" w:cs="Arial"/>
          <w:sz w:val="20"/>
          <w:szCs w:val="20"/>
        </w:rPr>
        <w:t xml:space="preserve">, G. A., Sandoval Herazo, L. C., Fernández-Lambert, G., Marín-Muñiz, J. L., López Méndez, M. C., &amp; Betanzo-Torres, E. A. (2022). Factors Affecting Wetland Loss: A Review. Land, 11(3), 434. </w:t>
      </w:r>
      <w:hyperlink r:id="rId25">
        <w:r w:rsidR="00A6618C" w:rsidRPr="00D1732A">
          <w:rPr>
            <w:rStyle w:val="Hyperlink"/>
            <w:rFonts w:ascii="Arial" w:eastAsia="Arial" w:hAnsi="Arial" w:cs="Arial"/>
            <w:sz w:val="20"/>
            <w:szCs w:val="20"/>
          </w:rPr>
          <w:t>https://doi.org/10.3390/land11030434</w:t>
        </w:r>
      </w:hyperlink>
      <w:r w:rsidRPr="00D1732A">
        <w:rPr>
          <w:rFonts w:ascii="Arial" w:eastAsia="Arial" w:hAnsi="Arial" w:cs="Arial"/>
          <w:sz w:val="20"/>
          <w:szCs w:val="20"/>
        </w:rPr>
        <w:t xml:space="preserve"> </w:t>
      </w:r>
    </w:p>
    <w:p w14:paraId="1417161A" w14:textId="77777777" w:rsidR="00A6618C" w:rsidRPr="00D1732A" w:rsidRDefault="00D1732A">
      <w:pPr>
        <w:pStyle w:val="Bibliography"/>
        <w:spacing w:after="80"/>
        <w:ind w:left="709" w:hanging="709"/>
        <w:jc w:val="both"/>
        <w:rPr>
          <w:rFonts w:ascii="Arial" w:eastAsia="Arial" w:hAnsi="Arial" w:cs="Arial"/>
          <w:sz w:val="20"/>
          <w:szCs w:val="20"/>
        </w:rPr>
      </w:pPr>
      <w:r w:rsidRPr="00D1732A">
        <w:rPr>
          <w:rFonts w:ascii="Arial" w:eastAsia="Arial" w:hAnsi="Arial" w:cs="Arial"/>
          <w:sz w:val="20"/>
          <w:szCs w:val="20"/>
        </w:rPr>
        <w:t xml:space="preserve">Bird, J. P., R. Martin, H. R. </w:t>
      </w:r>
      <w:proofErr w:type="spellStart"/>
      <w:r w:rsidRPr="00D1732A">
        <w:rPr>
          <w:rFonts w:ascii="Arial" w:eastAsia="Arial" w:hAnsi="Arial" w:cs="Arial"/>
          <w:sz w:val="20"/>
          <w:szCs w:val="20"/>
        </w:rPr>
        <w:t>Akçakaya</w:t>
      </w:r>
      <w:proofErr w:type="spellEnd"/>
      <w:r w:rsidRPr="00D1732A">
        <w:rPr>
          <w:rFonts w:ascii="Arial" w:eastAsia="Arial" w:hAnsi="Arial" w:cs="Arial"/>
          <w:sz w:val="20"/>
          <w:szCs w:val="20"/>
        </w:rPr>
        <w:t xml:space="preserve">, J. Gilroy, I. J. Burfield, S. T. Garnett, A. Symes, J. Taylor, Ç. H. Şekercioğlu, and S. H. M. Butchart (2020). Generation lengths of the world’s birds and their implications for extinction risk. Conservation Biology 34:12521261. </w:t>
      </w:r>
      <w:hyperlink r:id="rId26">
        <w:r w:rsidR="00A6618C" w:rsidRPr="00D1732A">
          <w:rPr>
            <w:rStyle w:val="Hyperlink"/>
            <w:rFonts w:ascii="Arial" w:eastAsia="Arial" w:hAnsi="Arial" w:cs="Arial"/>
            <w:sz w:val="20"/>
            <w:szCs w:val="20"/>
          </w:rPr>
          <w:t>https://doi.org/10.1111/cobi.13486</w:t>
        </w:r>
      </w:hyperlink>
      <w:r w:rsidRPr="00D1732A">
        <w:rPr>
          <w:rFonts w:ascii="Arial" w:eastAsia="Arial" w:hAnsi="Arial" w:cs="Arial"/>
          <w:sz w:val="20"/>
          <w:szCs w:val="20"/>
        </w:rPr>
        <w:t xml:space="preserve"> </w:t>
      </w:r>
    </w:p>
    <w:p w14:paraId="54B7AA67" w14:textId="77777777" w:rsidR="00A6618C" w:rsidRPr="00D1732A" w:rsidRDefault="00D1732A">
      <w:pPr>
        <w:pStyle w:val="Bibliography"/>
        <w:spacing w:after="80"/>
        <w:ind w:left="709" w:hanging="709"/>
        <w:jc w:val="both"/>
        <w:rPr>
          <w:rFonts w:ascii="Arial" w:eastAsia="Arial" w:hAnsi="Arial" w:cs="Arial"/>
          <w:sz w:val="20"/>
          <w:szCs w:val="20"/>
        </w:rPr>
      </w:pPr>
      <w:proofErr w:type="spellStart"/>
      <w:r w:rsidRPr="00D1732A">
        <w:rPr>
          <w:rFonts w:ascii="Arial" w:eastAsia="Arial" w:hAnsi="Arial" w:cs="Arial"/>
          <w:sz w:val="20"/>
          <w:szCs w:val="20"/>
        </w:rPr>
        <w:t>BirdLife</w:t>
      </w:r>
      <w:proofErr w:type="spellEnd"/>
      <w:r w:rsidRPr="00D1732A">
        <w:rPr>
          <w:rFonts w:ascii="Arial" w:eastAsia="Arial" w:hAnsi="Arial" w:cs="Arial"/>
          <w:sz w:val="20"/>
          <w:szCs w:val="20"/>
        </w:rPr>
        <w:t xml:space="preserve"> International. (2024). </w:t>
      </w:r>
      <w:r w:rsidRPr="00D1732A">
        <w:rPr>
          <w:rFonts w:ascii="Arial" w:eastAsia="Arial" w:hAnsi="Arial" w:cs="Arial"/>
          <w:i/>
          <w:iCs/>
          <w:sz w:val="20"/>
          <w:szCs w:val="20"/>
        </w:rPr>
        <w:t xml:space="preserve">Numenius </w:t>
      </w:r>
      <w:proofErr w:type="spellStart"/>
      <w:r w:rsidRPr="00D1732A">
        <w:rPr>
          <w:rFonts w:ascii="Arial" w:eastAsia="Arial" w:hAnsi="Arial" w:cs="Arial"/>
          <w:i/>
          <w:iCs/>
          <w:sz w:val="20"/>
          <w:szCs w:val="20"/>
        </w:rPr>
        <w:t>phaeopus</w:t>
      </w:r>
      <w:proofErr w:type="spellEnd"/>
      <w:r w:rsidRPr="00D1732A">
        <w:rPr>
          <w:rFonts w:ascii="Arial" w:eastAsia="Arial" w:hAnsi="Arial" w:cs="Arial"/>
          <w:i/>
          <w:iCs/>
          <w:sz w:val="20"/>
          <w:szCs w:val="20"/>
        </w:rPr>
        <w:t>.</w:t>
      </w:r>
      <w:r w:rsidRPr="00D1732A">
        <w:rPr>
          <w:rFonts w:ascii="Arial" w:eastAsia="Arial" w:hAnsi="Arial" w:cs="Arial"/>
          <w:sz w:val="20"/>
          <w:szCs w:val="20"/>
        </w:rPr>
        <w:t xml:space="preserve"> Retrieved from </w:t>
      </w:r>
      <w:hyperlink r:id="rId27">
        <w:r w:rsidR="00A6618C" w:rsidRPr="00D1732A">
          <w:rPr>
            <w:rStyle w:val="Hyperlink"/>
            <w:rFonts w:ascii="Arial" w:eastAsia="Arial" w:hAnsi="Arial" w:cs="Arial"/>
            <w:sz w:val="20"/>
            <w:szCs w:val="20"/>
          </w:rPr>
          <w:t>https://dx.doi.org/10.2305/IUCN.UK.2024-2.RLTS.T22693178A138413707.en</w:t>
        </w:r>
      </w:hyperlink>
      <w:r w:rsidRPr="00D1732A">
        <w:rPr>
          <w:rFonts w:ascii="Arial" w:eastAsia="Arial" w:hAnsi="Arial" w:cs="Arial"/>
          <w:sz w:val="20"/>
          <w:szCs w:val="20"/>
        </w:rPr>
        <w:t xml:space="preserve"> </w:t>
      </w:r>
    </w:p>
    <w:p w14:paraId="25110BC9" w14:textId="77777777" w:rsidR="00A6618C" w:rsidRPr="00D1732A" w:rsidRDefault="00D1732A">
      <w:pPr>
        <w:pStyle w:val="Bibliography"/>
        <w:spacing w:after="80"/>
        <w:ind w:left="709" w:hanging="709"/>
        <w:jc w:val="both"/>
        <w:rPr>
          <w:rFonts w:ascii="Arial" w:eastAsia="Arial" w:hAnsi="Arial" w:cs="Arial"/>
          <w:sz w:val="20"/>
          <w:szCs w:val="20"/>
        </w:rPr>
      </w:pPr>
      <w:r w:rsidRPr="00D1732A">
        <w:rPr>
          <w:rFonts w:ascii="Arial" w:eastAsia="Arial" w:hAnsi="Arial" w:cs="Arial"/>
          <w:sz w:val="20"/>
          <w:szCs w:val="20"/>
        </w:rPr>
        <w:t xml:space="preserve">Booty, J. M., Underwood, G. J. C., Parris, A., Davies, R. G., &amp; Tolhurst, T. J. (2020). Shorebirds Affect Ecosystem Functioning on an Intertidal Mudflat. Frontiers in Marine Science, 7. </w:t>
      </w:r>
      <w:hyperlink r:id="rId28">
        <w:r w:rsidR="00A6618C" w:rsidRPr="00D1732A">
          <w:rPr>
            <w:rStyle w:val="Hyperlink"/>
            <w:rFonts w:ascii="Arial" w:eastAsia="Arial" w:hAnsi="Arial" w:cs="Arial"/>
            <w:sz w:val="20"/>
            <w:szCs w:val="20"/>
          </w:rPr>
          <w:t>https://doi.org/10.3389/fmars.2020.00685</w:t>
        </w:r>
      </w:hyperlink>
      <w:r w:rsidRPr="00D1732A">
        <w:rPr>
          <w:rFonts w:ascii="Arial" w:eastAsia="Arial" w:hAnsi="Arial" w:cs="Arial"/>
          <w:sz w:val="20"/>
          <w:szCs w:val="20"/>
        </w:rPr>
        <w:t xml:space="preserve"> </w:t>
      </w:r>
    </w:p>
    <w:p w14:paraId="19FDD3BF" w14:textId="77777777" w:rsidR="00A6618C" w:rsidRPr="00D1732A" w:rsidRDefault="00D1732A">
      <w:pPr>
        <w:pStyle w:val="Bibliography"/>
        <w:spacing w:after="80"/>
        <w:ind w:left="709" w:hanging="709"/>
        <w:jc w:val="both"/>
        <w:rPr>
          <w:rFonts w:ascii="Arial" w:eastAsia="Arial" w:hAnsi="Arial" w:cs="Arial"/>
          <w:sz w:val="20"/>
          <w:szCs w:val="20"/>
        </w:rPr>
      </w:pPr>
      <w:r w:rsidRPr="00D1732A">
        <w:rPr>
          <w:rFonts w:ascii="Arial" w:eastAsia="Arial" w:hAnsi="Arial" w:cs="Arial"/>
          <w:sz w:val="20"/>
          <w:szCs w:val="20"/>
        </w:rPr>
        <w:t xml:space="preserve">Buelow, C., &amp; Sheaves, M. (2015). A </w:t>
      </w:r>
      <w:proofErr w:type="gramStart"/>
      <w:r w:rsidRPr="00D1732A">
        <w:rPr>
          <w:rFonts w:ascii="Arial" w:eastAsia="Arial" w:hAnsi="Arial" w:cs="Arial"/>
          <w:sz w:val="20"/>
          <w:szCs w:val="20"/>
        </w:rPr>
        <w:t>birds</w:t>
      </w:r>
      <w:proofErr w:type="gramEnd"/>
      <w:r w:rsidRPr="00D1732A">
        <w:rPr>
          <w:rFonts w:ascii="Arial" w:eastAsia="Arial" w:hAnsi="Arial" w:cs="Arial"/>
          <w:sz w:val="20"/>
          <w:szCs w:val="20"/>
        </w:rPr>
        <w:t xml:space="preserve">-eye view of biological connectivity in mangrove systems. Estuarine, Coastal and Shelf Science, 152, 33–43. </w:t>
      </w:r>
      <w:hyperlink r:id="rId29">
        <w:r w:rsidR="00A6618C" w:rsidRPr="00D1732A">
          <w:rPr>
            <w:rStyle w:val="Hyperlink"/>
            <w:rFonts w:ascii="Arial" w:eastAsia="Arial" w:hAnsi="Arial" w:cs="Arial"/>
            <w:sz w:val="20"/>
            <w:szCs w:val="20"/>
          </w:rPr>
          <w:t>https://doi.org/10.1016/j.ecss.2014.10.014</w:t>
        </w:r>
      </w:hyperlink>
      <w:r w:rsidRPr="00D1732A">
        <w:rPr>
          <w:rFonts w:ascii="Arial" w:eastAsia="Arial" w:hAnsi="Arial" w:cs="Arial"/>
          <w:sz w:val="20"/>
          <w:szCs w:val="20"/>
        </w:rPr>
        <w:t xml:space="preserve"> </w:t>
      </w:r>
    </w:p>
    <w:p w14:paraId="39B102EE" w14:textId="77777777" w:rsidR="00A6618C" w:rsidRPr="00D1732A" w:rsidRDefault="00D1732A">
      <w:pPr>
        <w:pStyle w:val="Bibliography"/>
        <w:spacing w:after="80"/>
        <w:ind w:left="709" w:hanging="709"/>
        <w:jc w:val="both"/>
        <w:rPr>
          <w:rFonts w:ascii="Arial" w:eastAsia="Arial" w:hAnsi="Arial" w:cs="Arial"/>
          <w:sz w:val="20"/>
          <w:szCs w:val="20"/>
        </w:rPr>
      </w:pPr>
      <w:r w:rsidRPr="00D1732A">
        <w:rPr>
          <w:rFonts w:ascii="Arial" w:eastAsia="Arial" w:hAnsi="Arial" w:cs="Arial"/>
          <w:sz w:val="20"/>
          <w:szCs w:val="20"/>
          <w:lang w:val="sv-SE"/>
        </w:rPr>
        <w:t xml:space="preserve">Gill, F., Donsker, D., &amp; Rasmussen, P. (2023). </w:t>
      </w:r>
      <w:r w:rsidRPr="00D1732A">
        <w:rPr>
          <w:rFonts w:ascii="Arial" w:eastAsia="Arial" w:hAnsi="Arial" w:cs="Arial"/>
          <w:sz w:val="20"/>
          <w:szCs w:val="20"/>
        </w:rPr>
        <w:t xml:space="preserve">IOC World Bird List (Version v13.1) [Data set]. </w:t>
      </w:r>
      <w:hyperlink r:id="rId30">
        <w:r w:rsidR="00A6618C" w:rsidRPr="00D1732A">
          <w:rPr>
            <w:rStyle w:val="Hyperlink"/>
            <w:rFonts w:ascii="Arial" w:eastAsia="Arial" w:hAnsi="Arial" w:cs="Arial"/>
            <w:sz w:val="20"/>
            <w:szCs w:val="20"/>
          </w:rPr>
          <w:t>https://doi.org/doi%2520:%2520%252010.14344/IOC.ML.13.1</w:t>
        </w:r>
      </w:hyperlink>
      <w:r w:rsidRPr="00D1732A">
        <w:rPr>
          <w:rFonts w:ascii="Arial" w:eastAsia="Arial" w:hAnsi="Arial" w:cs="Arial"/>
          <w:sz w:val="20"/>
          <w:szCs w:val="20"/>
        </w:rPr>
        <w:t>.</w:t>
      </w:r>
    </w:p>
    <w:p w14:paraId="56CA354F" w14:textId="77777777" w:rsidR="00A6618C" w:rsidRPr="00D1732A" w:rsidRDefault="00D1732A">
      <w:pPr>
        <w:pStyle w:val="Bibliography"/>
        <w:spacing w:after="80"/>
        <w:ind w:left="709" w:hanging="709"/>
        <w:jc w:val="both"/>
        <w:rPr>
          <w:rFonts w:ascii="Arial" w:eastAsia="Arial" w:hAnsi="Arial" w:cs="Arial"/>
          <w:sz w:val="20"/>
          <w:szCs w:val="20"/>
        </w:rPr>
      </w:pPr>
      <w:proofErr w:type="spellStart"/>
      <w:r w:rsidRPr="00D1732A">
        <w:rPr>
          <w:rFonts w:ascii="Arial" w:eastAsia="Arial" w:hAnsi="Arial" w:cs="Arial"/>
          <w:sz w:val="20"/>
          <w:szCs w:val="20"/>
        </w:rPr>
        <w:t>Handmaker</w:t>
      </w:r>
      <w:proofErr w:type="spellEnd"/>
      <w:r w:rsidRPr="00D1732A">
        <w:rPr>
          <w:rFonts w:ascii="Arial" w:eastAsia="Arial" w:hAnsi="Arial" w:cs="Arial"/>
          <w:sz w:val="20"/>
          <w:szCs w:val="20"/>
        </w:rPr>
        <w:t>, M.C., Sanders, F.J., Smith, A.D., Shealy, E.P., Fontaine, N., Kaplin, M.B., Thibault, J.M., Martin, M.C., Duquet, C., Sterling, A.V., Senner, N.R. (2024). Individual foraging site fidelity persists within and across stopover seasons in a migratory shorebird,</w:t>
      </w:r>
      <w:r w:rsidRPr="00D1732A">
        <w:rPr>
          <w:rFonts w:ascii="Arial" w:eastAsia="Arial" w:hAnsi="Arial" w:cs="Arial"/>
          <w:i/>
          <w:iCs/>
          <w:sz w:val="20"/>
          <w:szCs w:val="20"/>
        </w:rPr>
        <w:t xml:space="preserve"> Numenius </w:t>
      </w:r>
      <w:proofErr w:type="spellStart"/>
      <w:r w:rsidRPr="00D1732A">
        <w:rPr>
          <w:rFonts w:ascii="Arial" w:eastAsia="Arial" w:hAnsi="Arial" w:cs="Arial"/>
          <w:i/>
          <w:iCs/>
          <w:sz w:val="20"/>
          <w:szCs w:val="20"/>
        </w:rPr>
        <w:t>phaeopus</w:t>
      </w:r>
      <w:proofErr w:type="spellEnd"/>
      <w:r w:rsidRPr="00D1732A">
        <w:rPr>
          <w:rFonts w:ascii="Arial" w:eastAsia="Arial" w:hAnsi="Arial" w:cs="Arial"/>
          <w:i/>
          <w:iCs/>
          <w:sz w:val="20"/>
          <w:szCs w:val="20"/>
        </w:rPr>
        <w:t xml:space="preserve"> </w:t>
      </w:r>
      <w:r w:rsidRPr="00D1732A">
        <w:rPr>
          <w:rFonts w:ascii="Arial" w:eastAsia="Arial" w:hAnsi="Arial" w:cs="Arial"/>
          <w:sz w:val="20"/>
          <w:szCs w:val="20"/>
        </w:rPr>
        <w:t xml:space="preserve">(Whimbrel). Ornithology ukae021. </w:t>
      </w:r>
      <w:hyperlink r:id="rId31">
        <w:r w:rsidR="00A6618C" w:rsidRPr="00D1732A">
          <w:rPr>
            <w:rStyle w:val="Hyperlink"/>
            <w:rFonts w:ascii="Arial" w:eastAsia="Arial" w:hAnsi="Arial" w:cs="Arial"/>
            <w:sz w:val="20"/>
            <w:szCs w:val="20"/>
          </w:rPr>
          <w:t>https://doi.org/10.1093/ornithology/ukae021</w:t>
        </w:r>
      </w:hyperlink>
      <w:r w:rsidRPr="00D1732A">
        <w:rPr>
          <w:rFonts w:ascii="Arial" w:eastAsia="Arial" w:hAnsi="Arial" w:cs="Arial"/>
          <w:sz w:val="20"/>
          <w:szCs w:val="20"/>
        </w:rPr>
        <w:t xml:space="preserve"> </w:t>
      </w:r>
    </w:p>
    <w:p w14:paraId="266BF12A" w14:textId="77777777" w:rsidR="00A6618C" w:rsidRPr="00D1732A" w:rsidRDefault="00D1732A">
      <w:pPr>
        <w:pStyle w:val="Bibliography"/>
        <w:spacing w:after="80"/>
        <w:ind w:left="709" w:hanging="709"/>
        <w:jc w:val="both"/>
        <w:rPr>
          <w:rFonts w:ascii="Arial" w:eastAsia="Arial" w:hAnsi="Arial" w:cs="Arial"/>
          <w:sz w:val="20"/>
          <w:szCs w:val="20"/>
        </w:rPr>
      </w:pPr>
      <w:r w:rsidRPr="00D1732A">
        <w:rPr>
          <w:rFonts w:ascii="Arial" w:eastAsia="Arial" w:hAnsi="Arial" w:cs="Arial"/>
          <w:sz w:val="20"/>
          <w:szCs w:val="20"/>
        </w:rPr>
        <w:t xml:space="preserve">HBW and </w:t>
      </w:r>
      <w:proofErr w:type="spellStart"/>
      <w:r w:rsidRPr="00D1732A">
        <w:rPr>
          <w:rFonts w:ascii="Arial" w:eastAsia="Arial" w:hAnsi="Arial" w:cs="Arial"/>
          <w:sz w:val="20"/>
          <w:szCs w:val="20"/>
        </w:rPr>
        <w:t>BirdLife</w:t>
      </w:r>
      <w:proofErr w:type="spellEnd"/>
      <w:r w:rsidRPr="00D1732A">
        <w:rPr>
          <w:rFonts w:ascii="Arial" w:eastAsia="Arial" w:hAnsi="Arial" w:cs="Arial"/>
          <w:sz w:val="20"/>
          <w:szCs w:val="20"/>
        </w:rPr>
        <w:t xml:space="preserve"> International (2024). Handbook of the Birds of the World and </w:t>
      </w:r>
      <w:proofErr w:type="spellStart"/>
      <w:r w:rsidRPr="00D1732A">
        <w:rPr>
          <w:rFonts w:ascii="Arial" w:eastAsia="Arial" w:hAnsi="Arial" w:cs="Arial"/>
          <w:sz w:val="20"/>
          <w:szCs w:val="20"/>
        </w:rPr>
        <w:t>BirdLife</w:t>
      </w:r>
      <w:proofErr w:type="spellEnd"/>
      <w:r w:rsidRPr="00D1732A">
        <w:rPr>
          <w:rFonts w:ascii="Arial" w:eastAsia="Arial" w:hAnsi="Arial" w:cs="Arial"/>
          <w:sz w:val="20"/>
          <w:szCs w:val="20"/>
        </w:rPr>
        <w:t xml:space="preserve"> International digital checklist of the birds of the world. Version 9. Available at: </w:t>
      </w:r>
      <w:hyperlink r:id="rId32">
        <w:r w:rsidR="00A6618C" w:rsidRPr="00D1732A">
          <w:rPr>
            <w:rStyle w:val="Hyperlink"/>
            <w:rFonts w:ascii="Arial" w:eastAsia="Arial" w:hAnsi="Arial" w:cs="Arial"/>
            <w:sz w:val="20"/>
            <w:szCs w:val="20"/>
          </w:rPr>
          <w:t>http://datazone.birdlife.org/userfiles/file/Species/Taxonomy/HBW-BirdLife_Checklist_v9_Oct24.zip</w:t>
        </w:r>
      </w:hyperlink>
      <w:r w:rsidRPr="00D1732A">
        <w:rPr>
          <w:rFonts w:ascii="Arial" w:eastAsia="Arial" w:hAnsi="Arial" w:cs="Arial"/>
          <w:sz w:val="20"/>
          <w:szCs w:val="20"/>
        </w:rPr>
        <w:t xml:space="preserve">. </w:t>
      </w:r>
    </w:p>
    <w:p w14:paraId="160FAD74" w14:textId="77777777" w:rsidR="00A6618C" w:rsidRPr="00D1732A" w:rsidRDefault="00D1732A">
      <w:pPr>
        <w:pStyle w:val="Bibliography"/>
        <w:spacing w:after="80"/>
        <w:ind w:left="709" w:hanging="709"/>
        <w:jc w:val="both"/>
        <w:rPr>
          <w:rFonts w:ascii="Arial" w:eastAsia="Arial" w:hAnsi="Arial" w:cs="Arial"/>
          <w:sz w:val="20"/>
          <w:szCs w:val="20"/>
        </w:rPr>
      </w:pPr>
      <w:r w:rsidRPr="00D1732A">
        <w:rPr>
          <w:rFonts w:ascii="Arial" w:eastAsia="Arial" w:hAnsi="Arial" w:cs="Arial"/>
          <w:sz w:val="20"/>
          <w:szCs w:val="20"/>
          <w:lang w:val="nb-NO"/>
        </w:rPr>
        <w:t xml:space="preserve">Hope, D. D., Pekerik, C., Drever, M. C., Smith, P., Gratto-Trevor, C., Paquet, J., … </w:t>
      </w:r>
      <w:r w:rsidRPr="00D1732A">
        <w:rPr>
          <w:rFonts w:ascii="Arial" w:eastAsia="Arial" w:hAnsi="Arial" w:cs="Arial"/>
          <w:sz w:val="20"/>
          <w:szCs w:val="20"/>
        </w:rPr>
        <w:t xml:space="preserve">Andres, B. (2019). Shorebirds of conservation concern in Canada – 2019. Wader Study, 126(2), 88–100. </w:t>
      </w:r>
      <w:hyperlink r:id="rId33">
        <w:r w:rsidR="00A6618C" w:rsidRPr="00D1732A">
          <w:rPr>
            <w:rStyle w:val="Hyperlink"/>
            <w:rFonts w:ascii="Arial" w:eastAsia="Arial" w:hAnsi="Arial" w:cs="Arial"/>
            <w:sz w:val="20"/>
            <w:szCs w:val="20"/>
          </w:rPr>
          <w:t>https://doi.org/doi:10.18194/ws.00148</w:t>
        </w:r>
      </w:hyperlink>
      <w:r w:rsidRPr="00D1732A">
        <w:rPr>
          <w:rFonts w:ascii="Arial" w:eastAsia="Arial" w:hAnsi="Arial" w:cs="Arial"/>
          <w:sz w:val="20"/>
          <w:szCs w:val="20"/>
        </w:rPr>
        <w:t xml:space="preserve"> </w:t>
      </w:r>
    </w:p>
    <w:p w14:paraId="727E02C5" w14:textId="77777777" w:rsidR="00A6618C" w:rsidRPr="00D1732A" w:rsidRDefault="00D1732A">
      <w:pPr>
        <w:pStyle w:val="Bibliography"/>
        <w:spacing w:after="80"/>
        <w:ind w:left="709" w:hanging="709"/>
        <w:jc w:val="both"/>
        <w:rPr>
          <w:rFonts w:ascii="Arial" w:eastAsia="Arial" w:hAnsi="Arial" w:cs="Arial"/>
          <w:sz w:val="20"/>
          <w:szCs w:val="20"/>
          <w:lang w:val="pt-BR"/>
        </w:rPr>
      </w:pPr>
      <w:r w:rsidRPr="00D1732A">
        <w:rPr>
          <w:rFonts w:ascii="Arial" w:eastAsia="Arial" w:hAnsi="Arial" w:cs="Arial"/>
          <w:sz w:val="20"/>
          <w:szCs w:val="20"/>
        </w:rPr>
        <w:t xml:space="preserve">Howe, M. A., Geissler, P. H., &amp; Harrington, B. A. (1989). Population trends of North American shorebirds based on the International Shorebird Survey. </w:t>
      </w:r>
      <w:proofErr w:type="spellStart"/>
      <w:r w:rsidRPr="00D1732A">
        <w:rPr>
          <w:rFonts w:ascii="Arial" w:eastAsia="Arial" w:hAnsi="Arial" w:cs="Arial"/>
          <w:sz w:val="20"/>
          <w:szCs w:val="20"/>
          <w:lang w:val="pt-BR"/>
        </w:rPr>
        <w:t>Biological</w:t>
      </w:r>
      <w:proofErr w:type="spellEnd"/>
      <w:r w:rsidRPr="00D1732A">
        <w:rPr>
          <w:rFonts w:ascii="Arial" w:eastAsia="Arial" w:hAnsi="Arial" w:cs="Arial"/>
          <w:sz w:val="20"/>
          <w:szCs w:val="20"/>
          <w:lang w:val="pt-BR"/>
        </w:rPr>
        <w:t xml:space="preserve"> </w:t>
      </w:r>
      <w:proofErr w:type="spellStart"/>
      <w:r w:rsidRPr="00D1732A">
        <w:rPr>
          <w:rFonts w:ascii="Arial" w:eastAsia="Arial" w:hAnsi="Arial" w:cs="Arial"/>
          <w:sz w:val="20"/>
          <w:szCs w:val="20"/>
          <w:lang w:val="pt-BR"/>
        </w:rPr>
        <w:t>Conservation</w:t>
      </w:r>
      <w:proofErr w:type="spellEnd"/>
      <w:r w:rsidRPr="00D1732A">
        <w:rPr>
          <w:rFonts w:ascii="Arial" w:eastAsia="Arial" w:hAnsi="Arial" w:cs="Arial"/>
          <w:sz w:val="20"/>
          <w:szCs w:val="20"/>
          <w:lang w:val="pt-BR"/>
        </w:rPr>
        <w:t xml:space="preserve">, 49(3), 185–199. </w:t>
      </w:r>
      <w:hyperlink r:id="rId34">
        <w:r w:rsidR="00A6618C" w:rsidRPr="00D1732A">
          <w:rPr>
            <w:rStyle w:val="Hyperlink"/>
            <w:rFonts w:ascii="Arial" w:eastAsia="Arial" w:hAnsi="Arial" w:cs="Arial"/>
            <w:sz w:val="20"/>
            <w:szCs w:val="20"/>
            <w:lang w:val="pt-BR"/>
          </w:rPr>
          <w:t>https://doi.org/10.1016/0006-3207(89)90035-9</w:t>
        </w:r>
      </w:hyperlink>
      <w:r w:rsidRPr="00D1732A">
        <w:rPr>
          <w:rFonts w:ascii="Arial" w:eastAsia="Arial" w:hAnsi="Arial" w:cs="Arial"/>
          <w:sz w:val="20"/>
          <w:szCs w:val="20"/>
          <w:lang w:val="pt-BR"/>
        </w:rPr>
        <w:t xml:space="preserve"> </w:t>
      </w:r>
    </w:p>
    <w:p w14:paraId="673D3248" w14:textId="77777777" w:rsidR="00A6618C" w:rsidRPr="00D1732A" w:rsidRDefault="00D1732A">
      <w:pPr>
        <w:pStyle w:val="Bibliography"/>
        <w:spacing w:after="80"/>
        <w:ind w:left="709" w:hanging="709"/>
        <w:jc w:val="both"/>
        <w:rPr>
          <w:rFonts w:ascii="Arial" w:eastAsia="Arial" w:hAnsi="Arial" w:cs="Arial"/>
          <w:sz w:val="20"/>
          <w:szCs w:val="20"/>
          <w:lang w:val="pt-PT"/>
        </w:rPr>
      </w:pPr>
      <w:proofErr w:type="spellStart"/>
      <w:r w:rsidRPr="00D1732A">
        <w:rPr>
          <w:rFonts w:ascii="Arial" w:eastAsia="Arial" w:hAnsi="Arial" w:cs="Arial"/>
          <w:sz w:val="20"/>
          <w:szCs w:val="20"/>
          <w:lang w:val="pt-BR"/>
        </w:rPr>
        <w:t>ICMBio</w:t>
      </w:r>
      <w:proofErr w:type="spellEnd"/>
      <w:r w:rsidRPr="00D1732A">
        <w:rPr>
          <w:rFonts w:ascii="Arial" w:eastAsia="Arial" w:hAnsi="Arial" w:cs="Arial"/>
          <w:sz w:val="20"/>
          <w:szCs w:val="20"/>
          <w:lang w:val="pt-BR"/>
        </w:rPr>
        <w:t xml:space="preserve">. (2023). Plano de Ação Nacional Aves Limícolas Migratórias [Executive </w:t>
      </w:r>
      <w:proofErr w:type="spellStart"/>
      <w:r w:rsidRPr="00D1732A">
        <w:rPr>
          <w:rFonts w:ascii="Arial" w:eastAsia="Arial" w:hAnsi="Arial" w:cs="Arial"/>
          <w:sz w:val="20"/>
          <w:szCs w:val="20"/>
          <w:lang w:val="pt-BR"/>
        </w:rPr>
        <w:t>summary</w:t>
      </w:r>
      <w:proofErr w:type="spellEnd"/>
      <w:r w:rsidRPr="00D1732A">
        <w:rPr>
          <w:rFonts w:ascii="Arial" w:eastAsia="Arial" w:hAnsi="Arial" w:cs="Arial"/>
          <w:sz w:val="20"/>
          <w:szCs w:val="20"/>
          <w:lang w:val="pt-BR"/>
        </w:rPr>
        <w:t xml:space="preserve">]. </w:t>
      </w:r>
      <w:r w:rsidRPr="00D1732A">
        <w:rPr>
          <w:rFonts w:ascii="Arial" w:eastAsia="Arial" w:hAnsi="Arial" w:cs="Arial"/>
          <w:sz w:val="20"/>
          <w:szCs w:val="20"/>
          <w:lang w:val="pt-PT"/>
        </w:rPr>
        <w:t xml:space="preserve">Brasília. </w:t>
      </w:r>
      <w:hyperlink r:id="rId35">
        <w:r w:rsidRPr="00D1732A">
          <w:rPr>
            <w:rStyle w:val="Hyperlink"/>
            <w:rFonts w:ascii="Arial" w:eastAsia="Arial" w:hAnsi="Arial" w:cs="Arial"/>
            <w:sz w:val="20"/>
            <w:szCs w:val="20"/>
            <w:lang w:val="pt-PT"/>
          </w:rPr>
          <w:t>https://www.gov.br/icmbio/pt-br/assuntos/biodiversidade/pan/pan-aves-limicolas-migratorias</w:t>
        </w:r>
      </w:hyperlink>
    </w:p>
    <w:p w14:paraId="31BED198" w14:textId="77777777" w:rsidR="00A6618C" w:rsidRPr="00D1732A" w:rsidRDefault="00D1732A">
      <w:pPr>
        <w:pStyle w:val="Bibliography"/>
        <w:spacing w:after="80"/>
        <w:ind w:left="709" w:hanging="709"/>
        <w:jc w:val="both"/>
        <w:rPr>
          <w:rFonts w:ascii="Arial" w:eastAsia="Arial" w:hAnsi="Arial" w:cs="Arial"/>
          <w:sz w:val="20"/>
          <w:szCs w:val="20"/>
          <w:lang w:val="pt-PT"/>
        </w:rPr>
      </w:pPr>
      <w:r w:rsidRPr="00D1732A">
        <w:rPr>
          <w:rFonts w:ascii="Arial" w:eastAsia="Arial" w:hAnsi="Arial" w:cs="Arial"/>
          <w:sz w:val="20"/>
          <w:szCs w:val="20"/>
          <w:lang w:val="es-ES"/>
        </w:rPr>
        <w:t xml:space="preserve">Johnston-González, R., &amp; Abril, E. (2019). </w:t>
      </w:r>
      <w:r w:rsidRPr="00D1732A">
        <w:rPr>
          <w:rFonts w:ascii="Arial" w:eastAsia="Arial" w:hAnsi="Arial" w:cs="Arial"/>
          <w:sz w:val="20"/>
          <w:szCs w:val="20"/>
        </w:rPr>
        <w:t xml:space="preserve">Predation risk and resource availability explain roost locations of Whimbrel </w:t>
      </w:r>
      <w:r w:rsidRPr="00D1732A">
        <w:rPr>
          <w:rFonts w:ascii="Arial" w:eastAsia="Arial" w:hAnsi="Arial" w:cs="Arial"/>
          <w:i/>
          <w:iCs/>
          <w:sz w:val="20"/>
          <w:szCs w:val="20"/>
        </w:rPr>
        <w:t xml:space="preserve">Numenius </w:t>
      </w:r>
      <w:proofErr w:type="spellStart"/>
      <w:r w:rsidRPr="00D1732A">
        <w:rPr>
          <w:rFonts w:ascii="Arial" w:eastAsia="Arial" w:hAnsi="Arial" w:cs="Arial"/>
          <w:i/>
          <w:iCs/>
          <w:sz w:val="20"/>
          <w:szCs w:val="20"/>
        </w:rPr>
        <w:t>phaeopus</w:t>
      </w:r>
      <w:proofErr w:type="spellEnd"/>
      <w:r w:rsidRPr="00D1732A">
        <w:rPr>
          <w:rFonts w:ascii="Arial" w:eastAsia="Arial" w:hAnsi="Arial" w:cs="Arial"/>
          <w:i/>
          <w:iCs/>
          <w:sz w:val="20"/>
          <w:szCs w:val="20"/>
        </w:rPr>
        <w:t xml:space="preserve"> </w:t>
      </w:r>
      <w:r w:rsidRPr="00D1732A">
        <w:rPr>
          <w:rFonts w:ascii="Arial" w:eastAsia="Arial" w:hAnsi="Arial" w:cs="Arial"/>
          <w:sz w:val="20"/>
          <w:szCs w:val="20"/>
        </w:rPr>
        <w:t xml:space="preserve">in a tropical mangrove delta. </w:t>
      </w:r>
      <w:r w:rsidRPr="00D1732A">
        <w:rPr>
          <w:rFonts w:ascii="Arial" w:eastAsia="Arial" w:hAnsi="Arial" w:cs="Arial"/>
          <w:sz w:val="20"/>
          <w:szCs w:val="20"/>
          <w:lang w:val="pt-PT"/>
        </w:rPr>
        <w:t xml:space="preserve">Ibis, 161(4), 839–853. </w:t>
      </w:r>
      <w:hyperlink r:id="rId36">
        <w:r w:rsidRPr="00D1732A">
          <w:rPr>
            <w:rStyle w:val="Hyperlink"/>
            <w:rFonts w:ascii="Arial" w:eastAsia="Arial" w:hAnsi="Arial" w:cs="Arial"/>
            <w:sz w:val="20"/>
            <w:szCs w:val="20"/>
            <w:lang w:val="pt-PT"/>
          </w:rPr>
          <w:t>https://doi.org/10.1111/ibi.12678</w:t>
        </w:r>
      </w:hyperlink>
      <w:r w:rsidRPr="00D1732A">
        <w:rPr>
          <w:rFonts w:ascii="Arial" w:eastAsia="Arial" w:hAnsi="Arial" w:cs="Arial"/>
          <w:sz w:val="20"/>
          <w:szCs w:val="20"/>
          <w:lang w:val="pt-PT"/>
        </w:rPr>
        <w:t xml:space="preserve"> </w:t>
      </w:r>
    </w:p>
    <w:p w14:paraId="007B7B1B" w14:textId="77777777" w:rsidR="00A6618C" w:rsidRPr="00D1732A" w:rsidRDefault="00D1732A">
      <w:pPr>
        <w:pStyle w:val="Bibliography"/>
        <w:spacing w:after="80"/>
        <w:ind w:left="709" w:hanging="709"/>
        <w:jc w:val="both"/>
        <w:rPr>
          <w:rFonts w:ascii="Arial" w:eastAsia="Arial" w:hAnsi="Arial" w:cs="Arial"/>
          <w:sz w:val="20"/>
          <w:szCs w:val="20"/>
          <w:lang w:val="pt-BR"/>
        </w:rPr>
      </w:pPr>
      <w:r w:rsidRPr="00D1732A">
        <w:rPr>
          <w:rFonts w:ascii="Arial" w:eastAsia="Arial" w:hAnsi="Arial" w:cs="Arial"/>
          <w:sz w:val="20"/>
          <w:szCs w:val="20"/>
          <w:lang w:val="pt-BR"/>
        </w:rPr>
        <w:lastRenderedPageBreak/>
        <w:t>MMA - Ministério do Meio Ambiente. Portaria MMA Nº 148, de 7 de junho de 2022. Altera os Anexos da Portaria nº 443, de 17 de dezembro de 2014, da Portaria nº 444, de 17 de dezembro de 2014, e da Portaria nº 445, de 17 de dezembro de 2014, referentes à atualização da Lista Nacional de Espécies Ameaçadas de Extinção. Diário Oficial da União, 108, seção 1, p. 74.</w:t>
      </w:r>
    </w:p>
    <w:p w14:paraId="1C2E67D8" w14:textId="77777777" w:rsidR="00A6618C" w:rsidRPr="00D1732A" w:rsidRDefault="00D1732A">
      <w:pPr>
        <w:pStyle w:val="Bibliography"/>
        <w:spacing w:after="80"/>
        <w:ind w:left="709" w:hanging="709"/>
        <w:jc w:val="both"/>
        <w:rPr>
          <w:rFonts w:ascii="Arial" w:eastAsia="Arial" w:hAnsi="Arial" w:cs="Arial"/>
          <w:sz w:val="20"/>
          <w:szCs w:val="20"/>
        </w:rPr>
      </w:pPr>
      <w:r w:rsidRPr="00D1732A">
        <w:rPr>
          <w:rFonts w:ascii="Arial" w:eastAsia="Arial" w:hAnsi="Arial" w:cs="Arial"/>
          <w:sz w:val="20"/>
          <w:szCs w:val="20"/>
          <w:lang w:val="pt-BR"/>
        </w:rPr>
        <w:t xml:space="preserve">Pacheco, J. F., Silveira, L. F., Aleixo, A., Agne, C. E., </w:t>
      </w:r>
      <w:proofErr w:type="spellStart"/>
      <w:r w:rsidRPr="00D1732A">
        <w:rPr>
          <w:rFonts w:ascii="Arial" w:eastAsia="Arial" w:hAnsi="Arial" w:cs="Arial"/>
          <w:sz w:val="20"/>
          <w:szCs w:val="20"/>
          <w:lang w:val="pt-BR"/>
        </w:rPr>
        <w:t>Bencke</w:t>
      </w:r>
      <w:proofErr w:type="spellEnd"/>
      <w:r w:rsidRPr="00D1732A">
        <w:rPr>
          <w:rFonts w:ascii="Arial" w:eastAsia="Arial" w:hAnsi="Arial" w:cs="Arial"/>
          <w:sz w:val="20"/>
          <w:szCs w:val="20"/>
          <w:lang w:val="pt-BR"/>
        </w:rPr>
        <w:t xml:space="preserve">, G. A., Bravo, G. A., … de Q. Piacentini, V. (2021). </w:t>
      </w:r>
      <w:r w:rsidRPr="00D1732A">
        <w:rPr>
          <w:rFonts w:ascii="Arial" w:eastAsia="Arial" w:hAnsi="Arial" w:cs="Arial"/>
          <w:sz w:val="20"/>
          <w:szCs w:val="20"/>
        </w:rPr>
        <w:t xml:space="preserve">Annotated checklist of the birds of Brazil by the Brazilian Ornithological Records Committee—Second edition. Ornithology Research, 29(2), 94–105. </w:t>
      </w:r>
      <w:hyperlink r:id="rId37">
        <w:r w:rsidR="00A6618C" w:rsidRPr="00D1732A">
          <w:rPr>
            <w:rStyle w:val="Hyperlink"/>
            <w:rFonts w:ascii="Arial" w:eastAsia="Arial" w:hAnsi="Arial" w:cs="Arial"/>
            <w:sz w:val="20"/>
            <w:szCs w:val="20"/>
          </w:rPr>
          <w:t>https://doi.org/10.1007/s43388-021-00058-x</w:t>
        </w:r>
      </w:hyperlink>
      <w:r w:rsidRPr="00D1732A">
        <w:rPr>
          <w:rFonts w:ascii="Arial" w:eastAsia="Arial" w:hAnsi="Arial" w:cs="Arial"/>
          <w:sz w:val="20"/>
          <w:szCs w:val="20"/>
        </w:rPr>
        <w:t xml:space="preserve"> </w:t>
      </w:r>
    </w:p>
    <w:p w14:paraId="3B528351" w14:textId="77777777" w:rsidR="00A6618C" w:rsidRPr="00D1732A" w:rsidRDefault="00D1732A">
      <w:pPr>
        <w:spacing w:after="80"/>
        <w:ind w:left="709" w:hanging="709"/>
        <w:rPr>
          <w:sz w:val="20"/>
          <w:szCs w:val="20"/>
        </w:rPr>
      </w:pPr>
      <w:r w:rsidRPr="00D1732A">
        <w:rPr>
          <w:rFonts w:ascii="Arial" w:eastAsia="Arial" w:hAnsi="Arial" w:cs="Arial"/>
          <w:sz w:val="20"/>
          <w:szCs w:val="20"/>
        </w:rPr>
        <w:t xml:space="preserve">Rosenberg, K. V., Dokter, A. M., Blancher, P. J., Sauer, J. R., Smith, A. C., Smith, P. A., Stanton, J. C., Panjabi, A., </w:t>
      </w:r>
      <w:proofErr w:type="spellStart"/>
      <w:r w:rsidRPr="00D1732A">
        <w:rPr>
          <w:rFonts w:ascii="Arial" w:eastAsia="Arial" w:hAnsi="Arial" w:cs="Arial"/>
          <w:sz w:val="20"/>
          <w:szCs w:val="20"/>
        </w:rPr>
        <w:t>Helft</w:t>
      </w:r>
      <w:proofErr w:type="spellEnd"/>
      <w:r w:rsidRPr="00D1732A">
        <w:rPr>
          <w:rFonts w:ascii="Arial" w:eastAsia="Arial" w:hAnsi="Arial" w:cs="Arial"/>
          <w:sz w:val="20"/>
          <w:szCs w:val="20"/>
        </w:rPr>
        <w:t xml:space="preserve">, L., Parr, M., and P.P. Marra (2019). Decline of the North American avifauna. Science, 366(6461), 120-124. </w:t>
      </w:r>
      <w:hyperlink r:id="rId38">
        <w:r w:rsidR="00A6618C" w:rsidRPr="00D1732A">
          <w:rPr>
            <w:rStyle w:val="Hyperlink"/>
            <w:rFonts w:ascii="Arial" w:eastAsia="Arial" w:hAnsi="Arial" w:cs="Arial"/>
            <w:sz w:val="20"/>
            <w:szCs w:val="20"/>
          </w:rPr>
          <w:t>https://doi.org/10.1126/science.aaw1313</w:t>
        </w:r>
      </w:hyperlink>
      <w:r w:rsidRPr="00D1732A">
        <w:rPr>
          <w:sz w:val="20"/>
          <w:szCs w:val="20"/>
        </w:rPr>
        <w:t xml:space="preserve"> </w:t>
      </w:r>
    </w:p>
    <w:p w14:paraId="67848218" w14:textId="77777777" w:rsidR="00A6618C" w:rsidRPr="00D1732A" w:rsidRDefault="00D1732A">
      <w:pPr>
        <w:pStyle w:val="Bibliography"/>
        <w:spacing w:after="80"/>
        <w:ind w:left="709" w:hanging="709"/>
        <w:jc w:val="both"/>
        <w:rPr>
          <w:rFonts w:ascii="Arial" w:eastAsia="Arial" w:hAnsi="Arial" w:cs="Arial"/>
          <w:sz w:val="20"/>
          <w:szCs w:val="20"/>
        </w:rPr>
      </w:pPr>
      <w:r w:rsidRPr="00D1732A">
        <w:rPr>
          <w:rFonts w:ascii="Arial" w:eastAsia="Arial" w:hAnsi="Arial" w:cs="Arial"/>
          <w:sz w:val="20"/>
          <w:szCs w:val="20"/>
        </w:rPr>
        <w:t xml:space="preserve">Ruthrauff, D.R., C. M Harwood, L. T. Tibbits, N. Warnock, and R.E. Gill (2021).  Diverse patterns of migratory timing, site use, and site fidelity by Alaska breeding Whimbrels.  Journal of Field Ornithology. </w:t>
      </w:r>
      <w:hyperlink r:id="rId39">
        <w:r w:rsidR="00A6618C" w:rsidRPr="00D1732A">
          <w:rPr>
            <w:rStyle w:val="Hyperlink"/>
            <w:rFonts w:ascii="Arial" w:eastAsia="Arial" w:hAnsi="Arial" w:cs="Arial"/>
            <w:sz w:val="20"/>
            <w:szCs w:val="20"/>
          </w:rPr>
          <w:t>https://doi.org/10.1111/jofo.12365</w:t>
        </w:r>
      </w:hyperlink>
      <w:r w:rsidRPr="00D1732A">
        <w:rPr>
          <w:rFonts w:ascii="Arial" w:eastAsia="Arial" w:hAnsi="Arial" w:cs="Arial"/>
          <w:sz w:val="20"/>
          <w:szCs w:val="20"/>
        </w:rPr>
        <w:t xml:space="preserve"> </w:t>
      </w:r>
    </w:p>
    <w:p w14:paraId="617FB5C6" w14:textId="77777777" w:rsidR="00A6618C" w:rsidRPr="00D1732A" w:rsidRDefault="00D1732A">
      <w:pPr>
        <w:pStyle w:val="Bibliography"/>
        <w:spacing w:after="80"/>
        <w:ind w:left="709" w:hanging="709"/>
        <w:jc w:val="both"/>
        <w:rPr>
          <w:rFonts w:ascii="Arial" w:eastAsia="Arial" w:hAnsi="Arial" w:cs="Arial"/>
          <w:sz w:val="20"/>
          <w:szCs w:val="20"/>
        </w:rPr>
      </w:pPr>
      <w:r w:rsidRPr="00D1732A">
        <w:rPr>
          <w:rFonts w:ascii="Arial" w:eastAsia="Arial" w:hAnsi="Arial" w:cs="Arial"/>
          <w:sz w:val="20"/>
          <w:szCs w:val="20"/>
        </w:rPr>
        <w:t xml:space="preserve">Sanders, F. J., </w:t>
      </w:r>
      <w:proofErr w:type="spellStart"/>
      <w:r w:rsidRPr="00D1732A">
        <w:rPr>
          <w:rFonts w:ascii="Arial" w:eastAsia="Arial" w:hAnsi="Arial" w:cs="Arial"/>
          <w:sz w:val="20"/>
          <w:szCs w:val="20"/>
        </w:rPr>
        <w:t>Handmaker</w:t>
      </w:r>
      <w:proofErr w:type="spellEnd"/>
      <w:r w:rsidRPr="00D1732A">
        <w:rPr>
          <w:rFonts w:ascii="Arial" w:eastAsia="Arial" w:hAnsi="Arial" w:cs="Arial"/>
          <w:sz w:val="20"/>
          <w:szCs w:val="20"/>
        </w:rPr>
        <w:t xml:space="preserve">, M. C., Johnson, A., &amp; Senner, N. (2021). Nocturnal roost on South Carolina coast supports nearly half of Atlantic coast population of Hudsonian Whimbrel </w:t>
      </w:r>
      <w:r w:rsidRPr="00D1732A">
        <w:rPr>
          <w:rFonts w:ascii="Arial" w:eastAsia="Arial" w:hAnsi="Arial" w:cs="Arial"/>
          <w:i/>
          <w:iCs/>
          <w:sz w:val="20"/>
          <w:szCs w:val="20"/>
        </w:rPr>
        <w:t xml:space="preserve">Numenius </w:t>
      </w:r>
      <w:proofErr w:type="spellStart"/>
      <w:r w:rsidRPr="00D1732A">
        <w:rPr>
          <w:rFonts w:ascii="Arial" w:eastAsia="Arial" w:hAnsi="Arial" w:cs="Arial"/>
          <w:i/>
          <w:iCs/>
          <w:sz w:val="20"/>
          <w:szCs w:val="20"/>
        </w:rPr>
        <w:t>hudsonicus</w:t>
      </w:r>
      <w:proofErr w:type="spellEnd"/>
      <w:r w:rsidRPr="00D1732A">
        <w:rPr>
          <w:rFonts w:ascii="Arial" w:eastAsia="Arial" w:hAnsi="Arial" w:cs="Arial"/>
          <w:sz w:val="20"/>
          <w:szCs w:val="20"/>
        </w:rPr>
        <w:t xml:space="preserve"> during northward migration. International Wader Study Group, 128(2), 117–124. </w:t>
      </w:r>
      <w:hyperlink r:id="rId40">
        <w:r w:rsidR="00A6618C" w:rsidRPr="00D1732A">
          <w:rPr>
            <w:rStyle w:val="Hyperlink"/>
            <w:rFonts w:ascii="Arial" w:eastAsia="Arial" w:hAnsi="Arial" w:cs="Arial"/>
            <w:sz w:val="20"/>
            <w:szCs w:val="20"/>
          </w:rPr>
          <w:t>https://doi.org/doi:10.18194/ws.00228</w:t>
        </w:r>
      </w:hyperlink>
      <w:r w:rsidRPr="00D1732A">
        <w:rPr>
          <w:rFonts w:ascii="Arial" w:eastAsia="Arial" w:hAnsi="Arial" w:cs="Arial"/>
          <w:sz w:val="20"/>
          <w:szCs w:val="20"/>
        </w:rPr>
        <w:t xml:space="preserve"> </w:t>
      </w:r>
    </w:p>
    <w:p w14:paraId="7B6D4BB6" w14:textId="77777777" w:rsidR="00A6618C" w:rsidRPr="00D1732A" w:rsidRDefault="00D1732A">
      <w:pPr>
        <w:pStyle w:val="Bibliography"/>
        <w:spacing w:after="80"/>
        <w:ind w:left="709" w:hanging="709"/>
        <w:jc w:val="both"/>
        <w:rPr>
          <w:rFonts w:ascii="Arial" w:eastAsia="Arial" w:hAnsi="Arial" w:cs="Arial"/>
          <w:sz w:val="20"/>
          <w:szCs w:val="20"/>
        </w:rPr>
      </w:pPr>
      <w:proofErr w:type="spellStart"/>
      <w:r w:rsidRPr="00D1732A">
        <w:rPr>
          <w:rFonts w:ascii="Arial" w:eastAsia="Arial" w:hAnsi="Arial" w:cs="Arial"/>
          <w:sz w:val="20"/>
          <w:szCs w:val="20"/>
        </w:rPr>
        <w:t>Sekercioglu</w:t>
      </w:r>
      <w:proofErr w:type="spellEnd"/>
      <w:r w:rsidRPr="00D1732A">
        <w:rPr>
          <w:rFonts w:ascii="Arial" w:eastAsia="Arial" w:hAnsi="Arial" w:cs="Arial"/>
          <w:sz w:val="20"/>
          <w:szCs w:val="20"/>
        </w:rPr>
        <w:t xml:space="preserve">, C. H. (2006). Increasing awareness of avian ecological function. Trends in Ecology &amp; Evolution, 21(8), 464–471. </w:t>
      </w:r>
      <w:hyperlink r:id="rId41">
        <w:r w:rsidR="00A6618C" w:rsidRPr="00D1732A">
          <w:rPr>
            <w:rStyle w:val="Hyperlink"/>
            <w:rFonts w:ascii="Arial" w:eastAsia="Arial" w:hAnsi="Arial" w:cs="Arial"/>
            <w:sz w:val="20"/>
            <w:szCs w:val="20"/>
          </w:rPr>
          <w:t>https://doi.org/10.1016/j.tree.2006.05.007</w:t>
        </w:r>
      </w:hyperlink>
      <w:r w:rsidRPr="00D1732A">
        <w:rPr>
          <w:rFonts w:ascii="Arial" w:eastAsia="Arial" w:hAnsi="Arial" w:cs="Arial"/>
          <w:sz w:val="20"/>
          <w:szCs w:val="20"/>
        </w:rPr>
        <w:t xml:space="preserve"> </w:t>
      </w:r>
    </w:p>
    <w:p w14:paraId="2AFE7CB4" w14:textId="77777777" w:rsidR="00A6618C" w:rsidRPr="00D1732A" w:rsidRDefault="00D1732A">
      <w:pPr>
        <w:pStyle w:val="Bibliography"/>
        <w:spacing w:after="80"/>
        <w:ind w:left="709" w:hanging="709"/>
        <w:jc w:val="both"/>
        <w:rPr>
          <w:rFonts w:ascii="Arial" w:eastAsia="Arial" w:hAnsi="Arial" w:cs="Arial"/>
          <w:sz w:val="20"/>
          <w:szCs w:val="20"/>
        </w:rPr>
      </w:pPr>
      <w:r w:rsidRPr="00D1732A">
        <w:rPr>
          <w:rFonts w:ascii="Arial" w:eastAsia="Arial" w:hAnsi="Arial" w:cs="Arial"/>
          <w:sz w:val="20"/>
          <w:szCs w:val="20"/>
        </w:rPr>
        <w:t>Skeel, M. A., &amp; Mallory, E. P. (2020). Whimbrel (</w:t>
      </w:r>
      <w:r w:rsidRPr="00D1732A">
        <w:rPr>
          <w:rFonts w:ascii="Arial" w:eastAsia="Arial" w:hAnsi="Arial" w:cs="Arial"/>
          <w:i/>
          <w:iCs/>
          <w:sz w:val="20"/>
          <w:szCs w:val="20"/>
        </w:rPr>
        <w:t xml:space="preserve">Numenius </w:t>
      </w:r>
      <w:proofErr w:type="spellStart"/>
      <w:r w:rsidRPr="00D1732A">
        <w:rPr>
          <w:rFonts w:ascii="Arial" w:eastAsia="Arial" w:hAnsi="Arial" w:cs="Arial"/>
          <w:i/>
          <w:iCs/>
          <w:sz w:val="20"/>
          <w:szCs w:val="20"/>
        </w:rPr>
        <w:t>phaeopus</w:t>
      </w:r>
      <w:proofErr w:type="spellEnd"/>
      <w:r w:rsidRPr="00D1732A">
        <w:rPr>
          <w:rFonts w:ascii="Arial" w:eastAsia="Arial" w:hAnsi="Arial" w:cs="Arial"/>
          <w:i/>
          <w:iCs/>
          <w:sz w:val="20"/>
          <w:szCs w:val="20"/>
        </w:rPr>
        <w:t>)</w:t>
      </w:r>
      <w:r w:rsidRPr="00D1732A">
        <w:rPr>
          <w:rFonts w:ascii="Arial" w:eastAsia="Arial" w:hAnsi="Arial" w:cs="Arial"/>
          <w:sz w:val="20"/>
          <w:szCs w:val="20"/>
        </w:rPr>
        <w:t xml:space="preserve">. In Birds of the World. Cornell Lab of Ornithology, Ithaca, NY, USA: S. M. Billerman. Retrieved from </w:t>
      </w:r>
      <w:hyperlink r:id="rId42">
        <w:r w:rsidR="00A6618C" w:rsidRPr="00D1732A">
          <w:rPr>
            <w:rStyle w:val="Hyperlink"/>
            <w:rFonts w:ascii="Arial" w:eastAsia="Arial" w:hAnsi="Arial" w:cs="Arial"/>
            <w:sz w:val="20"/>
            <w:szCs w:val="20"/>
          </w:rPr>
          <w:t>https://doi.org/10.2173/bow.whimbr.01</w:t>
        </w:r>
      </w:hyperlink>
      <w:r w:rsidRPr="00D1732A">
        <w:rPr>
          <w:rFonts w:ascii="Arial" w:eastAsia="Arial" w:hAnsi="Arial" w:cs="Arial"/>
          <w:sz w:val="20"/>
          <w:szCs w:val="20"/>
        </w:rPr>
        <w:t xml:space="preserve"> </w:t>
      </w:r>
    </w:p>
    <w:p w14:paraId="0002DB56" w14:textId="77777777" w:rsidR="00A6618C" w:rsidRPr="00D1732A" w:rsidRDefault="00D1732A">
      <w:pPr>
        <w:pStyle w:val="Bibliography"/>
        <w:spacing w:after="80"/>
        <w:ind w:left="709" w:hanging="709"/>
        <w:jc w:val="both"/>
        <w:rPr>
          <w:rFonts w:ascii="Arial" w:eastAsia="Arial" w:hAnsi="Arial" w:cs="Arial"/>
          <w:sz w:val="20"/>
          <w:szCs w:val="20"/>
        </w:rPr>
      </w:pPr>
      <w:r w:rsidRPr="00D1732A">
        <w:rPr>
          <w:rFonts w:ascii="Arial" w:eastAsia="Arial" w:hAnsi="Arial" w:cs="Arial"/>
          <w:sz w:val="20"/>
          <w:szCs w:val="20"/>
        </w:rPr>
        <w:t xml:space="preserve">Smith, P. A., Smith, A. C., Andres, B., Francis, C. M., Harrington, B., Friis, C., … Brown, S. (2023). Accelerating declines of North America’s shorebirds signal the need for urgent conservation action. Ornithological Applications, 125(2), duad003. </w:t>
      </w:r>
      <w:hyperlink r:id="rId43">
        <w:r w:rsidR="00A6618C" w:rsidRPr="00D1732A">
          <w:rPr>
            <w:rStyle w:val="Hyperlink"/>
            <w:rFonts w:ascii="Arial" w:eastAsia="Arial" w:hAnsi="Arial" w:cs="Arial"/>
            <w:sz w:val="20"/>
            <w:szCs w:val="20"/>
          </w:rPr>
          <w:t>https://doi.org/10.1093/ornithapp/duad003</w:t>
        </w:r>
      </w:hyperlink>
    </w:p>
    <w:p w14:paraId="08A532D6" w14:textId="77777777" w:rsidR="00A6618C" w:rsidRPr="00D1732A" w:rsidRDefault="00D1732A">
      <w:pPr>
        <w:pStyle w:val="Bibliography"/>
        <w:spacing w:after="80"/>
        <w:ind w:left="709" w:hanging="709"/>
        <w:jc w:val="both"/>
        <w:rPr>
          <w:rFonts w:ascii="Arial" w:eastAsia="Arial" w:hAnsi="Arial" w:cs="Arial"/>
          <w:sz w:val="20"/>
          <w:szCs w:val="20"/>
        </w:rPr>
      </w:pPr>
      <w:proofErr w:type="spellStart"/>
      <w:r w:rsidRPr="00D1732A">
        <w:rPr>
          <w:rFonts w:ascii="Arial" w:eastAsia="Arial" w:hAnsi="Arial" w:cs="Arial"/>
          <w:sz w:val="20"/>
          <w:szCs w:val="20"/>
        </w:rPr>
        <w:t>Telino</w:t>
      </w:r>
      <w:proofErr w:type="spellEnd"/>
      <w:r w:rsidRPr="00D1732A">
        <w:rPr>
          <w:rFonts w:ascii="Arial" w:eastAsia="Arial" w:hAnsi="Arial" w:cs="Arial"/>
          <w:sz w:val="20"/>
          <w:szCs w:val="20"/>
        </w:rPr>
        <w:t xml:space="preserve"> Jr, W.R.; Guzzi, A.; Almeida, B.J.; Fedrizzi, C.E.; Oliveira, D.M.M.; </w:t>
      </w:r>
      <w:proofErr w:type="spellStart"/>
      <w:r w:rsidRPr="00D1732A">
        <w:rPr>
          <w:rFonts w:ascii="Arial" w:eastAsia="Arial" w:hAnsi="Arial" w:cs="Arial"/>
          <w:sz w:val="20"/>
          <w:szCs w:val="20"/>
        </w:rPr>
        <w:t>Paludo</w:t>
      </w:r>
      <w:proofErr w:type="spellEnd"/>
      <w:r w:rsidRPr="00D1732A">
        <w:rPr>
          <w:rFonts w:ascii="Arial" w:eastAsia="Arial" w:hAnsi="Arial" w:cs="Arial"/>
          <w:sz w:val="20"/>
          <w:szCs w:val="20"/>
        </w:rPr>
        <w:t xml:space="preserve">, D.; ... </w:t>
      </w:r>
      <w:r w:rsidRPr="00D1732A">
        <w:rPr>
          <w:rFonts w:ascii="Arial" w:eastAsia="Arial" w:hAnsi="Arial" w:cs="Arial"/>
          <w:sz w:val="20"/>
          <w:szCs w:val="20"/>
          <w:lang w:val="pt-BR"/>
        </w:rPr>
        <w:t>Rodrigues, R.C. 2023.</w:t>
      </w:r>
      <w:r w:rsidRPr="00D1732A">
        <w:rPr>
          <w:rFonts w:ascii="Arial" w:eastAsia="Arial" w:hAnsi="Arial" w:cs="Arial"/>
          <w:i/>
          <w:iCs/>
          <w:sz w:val="20"/>
          <w:szCs w:val="20"/>
          <w:lang w:val="pt-BR"/>
        </w:rPr>
        <w:t xml:space="preserve"> </w:t>
      </w:r>
      <w:proofErr w:type="spellStart"/>
      <w:r w:rsidRPr="00D1732A">
        <w:rPr>
          <w:rFonts w:ascii="Arial" w:eastAsia="Arial" w:hAnsi="Arial" w:cs="Arial"/>
          <w:i/>
          <w:iCs/>
          <w:sz w:val="20"/>
          <w:szCs w:val="20"/>
          <w:lang w:val="pt-BR"/>
        </w:rPr>
        <w:t>Numenius</w:t>
      </w:r>
      <w:proofErr w:type="spellEnd"/>
      <w:r w:rsidRPr="00D1732A">
        <w:rPr>
          <w:rFonts w:ascii="Arial" w:eastAsia="Arial" w:hAnsi="Arial" w:cs="Arial"/>
          <w:i/>
          <w:iCs/>
          <w:sz w:val="20"/>
          <w:szCs w:val="20"/>
          <w:lang w:val="pt-BR"/>
        </w:rPr>
        <w:t xml:space="preserve"> </w:t>
      </w:r>
      <w:proofErr w:type="spellStart"/>
      <w:r w:rsidRPr="00D1732A">
        <w:rPr>
          <w:rFonts w:ascii="Arial" w:eastAsia="Arial" w:hAnsi="Arial" w:cs="Arial"/>
          <w:i/>
          <w:iCs/>
          <w:sz w:val="20"/>
          <w:szCs w:val="20"/>
          <w:lang w:val="pt-BR"/>
        </w:rPr>
        <w:t>hudsonicus</w:t>
      </w:r>
      <w:proofErr w:type="spellEnd"/>
      <w:r w:rsidRPr="00D1732A">
        <w:rPr>
          <w:rFonts w:ascii="Arial" w:eastAsia="Arial" w:hAnsi="Arial" w:cs="Arial"/>
          <w:i/>
          <w:iCs/>
          <w:sz w:val="20"/>
          <w:szCs w:val="20"/>
          <w:lang w:val="pt-BR"/>
        </w:rPr>
        <w:t xml:space="preserve"> </w:t>
      </w:r>
      <w:r w:rsidRPr="00D1732A">
        <w:rPr>
          <w:rFonts w:ascii="Arial" w:eastAsia="Arial" w:hAnsi="Arial" w:cs="Arial"/>
          <w:sz w:val="20"/>
          <w:szCs w:val="20"/>
          <w:lang w:val="pt-BR"/>
        </w:rPr>
        <w:t xml:space="preserve">Latham, 1790. Sistema de Avaliação do Risco de Extinção da Biodiversidade - SALVE - Instituto Chico Mendes de Conservação da Biodiversidade - </w:t>
      </w:r>
      <w:proofErr w:type="spellStart"/>
      <w:r w:rsidRPr="00D1732A">
        <w:rPr>
          <w:rFonts w:ascii="Arial" w:eastAsia="Arial" w:hAnsi="Arial" w:cs="Arial"/>
          <w:sz w:val="20"/>
          <w:szCs w:val="20"/>
          <w:lang w:val="pt-BR"/>
        </w:rPr>
        <w:t>ICMBio</w:t>
      </w:r>
      <w:proofErr w:type="spellEnd"/>
      <w:r w:rsidRPr="00D1732A">
        <w:rPr>
          <w:rFonts w:ascii="Arial" w:eastAsia="Arial" w:hAnsi="Arial" w:cs="Arial"/>
          <w:sz w:val="20"/>
          <w:szCs w:val="20"/>
          <w:lang w:val="pt-BR"/>
        </w:rPr>
        <w:t xml:space="preserve">. </w:t>
      </w:r>
      <w:r w:rsidRPr="00D1732A">
        <w:rPr>
          <w:rFonts w:ascii="Arial" w:eastAsia="Arial" w:hAnsi="Arial" w:cs="Arial"/>
          <w:sz w:val="20"/>
          <w:szCs w:val="20"/>
        </w:rPr>
        <w:t xml:space="preserve">Retrieved from: </w:t>
      </w:r>
      <w:r w:rsidRPr="00D1732A">
        <w:rPr>
          <w:rFonts w:ascii="Arial" w:eastAsia="Arial" w:hAnsi="Arial" w:cs="Arial"/>
          <w:color w:val="0000FF"/>
          <w:sz w:val="20"/>
          <w:szCs w:val="20"/>
          <w:u w:val="single"/>
        </w:rPr>
        <w:t>https://salve.icmbio.gov.br DOI: 10.37002/salve.ficha.11800</w:t>
      </w:r>
      <w:r w:rsidRPr="00D1732A">
        <w:rPr>
          <w:rFonts w:ascii="Arial" w:eastAsia="Arial" w:hAnsi="Arial" w:cs="Arial"/>
          <w:sz w:val="20"/>
          <w:szCs w:val="20"/>
        </w:rPr>
        <w:t xml:space="preserve"> </w:t>
      </w:r>
    </w:p>
    <w:p w14:paraId="449BDEE3" w14:textId="77777777" w:rsidR="00A6618C" w:rsidRPr="00D1732A" w:rsidRDefault="00D1732A">
      <w:pPr>
        <w:pStyle w:val="Bibliography"/>
        <w:spacing w:after="80"/>
        <w:ind w:left="709" w:hanging="709"/>
        <w:jc w:val="both"/>
        <w:rPr>
          <w:rFonts w:ascii="Arial" w:eastAsia="Arial" w:hAnsi="Arial" w:cs="Arial"/>
          <w:sz w:val="20"/>
          <w:szCs w:val="20"/>
        </w:rPr>
      </w:pPr>
      <w:r w:rsidRPr="00D1732A">
        <w:rPr>
          <w:rFonts w:ascii="Arial" w:eastAsia="Arial" w:hAnsi="Arial" w:cs="Arial"/>
          <w:sz w:val="20"/>
          <w:szCs w:val="20"/>
        </w:rPr>
        <w:t xml:space="preserve">U.S. Shorebird Conservation Plan Partnership. (2016). Shorebirds of Conservation Concern in the United States of America ─ 2016. Retrieved from </w:t>
      </w:r>
      <w:hyperlink r:id="rId44">
        <w:r w:rsidR="00A6618C" w:rsidRPr="00D1732A">
          <w:rPr>
            <w:rStyle w:val="Hyperlink"/>
            <w:rFonts w:ascii="Arial" w:eastAsia="Arial" w:hAnsi="Arial" w:cs="Arial"/>
            <w:sz w:val="20"/>
            <w:szCs w:val="20"/>
          </w:rPr>
          <w:t>http://www.shorebirdplan.org/science/assessment-conservation-status-shorebirds</w:t>
        </w:r>
      </w:hyperlink>
      <w:r w:rsidRPr="00D1732A">
        <w:rPr>
          <w:rFonts w:ascii="Arial" w:eastAsia="Arial" w:hAnsi="Arial" w:cs="Arial"/>
          <w:sz w:val="20"/>
          <w:szCs w:val="20"/>
        </w:rPr>
        <w:t xml:space="preserve"> </w:t>
      </w:r>
    </w:p>
    <w:p w14:paraId="2AC2730B" w14:textId="77777777" w:rsidR="00A6618C" w:rsidRPr="00D1732A" w:rsidRDefault="00D1732A">
      <w:pPr>
        <w:pStyle w:val="Bibliography"/>
        <w:spacing w:after="80"/>
        <w:ind w:left="709" w:hanging="709"/>
        <w:jc w:val="both"/>
        <w:rPr>
          <w:rFonts w:ascii="Arial" w:eastAsia="Arial" w:hAnsi="Arial" w:cs="Arial"/>
          <w:sz w:val="20"/>
          <w:szCs w:val="20"/>
        </w:rPr>
      </w:pPr>
      <w:r w:rsidRPr="00D1732A">
        <w:rPr>
          <w:rFonts w:ascii="Arial" w:eastAsia="Arial" w:hAnsi="Arial" w:cs="Arial"/>
          <w:sz w:val="20"/>
          <w:szCs w:val="20"/>
        </w:rPr>
        <w:t xml:space="preserve">Watts, B. D., &amp; Truitt, B. R. (2011). Decline of Whimbrels within a Mid-Atlantic Staging Area (1994–2009). Waterbirds, 34(3), 347–351. </w:t>
      </w:r>
      <w:hyperlink r:id="rId45">
        <w:r w:rsidR="00A6618C" w:rsidRPr="00D1732A">
          <w:rPr>
            <w:rStyle w:val="Hyperlink"/>
            <w:rFonts w:ascii="Arial" w:eastAsia="Arial" w:hAnsi="Arial" w:cs="Arial"/>
            <w:sz w:val="20"/>
            <w:szCs w:val="20"/>
          </w:rPr>
          <w:t>https://doi.org/10.1675/063.034.0308</w:t>
        </w:r>
      </w:hyperlink>
      <w:r w:rsidRPr="00D1732A">
        <w:rPr>
          <w:rFonts w:ascii="Arial" w:eastAsia="Arial" w:hAnsi="Arial" w:cs="Arial"/>
          <w:sz w:val="20"/>
          <w:szCs w:val="20"/>
        </w:rPr>
        <w:t xml:space="preserve"> </w:t>
      </w:r>
    </w:p>
    <w:p w14:paraId="00C43FCC" w14:textId="77777777" w:rsidR="00A6618C" w:rsidRPr="00D1732A" w:rsidRDefault="00D1732A">
      <w:pPr>
        <w:pStyle w:val="Bibliography"/>
        <w:spacing w:after="80"/>
        <w:ind w:left="709" w:hanging="709"/>
        <w:jc w:val="both"/>
        <w:rPr>
          <w:rFonts w:ascii="Arial" w:eastAsia="Arial" w:hAnsi="Arial" w:cs="Arial"/>
          <w:sz w:val="20"/>
          <w:szCs w:val="20"/>
        </w:rPr>
      </w:pPr>
      <w:r w:rsidRPr="00D1732A">
        <w:rPr>
          <w:rFonts w:ascii="Arial" w:eastAsia="Arial" w:hAnsi="Arial" w:cs="Arial"/>
          <w:sz w:val="20"/>
          <w:szCs w:val="20"/>
        </w:rPr>
        <w:t xml:space="preserve">Watts, B. D., Smith, F. M., Hines, C., Duval, L., Hamilton, D. J., Keyes, T., … Woodard, P. (2021). The annual cycle for whimbrel populations using the Western Atlantic Flyway. </w:t>
      </w:r>
      <w:proofErr w:type="spellStart"/>
      <w:r w:rsidRPr="00D1732A">
        <w:rPr>
          <w:rFonts w:ascii="Arial" w:eastAsia="Arial" w:hAnsi="Arial" w:cs="Arial"/>
          <w:sz w:val="20"/>
          <w:szCs w:val="20"/>
        </w:rPr>
        <w:t>PLoS</w:t>
      </w:r>
      <w:proofErr w:type="spellEnd"/>
      <w:r w:rsidRPr="00D1732A">
        <w:rPr>
          <w:rFonts w:ascii="Arial" w:eastAsia="Arial" w:hAnsi="Arial" w:cs="Arial"/>
          <w:sz w:val="20"/>
          <w:szCs w:val="20"/>
        </w:rPr>
        <w:t xml:space="preserve"> ONE, 16(12), e0260339. </w:t>
      </w:r>
      <w:hyperlink r:id="rId46">
        <w:r w:rsidR="00A6618C" w:rsidRPr="00D1732A">
          <w:rPr>
            <w:rStyle w:val="Hyperlink"/>
            <w:rFonts w:ascii="Arial" w:eastAsia="Arial" w:hAnsi="Arial" w:cs="Arial"/>
            <w:sz w:val="20"/>
            <w:szCs w:val="20"/>
          </w:rPr>
          <w:t>https://doi.org/10.1371/journal.pone.0260339</w:t>
        </w:r>
      </w:hyperlink>
      <w:r w:rsidRPr="00D1732A">
        <w:rPr>
          <w:rFonts w:ascii="Arial" w:eastAsia="Arial" w:hAnsi="Arial" w:cs="Arial"/>
          <w:sz w:val="20"/>
          <w:szCs w:val="20"/>
        </w:rPr>
        <w:t xml:space="preserve"> </w:t>
      </w:r>
    </w:p>
    <w:p w14:paraId="03D01D93" w14:textId="77777777" w:rsidR="00A6618C" w:rsidRPr="00DE5863" w:rsidRDefault="00D1732A">
      <w:pPr>
        <w:pStyle w:val="Bibliography"/>
        <w:spacing w:after="80"/>
        <w:ind w:left="709" w:hanging="709"/>
        <w:jc w:val="both"/>
        <w:rPr>
          <w:rFonts w:ascii="Arial" w:eastAsia="Arial" w:hAnsi="Arial" w:cs="Arial"/>
          <w:sz w:val="20"/>
          <w:szCs w:val="20"/>
        </w:rPr>
      </w:pPr>
      <w:r w:rsidRPr="00D1732A">
        <w:rPr>
          <w:rFonts w:ascii="Arial" w:eastAsia="Arial" w:hAnsi="Arial" w:cs="Arial"/>
          <w:sz w:val="20"/>
          <w:szCs w:val="20"/>
        </w:rPr>
        <w:t>Wilke, A. L., &amp; Johnston-González, R. (2010). Conservation Plan for the Whimbrel (</w:t>
      </w:r>
      <w:r w:rsidRPr="00D1732A">
        <w:rPr>
          <w:rFonts w:ascii="Arial" w:eastAsia="Arial" w:hAnsi="Arial" w:cs="Arial"/>
          <w:i/>
          <w:iCs/>
          <w:sz w:val="20"/>
          <w:szCs w:val="20"/>
        </w:rPr>
        <w:t xml:space="preserve">Numenius </w:t>
      </w:r>
      <w:proofErr w:type="spellStart"/>
      <w:r w:rsidRPr="00D1732A">
        <w:rPr>
          <w:rFonts w:ascii="Arial" w:eastAsia="Arial" w:hAnsi="Arial" w:cs="Arial"/>
          <w:i/>
          <w:iCs/>
          <w:sz w:val="20"/>
          <w:szCs w:val="20"/>
        </w:rPr>
        <w:t>phaeopus</w:t>
      </w:r>
      <w:proofErr w:type="spellEnd"/>
      <w:r w:rsidRPr="00D1732A">
        <w:rPr>
          <w:rFonts w:ascii="Arial" w:eastAsia="Arial" w:hAnsi="Arial" w:cs="Arial"/>
          <w:i/>
          <w:iCs/>
          <w:sz w:val="20"/>
          <w:szCs w:val="20"/>
        </w:rPr>
        <w:t>)</w:t>
      </w:r>
      <w:r w:rsidRPr="00D1732A">
        <w:rPr>
          <w:rFonts w:ascii="Arial" w:eastAsia="Arial" w:hAnsi="Arial" w:cs="Arial"/>
          <w:sz w:val="20"/>
          <w:szCs w:val="20"/>
        </w:rPr>
        <w:t>. Version 1.1. Manomet Center for Conservation Sciences, Manomet, Massachusetts.</w:t>
      </w:r>
    </w:p>
    <w:p w14:paraId="620B472D" w14:textId="77777777" w:rsidR="00A6618C" w:rsidRPr="00DE5863" w:rsidRDefault="00A6618C">
      <w:pPr>
        <w:spacing w:after="80"/>
        <w:jc w:val="both"/>
        <w:rPr>
          <w:rFonts w:ascii="Arial" w:hAnsi="Arial" w:cs="Arial"/>
          <w:sz w:val="20"/>
          <w:szCs w:val="20"/>
          <w:lang w:val="fr-FR"/>
        </w:rPr>
      </w:pPr>
    </w:p>
    <w:sectPr w:rsidR="00A6618C" w:rsidRPr="00DE5863">
      <w:headerReference w:type="even" r:id="rId47"/>
      <w:headerReference w:type="default" r:id="rId48"/>
      <w:footerReference w:type="even" r:id="rId49"/>
      <w:footerReference w:type="default" r:id="rId50"/>
      <w:headerReference w:type="first" r:id="rId51"/>
      <w:footerReference w:type="first" r:id="rId52"/>
      <w:endnotePr>
        <w:numFmt w:val="decimal"/>
      </w:endnotePr>
      <w:pgSz w:w="11905" w:h="16837" w:code="9"/>
      <w:pgMar w:top="1440" w:right="1440" w:bottom="1440" w:left="1440" w:header="630"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9F7D1" w14:textId="77777777" w:rsidR="00BA03A6" w:rsidRDefault="00BA03A6">
      <w:pPr>
        <w:spacing w:after="0"/>
        <w:rPr>
          <w:lang w:val="fr-FR"/>
        </w:rPr>
      </w:pPr>
      <w:r>
        <w:rPr>
          <w:lang w:val="fr-FR"/>
        </w:rPr>
        <w:separator/>
      </w:r>
    </w:p>
  </w:endnote>
  <w:endnote w:type="continuationSeparator" w:id="0">
    <w:p w14:paraId="4B57EC74" w14:textId="77777777" w:rsidR="00BA03A6" w:rsidRDefault="00BA03A6">
      <w:pPr>
        <w:spacing w:after="0"/>
        <w:rPr>
          <w:lang w:val="fr-FR"/>
        </w:rPr>
      </w:pPr>
      <w:r>
        <w:rPr>
          <w:lang w:val="fr-FR"/>
        </w:rPr>
        <w:continuationSeparator/>
      </w:r>
    </w:p>
  </w:endnote>
  <w:endnote w:type="continuationNotice" w:id="1">
    <w:p w14:paraId="18BDF824" w14:textId="77777777" w:rsidR="00BA03A6" w:rsidRDefault="00BA03A6">
      <w:pPr>
        <w:spacing w:after="0"/>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B311E" w14:textId="77777777" w:rsidR="007F2952" w:rsidRPr="009B2D14" w:rsidRDefault="001A17E8">
    <w:pPr>
      <w:pStyle w:val="Footer"/>
      <w:ind w:right="-367"/>
      <w:jc w:val="center"/>
    </w:pPr>
    <w:r w:rsidRPr="009B2D14">
      <w:rPr>
        <w:rFonts w:cs="Arial"/>
      </w:rPr>
      <w:fldChar w:fldCharType="begin"/>
    </w:r>
    <w:r w:rsidRPr="009B2D14">
      <w:rPr>
        <w:rFonts w:cs="Arial"/>
      </w:rPr>
      <w:instrText xml:space="preserve"> PAGE </w:instrText>
    </w:r>
    <w:r w:rsidRPr="009B2D14">
      <w:rPr>
        <w:rFonts w:cs="Arial"/>
      </w:rPr>
      <w:fldChar w:fldCharType="separate"/>
    </w:r>
    <w:r w:rsidRPr="009B2D14">
      <w:rPr>
        <w:rFonts w:cs="Arial"/>
      </w:rPr>
      <w:t>7</w:t>
    </w:r>
    <w:r w:rsidRPr="009B2D14">
      <w:rP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6D377" w14:textId="77777777" w:rsidR="00A6618C" w:rsidRDefault="00A6618C">
    <w:pPr>
      <w:pStyle w:val="Footer"/>
      <w:ind w:right="-637"/>
      <w:jc w:val="right"/>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2068171973"/>
      <w:docPartObj>
        <w:docPartGallery w:val="Page Numbers (Bottom of Page)"/>
        <w:docPartUnique/>
      </w:docPartObj>
    </w:sdtPr>
    <w:sdtEndPr>
      <w:rPr>
        <w:noProof/>
      </w:rPr>
    </w:sdtEndPr>
    <w:sdtContent>
      <w:p w14:paraId="43F68ADE" w14:textId="77777777" w:rsidR="00B12BD5" w:rsidRPr="009B2D14" w:rsidRDefault="00B12BD5">
        <w:pPr>
          <w:pStyle w:val="Footer"/>
          <w:jc w:val="center"/>
          <w:rPr>
            <w:rFonts w:ascii="Arial" w:hAnsi="Arial" w:cs="Arial"/>
            <w:sz w:val="18"/>
            <w:szCs w:val="18"/>
          </w:rPr>
        </w:pPr>
        <w:r w:rsidRPr="009B2D14">
          <w:rPr>
            <w:rFonts w:ascii="Arial" w:hAnsi="Arial" w:cs="Arial"/>
            <w:sz w:val="18"/>
            <w:szCs w:val="18"/>
          </w:rPr>
          <w:fldChar w:fldCharType="begin"/>
        </w:r>
        <w:r w:rsidRPr="009B2D14">
          <w:rPr>
            <w:rFonts w:ascii="Arial" w:hAnsi="Arial" w:cs="Arial"/>
            <w:sz w:val="18"/>
            <w:szCs w:val="18"/>
          </w:rPr>
          <w:instrText xml:space="preserve"> PAGE   \* MERGEFORMAT </w:instrText>
        </w:r>
        <w:r w:rsidRPr="009B2D14">
          <w:rPr>
            <w:rFonts w:ascii="Arial" w:hAnsi="Arial" w:cs="Arial"/>
            <w:sz w:val="18"/>
            <w:szCs w:val="18"/>
          </w:rPr>
          <w:fldChar w:fldCharType="separate"/>
        </w:r>
        <w:r w:rsidRPr="009B2D14">
          <w:rPr>
            <w:rFonts w:ascii="Arial" w:hAnsi="Arial" w:cs="Arial"/>
            <w:noProof/>
            <w:sz w:val="18"/>
            <w:szCs w:val="18"/>
          </w:rPr>
          <w:t>2</w:t>
        </w:r>
        <w:r w:rsidRPr="009B2D14">
          <w:rPr>
            <w:rFonts w:ascii="Arial" w:hAnsi="Arial" w:cs="Arial"/>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0B441" w14:textId="77777777" w:rsidR="007F2952" w:rsidRPr="009B2D14" w:rsidRDefault="001A17E8">
    <w:pPr>
      <w:pStyle w:val="Footer"/>
      <w:ind w:right="-367"/>
      <w:jc w:val="center"/>
    </w:pPr>
    <w:r w:rsidRPr="009B2D14">
      <w:rPr>
        <w:rFonts w:ascii="Arial" w:hAnsi="Arial" w:cs="Arial"/>
        <w:sz w:val="18"/>
        <w:szCs w:val="18"/>
      </w:rPr>
      <w:fldChar w:fldCharType="begin"/>
    </w:r>
    <w:r w:rsidRPr="009B2D14">
      <w:rPr>
        <w:rFonts w:ascii="Arial" w:hAnsi="Arial" w:cs="Arial"/>
        <w:sz w:val="18"/>
        <w:szCs w:val="18"/>
      </w:rPr>
      <w:instrText xml:space="preserve"> PAGE </w:instrText>
    </w:r>
    <w:r w:rsidRPr="009B2D14">
      <w:rPr>
        <w:rFonts w:ascii="Arial" w:hAnsi="Arial" w:cs="Arial"/>
        <w:sz w:val="18"/>
        <w:szCs w:val="18"/>
      </w:rPr>
      <w:fldChar w:fldCharType="separate"/>
    </w:r>
    <w:r w:rsidRPr="009B2D14">
      <w:rPr>
        <w:rFonts w:ascii="Arial" w:hAnsi="Arial" w:cs="Arial"/>
        <w:sz w:val="18"/>
        <w:szCs w:val="18"/>
      </w:rPr>
      <w:t>7</w:t>
    </w:r>
    <w:r w:rsidRPr="009B2D14">
      <w:rPr>
        <w:rFonts w:ascii="Arial" w:hAnsi="Arial" w:cs="Arial"/>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DA2C3" w14:textId="77777777" w:rsidR="007F2952" w:rsidRPr="009B2D14" w:rsidRDefault="001A17E8">
    <w:pPr>
      <w:pStyle w:val="Footer"/>
      <w:jc w:val="center"/>
    </w:pPr>
    <w:r w:rsidRPr="009B2D14">
      <w:fldChar w:fldCharType="begin"/>
    </w:r>
    <w:r w:rsidRPr="009B2D14">
      <w:instrText xml:space="preserve"> PAGE </w:instrText>
    </w:r>
    <w:r w:rsidRPr="009B2D14">
      <w:fldChar w:fldCharType="separate"/>
    </w:r>
    <w:r w:rsidRPr="009B2D14">
      <w:t>2</w:t>
    </w:r>
    <w:r w:rsidRPr="009B2D1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D46831" w14:textId="77777777" w:rsidR="00BA03A6" w:rsidRDefault="00BA03A6">
      <w:pPr>
        <w:spacing w:after="0"/>
        <w:rPr>
          <w:lang w:val="fr-FR"/>
        </w:rPr>
      </w:pPr>
      <w:r>
        <w:rPr>
          <w:color w:val="000000"/>
          <w:lang w:val="fr-FR"/>
        </w:rPr>
        <w:separator/>
      </w:r>
    </w:p>
  </w:footnote>
  <w:footnote w:type="continuationSeparator" w:id="0">
    <w:p w14:paraId="7860707E" w14:textId="77777777" w:rsidR="00BA03A6" w:rsidRDefault="00BA03A6">
      <w:pPr>
        <w:spacing w:after="0"/>
        <w:rPr>
          <w:lang w:val="fr-FR"/>
        </w:rPr>
      </w:pPr>
      <w:r>
        <w:rPr>
          <w:lang w:val="fr-FR"/>
        </w:rPr>
        <w:continuationSeparator/>
      </w:r>
    </w:p>
  </w:footnote>
  <w:footnote w:type="continuationNotice" w:id="1">
    <w:p w14:paraId="74815900" w14:textId="77777777" w:rsidR="00BA03A6" w:rsidRDefault="00BA03A6">
      <w:pPr>
        <w:spacing w:after="0"/>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A1033" w14:textId="77777777" w:rsidR="007F2952" w:rsidRPr="009B2D14" w:rsidRDefault="001A17E8">
    <w:pPr>
      <w:pStyle w:val="Heading1"/>
      <w:keepNext w:val="0"/>
      <w:pBdr>
        <w:bottom w:val="single" w:sz="4" w:space="1" w:color="000000"/>
      </w:pBdr>
      <w:ind w:left="261" w:right="-277" w:hanging="261"/>
      <w:jc w:val="right"/>
      <w:rPr>
        <w:lang w:val="fr-FR"/>
      </w:rPr>
    </w:pPr>
    <w:r w:rsidRPr="009B2D14">
      <w:rPr>
        <w:rFonts w:cs="Arial"/>
        <w:i/>
        <w:sz w:val="18"/>
        <w:szCs w:val="18"/>
        <w:lang w:val="fr-FR"/>
      </w:rPr>
      <w:t>UNEP/CMS/COP12/</w:t>
    </w:r>
    <w:proofErr w:type="spellStart"/>
    <w:r w:rsidRPr="009B2D14">
      <w:rPr>
        <w:rFonts w:cs="Arial"/>
        <w:i/>
        <w:sz w:val="18"/>
        <w:szCs w:val="18"/>
        <w:lang w:val="fr-FR"/>
      </w:rPr>
      <w:t>Doc.x</w:t>
    </w:r>
    <w:proofErr w:type="spellEnd"/>
    <w:r w:rsidRPr="009B2D14">
      <w:rPr>
        <w:rFonts w:cs="Arial"/>
        <w:i/>
        <w:sz w:val="18"/>
        <w:szCs w:val="18"/>
        <w:lang w:val="fr-FR"/>
      </w:rPr>
      <w:t>/x</w:t>
    </w:r>
  </w:p>
  <w:p w14:paraId="11EC684B" w14:textId="77777777" w:rsidR="007F2952" w:rsidRPr="009B2D14" w:rsidRDefault="007F2952">
    <w:pPr>
      <w:jc w:val="right"/>
      <w:rPr>
        <w:i/>
        <w:szCs w:val="20"/>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F5653" w14:textId="77777777" w:rsidR="00F9311B" w:rsidRPr="00FF59D5" w:rsidRDefault="00F9311B" w:rsidP="00F9311B">
    <w:pPr>
      <w:widowControl w:val="0"/>
      <w:tabs>
        <w:tab w:val="center" w:pos="4153"/>
        <w:tab w:val="right" w:pos="8306"/>
      </w:tabs>
      <w:autoSpaceDE w:val="0"/>
      <w:spacing w:after="0"/>
      <w:ind w:right="-547"/>
      <w:jc w:val="right"/>
      <w:rPr>
        <w:rFonts w:eastAsia="Times New Roman"/>
        <w:sz w:val="18"/>
        <w:szCs w:val="20"/>
        <w:lang w:val="en-GB"/>
      </w:rPr>
    </w:pPr>
    <w:bookmarkStart w:id="2" w:name="_Hlk208560916"/>
    <w:bookmarkStart w:id="3" w:name="_Hlk208560917"/>
    <w:r>
      <w:rPr>
        <w:noProof/>
      </w:rPr>
      <w:drawing>
        <wp:anchor distT="0" distB="0" distL="114300" distR="114300" simplePos="0" relativeHeight="251661312" behindDoc="0" locked="0" layoutInCell="1" allowOverlap="1" wp14:anchorId="4B7F75B5" wp14:editId="73D38C7F">
          <wp:simplePos x="0" y="0"/>
          <wp:positionH relativeFrom="column">
            <wp:posOffset>38100</wp:posOffset>
          </wp:positionH>
          <wp:positionV relativeFrom="paragraph">
            <wp:posOffset>-85725</wp:posOffset>
          </wp:positionV>
          <wp:extent cx="714375" cy="714375"/>
          <wp:effectExtent l="0" t="0" r="9525" b="9525"/>
          <wp:wrapSquare wrapText="bothSides"/>
          <wp:docPr id="79" name="Picture 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Logo&#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4375" cy="714375"/>
                  </a:xfrm>
                  <a:prstGeom prst="rect">
                    <a:avLst/>
                  </a:prstGeom>
                  <a:noFill/>
                  <a:ln>
                    <a:noFill/>
                  </a:ln>
                </pic:spPr>
              </pic:pic>
            </a:graphicData>
          </a:graphic>
        </wp:anchor>
      </w:drawing>
    </w:r>
    <w:r w:rsidRPr="00EC2A58">
      <w:rPr>
        <w:rFonts w:eastAsia="Times New Roman"/>
        <w:noProof/>
        <w:sz w:val="18"/>
        <w:szCs w:val="20"/>
      </w:rPr>
      <w:drawing>
        <wp:anchor distT="0" distB="0" distL="114300" distR="114300" simplePos="0" relativeHeight="251659264" behindDoc="0" locked="0" layoutInCell="1" allowOverlap="1" wp14:anchorId="15C1EBFC" wp14:editId="30A112F5">
          <wp:simplePos x="0" y="0"/>
          <wp:positionH relativeFrom="column">
            <wp:posOffset>875666</wp:posOffset>
          </wp:positionH>
          <wp:positionV relativeFrom="paragraph">
            <wp:posOffset>1901</wp:posOffset>
          </wp:positionV>
          <wp:extent cx="431167" cy="440685"/>
          <wp:effectExtent l="0" t="0" r="6983" b="0"/>
          <wp:wrapTight wrapText="bothSides">
            <wp:wrapPolygon edited="0">
              <wp:start x="0" y="0"/>
              <wp:lineTo x="0" y="20542"/>
              <wp:lineTo x="20995" y="20542"/>
              <wp:lineTo x="20995" y="0"/>
              <wp:lineTo x="0" y="0"/>
            </wp:wrapPolygon>
          </wp:wrapTight>
          <wp:docPr id="80" name="Picture 2"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80" name="Picture 2" descr="A black and white logo&#10;&#10;AI-generated content may be incorrect."/>
                  <pic:cNvPicPr/>
                </pic:nvPicPr>
                <pic:blipFill>
                  <a:blip r:embed="rId2"/>
                  <a:srcRect l="2780" t="-1236" r="60236" b="48836"/>
                  <a:stretch>
                    <a:fillRect/>
                  </a:stretch>
                </pic:blipFill>
                <pic:spPr>
                  <a:xfrm>
                    <a:off x="0" y="0"/>
                    <a:ext cx="431167" cy="440685"/>
                  </a:xfrm>
                  <a:prstGeom prst="rect">
                    <a:avLst/>
                  </a:prstGeom>
                  <a:noFill/>
                  <a:ln>
                    <a:noFill/>
                    <a:prstDash/>
                  </a:ln>
                </pic:spPr>
              </pic:pic>
            </a:graphicData>
          </a:graphic>
        </wp:anchor>
      </w:drawing>
    </w:r>
    <w:r w:rsidRPr="00EC2A58">
      <w:rPr>
        <w:rFonts w:eastAsia="Times New Roman"/>
        <w:noProof/>
        <w:sz w:val="4"/>
        <w:szCs w:val="4"/>
        <w:lang w:val="en-GB"/>
      </w:rPr>
      <w:drawing>
        <wp:anchor distT="0" distB="0" distL="114300" distR="114300" simplePos="0" relativeHeight="251660288" behindDoc="0" locked="0" layoutInCell="1" allowOverlap="1" wp14:anchorId="109F20E7" wp14:editId="43BE07DF">
          <wp:simplePos x="0" y="0"/>
          <wp:positionH relativeFrom="column">
            <wp:posOffset>5571494</wp:posOffset>
          </wp:positionH>
          <wp:positionV relativeFrom="paragraph">
            <wp:posOffset>161291</wp:posOffset>
          </wp:positionV>
          <wp:extent cx="590546" cy="278133"/>
          <wp:effectExtent l="0" t="0" r="4" b="7617"/>
          <wp:wrapTight wrapText="bothSides">
            <wp:wrapPolygon edited="0">
              <wp:start x="0" y="0"/>
              <wp:lineTo x="0" y="20712"/>
              <wp:lineTo x="20903" y="20712"/>
              <wp:lineTo x="20903" y="0"/>
              <wp:lineTo x="0" y="0"/>
            </wp:wrapPolygon>
          </wp:wrapTight>
          <wp:docPr id="81"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590546" cy="278133"/>
                  </a:xfrm>
                  <a:prstGeom prst="rect">
                    <a:avLst/>
                  </a:prstGeom>
                  <a:noFill/>
                  <a:ln>
                    <a:noFill/>
                    <a:prstDash/>
                  </a:ln>
                </pic:spPr>
              </pic:pic>
            </a:graphicData>
          </a:graphic>
        </wp:anchor>
      </w:drawing>
    </w:r>
    <w:bookmarkEnd w:id="2"/>
    <w:bookmarkEnd w:id="3"/>
  </w:p>
  <w:p w14:paraId="6474C4DE" w14:textId="77777777" w:rsidR="00A6618C" w:rsidRDefault="00A6618C">
    <w:pPr>
      <w:pStyle w:val="Header"/>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B0576" w14:textId="77777777" w:rsidR="00A6618C" w:rsidRDefault="00D1732A">
    <w:pPr>
      <w:pStyle w:val="Header"/>
      <w:pBdr>
        <w:bottom w:val="single" w:sz="4" w:space="1" w:color="000000"/>
      </w:pBdr>
    </w:pPr>
    <w:r>
      <w:rPr>
        <w:rFonts w:ascii="Arial" w:hAnsi="Arial" w:cs="Arial"/>
        <w:i/>
        <w:sz w:val="18"/>
        <w:szCs w:val="18"/>
      </w:rPr>
      <w:t>UNEP/CMS/COP15/Doc.30.2.7</w:t>
    </w:r>
  </w:p>
  <w:p w14:paraId="338D53DD" w14:textId="77777777" w:rsidR="00A6618C" w:rsidRDefault="00A6618C">
    <w:pPr>
      <w:pStyle w:val="Header"/>
      <w:rPr>
        <w:lang w:val="fr-FR"/>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15985" w14:textId="77777777" w:rsidR="00A6618C" w:rsidRDefault="00D1732A">
    <w:pPr>
      <w:pStyle w:val="Header"/>
      <w:pBdr>
        <w:bottom w:val="single" w:sz="4" w:space="1" w:color="000000"/>
      </w:pBdr>
      <w:jc w:val="right"/>
    </w:pPr>
    <w:r>
      <w:rPr>
        <w:rFonts w:ascii="Arial" w:hAnsi="Arial" w:cs="Arial"/>
        <w:i/>
        <w:sz w:val="18"/>
        <w:szCs w:val="18"/>
      </w:rPr>
      <w:t>UNEP/CMS/COP15/Doc.30.2.7</w:t>
    </w:r>
  </w:p>
  <w:p w14:paraId="30F3F452" w14:textId="77777777" w:rsidR="00A6618C" w:rsidRDefault="00A6618C">
    <w:pPr>
      <w:pStyle w:val="Header"/>
      <w:rPr>
        <w:lang w:val="fr-F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54CF9" w14:textId="77777777" w:rsidR="007F2952" w:rsidRPr="009B2D14" w:rsidRDefault="001A17E8">
    <w:pPr>
      <w:pStyle w:val="Header"/>
      <w:pBdr>
        <w:bottom w:val="single" w:sz="4" w:space="1" w:color="000000"/>
      </w:pBdr>
    </w:pPr>
    <w:r w:rsidRPr="009B2D14">
      <w:rPr>
        <w:rFonts w:ascii="Arial" w:hAnsi="Arial" w:cs="Arial"/>
        <w:i/>
        <w:sz w:val="18"/>
        <w:szCs w:val="18"/>
      </w:rPr>
      <w:t>UNEP/CMS/COP1</w:t>
    </w:r>
    <w:r w:rsidR="00306C57" w:rsidRPr="009B2D14">
      <w:rPr>
        <w:rFonts w:ascii="Arial" w:hAnsi="Arial" w:cs="Arial"/>
        <w:i/>
        <w:sz w:val="18"/>
        <w:szCs w:val="18"/>
      </w:rPr>
      <w:t>5</w:t>
    </w:r>
    <w:r w:rsidRPr="009B2D14">
      <w:rPr>
        <w:rFonts w:ascii="Arial" w:hAnsi="Arial" w:cs="Arial"/>
        <w:i/>
        <w:sz w:val="18"/>
        <w:szCs w:val="18"/>
      </w:rPr>
      <w:t>/Doc.</w:t>
    </w:r>
    <w:r w:rsidR="00E573F4" w:rsidRPr="009B2D14">
      <w:rPr>
        <w:rFonts w:ascii="Arial" w:hAnsi="Arial" w:cs="Arial"/>
        <w:i/>
        <w:sz w:val="18"/>
        <w:szCs w:val="18"/>
      </w:rPr>
      <w:t>30.2.7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C55CE"/>
    <w:multiLevelType w:val="hybridMultilevel"/>
    <w:tmpl w:val="F60E36C6"/>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53E321B"/>
    <w:multiLevelType w:val="hybridMultilevel"/>
    <w:tmpl w:val="84E24E62"/>
    <w:lvl w:ilvl="0" w:tplc="EB281F1E">
      <w:start w:val="1"/>
      <w:numFmt w:val="bullet"/>
      <w:lvlText w:val=""/>
      <w:lvlJc w:val="left"/>
      <w:pPr>
        <w:ind w:left="720" w:hanging="360"/>
      </w:pPr>
      <w:rPr>
        <w:rFonts w:ascii="Symbol" w:hAnsi="Symbol"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7E14325"/>
    <w:multiLevelType w:val="hybridMultilevel"/>
    <w:tmpl w:val="CD48F0EC"/>
    <w:lvl w:ilvl="0" w:tplc="7B1C83C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DB30498"/>
    <w:multiLevelType w:val="hybridMultilevel"/>
    <w:tmpl w:val="6994EEF8"/>
    <w:lvl w:ilvl="0" w:tplc="D05AB108">
      <w:start w:val="1"/>
      <w:numFmt w:val="bullet"/>
      <w:lvlText w:val="-"/>
      <w:lvlJc w:val="left"/>
      <w:pPr>
        <w:ind w:left="360" w:hanging="360"/>
      </w:pPr>
      <w:rPr>
        <w:rFonts w:ascii="Times New Roman" w:hAnsi="Times New Roman" w:hint="default"/>
      </w:rPr>
    </w:lvl>
    <w:lvl w:ilvl="1" w:tplc="F8209CA4" w:tentative="1">
      <w:start w:val="1"/>
      <w:numFmt w:val="bullet"/>
      <w:lvlText w:val="o"/>
      <w:lvlJc w:val="left"/>
      <w:pPr>
        <w:ind w:left="1080" w:hanging="360"/>
      </w:pPr>
      <w:rPr>
        <w:rFonts w:ascii="Courier New" w:hAnsi="Courier New" w:hint="default"/>
      </w:rPr>
    </w:lvl>
    <w:lvl w:ilvl="2" w:tplc="C7B87E88" w:tentative="1">
      <w:start w:val="1"/>
      <w:numFmt w:val="bullet"/>
      <w:lvlText w:val=""/>
      <w:lvlJc w:val="left"/>
      <w:pPr>
        <w:ind w:left="1800" w:hanging="360"/>
      </w:pPr>
      <w:rPr>
        <w:rFonts w:ascii="Wingdings" w:hAnsi="Wingdings" w:hint="default"/>
      </w:rPr>
    </w:lvl>
    <w:lvl w:ilvl="3" w:tplc="86CEED7C" w:tentative="1">
      <w:start w:val="1"/>
      <w:numFmt w:val="bullet"/>
      <w:lvlText w:val=""/>
      <w:lvlJc w:val="left"/>
      <w:pPr>
        <w:ind w:left="2520" w:hanging="360"/>
      </w:pPr>
      <w:rPr>
        <w:rFonts w:ascii="Symbol" w:hAnsi="Symbol" w:hint="default"/>
      </w:rPr>
    </w:lvl>
    <w:lvl w:ilvl="4" w:tplc="6DCE03EA" w:tentative="1">
      <w:start w:val="1"/>
      <w:numFmt w:val="bullet"/>
      <w:lvlText w:val="o"/>
      <w:lvlJc w:val="left"/>
      <w:pPr>
        <w:ind w:left="3240" w:hanging="360"/>
      </w:pPr>
      <w:rPr>
        <w:rFonts w:ascii="Courier New" w:hAnsi="Courier New" w:hint="default"/>
      </w:rPr>
    </w:lvl>
    <w:lvl w:ilvl="5" w:tplc="68F864CE" w:tentative="1">
      <w:start w:val="1"/>
      <w:numFmt w:val="bullet"/>
      <w:lvlText w:val=""/>
      <w:lvlJc w:val="left"/>
      <w:pPr>
        <w:ind w:left="3960" w:hanging="360"/>
      </w:pPr>
      <w:rPr>
        <w:rFonts w:ascii="Wingdings" w:hAnsi="Wingdings" w:hint="default"/>
      </w:rPr>
    </w:lvl>
    <w:lvl w:ilvl="6" w:tplc="A1C6A442" w:tentative="1">
      <w:start w:val="1"/>
      <w:numFmt w:val="bullet"/>
      <w:lvlText w:val=""/>
      <w:lvlJc w:val="left"/>
      <w:pPr>
        <w:ind w:left="4680" w:hanging="360"/>
      </w:pPr>
      <w:rPr>
        <w:rFonts w:ascii="Symbol" w:hAnsi="Symbol" w:hint="default"/>
      </w:rPr>
    </w:lvl>
    <w:lvl w:ilvl="7" w:tplc="1C846072" w:tentative="1">
      <w:start w:val="1"/>
      <w:numFmt w:val="bullet"/>
      <w:lvlText w:val="o"/>
      <w:lvlJc w:val="left"/>
      <w:pPr>
        <w:ind w:left="5400" w:hanging="360"/>
      </w:pPr>
      <w:rPr>
        <w:rFonts w:ascii="Courier New" w:hAnsi="Courier New" w:hint="default"/>
      </w:rPr>
    </w:lvl>
    <w:lvl w:ilvl="8" w:tplc="4F8887BE" w:tentative="1">
      <w:start w:val="1"/>
      <w:numFmt w:val="bullet"/>
      <w:lvlText w:val=""/>
      <w:lvlJc w:val="left"/>
      <w:pPr>
        <w:ind w:left="6120" w:hanging="360"/>
      </w:pPr>
      <w:rPr>
        <w:rFonts w:ascii="Wingdings" w:hAnsi="Wingdings" w:hint="default"/>
      </w:rPr>
    </w:lvl>
  </w:abstractNum>
  <w:abstractNum w:abstractNumId="4" w15:restartNumberingAfterBreak="0">
    <w:nsid w:val="20CA14A8"/>
    <w:multiLevelType w:val="hybridMultilevel"/>
    <w:tmpl w:val="4B52EBB0"/>
    <w:lvl w:ilvl="0" w:tplc="5A862AA2">
      <w:start w:val="1"/>
      <w:numFmt w:val="decimal"/>
      <w:lvlText w:val="%1."/>
      <w:lvlJc w:val="left"/>
      <w:pPr>
        <w:ind w:left="990" w:hanging="360"/>
      </w:pPr>
      <w:rPr>
        <w:sz w:val="22"/>
        <w:szCs w:val="22"/>
      </w:rPr>
    </w:lvl>
    <w:lvl w:ilvl="1" w:tplc="08090019">
      <w:start w:val="1"/>
      <w:numFmt w:val="lowerLetter"/>
      <w:lvlText w:val="%2."/>
      <w:lvlJc w:val="left"/>
      <w:pPr>
        <w:ind w:left="2070" w:hanging="360"/>
      </w:pPr>
    </w:lvl>
    <w:lvl w:ilvl="2" w:tplc="0809001B">
      <w:start w:val="1"/>
      <w:numFmt w:val="lowerRoman"/>
      <w:lvlText w:val="%3."/>
      <w:lvlJc w:val="right"/>
      <w:pPr>
        <w:ind w:left="2790" w:hanging="180"/>
      </w:pPr>
    </w:lvl>
    <w:lvl w:ilvl="3" w:tplc="6FF0C90C">
      <w:start w:val="1"/>
      <w:numFmt w:val="lowerRoman"/>
      <w:lvlText w:val="%4."/>
      <w:lvlJc w:val="left"/>
      <w:pPr>
        <w:ind w:left="3510" w:hanging="360"/>
      </w:pPr>
      <w:rPr>
        <w:rFonts w:ascii="Times New Roman" w:eastAsia="Calibri" w:hAnsi="Times New Roman" w:cs="Times New Roman"/>
      </w:rPr>
    </w:lvl>
    <w:lvl w:ilvl="4" w:tplc="08090019">
      <w:start w:val="1"/>
      <w:numFmt w:val="lowerLetter"/>
      <w:lvlText w:val="%5."/>
      <w:lvlJc w:val="left"/>
      <w:pPr>
        <w:ind w:left="4230" w:hanging="360"/>
      </w:pPr>
    </w:lvl>
    <w:lvl w:ilvl="5" w:tplc="0809001B">
      <w:start w:val="1"/>
      <w:numFmt w:val="lowerRoman"/>
      <w:lvlText w:val="%6."/>
      <w:lvlJc w:val="right"/>
      <w:pPr>
        <w:ind w:left="4950" w:hanging="180"/>
      </w:pPr>
    </w:lvl>
    <w:lvl w:ilvl="6" w:tplc="0809000F">
      <w:start w:val="1"/>
      <w:numFmt w:val="decimal"/>
      <w:lvlText w:val="%7."/>
      <w:lvlJc w:val="left"/>
      <w:pPr>
        <w:ind w:left="5670" w:hanging="360"/>
      </w:pPr>
    </w:lvl>
    <w:lvl w:ilvl="7" w:tplc="08090019">
      <w:start w:val="1"/>
      <w:numFmt w:val="lowerLetter"/>
      <w:lvlText w:val="%8."/>
      <w:lvlJc w:val="left"/>
      <w:pPr>
        <w:ind w:left="6390" w:hanging="360"/>
      </w:pPr>
    </w:lvl>
    <w:lvl w:ilvl="8" w:tplc="0809001B">
      <w:start w:val="1"/>
      <w:numFmt w:val="lowerRoman"/>
      <w:lvlText w:val="%9."/>
      <w:lvlJc w:val="right"/>
      <w:pPr>
        <w:ind w:left="7110" w:hanging="180"/>
      </w:pPr>
    </w:lvl>
  </w:abstractNum>
  <w:abstractNum w:abstractNumId="5" w15:restartNumberingAfterBreak="0">
    <w:nsid w:val="23EB149A"/>
    <w:multiLevelType w:val="hybridMultilevel"/>
    <w:tmpl w:val="05FCD09E"/>
    <w:lvl w:ilvl="0" w:tplc="7B1C83C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7FC2E9B"/>
    <w:multiLevelType w:val="hybridMultilevel"/>
    <w:tmpl w:val="4F98F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BD67328"/>
    <w:multiLevelType w:val="hybridMultilevel"/>
    <w:tmpl w:val="10749F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C9635E4"/>
    <w:multiLevelType w:val="hybridMultilevel"/>
    <w:tmpl w:val="37F050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4FEB43AC"/>
    <w:multiLevelType w:val="hybridMultilevel"/>
    <w:tmpl w:val="7022530A"/>
    <w:lvl w:ilvl="0" w:tplc="85C8B620">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688C1BFC"/>
    <w:multiLevelType w:val="hybridMultilevel"/>
    <w:tmpl w:val="A9269538"/>
    <w:lvl w:ilvl="0" w:tplc="EB281F1E">
      <w:start w:val="1"/>
      <w:numFmt w:val="bullet"/>
      <w:lvlText w:val=""/>
      <w:lvlJc w:val="left"/>
      <w:pPr>
        <w:ind w:left="720" w:hanging="360"/>
      </w:pPr>
      <w:rPr>
        <w:rFonts w:ascii="Symbol" w:hAnsi="Symbol" w:hint="default"/>
        <w:sz w:val="22"/>
        <w:szCs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528684848">
    <w:abstractNumId w:val="2"/>
  </w:num>
  <w:num w:numId="2" w16cid:durableId="1857886151">
    <w:abstractNumId w:val="5"/>
  </w:num>
  <w:num w:numId="3" w16cid:durableId="8967418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23995057">
    <w:abstractNumId w:val="6"/>
  </w:num>
  <w:num w:numId="5" w16cid:durableId="13072483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49966969">
    <w:abstractNumId w:val="7"/>
  </w:num>
  <w:num w:numId="7" w16cid:durableId="1732846716">
    <w:abstractNumId w:val="1"/>
  </w:num>
  <w:num w:numId="8" w16cid:durableId="910165492">
    <w:abstractNumId w:val="10"/>
  </w:num>
  <w:num w:numId="9" w16cid:durableId="1187140427">
    <w:abstractNumId w:val="0"/>
  </w:num>
  <w:num w:numId="10" w16cid:durableId="1436247140">
    <w:abstractNumId w:val="8"/>
  </w:num>
  <w:num w:numId="11" w16cid:durableId="17093801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B33"/>
    <w:rsid w:val="00022D75"/>
    <w:rsid w:val="00026BCD"/>
    <w:rsid w:val="000553C6"/>
    <w:rsid w:val="0007621B"/>
    <w:rsid w:val="00095E93"/>
    <w:rsid w:val="000B0016"/>
    <w:rsid w:val="000B3E94"/>
    <w:rsid w:val="0010316C"/>
    <w:rsid w:val="00105FBF"/>
    <w:rsid w:val="001114CF"/>
    <w:rsid w:val="00132AD9"/>
    <w:rsid w:val="00153C57"/>
    <w:rsid w:val="00160B9C"/>
    <w:rsid w:val="001643EB"/>
    <w:rsid w:val="00174A64"/>
    <w:rsid w:val="00182A63"/>
    <w:rsid w:val="001849C1"/>
    <w:rsid w:val="00191D2A"/>
    <w:rsid w:val="001949A1"/>
    <w:rsid w:val="001A17E8"/>
    <w:rsid w:val="001A7395"/>
    <w:rsid w:val="001C610E"/>
    <w:rsid w:val="001D0BB6"/>
    <w:rsid w:val="001E08F9"/>
    <w:rsid w:val="001F3771"/>
    <w:rsid w:val="00211534"/>
    <w:rsid w:val="0021258C"/>
    <w:rsid w:val="00227662"/>
    <w:rsid w:val="0024345F"/>
    <w:rsid w:val="002471C1"/>
    <w:rsid w:val="0025172D"/>
    <w:rsid w:val="00253933"/>
    <w:rsid w:val="0029330E"/>
    <w:rsid w:val="00293500"/>
    <w:rsid w:val="002A39A3"/>
    <w:rsid w:val="002C54BA"/>
    <w:rsid w:val="002E3D92"/>
    <w:rsid w:val="002E7421"/>
    <w:rsid w:val="00300FB9"/>
    <w:rsid w:val="00306C57"/>
    <w:rsid w:val="00310DA8"/>
    <w:rsid w:val="00310FB6"/>
    <w:rsid w:val="003262CE"/>
    <w:rsid w:val="00345CCA"/>
    <w:rsid w:val="003638A9"/>
    <w:rsid w:val="00370342"/>
    <w:rsid w:val="00384A7E"/>
    <w:rsid w:val="003907C7"/>
    <w:rsid w:val="00393A06"/>
    <w:rsid w:val="003A0C31"/>
    <w:rsid w:val="003A3530"/>
    <w:rsid w:val="003B461D"/>
    <w:rsid w:val="003C045E"/>
    <w:rsid w:val="003C5924"/>
    <w:rsid w:val="003D003D"/>
    <w:rsid w:val="003D5A8D"/>
    <w:rsid w:val="003D711F"/>
    <w:rsid w:val="003E078E"/>
    <w:rsid w:val="003E4549"/>
    <w:rsid w:val="004054BD"/>
    <w:rsid w:val="00425B34"/>
    <w:rsid w:val="00444683"/>
    <w:rsid w:val="0045236F"/>
    <w:rsid w:val="0046302B"/>
    <w:rsid w:val="00463CCF"/>
    <w:rsid w:val="00475C94"/>
    <w:rsid w:val="00483359"/>
    <w:rsid w:val="00484536"/>
    <w:rsid w:val="0049514E"/>
    <w:rsid w:val="004A3205"/>
    <w:rsid w:val="004B345A"/>
    <w:rsid w:val="004B4F34"/>
    <w:rsid w:val="004C6519"/>
    <w:rsid w:val="004D0F76"/>
    <w:rsid w:val="004D4ACE"/>
    <w:rsid w:val="004F54E3"/>
    <w:rsid w:val="005107F0"/>
    <w:rsid w:val="005114A0"/>
    <w:rsid w:val="00537049"/>
    <w:rsid w:val="0054460B"/>
    <w:rsid w:val="00545B15"/>
    <w:rsid w:val="005542D6"/>
    <w:rsid w:val="0057036F"/>
    <w:rsid w:val="0057529F"/>
    <w:rsid w:val="00576266"/>
    <w:rsid w:val="00584F2D"/>
    <w:rsid w:val="00596BC6"/>
    <w:rsid w:val="005B615B"/>
    <w:rsid w:val="005C3329"/>
    <w:rsid w:val="005C48BC"/>
    <w:rsid w:val="005D67ED"/>
    <w:rsid w:val="005E2DE5"/>
    <w:rsid w:val="005E3F5C"/>
    <w:rsid w:val="005E522D"/>
    <w:rsid w:val="005F547D"/>
    <w:rsid w:val="006024EF"/>
    <w:rsid w:val="00617C7C"/>
    <w:rsid w:val="0063339B"/>
    <w:rsid w:val="00633941"/>
    <w:rsid w:val="00636722"/>
    <w:rsid w:val="00640859"/>
    <w:rsid w:val="00643011"/>
    <w:rsid w:val="00643CB2"/>
    <w:rsid w:val="00645395"/>
    <w:rsid w:val="00675EF1"/>
    <w:rsid w:val="006A2A49"/>
    <w:rsid w:val="006A3413"/>
    <w:rsid w:val="006A42D8"/>
    <w:rsid w:val="006D39C0"/>
    <w:rsid w:val="006E2E84"/>
    <w:rsid w:val="0071297D"/>
    <w:rsid w:val="0071770A"/>
    <w:rsid w:val="00723BC0"/>
    <w:rsid w:val="00733D27"/>
    <w:rsid w:val="007A4592"/>
    <w:rsid w:val="007A54B3"/>
    <w:rsid w:val="007A635F"/>
    <w:rsid w:val="007B2B33"/>
    <w:rsid w:val="007B332D"/>
    <w:rsid w:val="007D4881"/>
    <w:rsid w:val="007D4FF4"/>
    <w:rsid w:val="007D5357"/>
    <w:rsid w:val="007E01B5"/>
    <w:rsid w:val="007E3D30"/>
    <w:rsid w:val="007F2952"/>
    <w:rsid w:val="007F6D05"/>
    <w:rsid w:val="008039DE"/>
    <w:rsid w:val="00805729"/>
    <w:rsid w:val="008160F3"/>
    <w:rsid w:val="00817DCB"/>
    <w:rsid w:val="0082127A"/>
    <w:rsid w:val="008278CB"/>
    <w:rsid w:val="008804AB"/>
    <w:rsid w:val="00882A04"/>
    <w:rsid w:val="00883203"/>
    <w:rsid w:val="00885EA6"/>
    <w:rsid w:val="00895FAE"/>
    <w:rsid w:val="008A630B"/>
    <w:rsid w:val="008A7A18"/>
    <w:rsid w:val="008B595F"/>
    <w:rsid w:val="008B6F91"/>
    <w:rsid w:val="008E7560"/>
    <w:rsid w:val="008F4D31"/>
    <w:rsid w:val="009000E9"/>
    <w:rsid w:val="009101F5"/>
    <w:rsid w:val="0092431A"/>
    <w:rsid w:val="00924A24"/>
    <w:rsid w:val="00933A82"/>
    <w:rsid w:val="009375E9"/>
    <w:rsid w:val="00947CE2"/>
    <w:rsid w:val="00963CD9"/>
    <w:rsid w:val="009679ED"/>
    <w:rsid w:val="00973624"/>
    <w:rsid w:val="00991D9F"/>
    <w:rsid w:val="009A5744"/>
    <w:rsid w:val="009A78C1"/>
    <w:rsid w:val="009B2D14"/>
    <w:rsid w:val="009D1160"/>
    <w:rsid w:val="00A228AE"/>
    <w:rsid w:val="00A26118"/>
    <w:rsid w:val="00A448A3"/>
    <w:rsid w:val="00A6178A"/>
    <w:rsid w:val="00A6618C"/>
    <w:rsid w:val="00A7687D"/>
    <w:rsid w:val="00A80407"/>
    <w:rsid w:val="00A82256"/>
    <w:rsid w:val="00A837E7"/>
    <w:rsid w:val="00AA5BF4"/>
    <w:rsid w:val="00AB1412"/>
    <w:rsid w:val="00AB7AD2"/>
    <w:rsid w:val="00AC0CB6"/>
    <w:rsid w:val="00AD056E"/>
    <w:rsid w:val="00AE6518"/>
    <w:rsid w:val="00AF12DF"/>
    <w:rsid w:val="00AF2B43"/>
    <w:rsid w:val="00B0392E"/>
    <w:rsid w:val="00B11F1A"/>
    <w:rsid w:val="00B12BD5"/>
    <w:rsid w:val="00B2212E"/>
    <w:rsid w:val="00B24A02"/>
    <w:rsid w:val="00B30192"/>
    <w:rsid w:val="00B401FB"/>
    <w:rsid w:val="00B43A40"/>
    <w:rsid w:val="00B45259"/>
    <w:rsid w:val="00B70C15"/>
    <w:rsid w:val="00B77469"/>
    <w:rsid w:val="00B86258"/>
    <w:rsid w:val="00B959B3"/>
    <w:rsid w:val="00B97C04"/>
    <w:rsid w:val="00BA03A6"/>
    <w:rsid w:val="00BA2B17"/>
    <w:rsid w:val="00BB19BF"/>
    <w:rsid w:val="00BC212B"/>
    <w:rsid w:val="00BD3CE5"/>
    <w:rsid w:val="00BE7680"/>
    <w:rsid w:val="00C0068E"/>
    <w:rsid w:val="00C03C75"/>
    <w:rsid w:val="00C12FC1"/>
    <w:rsid w:val="00C17A9F"/>
    <w:rsid w:val="00C41CDC"/>
    <w:rsid w:val="00C6662E"/>
    <w:rsid w:val="00C868D8"/>
    <w:rsid w:val="00C92FCF"/>
    <w:rsid w:val="00C94F67"/>
    <w:rsid w:val="00C96126"/>
    <w:rsid w:val="00CA5745"/>
    <w:rsid w:val="00CB0848"/>
    <w:rsid w:val="00CD1AA8"/>
    <w:rsid w:val="00CE3DDD"/>
    <w:rsid w:val="00CE7702"/>
    <w:rsid w:val="00D1732A"/>
    <w:rsid w:val="00D17D22"/>
    <w:rsid w:val="00D20EFD"/>
    <w:rsid w:val="00D31611"/>
    <w:rsid w:val="00D340F9"/>
    <w:rsid w:val="00D408FE"/>
    <w:rsid w:val="00D44D5E"/>
    <w:rsid w:val="00DB2C40"/>
    <w:rsid w:val="00DC10B0"/>
    <w:rsid w:val="00DE5863"/>
    <w:rsid w:val="00E20A7E"/>
    <w:rsid w:val="00E32A0B"/>
    <w:rsid w:val="00E51C51"/>
    <w:rsid w:val="00E573F4"/>
    <w:rsid w:val="00E75569"/>
    <w:rsid w:val="00E8126C"/>
    <w:rsid w:val="00E815BA"/>
    <w:rsid w:val="00E95DD1"/>
    <w:rsid w:val="00EA22C4"/>
    <w:rsid w:val="00EA6D48"/>
    <w:rsid w:val="00EC518E"/>
    <w:rsid w:val="00ED77F7"/>
    <w:rsid w:val="00EE4211"/>
    <w:rsid w:val="00EE4B37"/>
    <w:rsid w:val="00F0764D"/>
    <w:rsid w:val="00F17920"/>
    <w:rsid w:val="00F22495"/>
    <w:rsid w:val="00F22D5C"/>
    <w:rsid w:val="00F370FC"/>
    <w:rsid w:val="00F3739E"/>
    <w:rsid w:val="00F44876"/>
    <w:rsid w:val="00F533A4"/>
    <w:rsid w:val="00F607A2"/>
    <w:rsid w:val="00F71205"/>
    <w:rsid w:val="00F77B22"/>
    <w:rsid w:val="00F83B29"/>
    <w:rsid w:val="00F86672"/>
    <w:rsid w:val="00F9311B"/>
    <w:rsid w:val="00FC385D"/>
    <w:rsid w:val="00FC5F40"/>
    <w:rsid w:val="00FD1DF7"/>
    <w:rsid w:val="00FD66B2"/>
    <w:rsid w:val="65A4E0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6B6A5"/>
  <w15:docId w15:val="{D9D08660-3886-4A30-948D-C9D0C5FB7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US"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uiPriority w:val="9"/>
    <w:semiHidden/>
    <w:unhideWhenUsed/>
    <w:qFormat/>
    <w:pPr>
      <w:keepNext/>
      <w:keepLines/>
      <w:spacing w:before="40" w:after="0"/>
      <w:outlineLvl w:val="1"/>
    </w:pPr>
    <w:rPr>
      <w:rFonts w:ascii="Calibri Light" w:eastAsia="Times New Roman" w:hAnsi="Calibri Light"/>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Calibri Light" w:eastAsia="Times New Roman" w:hAnsi="Calibri Light" w:cs="Times New Roman"/>
      <w:color w:val="2F5496"/>
      <w:sz w:val="32"/>
      <w:szCs w:val="32"/>
    </w:rPr>
  </w:style>
  <w:style w:type="paragraph" w:styleId="Header">
    <w:name w:val="header"/>
    <w:basedOn w:val="Normal"/>
    <w:pPr>
      <w:tabs>
        <w:tab w:val="center" w:pos="4680"/>
        <w:tab w:val="right" w:pos="9360"/>
      </w:tabs>
      <w:spacing w:after="0"/>
    </w:pPr>
  </w:style>
  <w:style w:type="character" w:customStyle="1" w:styleId="HeaderChar">
    <w:name w:val="Header Char"/>
    <w:basedOn w:val="DefaultParagraphFont"/>
  </w:style>
  <w:style w:type="paragraph" w:styleId="Footer">
    <w:name w:val="footer"/>
    <w:basedOn w:val="Normal"/>
    <w:uiPriority w:val="99"/>
    <w:pPr>
      <w:tabs>
        <w:tab w:val="center" w:pos="4680"/>
        <w:tab w:val="right" w:pos="9360"/>
      </w:tabs>
      <w:spacing w:after="0"/>
    </w:pPr>
  </w:style>
  <w:style w:type="character" w:customStyle="1" w:styleId="FooterChar">
    <w:name w:val="Footer Char"/>
    <w:basedOn w:val="DefaultParagraphFont"/>
    <w:uiPriority w:val="99"/>
  </w:style>
  <w:style w:type="character" w:customStyle="1" w:styleId="Heading2Char">
    <w:name w:val="Heading 2 Char"/>
    <w:basedOn w:val="DefaultParagraphFont"/>
    <w:rPr>
      <w:rFonts w:ascii="Calibri Light" w:eastAsia="Times New Roman" w:hAnsi="Calibri Light" w:cs="Times New Roman"/>
      <w:color w:val="2F5496"/>
      <w:sz w:val="26"/>
      <w:szCs w:val="26"/>
    </w:rPr>
  </w:style>
  <w:style w:type="paragraph" w:styleId="BalloonText">
    <w:name w:val="Balloon Text"/>
    <w:basedOn w:val="Normal"/>
    <w:link w:val="BalloonTextChar"/>
    <w:uiPriority w:val="99"/>
    <w:semiHidden/>
    <w:unhideWhenUsed/>
    <w:rsid w:val="003638A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8A9"/>
    <w:rPr>
      <w:rFonts w:ascii="Segoe UI" w:hAnsi="Segoe UI" w:cs="Segoe UI"/>
      <w:sz w:val="18"/>
      <w:szCs w:val="18"/>
    </w:rPr>
  </w:style>
  <w:style w:type="character" w:styleId="Hyperlink">
    <w:name w:val="Hyperlink"/>
    <w:basedOn w:val="DefaultParagraphFont"/>
    <w:rsid w:val="00A80407"/>
    <w:rPr>
      <w:color w:val="0563C1"/>
      <w:u w:val="single"/>
    </w:rPr>
  </w:style>
  <w:style w:type="paragraph" w:styleId="CommentText">
    <w:name w:val="annotation text"/>
    <w:basedOn w:val="Normal"/>
    <w:link w:val="CommentTextChar"/>
    <w:uiPriority w:val="99"/>
    <w:rsid w:val="009679ED"/>
    <w:pPr>
      <w:widowControl w:val="0"/>
      <w:suppressAutoHyphens w:val="0"/>
      <w:autoSpaceDE w:val="0"/>
      <w:adjustRightInd w:val="0"/>
      <w:spacing w:after="0"/>
      <w:textAlignment w:val="auto"/>
    </w:pPr>
    <w:rPr>
      <w:rFonts w:ascii="Arial" w:eastAsia="Times New Roman" w:hAnsi="Arial"/>
      <w:sz w:val="24"/>
      <w:szCs w:val="24"/>
    </w:rPr>
  </w:style>
  <w:style w:type="character" w:customStyle="1" w:styleId="CommentTextChar">
    <w:name w:val="Comment Text Char"/>
    <w:basedOn w:val="DefaultParagraphFont"/>
    <w:link w:val="CommentText"/>
    <w:uiPriority w:val="99"/>
    <w:rsid w:val="009679ED"/>
    <w:rPr>
      <w:rFonts w:ascii="Arial" w:eastAsia="Times New Roman" w:hAnsi="Arial"/>
      <w:sz w:val="24"/>
      <w:szCs w:val="24"/>
    </w:rPr>
  </w:style>
  <w:style w:type="paragraph" w:styleId="ListParagraph">
    <w:name w:val="List Paragraph"/>
    <w:basedOn w:val="Normal"/>
    <w:link w:val="ListParagraphChar"/>
    <w:uiPriority w:val="34"/>
    <w:qFormat/>
    <w:rsid w:val="009679ED"/>
    <w:pPr>
      <w:widowControl w:val="0"/>
      <w:suppressAutoHyphens w:val="0"/>
      <w:autoSpaceDE w:val="0"/>
      <w:adjustRightInd w:val="0"/>
      <w:spacing w:after="0"/>
      <w:ind w:left="720"/>
      <w:contextualSpacing/>
      <w:textAlignment w:val="auto"/>
    </w:pPr>
    <w:rPr>
      <w:rFonts w:ascii="Arial" w:eastAsia="Times New Roman" w:hAnsi="Arial"/>
      <w:sz w:val="18"/>
      <w:szCs w:val="24"/>
    </w:rPr>
  </w:style>
  <w:style w:type="paragraph" w:customStyle="1" w:styleId="Default">
    <w:name w:val="Default"/>
    <w:basedOn w:val="Normal"/>
    <w:rsid w:val="009679ED"/>
    <w:pPr>
      <w:suppressAutoHyphens w:val="0"/>
      <w:autoSpaceDE w:val="0"/>
      <w:spacing w:after="0"/>
      <w:textAlignment w:val="auto"/>
    </w:pPr>
    <w:rPr>
      <w:rFonts w:ascii="Arial" w:eastAsia="Times New Roman" w:hAnsi="Arial"/>
      <w:color w:val="000000"/>
      <w:sz w:val="24"/>
      <w:szCs w:val="24"/>
      <w:lang w:val="en-GB" w:eastAsia="en-GB"/>
    </w:rPr>
  </w:style>
  <w:style w:type="character" w:styleId="CommentReference">
    <w:name w:val="annotation reference"/>
    <w:basedOn w:val="DefaultParagraphFont"/>
    <w:uiPriority w:val="99"/>
    <w:semiHidden/>
    <w:unhideWhenUsed/>
    <w:rsid w:val="00026BCD"/>
    <w:rPr>
      <w:sz w:val="16"/>
      <w:szCs w:val="16"/>
    </w:rPr>
  </w:style>
  <w:style w:type="paragraph" w:styleId="CommentSubject">
    <w:name w:val="annotation subject"/>
    <w:basedOn w:val="CommentText"/>
    <w:next w:val="CommentText"/>
    <w:link w:val="CommentSubjectChar"/>
    <w:uiPriority w:val="99"/>
    <w:semiHidden/>
    <w:unhideWhenUsed/>
    <w:rsid w:val="00026BCD"/>
    <w:pPr>
      <w:widowControl/>
      <w:suppressAutoHyphens/>
      <w:autoSpaceDE/>
      <w:adjustRightInd/>
      <w:spacing w:after="160"/>
      <w:textAlignment w:val="baseline"/>
    </w:pPr>
    <w:rPr>
      <w:rFonts w:ascii="Calibri" w:eastAsia="Calibri" w:hAnsi="Calibri"/>
      <w:b/>
      <w:bCs/>
      <w:sz w:val="20"/>
      <w:szCs w:val="20"/>
    </w:rPr>
  </w:style>
  <w:style w:type="character" w:customStyle="1" w:styleId="CommentSubjectChar">
    <w:name w:val="Comment Subject Char"/>
    <w:basedOn w:val="CommentTextChar"/>
    <w:link w:val="CommentSubject"/>
    <w:uiPriority w:val="99"/>
    <w:semiHidden/>
    <w:rsid w:val="00026BCD"/>
    <w:rPr>
      <w:rFonts w:ascii="Arial" w:eastAsia="Times New Roman" w:hAnsi="Arial"/>
      <w:b/>
      <w:bCs/>
      <w:sz w:val="20"/>
      <w:szCs w:val="20"/>
    </w:rPr>
  </w:style>
  <w:style w:type="character" w:customStyle="1" w:styleId="ListParagraphChar">
    <w:name w:val="List Paragraph Char"/>
    <w:basedOn w:val="DefaultParagraphFont"/>
    <w:link w:val="ListParagraph"/>
    <w:rsid w:val="005C48BC"/>
    <w:rPr>
      <w:rFonts w:ascii="Arial" w:eastAsia="Times New Roman" w:hAnsi="Arial"/>
      <w:sz w:val="18"/>
      <w:szCs w:val="24"/>
    </w:rPr>
  </w:style>
  <w:style w:type="paragraph" w:styleId="Revision">
    <w:name w:val="Revision"/>
    <w:hidden/>
    <w:uiPriority w:val="99"/>
    <w:semiHidden/>
    <w:rsid w:val="008278CB"/>
    <w:pPr>
      <w:autoSpaceDN/>
      <w:spacing w:after="0"/>
      <w:textAlignment w:val="auto"/>
    </w:pPr>
  </w:style>
  <w:style w:type="paragraph" w:styleId="Bibliography">
    <w:name w:val="Bibliography"/>
    <w:basedOn w:val="Normal"/>
    <w:next w:val="Normal"/>
    <w:uiPriority w:val="37"/>
    <w:semiHidden/>
    <w:unhideWhenUsed/>
    <w:rsid w:val="001E08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atlanticflywayshorebirds.org/" TargetMode="External"/><Relationship Id="rId26" Type="http://schemas.openxmlformats.org/officeDocument/2006/relationships/hyperlink" Target="https://doi.org/10.1111/cobi.13486" TargetMode="External"/><Relationship Id="rId39" Type="http://schemas.openxmlformats.org/officeDocument/2006/relationships/hyperlink" Target="https://doi.org/10.1111/jofo.12365" TargetMode="External"/><Relationship Id="rId21" Type="http://schemas.openxmlformats.org/officeDocument/2006/relationships/hyperlink" Target="https://doi.org/10.1038/s41598-025-90388-3" TargetMode="External"/><Relationship Id="rId34" Type="http://schemas.openxmlformats.org/officeDocument/2006/relationships/hyperlink" Target="https://doi.org/10.1016/0006-3207(89)90035-9" TargetMode="External"/><Relationship Id="rId42" Type="http://schemas.openxmlformats.org/officeDocument/2006/relationships/hyperlink" Target="https://doi.org/10.2173/bow.whimbr.01" TargetMode="External"/><Relationship Id="rId47" Type="http://schemas.openxmlformats.org/officeDocument/2006/relationships/header" Target="header3.xml"/><Relationship Id="rId50" Type="http://schemas.openxmlformats.org/officeDocument/2006/relationships/footer" Target="footer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doi.org/10.1016/j.ecss.2014.10.014" TargetMode="External"/><Relationship Id="rId11" Type="http://schemas.openxmlformats.org/officeDocument/2006/relationships/header" Target="header1.xml"/><Relationship Id="rId24" Type="http://schemas.openxmlformats.org/officeDocument/2006/relationships/hyperlink" Target="https://doi.org/10.1007/s00300-014-1615-6" TargetMode="External"/><Relationship Id="rId32" Type="http://schemas.openxmlformats.org/officeDocument/2006/relationships/hyperlink" Target="http://datazone.birdlife.org/userfiles/file/Species/Taxonomy/HBW-BirdLife_Checklist_v9_Oct24.zip" TargetMode="External"/><Relationship Id="rId37" Type="http://schemas.openxmlformats.org/officeDocument/2006/relationships/hyperlink" Target="https://doi.org/10.1007/s43388-021-00058-x" TargetMode="External"/><Relationship Id="rId40" Type="http://schemas.openxmlformats.org/officeDocument/2006/relationships/hyperlink" Target="https://doi.org/doi:10.18194/ws.00228" TargetMode="External"/><Relationship Id="rId45" Type="http://schemas.openxmlformats.org/officeDocument/2006/relationships/hyperlink" Target="https://doi.org/10.1675/063.034.0308" TargetMode="External"/><Relationship Id="rId53"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wmf"/><Relationship Id="rId19" Type="http://schemas.openxmlformats.org/officeDocument/2006/relationships/hyperlink" Target="https://midamericasshorebirds.org/" TargetMode="External"/><Relationship Id="rId31" Type="http://schemas.openxmlformats.org/officeDocument/2006/relationships/hyperlink" Target="https://doi.org/10.1093/ornithology/ukae021" TargetMode="External"/><Relationship Id="rId44" Type="http://schemas.openxmlformats.org/officeDocument/2006/relationships/hyperlink" Target="http://www.shorebirdplan.org/science/assessment-conservation-status-shorebirds" TargetMode="External"/><Relationship Id="rId52"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doi.org/10.2173/avilist.v2025" TargetMode="External"/><Relationship Id="rId27" Type="http://schemas.openxmlformats.org/officeDocument/2006/relationships/hyperlink" Target="https://dx.doi.org/10.2305/IUCN.UK.2024-2.RLTS.T22693178A138413707.en" TargetMode="External"/><Relationship Id="rId30" Type="http://schemas.openxmlformats.org/officeDocument/2006/relationships/hyperlink" Target="https://doi.org/doi%2520:%2520%252010.14344/IOC.ML.13.1" TargetMode="External"/><Relationship Id="rId35" Type="http://schemas.openxmlformats.org/officeDocument/2006/relationships/hyperlink" Target="https://www.gov.br/icmbio/pt-br/assuntos/biodiversidade/pan/pan-aves-limicolas-migratorias" TargetMode="External"/><Relationship Id="rId43" Type="http://schemas.openxmlformats.org/officeDocument/2006/relationships/hyperlink" Target="https://doi.org/10.1093/ornithapp/duad003" TargetMode="External"/><Relationship Id="rId48" Type="http://schemas.openxmlformats.org/officeDocument/2006/relationships/header" Target="header4.xml"/><Relationship Id="rId8" Type="http://schemas.openxmlformats.org/officeDocument/2006/relationships/footnotes" Target="footnotes.xml"/><Relationship Id="rId5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manomet.org/project/international-shorebird-survey/" TargetMode="External"/><Relationship Id="rId25" Type="http://schemas.openxmlformats.org/officeDocument/2006/relationships/hyperlink" Target="https://doi.org/10.3390/land11030434" TargetMode="External"/><Relationship Id="rId33" Type="http://schemas.openxmlformats.org/officeDocument/2006/relationships/hyperlink" Target="https://doi.org/doi:10.18194/ws.00148" TargetMode="External"/><Relationship Id="rId38" Type="http://schemas.openxmlformats.org/officeDocument/2006/relationships/hyperlink" Target="https://doi.org/10.1126/science.aaw1313" TargetMode="External"/><Relationship Id="rId46" Type="http://schemas.openxmlformats.org/officeDocument/2006/relationships/hyperlink" Target="https://doi.org/10.1371/journal.pone.0260339" TargetMode="External"/><Relationship Id="rId20" Type="http://schemas.openxmlformats.org/officeDocument/2006/relationships/hyperlink" Target="https://r2rbirds.org/" TargetMode="External"/><Relationship Id="rId41" Type="http://schemas.openxmlformats.org/officeDocument/2006/relationships/hyperlink" Target="https://doi.org/10.1016/j.tree.2006.05.007"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birdlife.org/news/2025/06/11/avilist-unites-the-worlds-bird-species/" TargetMode="External"/><Relationship Id="rId23" Type="http://schemas.openxmlformats.org/officeDocument/2006/relationships/hyperlink" Target="https://doi.org/10.1675/063.034.0203" TargetMode="External"/><Relationship Id="rId28" Type="http://schemas.openxmlformats.org/officeDocument/2006/relationships/hyperlink" Target="https://doi.org/10.3389/fmars.2020.00685" TargetMode="External"/><Relationship Id="rId36" Type="http://schemas.openxmlformats.org/officeDocument/2006/relationships/hyperlink" Target="https://doi.org/10.1111/ibi.12678" TargetMode="External"/><Relationship Id="rId49"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85716d5646e87ca180631963361f54a4">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a7e87b642db64b79673ce1bd121f155"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c15478a5-0be8-4f5d-8383-b307d5ba8bf6">
      <UserInfo>
        <DisplayName>Ximena Victoria Cancino Ordenes</DisplayName>
        <AccountId>16</AccountId>
        <AccountType/>
      </UserInfo>
      <UserInfo>
        <DisplayName>System Account</DisplayName>
        <AccountId>1073741823</AccountId>
        <AccountType/>
      </UserInfo>
      <UserInfo>
        <DisplayName>Thilan Mannan(Affiliate)</DisplayName>
        <AccountId>78</AccountId>
        <AccountType/>
      </UserInfo>
    </SharedWithUsers>
    <TaxCatchAll xmlns="985ec44e-1bab-4c0b-9df0-6ba128686fc9" xsi:nil="true"/>
    <lcf76f155ced4ddcb4097134ff3c332f xmlns="a7b50396-0b06-45c1-b28e-46f86d566a10">
      <Terms xmlns="http://schemas.microsoft.com/office/infopath/2007/PartnerControls"/>
    </lcf76f155ced4ddcb4097134ff3c332f>
    <TaxKeywordTaxHTField xmlns="c15478a5-0be8-4f5d-8383-b307d5ba8bf6">
      <Terms xmlns="http://schemas.microsoft.com/office/infopath/2007/PartnerControls"/>
    </TaxKeywordTaxHTField>
    <_Flow_SignoffStatus xmlns="a7b50396-0b06-45c1-b28e-46f86d566a10" xsi:nil="true"/>
    <MariaJoseOrtiz xmlns="a7b50396-0b06-45c1-b28e-46f86d566a10" xsi:nil="true"/>
    <Notes xmlns="a7b50396-0b06-45c1-b28e-46f86d566a10" xsi:nil="true"/>
    <Sent xmlns="a7b50396-0b06-45c1-b28e-46f86d566a10" xsi:nil="true"/>
    <Reviewer xmlns="a7b50396-0b06-45c1-b28e-46f86d566a10" xsi:nil="true"/>
    <Pre_x002d_selection xmlns="a7b50396-0b06-45c1-b28e-46f86d566a10">true</Pre_x002d_selectio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5974A1-5E8E-4C4E-A8C3-E2DCF9F8F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E1DDE7-9B4B-45D4-9E25-3086A7576B9C}">
  <ds:schemaRefs>
    <ds:schemaRef ds:uri="http://schemas.microsoft.com/office/2006/metadata/properties"/>
    <ds:schemaRef ds:uri="http://schemas.microsoft.com/office/infopath/2007/PartnerControls"/>
    <ds:schemaRef ds:uri="c15478a5-0be8-4f5d-8383-b307d5ba8bf6"/>
    <ds:schemaRef ds:uri="985ec44e-1bab-4c0b-9df0-6ba128686fc9"/>
    <ds:schemaRef ds:uri="a7b50396-0b06-45c1-b28e-46f86d566a10"/>
  </ds:schemaRefs>
</ds:datastoreItem>
</file>

<file path=customXml/itemProps3.xml><?xml version="1.0" encoding="utf-8"?>
<ds:datastoreItem xmlns:ds="http://schemas.openxmlformats.org/officeDocument/2006/customXml" ds:itemID="{825F2D6A-BCE7-411F-8A4C-5FCAB3D5E53B}">
  <ds:schemaRefs>
    <ds:schemaRef ds:uri="http://schemas.microsoft.com/sharepoint/v3/contenttype/forms"/>
  </ds:schemaRefs>
</ds:datastoreItem>
</file>

<file path=docMetadata/LabelInfo.xml><?xml version="1.0" encoding="utf-8"?>
<clbl:labelList xmlns:clbl="http://schemas.microsoft.com/office/2020/mipLabelMetadata">
  <clbl:label id="{7eb58d0f-f804-411f-a20e-09ebfae62b4c}"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4</TotalTime>
  <Pages>12</Pages>
  <Words>17334</Words>
  <Characters>98806</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Catherine Brueckner</cp:lastModifiedBy>
  <cp:revision>9</cp:revision>
  <cp:lastPrinted>2022-11-18T15:31:00Z</cp:lastPrinted>
  <dcterms:created xsi:type="dcterms:W3CDTF">2025-11-10T09:40:00Z</dcterms:created>
  <dcterms:modified xsi:type="dcterms:W3CDTF">2025-11-11T11:18:00Z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GrammarlyDocumentId">
    <vt:lpwstr>d68b86d54ce1799a7576be8e39d211bd31fb8758211a5577152a8ecf4e7c6e83</vt:lpwstr>
  </property>
  <property fmtid="{D5CDD505-2E9C-101B-9397-08002B2CF9AE}" pid="4" name="Order">
    <vt:r8>100</vt:r8>
  </property>
  <property fmtid="{D5CDD505-2E9C-101B-9397-08002B2CF9AE}" pid="5" name="MediaServiceImageTags">
    <vt:lpwstr/>
  </property>
  <property fmtid="{D5CDD505-2E9C-101B-9397-08002B2CF9AE}" pid="6" name="TaxKeyword">
    <vt:lpwstr/>
  </property>
</Properties>
</file>