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2340A1" w:rsidRPr="00BE6C85" w14:paraId="0A66EA98" w14:textId="77777777" w:rsidTr="00B25E2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3E0B35E" w14:textId="77777777" w:rsidR="002340A1" w:rsidRPr="00002A97" w:rsidRDefault="002340A1" w:rsidP="00B25E23">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2942852A" wp14:editId="77FB5BB8">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3E4DFFAE" w14:textId="77777777" w:rsidR="002340A1" w:rsidRPr="00002A97" w:rsidRDefault="002340A1" w:rsidP="00B25E23">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51568A94" w14:textId="77777777" w:rsidR="002340A1" w:rsidRPr="00002A97" w:rsidRDefault="002340A1"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00F3DD7" w14:textId="77777777" w:rsidR="002340A1" w:rsidRPr="00002A97" w:rsidRDefault="002340A1"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63C40E10" w14:textId="77777777" w:rsidR="002340A1" w:rsidRPr="00002A97" w:rsidRDefault="002340A1"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735C550D" w14:textId="06B03E35" w:rsidR="002340A1" w:rsidRPr="00457C8A" w:rsidRDefault="002340A1"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Pr>
                <w:rFonts w:eastAsia="Times New Roman" w:cs="Arial"/>
                <w:szCs w:val="24"/>
                <w:lang w:val="fr-FR" w:eastAsia="es-ES"/>
              </w:rPr>
              <w:t>5</w:t>
            </w:r>
            <w:r w:rsidRPr="00457C8A">
              <w:rPr>
                <w:rFonts w:eastAsia="Times New Roman" w:cs="Arial"/>
                <w:szCs w:val="24"/>
                <w:lang w:val="fr-FR" w:eastAsia="es-ES"/>
              </w:rPr>
              <w:t>/</w:t>
            </w:r>
            <w:r>
              <w:rPr>
                <w:rFonts w:eastAsia="Times New Roman" w:cs="Arial"/>
                <w:szCs w:val="24"/>
                <w:lang w:val="fr-FR" w:eastAsia="es-ES"/>
              </w:rPr>
              <w:t>Doc</w:t>
            </w:r>
            <w:r w:rsidRPr="00457C8A">
              <w:rPr>
                <w:rFonts w:eastAsia="Times New Roman" w:cs="Arial"/>
                <w:szCs w:val="24"/>
                <w:lang w:val="fr-FR" w:eastAsia="es-ES"/>
              </w:rPr>
              <w:t>.</w:t>
            </w:r>
            <w:r w:rsidR="009947C5">
              <w:rPr>
                <w:rFonts w:eastAsia="Times New Roman" w:cs="Arial"/>
                <w:szCs w:val="24"/>
                <w:lang w:val="fr-FR" w:eastAsia="es-ES"/>
              </w:rPr>
              <w:t>30.2.17</w:t>
            </w:r>
          </w:p>
          <w:p w14:paraId="3837C803" w14:textId="708A44DD" w:rsidR="002340A1" w:rsidRPr="002C395A" w:rsidRDefault="009947C5"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24 de </w:t>
            </w:r>
            <w:proofErr w:type="spellStart"/>
            <w:r>
              <w:rPr>
                <w:rFonts w:eastAsia="Times New Roman" w:cs="Arial"/>
                <w:szCs w:val="24"/>
                <w:lang w:val="fr-FR" w:eastAsia="es-ES"/>
              </w:rPr>
              <w:t>octubre</w:t>
            </w:r>
            <w:proofErr w:type="spellEnd"/>
            <w:r w:rsidR="002340A1" w:rsidRPr="002C395A">
              <w:rPr>
                <w:rFonts w:eastAsia="Times New Roman" w:cs="Arial"/>
                <w:szCs w:val="24"/>
                <w:lang w:val="fr-FR" w:eastAsia="es-ES"/>
              </w:rPr>
              <w:t xml:space="preserve"> 2025</w:t>
            </w:r>
          </w:p>
          <w:p w14:paraId="4F00F155" w14:textId="77777777" w:rsidR="002340A1" w:rsidRPr="00002A97" w:rsidRDefault="002340A1" w:rsidP="00B25E23">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72372656" w14:textId="77777777" w:rsidR="002340A1" w:rsidRPr="000F4BDA" w:rsidRDefault="002340A1" w:rsidP="00B25E23">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8C6B6FD" w14:textId="77777777" w:rsidR="002340A1" w:rsidRPr="00002A97" w:rsidRDefault="002340A1" w:rsidP="00B25E23">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1ED4F3C9" w14:textId="77777777" w:rsidR="002E0DE9" w:rsidRPr="00575A15"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s-ES"/>
        </w:rPr>
      </w:pPr>
    </w:p>
    <w:p w14:paraId="472BA4F3" w14:textId="77777777" w:rsidR="004729D3" w:rsidRPr="00002A97" w:rsidRDefault="004729D3" w:rsidP="004729D3">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7063CCE0" w14:textId="77777777" w:rsidR="004729D3" w:rsidRPr="00002A97" w:rsidRDefault="004729D3" w:rsidP="004729D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3FB79BF8" w14:textId="226A6841" w:rsidR="004729D3" w:rsidRPr="00002A97" w:rsidRDefault="004729D3" w:rsidP="004729D3">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9947C5">
        <w:rPr>
          <w:rFonts w:eastAsia="Times New Roman" w:cs="Arial"/>
          <w:szCs w:val="24"/>
          <w:lang w:val="es-ES" w:eastAsia="es-ES"/>
        </w:rPr>
        <w:t>30.2.17</w:t>
      </w:r>
      <w:r w:rsidRPr="00002A97">
        <w:rPr>
          <w:rFonts w:eastAsia="Times New Roman" w:cs="Arial"/>
          <w:szCs w:val="24"/>
          <w:lang w:val="es-ES" w:eastAsia="es-ES"/>
        </w:rPr>
        <w:t>del orden del día</w:t>
      </w:r>
    </w:p>
    <w:p w14:paraId="258B44F2" w14:textId="77777777" w:rsidR="002E0DE9" w:rsidRPr="00575A15"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6AE0B701" w14:textId="2CD37CEB" w:rsidR="002E0DE9" w:rsidRPr="00575A15"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6723EC3D" w14:textId="77777777" w:rsidR="00151745" w:rsidRPr="00575A15" w:rsidRDefault="00151745" w:rsidP="00151745">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cs="Arial"/>
          <w:b/>
          <w:bCs/>
          <w:lang w:val="es-ES"/>
        </w:rPr>
      </w:pPr>
      <w:r w:rsidRPr="00575A15">
        <w:rPr>
          <w:rFonts w:cs="Arial"/>
          <w:b/>
          <w:bCs/>
          <w:lang w:val="es-ES"/>
        </w:rPr>
        <w:t>PROPUESTA DE INCLUSIÓN DEL</w:t>
      </w:r>
    </w:p>
    <w:p w14:paraId="682AD3C6" w14:textId="3AE0E451" w:rsidR="00151745" w:rsidRPr="00575A15" w:rsidRDefault="00151745" w:rsidP="00151745">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cs="Arial"/>
          <w:b/>
          <w:bCs/>
          <w:lang w:val="es-ES"/>
        </w:rPr>
      </w:pPr>
      <w:r w:rsidRPr="00575A15">
        <w:rPr>
          <w:rFonts w:cs="Arial"/>
          <w:b/>
          <w:bCs/>
          <w:lang w:val="es-ES"/>
        </w:rPr>
        <w:t>SURUBÍ (</w:t>
      </w:r>
      <w:proofErr w:type="spellStart"/>
      <w:r w:rsidRPr="00575A15">
        <w:rPr>
          <w:rFonts w:cs="Arial"/>
          <w:b/>
          <w:bCs/>
          <w:i/>
          <w:iCs/>
          <w:lang w:val="es-ES"/>
        </w:rPr>
        <w:t>Pseudoplatystoma</w:t>
      </w:r>
      <w:proofErr w:type="spellEnd"/>
      <w:r w:rsidRPr="00575A15">
        <w:rPr>
          <w:rFonts w:cs="Arial"/>
          <w:b/>
          <w:bCs/>
          <w:i/>
          <w:iCs/>
          <w:lang w:val="es-ES"/>
        </w:rPr>
        <w:t xml:space="preserve"> </w:t>
      </w:r>
      <w:proofErr w:type="spellStart"/>
      <w:r w:rsidRPr="00575A15">
        <w:rPr>
          <w:rFonts w:cs="Arial"/>
          <w:b/>
          <w:bCs/>
          <w:i/>
          <w:iCs/>
          <w:lang w:val="es-ES"/>
        </w:rPr>
        <w:t>corruscans</w:t>
      </w:r>
      <w:proofErr w:type="spellEnd"/>
      <w:r w:rsidRPr="00575A15">
        <w:rPr>
          <w:rFonts w:cs="Arial"/>
          <w:b/>
          <w:bCs/>
          <w:lang w:val="es-ES"/>
        </w:rPr>
        <w:t xml:space="preserve">) </w:t>
      </w:r>
    </w:p>
    <w:p w14:paraId="4E0B372F" w14:textId="28DAAF33" w:rsidR="00151745" w:rsidRPr="00575A15" w:rsidRDefault="00151745" w:rsidP="00151745">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cs="Arial"/>
          <w:b/>
          <w:bCs/>
          <w:lang w:val="es-ES"/>
        </w:rPr>
      </w:pPr>
      <w:r w:rsidRPr="00575A15">
        <w:rPr>
          <w:rFonts w:cs="Arial"/>
          <w:b/>
          <w:bCs/>
          <w:lang w:val="es-ES"/>
        </w:rPr>
        <w:t>EN EL APÉNDICE II DE LA CONVENCIÓN</w:t>
      </w:r>
      <w:r w:rsidRPr="00575A15">
        <w:rPr>
          <w:rFonts w:cs="Arial"/>
          <w:lang w:val="es-ES"/>
        </w:rPr>
        <w:t>*</w:t>
      </w:r>
    </w:p>
    <w:p w14:paraId="22A41750" w14:textId="33D40080" w:rsidR="00AD4F4C" w:rsidRPr="00575A15" w:rsidRDefault="00AD4F4C" w:rsidP="009B3CF3">
      <w:pPr>
        <w:widowControl w:val="0"/>
        <w:suppressAutoHyphens/>
        <w:autoSpaceDE w:val="0"/>
        <w:autoSpaceDN w:val="0"/>
        <w:spacing w:after="0" w:line="240" w:lineRule="auto"/>
        <w:jc w:val="center"/>
        <w:textAlignment w:val="baseline"/>
        <w:rPr>
          <w:rFonts w:ascii="Calibri" w:eastAsia="Calibri" w:hAnsi="Calibri" w:cs="Times New Roman"/>
          <w:lang w:val="es-ES"/>
        </w:rPr>
      </w:pPr>
    </w:p>
    <w:p w14:paraId="2843937F" w14:textId="53174530" w:rsidR="002E0DE9" w:rsidRPr="00575A15" w:rsidRDefault="009947C5"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r w:rsidRPr="00575A15">
        <w:rPr>
          <w:rFonts w:eastAsia="Times New Roman" w:cs="Arial"/>
          <w:noProof/>
          <w:sz w:val="21"/>
          <w:szCs w:val="21"/>
          <w:lang w:val="es-ES" w:eastAsia="es-ES"/>
        </w:rPr>
        <mc:AlternateContent>
          <mc:Choice Requires="wps">
            <w:drawing>
              <wp:anchor distT="0" distB="0" distL="114300" distR="114300" simplePos="0" relativeHeight="251658240" behindDoc="1" locked="0" layoutInCell="1" allowOverlap="1" wp14:anchorId="6AF39586" wp14:editId="0CF502CE">
                <wp:simplePos x="0" y="0"/>
                <wp:positionH relativeFrom="margin">
                  <wp:posOffset>811638</wp:posOffset>
                </wp:positionH>
                <wp:positionV relativeFrom="margin">
                  <wp:posOffset>2742577</wp:posOffset>
                </wp:positionV>
                <wp:extent cx="4304665" cy="1052195"/>
                <wp:effectExtent l="0" t="0" r="19685" b="1460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052195"/>
                        </a:xfrm>
                        <a:prstGeom prst="rect">
                          <a:avLst/>
                        </a:prstGeom>
                        <a:solidFill>
                          <a:srgbClr val="FFFFFF"/>
                        </a:solidFill>
                        <a:ln w="3172">
                          <a:solidFill>
                            <a:srgbClr val="000000"/>
                          </a:solidFill>
                          <a:prstDash val="solid"/>
                        </a:ln>
                      </wps:spPr>
                      <wps:txbx>
                        <w:txbxContent>
                          <w:p w14:paraId="361301A9" w14:textId="77777777" w:rsidR="002E0DE9" w:rsidRPr="00B46EFC" w:rsidRDefault="002E0DE9" w:rsidP="004729D3">
                            <w:pPr>
                              <w:spacing w:after="0" w:line="240" w:lineRule="auto"/>
                              <w:jc w:val="both"/>
                              <w:rPr>
                                <w:rFonts w:cs="Arial"/>
                                <w:lang w:val="es-ES"/>
                              </w:rPr>
                            </w:pPr>
                            <w:r w:rsidRPr="00B46EFC">
                              <w:rPr>
                                <w:rFonts w:cs="Arial"/>
                                <w:lang w:val="es-ES"/>
                              </w:rPr>
                              <w:t>Resumen:</w:t>
                            </w:r>
                          </w:p>
                          <w:p w14:paraId="12338272" w14:textId="77777777" w:rsidR="002E0DE9" w:rsidRPr="00B46EFC" w:rsidRDefault="002E0DE9" w:rsidP="004729D3">
                            <w:pPr>
                              <w:spacing w:after="0" w:line="240" w:lineRule="auto"/>
                              <w:jc w:val="both"/>
                              <w:rPr>
                                <w:rFonts w:cs="Arial"/>
                                <w:lang w:val="es-ES"/>
                              </w:rPr>
                            </w:pPr>
                          </w:p>
                          <w:p w14:paraId="3D2E87AE" w14:textId="5B7DDD31" w:rsidR="00151745" w:rsidRPr="00B46EFC" w:rsidRDefault="00151745" w:rsidP="004729D3">
                            <w:pPr>
                              <w:spacing w:after="0" w:line="240" w:lineRule="auto"/>
                              <w:jc w:val="both"/>
                              <w:rPr>
                                <w:rFonts w:cs="Arial"/>
                                <w:lang w:val="es-ES"/>
                              </w:rPr>
                            </w:pPr>
                            <w:r w:rsidRPr="00B46EFC">
                              <w:rPr>
                                <w:rFonts w:cs="Arial"/>
                                <w:lang w:val="es-ES"/>
                              </w:rPr>
                              <w:t>El Gobierno del Brasil ha presentado la propuesta adjunta para la inclusión del surubí pintado (pintado/</w:t>
                            </w:r>
                            <w:proofErr w:type="spellStart"/>
                            <w:r w:rsidRPr="00B46EFC">
                              <w:rPr>
                                <w:rFonts w:cs="Arial"/>
                                <w:lang w:val="es-ES"/>
                              </w:rPr>
                              <w:t>surubim</w:t>
                            </w:r>
                            <w:proofErr w:type="spellEnd"/>
                            <w:r w:rsidRPr="00B46EFC">
                              <w:rPr>
                                <w:rFonts w:cs="Arial"/>
                                <w:lang w:val="es-ES"/>
                              </w:rPr>
                              <w:t>) (</w:t>
                            </w:r>
                            <w:proofErr w:type="spellStart"/>
                            <w:r w:rsidRPr="00B46EFC">
                              <w:rPr>
                                <w:rFonts w:cs="Arial"/>
                                <w:i/>
                                <w:lang w:val="es-ES"/>
                              </w:rPr>
                              <w:t>Pseudoplatystoma</w:t>
                            </w:r>
                            <w:proofErr w:type="spellEnd"/>
                            <w:r w:rsidRPr="00B46EFC">
                              <w:rPr>
                                <w:rFonts w:cs="Arial"/>
                                <w:i/>
                                <w:lang w:val="es-ES"/>
                              </w:rPr>
                              <w:t xml:space="preserve"> </w:t>
                            </w:r>
                            <w:proofErr w:type="spellStart"/>
                            <w:r w:rsidRPr="00B46EFC">
                              <w:rPr>
                                <w:rFonts w:cs="Arial"/>
                                <w:i/>
                                <w:lang w:val="es-ES"/>
                              </w:rPr>
                              <w:t>corruscans</w:t>
                            </w:r>
                            <w:proofErr w:type="spellEnd"/>
                            <w:r w:rsidRPr="00B46EFC">
                              <w:rPr>
                                <w:rFonts w:cs="Arial"/>
                                <w:lang w:val="es-ES"/>
                              </w:rPr>
                              <w:t>) en el Apéndice II de la CMS.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63.9pt;margin-top:215.95pt;width:338.95pt;height:82.8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" strokeweight=".08811mm">
                <v:textbox>
                  <w:txbxContent>
                    <w:p w14:paraId="361301A9" w14:textId="77777777" w:rsidR="002E0DE9" w:rsidRPr="00B46EFC" w:rsidRDefault="002E0DE9" w:rsidP="004729D3">
                      <w:pPr>
                        <w:spacing w:after="0" w:line="240" w:lineRule="auto"/>
                        <w:jc w:val="both"/>
                        <w:rPr>
                          <w:rFonts w:cs="Arial"/>
                          <w:lang w:val="es-ES"/>
                        </w:rPr>
                      </w:pPr>
                      <w:r w:rsidRPr="00B46EFC">
                        <w:rPr>
                          <w:rFonts w:cs="Arial"/>
                          <w:lang w:val="es-ES"/>
                        </w:rPr>
                        <w:t>Resumen:</w:t>
                      </w:r>
                    </w:p>
                    <w:p w14:paraId="12338272" w14:textId="77777777" w:rsidR="002E0DE9" w:rsidRPr="00B46EFC" w:rsidRDefault="002E0DE9" w:rsidP="004729D3">
                      <w:pPr>
                        <w:spacing w:after="0" w:line="240" w:lineRule="auto"/>
                        <w:jc w:val="both"/>
                        <w:rPr>
                          <w:rFonts w:cs="Arial"/>
                          <w:lang w:val="es-ES"/>
                        </w:rPr>
                      </w:pPr>
                    </w:p>
                    <w:p w14:paraId="3D2E87AE" w14:textId="5B7DDD31" w:rsidR="00151745" w:rsidRPr="00B46EFC" w:rsidRDefault="00151745" w:rsidP="004729D3">
                      <w:pPr>
                        <w:spacing w:after="0" w:line="240" w:lineRule="auto"/>
                        <w:jc w:val="both"/>
                        <w:rPr>
                          <w:rFonts w:cs="Arial"/>
                          <w:lang w:val="es-ES"/>
                        </w:rPr>
                      </w:pPr>
                      <w:r w:rsidRPr="00B46EFC">
                        <w:rPr>
                          <w:rFonts w:cs="Arial"/>
                          <w:lang w:val="es-ES"/>
                        </w:rPr>
                        <w:t>El Gobierno del Brasil ha presentado la propuesta adjunta para la inclusión del surubí pintado (pintado/</w:t>
                      </w:r>
                      <w:proofErr w:type="spellStart"/>
                      <w:r w:rsidRPr="00B46EFC">
                        <w:rPr>
                          <w:rFonts w:cs="Arial"/>
                          <w:lang w:val="es-ES"/>
                        </w:rPr>
                        <w:t>surubim</w:t>
                      </w:r>
                      <w:proofErr w:type="spellEnd"/>
                      <w:r w:rsidRPr="00B46EFC">
                        <w:rPr>
                          <w:rFonts w:cs="Arial"/>
                          <w:lang w:val="es-ES"/>
                        </w:rPr>
                        <w:t>) (</w:t>
                      </w:r>
                      <w:proofErr w:type="spellStart"/>
                      <w:r w:rsidRPr="00B46EFC">
                        <w:rPr>
                          <w:rFonts w:cs="Arial"/>
                          <w:i/>
                          <w:lang w:val="es-ES"/>
                        </w:rPr>
                        <w:t>Pseudoplatystoma</w:t>
                      </w:r>
                      <w:proofErr w:type="spellEnd"/>
                      <w:r w:rsidRPr="00B46EFC">
                        <w:rPr>
                          <w:rFonts w:cs="Arial"/>
                          <w:i/>
                          <w:lang w:val="es-ES"/>
                        </w:rPr>
                        <w:t xml:space="preserve"> </w:t>
                      </w:r>
                      <w:proofErr w:type="spellStart"/>
                      <w:r w:rsidRPr="00B46EFC">
                        <w:rPr>
                          <w:rFonts w:cs="Arial"/>
                          <w:i/>
                          <w:lang w:val="es-ES"/>
                        </w:rPr>
                        <w:t>corruscans</w:t>
                      </w:r>
                      <w:proofErr w:type="spellEnd"/>
                      <w:r w:rsidRPr="00B46EFC">
                        <w:rPr>
                          <w:rFonts w:cs="Arial"/>
                          <w:lang w:val="es-ES"/>
                        </w:rPr>
                        <w:t>) en el Apéndice II de la CMS.</w:t>
                      </w:r>
                    </w:p>
                  </w:txbxContent>
                </v:textbox>
                <w10:wrap type="square" anchorx="margin" anchory="margin"/>
              </v:shape>
            </w:pict>
          </mc:Fallback>
        </mc:AlternateContent>
      </w:r>
    </w:p>
    <w:p w14:paraId="554A67C2" w14:textId="54C63620" w:rsidR="002E0DE9" w:rsidRPr="00575A15"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48B85236" w14:textId="42A2153F" w:rsidR="002E0DE9" w:rsidRPr="00575A15"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236BDED" w14:textId="3F26797C" w:rsidR="002E0DE9" w:rsidRPr="00575A15"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92124E8" w14:textId="2C66E641" w:rsidR="002E0DE9" w:rsidRPr="00575A15"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54A2FC6C" w:rsidR="002E0DE9" w:rsidRPr="00575A15"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C003952" w:rsidR="002E0DE9" w:rsidRPr="00575A15"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5E13D5C2" w:rsidR="002E0DE9" w:rsidRPr="00575A15"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575A15"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575A15"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7777777" w:rsidR="002E0DE9" w:rsidRPr="00575A15"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B4DC013" w14:textId="77777777" w:rsidR="002E0DE9" w:rsidRPr="00575A15"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77777777" w:rsidR="002E0DE9" w:rsidRPr="00575A15"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1DBB162D" w14:textId="77777777" w:rsidR="002E0DE9" w:rsidRPr="00575A15"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8CDD92A" w14:textId="77777777" w:rsidR="002E0DE9" w:rsidRPr="00575A15"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575A15"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575A15" w:rsidRDefault="005330F7" w:rsidP="009A2337">
      <w:pPr>
        <w:spacing w:after="0" w:line="240" w:lineRule="auto"/>
        <w:jc w:val="both"/>
        <w:rPr>
          <w:lang w:val="es-ES"/>
        </w:rPr>
      </w:pPr>
    </w:p>
    <w:p w14:paraId="490DC140" w14:textId="77777777" w:rsidR="002E0DE9" w:rsidRPr="00575A15" w:rsidRDefault="002E0DE9" w:rsidP="009A2337">
      <w:pPr>
        <w:spacing w:after="0" w:line="240" w:lineRule="auto"/>
        <w:jc w:val="both"/>
        <w:rPr>
          <w:lang w:val="es-ES"/>
        </w:rPr>
      </w:pPr>
    </w:p>
    <w:p w14:paraId="2FBBA2D8" w14:textId="77777777" w:rsidR="002E0DE9" w:rsidRPr="00575A15" w:rsidRDefault="002E0DE9" w:rsidP="009A2337">
      <w:pPr>
        <w:spacing w:after="0" w:line="240" w:lineRule="auto"/>
        <w:jc w:val="both"/>
        <w:rPr>
          <w:lang w:val="es-ES"/>
        </w:rPr>
      </w:pPr>
    </w:p>
    <w:p w14:paraId="4C631634" w14:textId="77777777" w:rsidR="002E0DE9" w:rsidRPr="00575A15" w:rsidRDefault="002E0DE9" w:rsidP="009A2337">
      <w:pPr>
        <w:spacing w:after="0" w:line="240" w:lineRule="auto"/>
        <w:jc w:val="both"/>
        <w:rPr>
          <w:lang w:val="es-ES"/>
        </w:rPr>
      </w:pPr>
    </w:p>
    <w:p w14:paraId="1057ABA6" w14:textId="77777777" w:rsidR="002E0DE9" w:rsidRPr="00575A15" w:rsidRDefault="002E0DE9" w:rsidP="009A2337">
      <w:pPr>
        <w:spacing w:after="0" w:line="240" w:lineRule="auto"/>
        <w:jc w:val="both"/>
        <w:rPr>
          <w:lang w:val="es-ES"/>
        </w:rPr>
      </w:pPr>
    </w:p>
    <w:p w14:paraId="0E60C238" w14:textId="77777777" w:rsidR="002E0DE9" w:rsidRPr="00575A15" w:rsidRDefault="002E0DE9" w:rsidP="009A2337">
      <w:pPr>
        <w:spacing w:after="0" w:line="240" w:lineRule="auto"/>
        <w:jc w:val="both"/>
        <w:rPr>
          <w:lang w:val="es-ES"/>
        </w:rPr>
      </w:pPr>
    </w:p>
    <w:p w14:paraId="310799B0" w14:textId="77777777" w:rsidR="002E0DE9" w:rsidRPr="00575A15" w:rsidRDefault="002E0DE9" w:rsidP="009A2337">
      <w:pPr>
        <w:spacing w:after="0" w:line="240" w:lineRule="auto"/>
        <w:jc w:val="both"/>
        <w:rPr>
          <w:lang w:val="es-ES"/>
        </w:rPr>
      </w:pPr>
    </w:p>
    <w:p w14:paraId="0B9FC963" w14:textId="77777777" w:rsidR="002E0DE9" w:rsidRPr="00575A15" w:rsidRDefault="002E0DE9" w:rsidP="009A2337">
      <w:pPr>
        <w:spacing w:after="0" w:line="240" w:lineRule="auto"/>
        <w:jc w:val="both"/>
        <w:rPr>
          <w:lang w:val="es-ES"/>
        </w:rPr>
      </w:pPr>
    </w:p>
    <w:p w14:paraId="0BFD8348" w14:textId="77777777" w:rsidR="002E0DE9" w:rsidRPr="00575A15" w:rsidRDefault="002E0DE9" w:rsidP="009A2337">
      <w:pPr>
        <w:spacing w:after="0" w:line="240" w:lineRule="auto"/>
        <w:jc w:val="both"/>
        <w:rPr>
          <w:lang w:val="es-ES"/>
        </w:rPr>
      </w:pPr>
    </w:p>
    <w:p w14:paraId="751A786A" w14:textId="77777777" w:rsidR="00151745" w:rsidRPr="00575A15" w:rsidRDefault="00151745" w:rsidP="009A2337">
      <w:pPr>
        <w:spacing w:after="0" w:line="240" w:lineRule="auto"/>
        <w:jc w:val="both"/>
        <w:rPr>
          <w:lang w:val="es-ES"/>
        </w:rPr>
      </w:pPr>
    </w:p>
    <w:p w14:paraId="436A003D" w14:textId="77777777" w:rsidR="00151745" w:rsidRPr="00575A15" w:rsidRDefault="00151745" w:rsidP="009A2337">
      <w:pPr>
        <w:spacing w:after="0" w:line="240" w:lineRule="auto"/>
        <w:jc w:val="both"/>
        <w:rPr>
          <w:lang w:val="es-ES"/>
        </w:rPr>
      </w:pPr>
    </w:p>
    <w:p w14:paraId="67AA2424" w14:textId="77777777" w:rsidR="00151745" w:rsidRPr="00575A15" w:rsidRDefault="00151745" w:rsidP="009A2337">
      <w:pPr>
        <w:spacing w:after="0" w:line="240" w:lineRule="auto"/>
        <w:jc w:val="both"/>
        <w:rPr>
          <w:lang w:val="es-ES"/>
        </w:rPr>
      </w:pPr>
    </w:p>
    <w:p w14:paraId="07988039" w14:textId="77777777" w:rsidR="00151745" w:rsidRPr="00575A15" w:rsidRDefault="00151745" w:rsidP="009A2337">
      <w:pPr>
        <w:spacing w:after="0" w:line="240" w:lineRule="auto"/>
        <w:jc w:val="both"/>
        <w:rPr>
          <w:lang w:val="es-ES"/>
        </w:rPr>
      </w:pPr>
    </w:p>
    <w:p w14:paraId="24EB91E1" w14:textId="77777777" w:rsidR="00151745" w:rsidRPr="00575A15" w:rsidRDefault="00151745" w:rsidP="009A2337">
      <w:pPr>
        <w:spacing w:after="0" w:line="240" w:lineRule="auto"/>
        <w:jc w:val="both"/>
        <w:rPr>
          <w:lang w:val="es-ES"/>
        </w:rPr>
      </w:pPr>
    </w:p>
    <w:p w14:paraId="78090E4B" w14:textId="77777777" w:rsidR="00151745" w:rsidRPr="00575A15" w:rsidRDefault="00151745" w:rsidP="009A2337">
      <w:pPr>
        <w:spacing w:after="0" w:line="240" w:lineRule="auto"/>
        <w:jc w:val="both"/>
        <w:rPr>
          <w:lang w:val="es-ES"/>
        </w:rPr>
      </w:pPr>
    </w:p>
    <w:p w14:paraId="6B07C48F" w14:textId="77777777" w:rsidR="00151745" w:rsidRPr="00575A15" w:rsidRDefault="00151745" w:rsidP="009A2337">
      <w:pPr>
        <w:spacing w:after="0" w:line="240" w:lineRule="auto"/>
        <w:jc w:val="both"/>
        <w:rPr>
          <w:lang w:val="es-ES"/>
        </w:rPr>
      </w:pPr>
    </w:p>
    <w:p w14:paraId="10C745BF" w14:textId="77777777" w:rsidR="00151745" w:rsidRPr="00575A15" w:rsidRDefault="00151745" w:rsidP="009A2337">
      <w:pPr>
        <w:spacing w:after="0" w:line="240" w:lineRule="auto"/>
        <w:jc w:val="both"/>
        <w:rPr>
          <w:lang w:val="es-ES"/>
        </w:rPr>
      </w:pPr>
    </w:p>
    <w:p w14:paraId="0FD91DB9" w14:textId="77777777" w:rsidR="002B74F7" w:rsidRPr="00575A15" w:rsidRDefault="002B74F7" w:rsidP="009A2337">
      <w:pPr>
        <w:spacing w:after="0" w:line="240" w:lineRule="auto"/>
        <w:jc w:val="both"/>
        <w:rPr>
          <w:lang w:val="es-ES"/>
        </w:rPr>
      </w:pPr>
    </w:p>
    <w:p w14:paraId="2E1FFD3C" w14:textId="0849CA3D" w:rsidR="00151745" w:rsidRPr="00E709DC" w:rsidRDefault="00E709DC">
      <w:pPr>
        <w:rPr>
          <w:rFonts w:eastAsia="Times New Roman" w:cs="Arial"/>
          <w:color w:val="000000"/>
          <w:kern w:val="2"/>
          <w:sz w:val="18"/>
          <w:szCs w:val="18"/>
          <w:lang w:val="es-ES" w:eastAsia="pt-BR"/>
          <w14:ligatures w14:val="standardContextual"/>
        </w:rPr>
      </w:pPr>
      <w:r w:rsidRPr="00074B50">
        <w:rPr>
          <w:rFonts w:eastAsia="Times New Roman"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Pr>
          <w:rFonts w:eastAsia="Times New Roman" w:cs="Arial"/>
          <w:sz w:val="18"/>
          <w:szCs w:val="18"/>
          <w:lang w:val="es-ES"/>
        </w:rPr>
        <w:t>.</w:t>
      </w:r>
      <w:r w:rsidR="00151745" w:rsidRPr="00E709DC">
        <w:rPr>
          <w:rFonts w:eastAsia="Times New Roman" w:cs="Arial"/>
          <w:color w:val="000000"/>
          <w:kern w:val="2"/>
          <w:sz w:val="18"/>
          <w:szCs w:val="18"/>
          <w:lang w:val="es-ES" w:eastAsia="pt-BR"/>
          <w14:ligatures w14:val="standardContextual"/>
        </w:rPr>
        <w:br w:type="page"/>
      </w:r>
    </w:p>
    <w:p w14:paraId="128AC739" w14:textId="77777777" w:rsidR="00151745" w:rsidRPr="00575A15" w:rsidRDefault="00151745" w:rsidP="00151745">
      <w:pPr>
        <w:spacing w:after="0" w:line="240" w:lineRule="auto"/>
        <w:ind w:left="10" w:right="320"/>
        <w:jc w:val="center"/>
        <w:rPr>
          <w:rFonts w:cs="Arial"/>
          <w:lang w:val="es-ES"/>
        </w:rPr>
      </w:pPr>
      <w:r w:rsidRPr="00575A15">
        <w:rPr>
          <w:rFonts w:eastAsia="Arial" w:cs="Arial"/>
          <w:b/>
          <w:bCs/>
          <w:lang w:val="es-ES"/>
        </w:rPr>
        <w:lastRenderedPageBreak/>
        <w:t>PROPUESTA DE INCLUSIÓN DEL SURUBÍ PINTADO</w:t>
      </w:r>
    </w:p>
    <w:p w14:paraId="71099CD0" w14:textId="23C0B156" w:rsidR="00151745" w:rsidRPr="00575A15" w:rsidRDefault="00151745" w:rsidP="00151745">
      <w:pPr>
        <w:spacing w:after="0" w:line="240" w:lineRule="auto"/>
        <w:ind w:right="324"/>
        <w:jc w:val="center"/>
        <w:rPr>
          <w:rFonts w:cs="Arial"/>
          <w:lang w:val="es-ES"/>
        </w:rPr>
      </w:pPr>
      <w:r w:rsidRPr="00575A15">
        <w:rPr>
          <w:rFonts w:eastAsia="Arial" w:cs="Arial"/>
          <w:b/>
          <w:bCs/>
          <w:lang w:val="es-ES"/>
        </w:rPr>
        <w:t>(PINTADO/SURUBIM) (</w:t>
      </w:r>
      <w:proofErr w:type="spellStart"/>
      <w:r w:rsidRPr="00575A15">
        <w:rPr>
          <w:rFonts w:eastAsia="Arial" w:cs="Arial"/>
          <w:b/>
          <w:bCs/>
          <w:i/>
          <w:iCs/>
          <w:lang w:val="es-ES"/>
        </w:rPr>
        <w:t>Pseudoplatystoma</w:t>
      </w:r>
      <w:proofErr w:type="spellEnd"/>
      <w:r w:rsidRPr="00575A15">
        <w:rPr>
          <w:rFonts w:eastAsia="Arial" w:cs="Arial"/>
          <w:b/>
          <w:bCs/>
          <w:i/>
          <w:iCs/>
          <w:lang w:val="es-ES"/>
        </w:rPr>
        <w:t xml:space="preserve"> </w:t>
      </w:r>
      <w:proofErr w:type="spellStart"/>
      <w:r w:rsidRPr="00575A15">
        <w:rPr>
          <w:rFonts w:eastAsia="Arial" w:cs="Arial"/>
          <w:b/>
          <w:bCs/>
          <w:i/>
          <w:iCs/>
          <w:lang w:val="es-ES"/>
        </w:rPr>
        <w:t>corruscans</w:t>
      </w:r>
      <w:proofErr w:type="spellEnd"/>
    </w:p>
    <w:p w14:paraId="18D1BFDE" w14:textId="326002F7" w:rsidR="00151745" w:rsidRPr="00575A15" w:rsidRDefault="00151745" w:rsidP="00151745">
      <w:pPr>
        <w:spacing w:after="0" w:line="240" w:lineRule="auto"/>
        <w:ind w:right="536"/>
        <w:jc w:val="center"/>
        <w:rPr>
          <w:rFonts w:cs="Arial"/>
          <w:lang w:val="es-ES"/>
        </w:rPr>
      </w:pPr>
      <w:r w:rsidRPr="00575A15">
        <w:rPr>
          <w:rFonts w:eastAsia="Arial" w:cs="Arial"/>
          <w:b/>
          <w:bCs/>
          <w:lang w:val="es-ES"/>
        </w:rPr>
        <w:t>EN EL APÉNDICE II DE LA CONVENCIÓN</w:t>
      </w:r>
    </w:p>
    <w:p w14:paraId="41BA5521" w14:textId="3ED044A6" w:rsidR="00151745" w:rsidRPr="00575A15" w:rsidRDefault="00151745" w:rsidP="00151745">
      <w:pPr>
        <w:spacing w:after="0" w:line="240" w:lineRule="auto"/>
        <w:ind w:right="536"/>
        <w:jc w:val="both"/>
        <w:rPr>
          <w:rFonts w:eastAsia="Arial" w:cs="Arial"/>
          <w:lang w:val="es-ES"/>
        </w:rPr>
      </w:pPr>
    </w:p>
    <w:p w14:paraId="4D37ACC0" w14:textId="77777777" w:rsidR="00151745" w:rsidRPr="00575A15" w:rsidRDefault="00151745" w:rsidP="00151745">
      <w:pPr>
        <w:spacing w:after="0" w:line="240" w:lineRule="auto"/>
        <w:ind w:right="536"/>
        <w:jc w:val="both"/>
        <w:rPr>
          <w:rFonts w:cs="Arial"/>
          <w:lang w:val="es-ES"/>
        </w:rPr>
      </w:pPr>
    </w:p>
    <w:p w14:paraId="2460B6A5" w14:textId="7FF21664" w:rsidR="00151745" w:rsidRPr="00575A15" w:rsidRDefault="00151745" w:rsidP="00151745">
      <w:pPr>
        <w:spacing w:after="5" w:line="240" w:lineRule="auto"/>
        <w:ind w:left="540" w:hanging="540"/>
        <w:jc w:val="both"/>
        <w:rPr>
          <w:rFonts w:cs="Arial"/>
          <w:b/>
          <w:bCs/>
          <w:lang w:val="es-ES"/>
        </w:rPr>
      </w:pPr>
      <w:r w:rsidRPr="00575A15">
        <w:rPr>
          <w:rFonts w:eastAsia="Arial" w:cs="Arial"/>
          <w:b/>
          <w:bCs/>
          <w:lang w:val="es-ES"/>
        </w:rPr>
        <w:t xml:space="preserve">A. </w:t>
      </w:r>
      <w:r w:rsidRPr="00575A15">
        <w:rPr>
          <w:rFonts w:eastAsia="Arial" w:cs="Arial"/>
          <w:b/>
          <w:bCs/>
          <w:lang w:val="es-ES"/>
        </w:rPr>
        <w:tab/>
        <w:t xml:space="preserve">PROPUESTA </w:t>
      </w:r>
    </w:p>
    <w:p w14:paraId="343B10CA" w14:textId="77777777" w:rsidR="00151745" w:rsidRPr="00575A15" w:rsidRDefault="00151745" w:rsidP="00151745">
      <w:pPr>
        <w:spacing w:after="0" w:line="240" w:lineRule="auto"/>
        <w:jc w:val="both"/>
        <w:rPr>
          <w:rFonts w:cs="Arial"/>
          <w:lang w:val="es-ES"/>
        </w:rPr>
      </w:pPr>
    </w:p>
    <w:p w14:paraId="4988F301" w14:textId="77777777" w:rsidR="00151745" w:rsidRPr="00575A15" w:rsidRDefault="00151745" w:rsidP="00151745">
      <w:pPr>
        <w:spacing w:after="0" w:line="240" w:lineRule="auto"/>
        <w:jc w:val="both"/>
        <w:rPr>
          <w:rFonts w:cs="Arial"/>
          <w:lang w:val="es-ES"/>
        </w:rPr>
      </w:pPr>
      <w:r w:rsidRPr="00575A15">
        <w:rPr>
          <w:rFonts w:cs="Arial"/>
          <w:lang w:val="es-ES"/>
        </w:rPr>
        <w:t xml:space="preserve">Inclusión de la especie </w:t>
      </w:r>
      <w:proofErr w:type="spellStart"/>
      <w:r w:rsidRPr="00575A15">
        <w:rPr>
          <w:rFonts w:cs="Arial"/>
          <w:i/>
          <w:iCs/>
          <w:lang w:val="es-ES"/>
        </w:rPr>
        <w:t>Pseudoplatystoma</w:t>
      </w:r>
      <w:proofErr w:type="spellEnd"/>
      <w:r w:rsidRPr="00575A15">
        <w:rPr>
          <w:rFonts w:cs="Arial"/>
          <w:i/>
          <w:iCs/>
          <w:lang w:val="es-ES"/>
        </w:rPr>
        <w:t xml:space="preserve"> </w:t>
      </w:r>
      <w:proofErr w:type="spellStart"/>
      <w:r w:rsidRPr="00575A15">
        <w:rPr>
          <w:rFonts w:cs="Arial"/>
          <w:i/>
          <w:iCs/>
          <w:lang w:val="es-ES"/>
        </w:rPr>
        <w:t>corruscans</w:t>
      </w:r>
      <w:proofErr w:type="spellEnd"/>
      <w:r w:rsidRPr="00575A15">
        <w:rPr>
          <w:rFonts w:cs="Arial"/>
          <w:lang w:val="es-ES"/>
        </w:rPr>
        <w:t xml:space="preserve"> (</w:t>
      </w:r>
      <w:proofErr w:type="spellStart"/>
      <w:r w:rsidRPr="00575A15">
        <w:rPr>
          <w:rFonts w:cs="Arial"/>
          <w:lang w:val="es-ES"/>
        </w:rPr>
        <w:t>Spix</w:t>
      </w:r>
      <w:proofErr w:type="spellEnd"/>
      <w:r w:rsidRPr="00575A15">
        <w:rPr>
          <w:rFonts w:cs="Arial"/>
          <w:lang w:val="es-ES"/>
        </w:rPr>
        <w:t xml:space="preserve"> y </w:t>
      </w:r>
      <w:proofErr w:type="spellStart"/>
      <w:r w:rsidRPr="00575A15">
        <w:rPr>
          <w:rFonts w:cs="Arial"/>
          <w:lang w:val="es-ES"/>
        </w:rPr>
        <w:t>Agassiz</w:t>
      </w:r>
      <w:proofErr w:type="spellEnd"/>
      <w:r w:rsidRPr="00575A15">
        <w:rPr>
          <w:rFonts w:cs="Arial"/>
          <w:lang w:val="es-ES"/>
        </w:rPr>
        <w:t xml:space="preserve">, 1829) en el Apéndice II de la Convención sobre la Conservación de las Especies Migratorias de Animales Silvestres (CMS), durante la 15.ª Reunión de la Conferencia de las Partes. </w:t>
      </w:r>
    </w:p>
    <w:p w14:paraId="0DD19A9C" w14:textId="77777777" w:rsidR="00151745" w:rsidRPr="00575A15" w:rsidRDefault="00151745" w:rsidP="00151745">
      <w:pPr>
        <w:spacing w:after="0" w:line="240" w:lineRule="auto"/>
        <w:jc w:val="both"/>
        <w:rPr>
          <w:rFonts w:cs="Arial"/>
          <w:lang w:val="es-ES"/>
        </w:rPr>
      </w:pPr>
    </w:p>
    <w:p w14:paraId="25DF464E" w14:textId="77777777" w:rsidR="00151745" w:rsidRPr="00575A15" w:rsidRDefault="00151745" w:rsidP="00151745">
      <w:pPr>
        <w:spacing w:after="0" w:line="240" w:lineRule="auto"/>
        <w:jc w:val="both"/>
        <w:rPr>
          <w:rFonts w:eastAsia="Arial" w:cs="Arial"/>
          <w:lang w:val="es-ES"/>
        </w:rPr>
      </w:pPr>
      <w:r w:rsidRPr="00575A15">
        <w:rPr>
          <w:rFonts w:cs="Arial"/>
          <w:lang w:val="es-ES"/>
        </w:rPr>
        <w:t xml:space="preserve">La especie figura en la Lista Roja de la UICN como Casi Amenazada (NT), con arreglo al criterio A2bcde (Salvador, 2023).  </w:t>
      </w:r>
    </w:p>
    <w:p w14:paraId="53D66A08" w14:textId="77777777" w:rsidR="00151745" w:rsidRPr="00575A15" w:rsidRDefault="00151745" w:rsidP="00151745">
      <w:pPr>
        <w:spacing w:after="0" w:line="240" w:lineRule="auto"/>
        <w:jc w:val="both"/>
        <w:rPr>
          <w:rFonts w:cs="Arial"/>
          <w:lang w:val="es-ES"/>
        </w:rPr>
      </w:pPr>
    </w:p>
    <w:p w14:paraId="0198E91E" w14:textId="77777777" w:rsidR="00151745" w:rsidRPr="00575A15" w:rsidRDefault="00151745" w:rsidP="00151745">
      <w:pPr>
        <w:spacing w:after="0" w:line="240" w:lineRule="auto"/>
        <w:jc w:val="both"/>
        <w:rPr>
          <w:rFonts w:cs="Arial"/>
          <w:lang w:val="es-ES"/>
        </w:rPr>
      </w:pPr>
      <w:r w:rsidRPr="00575A15">
        <w:rPr>
          <w:rFonts w:cs="Arial"/>
          <w:lang w:val="es-ES"/>
        </w:rPr>
        <w:t>En Brasil, la especie está reconocida oficialmente como «amenazada» (Ordenanza MMA n.º 148, de 7 de julio de 2022), clasificada como Vulnerable (VU) conforme al criterio A2bcde, de acuerdo con una evaluación realizada en octubre de 2019 (Burbano et al., 2024; Ordenanza MMA n.º 148, de 7 de julio de 2022).</w:t>
      </w:r>
    </w:p>
    <w:p w14:paraId="54EE0F7E" w14:textId="77777777" w:rsidR="00151745" w:rsidRPr="00575A15" w:rsidRDefault="00151745" w:rsidP="00151745">
      <w:pPr>
        <w:spacing w:after="0" w:line="240" w:lineRule="auto"/>
        <w:jc w:val="both"/>
        <w:rPr>
          <w:rFonts w:cs="Arial"/>
          <w:lang w:val="es-ES"/>
        </w:rPr>
      </w:pPr>
    </w:p>
    <w:p w14:paraId="6233E203" w14:textId="77777777" w:rsidR="00151745" w:rsidRPr="00575A15" w:rsidRDefault="00151745" w:rsidP="00151745">
      <w:pPr>
        <w:spacing w:after="0" w:line="240" w:lineRule="auto"/>
        <w:jc w:val="both"/>
        <w:rPr>
          <w:rFonts w:cs="Arial"/>
          <w:lang w:val="es-ES"/>
        </w:rPr>
      </w:pPr>
      <w:r w:rsidRPr="00575A15">
        <w:rPr>
          <w:rFonts w:cs="Arial"/>
          <w:lang w:val="es-ES"/>
        </w:rPr>
        <w:t xml:space="preserve">En otros países donde la especie está presente (Bolivia, Paraguay, Argentina y Uruguay) se ha señalado la necesidad de su conservación, como en Uruguay (Loureiro et al., 2013), aunque no se han hallado listas rojas nacionales oficiales. En Argentina, algunas evaluaciones regionales realizadas por investigadores señalan al surubí pintado como «vulnerable», según, por ejemplo, la evaluación de </w:t>
      </w:r>
      <w:proofErr w:type="spellStart"/>
      <w:r w:rsidRPr="00575A15">
        <w:rPr>
          <w:rFonts w:cs="Arial"/>
          <w:lang w:val="es-ES"/>
        </w:rPr>
        <w:t>Cordiviola</w:t>
      </w:r>
      <w:proofErr w:type="spellEnd"/>
      <w:r w:rsidRPr="00575A15">
        <w:rPr>
          <w:rFonts w:cs="Arial"/>
          <w:lang w:val="es-ES"/>
        </w:rPr>
        <w:t xml:space="preserve"> et al. (2009) para el sitio RAMSAR del curso medio del río Paraná. </w:t>
      </w:r>
    </w:p>
    <w:p w14:paraId="7B727D2E" w14:textId="77777777" w:rsidR="00151745" w:rsidRPr="00575A15" w:rsidRDefault="00151745" w:rsidP="00151745">
      <w:pPr>
        <w:spacing w:after="0" w:line="240" w:lineRule="auto"/>
        <w:jc w:val="both"/>
        <w:rPr>
          <w:rFonts w:cs="Arial"/>
          <w:lang w:val="es-ES"/>
        </w:rPr>
      </w:pPr>
    </w:p>
    <w:p w14:paraId="1B9FB97C" w14:textId="77777777" w:rsidR="00151745" w:rsidRPr="00575A15" w:rsidRDefault="00151745" w:rsidP="00151745">
      <w:pPr>
        <w:numPr>
          <w:ilvl w:val="0"/>
          <w:numId w:val="11"/>
        </w:numPr>
        <w:spacing w:after="0" w:line="240" w:lineRule="auto"/>
        <w:ind w:left="540" w:hanging="540"/>
        <w:jc w:val="both"/>
        <w:rPr>
          <w:rFonts w:cs="Arial"/>
          <w:b/>
          <w:bCs/>
          <w:lang w:val="es-ES"/>
        </w:rPr>
      </w:pPr>
      <w:r w:rsidRPr="00575A15">
        <w:rPr>
          <w:rFonts w:eastAsia="Arial" w:cs="Arial"/>
          <w:b/>
          <w:bCs/>
          <w:lang w:val="es-ES"/>
        </w:rPr>
        <w:t xml:space="preserve">PROPONENTE </w:t>
      </w:r>
    </w:p>
    <w:p w14:paraId="599B83D1" w14:textId="0311FF81" w:rsidR="00151745" w:rsidRPr="00575A15" w:rsidRDefault="00151745" w:rsidP="00151745">
      <w:pPr>
        <w:spacing w:after="0" w:line="240" w:lineRule="auto"/>
        <w:ind w:left="91"/>
        <w:jc w:val="both"/>
        <w:rPr>
          <w:rFonts w:cs="Arial"/>
          <w:lang w:val="es-ES"/>
        </w:rPr>
      </w:pPr>
    </w:p>
    <w:p w14:paraId="3E1CC47D" w14:textId="77777777" w:rsidR="00151745" w:rsidRPr="00575A15" w:rsidRDefault="00151745" w:rsidP="00151745">
      <w:pPr>
        <w:spacing w:after="0" w:line="240" w:lineRule="auto"/>
        <w:jc w:val="both"/>
        <w:rPr>
          <w:rFonts w:cs="Arial"/>
          <w:lang w:val="es-ES"/>
        </w:rPr>
      </w:pPr>
      <w:r w:rsidRPr="00575A15">
        <w:rPr>
          <w:rFonts w:cs="Arial"/>
          <w:lang w:val="es-ES"/>
        </w:rPr>
        <w:t>Gobierno de Brasil</w:t>
      </w:r>
    </w:p>
    <w:p w14:paraId="70AAC7E6" w14:textId="6483A0B3" w:rsidR="00151745" w:rsidRPr="00575A15" w:rsidRDefault="00151745" w:rsidP="00151745">
      <w:pPr>
        <w:spacing w:after="0" w:line="240" w:lineRule="auto"/>
        <w:ind w:left="91"/>
        <w:jc w:val="both"/>
        <w:rPr>
          <w:rFonts w:cs="Arial"/>
          <w:lang w:val="es-ES"/>
        </w:rPr>
      </w:pPr>
    </w:p>
    <w:p w14:paraId="62C3B03F" w14:textId="77777777" w:rsidR="00151745" w:rsidRPr="00575A15" w:rsidRDefault="00151745" w:rsidP="00151745">
      <w:pPr>
        <w:numPr>
          <w:ilvl w:val="0"/>
          <w:numId w:val="11"/>
        </w:numPr>
        <w:spacing w:after="0" w:line="240" w:lineRule="auto"/>
        <w:ind w:left="540" w:hanging="540"/>
        <w:jc w:val="both"/>
        <w:rPr>
          <w:rFonts w:cs="Arial"/>
          <w:b/>
          <w:bCs/>
          <w:lang w:val="es-ES"/>
        </w:rPr>
      </w:pPr>
      <w:r w:rsidRPr="00575A15">
        <w:rPr>
          <w:rFonts w:eastAsia="Arial" w:cs="Arial"/>
          <w:b/>
          <w:bCs/>
          <w:lang w:val="es-ES"/>
        </w:rPr>
        <w:t xml:space="preserve">JUSTIFICACIÓN DE LA PROPUESTA </w:t>
      </w:r>
    </w:p>
    <w:p w14:paraId="1B1F8634" w14:textId="77777777" w:rsidR="00151745" w:rsidRPr="00575A15" w:rsidRDefault="00151745" w:rsidP="00151745">
      <w:pPr>
        <w:spacing w:after="0" w:line="240" w:lineRule="auto"/>
        <w:ind w:left="91"/>
        <w:jc w:val="both"/>
        <w:rPr>
          <w:rFonts w:cs="Arial"/>
          <w:lang w:val="es-ES"/>
        </w:rPr>
      </w:pPr>
    </w:p>
    <w:p w14:paraId="236C374F" w14:textId="304CAF0A" w:rsidR="00151745" w:rsidRPr="00575A15" w:rsidRDefault="00B46EFC" w:rsidP="00151745">
      <w:pPr>
        <w:numPr>
          <w:ilvl w:val="0"/>
          <w:numId w:val="12"/>
        </w:numPr>
        <w:spacing w:after="80" w:line="240" w:lineRule="auto"/>
        <w:ind w:hanging="540"/>
        <w:jc w:val="both"/>
        <w:rPr>
          <w:rFonts w:cs="Arial"/>
          <w:b/>
          <w:bCs/>
          <w:lang w:val="es-ES"/>
        </w:rPr>
      </w:pPr>
      <w:r w:rsidRPr="00575A15">
        <w:rPr>
          <w:rFonts w:eastAsia="Arial" w:cs="Arial"/>
          <w:b/>
          <w:bCs/>
          <w:lang w:val="es-ES"/>
        </w:rPr>
        <w:t>Taxonomía</w:t>
      </w:r>
      <w:r w:rsidR="00151745" w:rsidRPr="00575A15">
        <w:rPr>
          <w:rFonts w:eastAsia="Arial" w:cs="Arial"/>
          <w:b/>
          <w:bCs/>
          <w:lang w:val="es-ES"/>
        </w:rPr>
        <w:t xml:space="preserve"> </w:t>
      </w:r>
    </w:p>
    <w:p w14:paraId="099290F1" w14:textId="77777777" w:rsidR="00151745" w:rsidRPr="00575A15" w:rsidRDefault="00151745" w:rsidP="00151745">
      <w:pPr>
        <w:numPr>
          <w:ilvl w:val="1"/>
          <w:numId w:val="12"/>
        </w:numPr>
        <w:spacing w:after="80" w:line="240" w:lineRule="auto"/>
        <w:ind w:hanging="540"/>
        <w:jc w:val="both"/>
        <w:rPr>
          <w:rFonts w:cs="Arial"/>
          <w:lang w:val="es-ES"/>
        </w:rPr>
      </w:pPr>
      <w:r w:rsidRPr="00575A15">
        <w:rPr>
          <w:rFonts w:eastAsia="Arial" w:cs="Arial"/>
          <w:lang w:val="es-ES"/>
        </w:rPr>
        <w:t xml:space="preserve">Clase: </w:t>
      </w:r>
      <w:proofErr w:type="spellStart"/>
      <w:r w:rsidRPr="00575A15">
        <w:rPr>
          <w:rFonts w:eastAsia="Arial" w:cs="Arial"/>
          <w:lang w:val="es-ES"/>
        </w:rPr>
        <w:t>Actinopterygii</w:t>
      </w:r>
      <w:proofErr w:type="spellEnd"/>
      <w:r w:rsidRPr="00575A15">
        <w:rPr>
          <w:rFonts w:cs="Arial"/>
          <w:sz w:val="24"/>
          <w:szCs w:val="24"/>
          <w:lang w:val="es-ES"/>
        </w:rPr>
        <w:t xml:space="preserve"> </w:t>
      </w:r>
    </w:p>
    <w:p w14:paraId="56CF2CB7" w14:textId="77777777" w:rsidR="00151745" w:rsidRPr="00575A15" w:rsidRDefault="00151745" w:rsidP="00151745">
      <w:pPr>
        <w:numPr>
          <w:ilvl w:val="1"/>
          <w:numId w:val="12"/>
        </w:numPr>
        <w:spacing w:after="80" w:line="240" w:lineRule="auto"/>
        <w:ind w:hanging="540"/>
        <w:jc w:val="both"/>
        <w:rPr>
          <w:rFonts w:cs="Arial"/>
          <w:lang w:val="es-ES"/>
        </w:rPr>
      </w:pPr>
      <w:r w:rsidRPr="00575A15">
        <w:rPr>
          <w:rFonts w:eastAsia="Arial" w:cs="Arial"/>
          <w:lang w:val="es-ES"/>
        </w:rPr>
        <w:t xml:space="preserve">Orden: </w:t>
      </w:r>
      <w:proofErr w:type="spellStart"/>
      <w:r w:rsidRPr="00575A15">
        <w:rPr>
          <w:rFonts w:eastAsia="Arial" w:cs="Arial"/>
          <w:lang w:val="es-ES"/>
        </w:rPr>
        <w:t>Siluriformes</w:t>
      </w:r>
      <w:proofErr w:type="spellEnd"/>
      <w:r w:rsidRPr="00575A15">
        <w:rPr>
          <w:rFonts w:eastAsia="Arial" w:cs="Arial"/>
          <w:lang w:val="es-ES"/>
        </w:rPr>
        <w:t xml:space="preserve"> </w:t>
      </w:r>
    </w:p>
    <w:p w14:paraId="64F3470A" w14:textId="77777777" w:rsidR="00151745" w:rsidRPr="00575A15" w:rsidRDefault="00151745" w:rsidP="00151745">
      <w:pPr>
        <w:numPr>
          <w:ilvl w:val="1"/>
          <w:numId w:val="12"/>
        </w:numPr>
        <w:spacing w:after="80" w:line="240" w:lineRule="auto"/>
        <w:ind w:hanging="540"/>
        <w:jc w:val="both"/>
        <w:rPr>
          <w:rFonts w:cs="Arial"/>
          <w:lang w:val="es-ES"/>
        </w:rPr>
      </w:pPr>
      <w:r w:rsidRPr="00575A15">
        <w:rPr>
          <w:rFonts w:eastAsia="Arial" w:cs="Arial"/>
          <w:lang w:val="es-ES"/>
        </w:rPr>
        <w:t xml:space="preserve">Familia: </w:t>
      </w:r>
      <w:proofErr w:type="spellStart"/>
      <w:r w:rsidRPr="00575A15">
        <w:rPr>
          <w:rFonts w:eastAsia="Arial" w:cs="Arial"/>
          <w:lang w:val="es-ES"/>
        </w:rPr>
        <w:t>Pimelodidae</w:t>
      </w:r>
      <w:proofErr w:type="spellEnd"/>
      <w:r w:rsidRPr="00575A15">
        <w:rPr>
          <w:rFonts w:eastAsia="Arial" w:cs="Arial"/>
          <w:lang w:val="es-ES"/>
        </w:rPr>
        <w:t xml:space="preserve"> </w:t>
      </w:r>
    </w:p>
    <w:p w14:paraId="63F92D50" w14:textId="77777777" w:rsidR="00151745" w:rsidRPr="00575A15" w:rsidRDefault="00151745" w:rsidP="00151745">
      <w:pPr>
        <w:numPr>
          <w:ilvl w:val="1"/>
          <w:numId w:val="12"/>
        </w:numPr>
        <w:spacing w:after="80" w:line="240" w:lineRule="auto"/>
        <w:ind w:hanging="540"/>
        <w:jc w:val="both"/>
        <w:rPr>
          <w:rFonts w:cs="Arial"/>
          <w:lang w:val="es-ES"/>
        </w:rPr>
      </w:pPr>
      <w:r w:rsidRPr="00575A15">
        <w:rPr>
          <w:rFonts w:eastAsia="Arial" w:cs="Arial"/>
          <w:lang w:val="es-ES"/>
        </w:rPr>
        <w:t xml:space="preserve">Género, especie o subespecie, incluido autor y año: </w:t>
      </w:r>
      <w:proofErr w:type="spellStart"/>
      <w:r w:rsidRPr="00575A15">
        <w:rPr>
          <w:rFonts w:cs="Arial"/>
          <w:i/>
          <w:iCs/>
          <w:lang w:val="es-ES"/>
        </w:rPr>
        <w:t>Pseudoplatystoma</w:t>
      </w:r>
      <w:proofErr w:type="spellEnd"/>
      <w:r w:rsidRPr="00575A15">
        <w:rPr>
          <w:rFonts w:cs="Arial"/>
          <w:i/>
          <w:iCs/>
          <w:lang w:val="es-ES"/>
        </w:rPr>
        <w:t xml:space="preserve"> </w:t>
      </w:r>
      <w:proofErr w:type="spellStart"/>
      <w:r w:rsidRPr="00575A15">
        <w:rPr>
          <w:rFonts w:cs="Arial"/>
          <w:i/>
          <w:iCs/>
          <w:lang w:val="es-ES"/>
        </w:rPr>
        <w:t>corruscans</w:t>
      </w:r>
      <w:proofErr w:type="spellEnd"/>
      <w:r w:rsidRPr="00575A15">
        <w:rPr>
          <w:rFonts w:cs="Arial"/>
          <w:i/>
          <w:iCs/>
          <w:lang w:val="es-ES"/>
        </w:rPr>
        <w:t xml:space="preserve"> </w:t>
      </w:r>
      <w:r w:rsidRPr="00575A15">
        <w:rPr>
          <w:rFonts w:eastAsia="Arial" w:cs="Arial"/>
          <w:lang w:val="es-ES"/>
        </w:rPr>
        <w:t>(</w:t>
      </w:r>
      <w:proofErr w:type="spellStart"/>
      <w:r w:rsidRPr="00575A15">
        <w:rPr>
          <w:rFonts w:eastAsia="Arial" w:cs="Arial"/>
          <w:lang w:val="es-ES"/>
        </w:rPr>
        <w:t>Spix</w:t>
      </w:r>
      <w:proofErr w:type="spellEnd"/>
      <w:r w:rsidRPr="00575A15">
        <w:rPr>
          <w:rFonts w:eastAsia="Arial" w:cs="Arial"/>
          <w:lang w:val="es-ES"/>
        </w:rPr>
        <w:t xml:space="preserve"> y </w:t>
      </w:r>
      <w:proofErr w:type="spellStart"/>
      <w:r w:rsidRPr="00575A15">
        <w:rPr>
          <w:rFonts w:eastAsia="Arial" w:cs="Arial"/>
          <w:lang w:val="es-ES"/>
        </w:rPr>
        <w:t>Agassiz</w:t>
      </w:r>
      <w:proofErr w:type="spellEnd"/>
      <w:r w:rsidRPr="00575A15">
        <w:rPr>
          <w:rFonts w:eastAsia="Arial" w:cs="Arial"/>
          <w:lang w:val="es-ES"/>
        </w:rPr>
        <w:t xml:space="preserve">, 1829) </w:t>
      </w:r>
    </w:p>
    <w:p w14:paraId="694C385E" w14:textId="77777777" w:rsidR="00151745" w:rsidRPr="00575A15" w:rsidRDefault="00151745" w:rsidP="00151745">
      <w:pPr>
        <w:numPr>
          <w:ilvl w:val="1"/>
          <w:numId w:val="12"/>
        </w:numPr>
        <w:spacing w:after="80" w:line="240" w:lineRule="auto"/>
        <w:ind w:hanging="540"/>
        <w:jc w:val="both"/>
        <w:rPr>
          <w:rFonts w:cs="Arial"/>
          <w:lang w:val="es-ES"/>
        </w:rPr>
      </w:pPr>
      <w:r w:rsidRPr="00575A15">
        <w:rPr>
          <w:rFonts w:eastAsia="Arial" w:cs="Arial"/>
          <w:lang w:val="es-ES"/>
        </w:rPr>
        <w:t xml:space="preserve">Sinónimos científicos: </w:t>
      </w:r>
    </w:p>
    <w:p w14:paraId="2C1B53FA" w14:textId="77777777" w:rsidR="00151745" w:rsidRPr="00575A15" w:rsidRDefault="00151745" w:rsidP="00151745">
      <w:pPr>
        <w:spacing w:after="80" w:line="240" w:lineRule="auto"/>
        <w:ind w:left="1181" w:hanging="550"/>
        <w:jc w:val="both"/>
        <w:rPr>
          <w:rFonts w:cs="Arial"/>
          <w:i/>
          <w:iCs/>
          <w:lang w:val="es-ES"/>
        </w:rPr>
      </w:pPr>
      <w:r w:rsidRPr="00575A15">
        <w:rPr>
          <w:rFonts w:eastAsia="Arial" w:cs="Arial"/>
          <w:lang w:val="es-ES"/>
        </w:rPr>
        <w:t xml:space="preserve">  </w:t>
      </w:r>
      <w:r w:rsidRPr="00575A15">
        <w:rPr>
          <w:lang w:val="es-ES"/>
        </w:rPr>
        <w:tab/>
      </w:r>
      <w:proofErr w:type="spellStart"/>
      <w:r w:rsidRPr="00575A15">
        <w:rPr>
          <w:rFonts w:cs="Arial"/>
          <w:i/>
          <w:iCs/>
          <w:lang w:val="es-ES"/>
        </w:rPr>
        <w:t>Sorubim</w:t>
      </w:r>
      <w:proofErr w:type="spellEnd"/>
      <w:r w:rsidRPr="00575A15">
        <w:rPr>
          <w:rFonts w:cs="Arial"/>
          <w:i/>
          <w:iCs/>
          <w:lang w:val="es-ES"/>
        </w:rPr>
        <w:t xml:space="preserve"> </w:t>
      </w:r>
      <w:proofErr w:type="spellStart"/>
      <w:r w:rsidRPr="00575A15">
        <w:rPr>
          <w:rFonts w:cs="Arial"/>
          <w:i/>
          <w:iCs/>
          <w:lang w:val="es-ES"/>
        </w:rPr>
        <w:t>caparary</w:t>
      </w:r>
      <w:proofErr w:type="spellEnd"/>
      <w:r w:rsidRPr="00575A15">
        <w:rPr>
          <w:rFonts w:cs="Arial"/>
          <w:lang w:val="es-ES"/>
        </w:rPr>
        <w:t xml:space="preserve">, </w:t>
      </w:r>
      <w:proofErr w:type="spellStart"/>
      <w:r w:rsidRPr="00575A15">
        <w:rPr>
          <w:rFonts w:cs="Arial"/>
          <w:i/>
          <w:iCs/>
          <w:lang w:val="es-ES"/>
        </w:rPr>
        <w:t>Platystoma</w:t>
      </w:r>
      <w:proofErr w:type="spellEnd"/>
      <w:r w:rsidRPr="00575A15">
        <w:rPr>
          <w:rFonts w:cs="Arial"/>
          <w:i/>
          <w:iCs/>
          <w:lang w:val="es-ES"/>
        </w:rPr>
        <w:t xml:space="preserve"> </w:t>
      </w:r>
      <w:proofErr w:type="spellStart"/>
      <w:r w:rsidRPr="00575A15">
        <w:rPr>
          <w:rFonts w:cs="Arial"/>
          <w:i/>
          <w:iCs/>
          <w:lang w:val="es-ES"/>
        </w:rPr>
        <w:t>corruscans</w:t>
      </w:r>
      <w:proofErr w:type="spellEnd"/>
      <w:r w:rsidRPr="00575A15">
        <w:rPr>
          <w:rFonts w:cs="Arial"/>
          <w:lang w:val="es-ES"/>
        </w:rPr>
        <w:t xml:space="preserve">, </w:t>
      </w:r>
      <w:proofErr w:type="spellStart"/>
      <w:r w:rsidRPr="00575A15">
        <w:rPr>
          <w:rFonts w:cs="Arial"/>
          <w:i/>
          <w:iCs/>
          <w:lang w:val="es-ES"/>
        </w:rPr>
        <w:t>Silurus</w:t>
      </w:r>
      <w:proofErr w:type="spellEnd"/>
      <w:r w:rsidRPr="00575A15">
        <w:rPr>
          <w:rFonts w:cs="Arial"/>
          <w:i/>
          <w:iCs/>
          <w:lang w:val="es-ES"/>
        </w:rPr>
        <w:t xml:space="preserve"> </w:t>
      </w:r>
      <w:proofErr w:type="spellStart"/>
      <w:r w:rsidRPr="00575A15">
        <w:rPr>
          <w:rFonts w:cs="Arial"/>
          <w:i/>
          <w:iCs/>
          <w:lang w:val="es-ES"/>
        </w:rPr>
        <w:t>macrocephalus</w:t>
      </w:r>
      <w:proofErr w:type="spellEnd"/>
      <w:r w:rsidRPr="00575A15">
        <w:rPr>
          <w:rFonts w:cs="Arial"/>
          <w:lang w:val="es-ES"/>
        </w:rPr>
        <w:t xml:space="preserve">, </w:t>
      </w:r>
      <w:proofErr w:type="spellStart"/>
      <w:r w:rsidRPr="00575A15">
        <w:rPr>
          <w:rFonts w:cs="Arial"/>
          <w:i/>
          <w:iCs/>
          <w:lang w:val="es-ES"/>
        </w:rPr>
        <w:t>Platystoma</w:t>
      </w:r>
      <w:proofErr w:type="spellEnd"/>
      <w:r w:rsidRPr="00575A15">
        <w:rPr>
          <w:rFonts w:cs="Arial"/>
          <w:i/>
          <w:iCs/>
          <w:lang w:val="es-ES"/>
        </w:rPr>
        <w:t xml:space="preserve"> </w:t>
      </w:r>
      <w:proofErr w:type="spellStart"/>
      <w:r w:rsidRPr="00575A15">
        <w:rPr>
          <w:rFonts w:cs="Arial"/>
          <w:i/>
          <w:iCs/>
          <w:lang w:val="es-ES"/>
        </w:rPr>
        <w:t>orbignianus</w:t>
      </w:r>
      <w:proofErr w:type="spellEnd"/>
      <w:r w:rsidRPr="00575A15">
        <w:rPr>
          <w:rFonts w:cs="Arial"/>
          <w:lang w:val="es-ES"/>
        </w:rPr>
        <w:t xml:space="preserve">, </w:t>
      </w:r>
      <w:proofErr w:type="spellStart"/>
      <w:r w:rsidRPr="00575A15">
        <w:rPr>
          <w:rFonts w:cs="Arial"/>
          <w:i/>
          <w:iCs/>
          <w:lang w:val="es-ES"/>
        </w:rPr>
        <w:t>Platystoma</w:t>
      </w:r>
      <w:proofErr w:type="spellEnd"/>
      <w:r w:rsidRPr="00575A15">
        <w:rPr>
          <w:rFonts w:cs="Arial"/>
          <w:i/>
          <w:iCs/>
          <w:lang w:val="es-ES"/>
        </w:rPr>
        <w:t xml:space="preserve"> </w:t>
      </w:r>
      <w:proofErr w:type="spellStart"/>
      <w:r w:rsidRPr="00575A15">
        <w:rPr>
          <w:rFonts w:cs="Arial"/>
          <w:i/>
          <w:iCs/>
          <w:lang w:val="es-ES"/>
        </w:rPr>
        <w:t>panthale</w:t>
      </w:r>
      <w:proofErr w:type="spellEnd"/>
      <w:r w:rsidRPr="00575A15">
        <w:rPr>
          <w:rFonts w:cs="Arial"/>
          <w:lang w:val="es-ES"/>
        </w:rPr>
        <w:t xml:space="preserve">, </w:t>
      </w:r>
      <w:proofErr w:type="spellStart"/>
      <w:r w:rsidRPr="00575A15">
        <w:rPr>
          <w:rFonts w:cs="Arial"/>
          <w:i/>
          <w:iCs/>
          <w:lang w:val="es-ES"/>
        </w:rPr>
        <w:t>Platystoma</w:t>
      </w:r>
      <w:proofErr w:type="spellEnd"/>
      <w:r w:rsidRPr="00575A15">
        <w:rPr>
          <w:rFonts w:cs="Arial"/>
          <w:i/>
          <w:iCs/>
          <w:lang w:val="es-ES"/>
        </w:rPr>
        <w:t xml:space="preserve"> </w:t>
      </w:r>
      <w:proofErr w:type="spellStart"/>
      <w:r w:rsidRPr="00575A15">
        <w:rPr>
          <w:rFonts w:cs="Arial"/>
          <w:i/>
          <w:iCs/>
          <w:lang w:val="es-ES"/>
        </w:rPr>
        <w:t>pardalis</w:t>
      </w:r>
      <w:proofErr w:type="spellEnd"/>
      <w:r w:rsidRPr="00575A15">
        <w:rPr>
          <w:rFonts w:cs="Arial"/>
          <w:i/>
          <w:iCs/>
          <w:lang w:val="es-ES"/>
        </w:rPr>
        <w:t xml:space="preserve"> </w:t>
      </w:r>
    </w:p>
    <w:p w14:paraId="2F7171E4" w14:textId="77777777" w:rsidR="00151745" w:rsidRPr="00575A15" w:rsidRDefault="00151745" w:rsidP="00151745">
      <w:pPr>
        <w:spacing w:after="80" w:line="240" w:lineRule="auto"/>
        <w:ind w:left="1181" w:hanging="550"/>
        <w:jc w:val="both"/>
        <w:rPr>
          <w:rFonts w:cs="Arial"/>
          <w:lang w:val="es-ES"/>
        </w:rPr>
      </w:pPr>
      <w:r w:rsidRPr="00575A15">
        <w:rPr>
          <w:rFonts w:cs="Arial"/>
          <w:lang w:val="es-ES"/>
        </w:rPr>
        <w:t xml:space="preserve">(Según el Catálogo de Peces de </w:t>
      </w:r>
      <w:proofErr w:type="spellStart"/>
      <w:r w:rsidRPr="00575A15">
        <w:rPr>
          <w:rFonts w:cs="Arial"/>
          <w:lang w:val="es-ES"/>
        </w:rPr>
        <w:t>Eschmeyer</w:t>
      </w:r>
      <w:proofErr w:type="spellEnd"/>
      <w:r w:rsidRPr="00575A15">
        <w:rPr>
          <w:rFonts w:cs="Arial"/>
          <w:lang w:val="es-ES"/>
        </w:rPr>
        <w:t xml:space="preserve"> de la </w:t>
      </w:r>
      <w:r w:rsidRPr="00575A15">
        <w:rPr>
          <w:rFonts w:cs="Arial"/>
          <w:i/>
          <w:lang w:val="es-ES"/>
        </w:rPr>
        <w:t xml:space="preserve">California </w:t>
      </w:r>
      <w:proofErr w:type="spellStart"/>
      <w:r w:rsidRPr="00575A15">
        <w:rPr>
          <w:rFonts w:cs="Arial"/>
          <w:i/>
          <w:lang w:val="es-ES"/>
        </w:rPr>
        <w:t>Academy</w:t>
      </w:r>
      <w:proofErr w:type="spellEnd"/>
      <w:r w:rsidRPr="00575A15">
        <w:rPr>
          <w:rFonts w:cs="Arial"/>
          <w:i/>
          <w:lang w:val="es-ES"/>
        </w:rPr>
        <w:t xml:space="preserve"> of </w:t>
      </w:r>
      <w:proofErr w:type="spellStart"/>
      <w:r w:rsidRPr="00575A15">
        <w:rPr>
          <w:rFonts w:cs="Arial"/>
          <w:i/>
          <w:lang w:val="es-ES"/>
        </w:rPr>
        <w:t>Sciences</w:t>
      </w:r>
      <w:proofErr w:type="spellEnd"/>
      <w:r w:rsidRPr="00575A15">
        <w:rPr>
          <w:rFonts w:cs="Arial"/>
          <w:lang w:val="es-ES"/>
        </w:rPr>
        <w:t xml:space="preserve">) </w:t>
      </w:r>
    </w:p>
    <w:p w14:paraId="2E2B0A07" w14:textId="77777777" w:rsidR="00151745" w:rsidRPr="00575A15" w:rsidRDefault="00151745" w:rsidP="00151745">
      <w:pPr>
        <w:numPr>
          <w:ilvl w:val="1"/>
          <w:numId w:val="12"/>
        </w:numPr>
        <w:spacing w:after="0" w:line="240" w:lineRule="auto"/>
        <w:ind w:hanging="540"/>
        <w:jc w:val="both"/>
        <w:rPr>
          <w:rFonts w:cs="Arial"/>
          <w:lang w:val="es-ES"/>
        </w:rPr>
      </w:pPr>
      <w:r w:rsidRPr="00575A15">
        <w:rPr>
          <w:rFonts w:eastAsia="Arial" w:cs="Arial"/>
          <w:lang w:val="es-ES"/>
        </w:rPr>
        <w:t xml:space="preserve">Nombre o nombres comunes en todos los idiomas aplicables utilizados por la Convención: </w:t>
      </w:r>
    </w:p>
    <w:p w14:paraId="442C6BFC" w14:textId="77777777" w:rsidR="00151745" w:rsidRPr="00575A15" w:rsidRDefault="00151745" w:rsidP="00151745">
      <w:pPr>
        <w:spacing w:after="0" w:line="240" w:lineRule="auto"/>
        <w:ind w:left="1181"/>
        <w:jc w:val="both"/>
        <w:rPr>
          <w:rFonts w:cs="Arial"/>
          <w:lang w:val="es-ES"/>
        </w:rPr>
      </w:pPr>
      <w:r w:rsidRPr="00575A15">
        <w:rPr>
          <w:rFonts w:cs="Arial"/>
          <w:lang w:val="es-ES"/>
        </w:rPr>
        <w:t xml:space="preserve">Brasil: pintado, </w:t>
      </w:r>
      <w:proofErr w:type="spellStart"/>
      <w:r w:rsidRPr="00575A15">
        <w:rPr>
          <w:rFonts w:cs="Arial"/>
          <w:lang w:val="es-ES"/>
        </w:rPr>
        <w:t>surubim</w:t>
      </w:r>
      <w:proofErr w:type="spellEnd"/>
      <w:r w:rsidRPr="00575A15">
        <w:rPr>
          <w:rFonts w:cs="Arial"/>
          <w:lang w:val="es-ES"/>
        </w:rPr>
        <w:t xml:space="preserve">, </w:t>
      </w:r>
      <w:proofErr w:type="spellStart"/>
      <w:r w:rsidRPr="00575A15">
        <w:rPr>
          <w:rFonts w:cs="Arial"/>
          <w:lang w:val="es-ES"/>
        </w:rPr>
        <w:t>surubim</w:t>
      </w:r>
      <w:proofErr w:type="spellEnd"/>
      <w:r w:rsidRPr="00575A15">
        <w:rPr>
          <w:rFonts w:cs="Arial"/>
          <w:lang w:val="es-ES"/>
        </w:rPr>
        <w:t xml:space="preserve">-pintado, </w:t>
      </w:r>
      <w:proofErr w:type="spellStart"/>
      <w:r w:rsidRPr="00575A15">
        <w:rPr>
          <w:rFonts w:cs="Arial"/>
          <w:lang w:val="es-ES"/>
        </w:rPr>
        <w:t>cambucu</w:t>
      </w:r>
      <w:proofErr w:type="spellEnd"/>
      <w:r w:rsidRPr="00575A15">
        <w:rPr>
          <w:rFonts w:cs="Arial"/>
          <w:lang w:val="es-ES"/>
        </w:rPr>
        <w:t xml:space="preserve">, </w:t>
      </w:r>
      <w:proofErr w:type="spellStart"/>
      <w:r w:rsidRPr="00575A15">
        <w:rPr>
          <w:rFonts w:cs="Arial"/>
          <w:lang w:val="es-ES"/>
        </w:rPr>
        <w:t>moleque</w:t>
      </w:r>
      <w:proofErr w:type="spellEnd"/>
      <w:r w:rsidRPr="00575A15">
        <w:rPr>
          <w:rFonts w:cs="Arial"/>
          <w:lang w:val="es-ES"/>
        </w:rPr>
        <w:t xml:space="preserve"> </w:t>
      </w:r>
    </w:p>
    <w:p w14:paraId="77377A49" w14:textId="77777777" w:rsidR="00151745" w:rsidRPr="00575A15" w:rsidRDefault="00151745" w:rsidP="00151745">
      <w:pPr>
        <w:spacing w:after="0" w:line="240" w:lineRule="auto"/>
        <w:ind w:left="1181"/>
        <w:jc w:val="both"/>
        <w:rPr>
          <w:rFonts w:cs="Arial"/>
          <w:lang w:val="es-ES"/>
        </w:rPr>
      </w:pPr>
      <w:r w:rsidRPr="00575A15">
        <w:rPr>
          <w:rFonts w:cs="Arial"/>
          <w:lang w:val="es-ES"/>
        </w:rPr>
        <w:t xml:space="preserve">Argentina, Paraguay y Bolivia: surubí, surubí pintado, surubí a lunares </w:t>
      </w:r>
    </w:p>
    <w:p w14:paraId="265B3742" w14:textId="77777777" w:rsidR="00151745" w:rsidRPr="00575A15" w:rsidRDefault="00151745" w:rsidP="00151745">
      <w:pPr>
        <w:spacing w:after="0" w:line="240" w:lineRule="auto"/>
        <w:ind w:left="1181"/>
        <w:jc w:val="both"/>
        <w:rPr>
          <w:rFonts w:cs="Arial"/>
          <w:lang w:val="es-ES"/>
        </w:rPr>
      </w:pPr>
      <w:r w:rsidRPr="00575A15">
        <w:rPr>
          <w:rFonts w:cs="Arial"/>
          <w:lang w:val="es-ES"/>
        </w:rPr>
        <w:t xml:space="preserve">UICN: surubí pintado </w:t>
      </w:r>
    </w:p>
    <w:p w14:paraId="1463B8D2" w14:textId="77777777" w:rsidR="00151745" w:rsidRPr="00575A15" w:rsidRDefault="00151745" w:rsidP="00151745">
      <w:pPr>
        <w:spacing w:after="0" w:line="240" w:lineRule="auto"/>
        <w:ind w:left="1181"/>
        <w:jc w:val="both"/>
        <w:rPr>
          <w:rFonts w:cs="Arial"/>
          <w:lang w:val="es-ES"/>
        </w:rPr>
      </w:pPr>
    </w:p>
    <w:p w14:paraId="7FBA4853" w14:textId="77777777" w:rsidR="00151745" w:rsidRPr="00575A15" w:rsidRDefault="00151745" w:rsidP="00151745">
      <w:pPr>
        <w:numPr>
          <w:ilvl w:val="0"/>
          <w:numId w:val="12"/>
        </w:numPr>
        <w:spacing w:after="0" w:line="240" w:lineRule="auto"/>
        <w:ind w:hanging="540"/>
        <w:jc w:val="both"/>
        <w:rPr>
          <w:rFonts w:cs="Arial"/>
          <w:b/>
          <w:bCs/>
          <w:lang w:val="es-ES"/>
        </w:rPr>
      </w:pPr>
      <w:r w:rsidRPr="00575A15">
        <w:rPr>
          <w:rFonts w:eastAsia="Arial" w:cs="Arial"/>
          <w:b/>
          <w:bCs/>
          <w:lang w:val="es-ES"/>
        </w:rPr>
        <w:t xml:space="preserve">PANORÁMICA </w:t>
      </w:r>
    </w:p>
    <w:p w14:paraId="28758A7F" w14:textId="77777777" w:rsidR="00151745" w:rsidRPr="00575A15" w:rsidRDefault="00151745" w:rsidP="00151745">
      <w:pPr>
        <w:spacing w:after="0" w:line="240" w:lineRule="auto"/>
        <w:ind w:left="91"/>
        <w:jc w:val="both"/>
        <w:rPr>
          <w:rFonts w:cs="Arial"/>
          <w:lang w:val="es-ES"/>
        </w:rPr>
      </w:pPr>
      <w:r w:rsidRPr="00575A15">
        <w:rPr>
          <w:rFonts w:eastAsia="Arial" w:cs="Arial"/>
          <w:lang w:val="es-ES"/>
        </w:rPr>
        <w:t xml:space="preserve"> </w:t>
      </w:r>
    </w:p>
    <w:p w14:paraId="404EE4CE" w14:textId="30F497F0" w:rsidR="00151745" w:rsidRPr="00575A15" w:rsidRDefault="00151745" w:rsidP="00151745">
      <w:pPr>
        <w:spacing w:after="0" w:line="240" w:lineRule="auto"/>
        <w:jc w:val="both"/>
        <w:rPr>
          <w:rFonts w:cs="Arial"/>
          <w:lang w:val="es-ES"/>
        </w:rPr>
      </w:pPr>
      <w:r w:rsidRPr="00575A15">
        <w:rPr>
          <w:rFonts w:cs="Arial"/>
          <w:lang w:val="es-ES"/>
        </w:rPr>
        <w:t xml:space="preserve">El </w:t>
      </w:r>
      <w:proofErr w:type="spellStart"/>
      <w:r w:rsidRPr="00575A15">
        <w:rPr>
          <w:rFonts w:cs="Arial"/>
          <w:i/>
          <w:iCs/>
          <w:lang w:val="es-ES"/>
        </w:rPr>
        <w:t>Pseudoplatystoma</w:t>
      </w:r>
      <w:proofErr w:type="spellEnd"/>
      <w:r w:rsidRPr="00575A15">
        <w:rPr>
          <w:rFonts w:cs="Arial"/>
          <w:i/>
          <w:iCs/>
          <w:lang w:val="es-ES"/>
        </w:rPr>
        <w:t xml:space="preserve"> </w:t>
      </w:r>
      <w:proofErr w:type="spellStart"/>
      <w:r w:rsidRPr="00575A15">
        <w:rPr>
          <w:rFonts w:cs="Arial"/>
          <w:i/>
          <w:iCs/>
          <w:lang w:val="es-ES"/>
        </w:rPr>
        <w:t>corruscans</w:t>
      </w:r>
      <w:proofErr w:type="spellEnd"/>
      <w:r w:rsidRPr="00575A15">
        <w:rPr>
          <w:rFonts w:cs="Arial"/>
          <w:lang w:val="es-ES"/>
        </w:rPr>
        <w:t xml:space="preserve"> es una especie neotropical de bagre de agua dulce que realiza migraciones de larga distancia (pez </w:t>
      </w:r>
      <w:proofErr w:type="spellStart"/>
      <w:r w:rsidRPr="00575A15">
        <w:rPr>
          <w:rFonts w:cs="Arial"/>
          <w:lang w:val="es-ES"/>
        </w:rPr>
        <w:t>potamódromo</w:t>
      </w:r>
      <w:proofErr w:type="spellEnd"/>
      <w:r w:rsidRPr="00575A15">
        <w:rPr>
          <w:rFonts w:cs="Arial"/>
          <w:lang w:val="es-ES"/>
        </w:rPr>
        <w:t xml:space="preserve">). Es un depredador de nivel trófico </w:t>
      </w:r>
      <w:r w:rsidRPr="00575A15">
        <w:rPr>
          <w:rFonts w:cs="Arial"/>
          <w:lang w:val="es-ES"/>
        </w:rPr>
        <w:lastRenderedPageBreak/>
        <w:t>superior y es de gran importancia para la pesca comercial, artesanal y deportiva. La distribución de la especie abarca las cuencas de los ríos São Francisco y de la Plata (incluidas las subcuencas de los ríos Paraná-Paraguay y Uruguay), en territorios de Argentina, Bolivia, Brasil, Paraguay y Uruguay (</w:t>
      </w:r>
      <w:proofErr w:type="spellStart"/>
      <w:r w:rsidRPr="00575A15">
        <w:rPr>
          <w:rFonts w:cs="Arial"/>
          <w:lang w:val="es-ES"/>
        </w:rPr>
        <w:t>Britski</w:t>
      </w:r>
      <w:proofErr w:type="spellEnd"/>
      <w:r w:rsidRPr="00575A15">
        <w:rPr>
          <w:rFonts w:cs="Arial"/>
          <w:lang w:val="es-ES"/>
        </w:rPr>
        <w:t xml:space="preserve"> et al., 1999). La extensión global de presencia (EOO, por sus siglas en inglés) de la especie se estima en 3 957 288 km² (Salvador, 2023). Sus desplazamientos estacionales se producen entre las zonas de desove (aguas arriba) y las zonas de crecimiento y alimentación (aguas abajo) (Sato y </w:t>
      </w:r>
      <w:proofErr w:type="spellStart"/>
      <w:r w:rsidRPr="00575A15">
        <w:rPr>
          <w:rFonts w:cs="Arial"/>
          <w:lang w:val="es-ES"/>
        </w:rPr>
        <w:t>Godinho</w:t>
      </w:r>
      <w:proofErr w:type="spellEnd"/>
      <w:r w:rsidRPr="00575A15">
        <w:rPr>
          <w:rFonts w:cs="Arial"/>
          <w:lang w:val="es-ES"/>
        </w:rPr>
        <w:t xml:space="preserve">, 2003). Su ciclo de vida depende de largos tramos de ríos de flujo libre con conectividad longitudinal y lateral preservada. Sin </w:t>
      </w:r>
      <w:r w:rsidR="00B8318E" w:rsidRPr="00575A15">
        <w:rPr>
          <w:rFonts w:cs="Arial"/>
          <w:lang w:val="es-ES"/>
        </w:rPr>
        <w:t>embargo, el</w:t>
      </w:r>
      <w:r w:rsidRPr="00575A15">
        <w:rPr>
          <w:rFonts w:cs="Arial"/>
          <w:lang w:val="es-ES"/>
        </w:rPr>
        <w:t xml:space="preserve"> </w:t>
      </w:r>
      <w:r w:rsidRPr="00575A15">
        <w:rPr>
          <w:rFonts w:cs="Arial"/>
          <w:i/>
          <w:iCs/>
          <w:lang w:val="es-ES"/>
        </w:rPr>
        <w:t xml:space="preserve">P. </w:t>
      </w:r>
      <w:proofErr w:type="spellStart"/>
      <w:r w:rsidRPr="00575A15">
        <w:rPr>
          <w:rFonts w:cs="Arial"/>
          <w:i/>
          <w:iCs/>
          <w:lang w:val="es-ES"/>
        </w:rPr>
        <w:t>corruscans</w:t>
      </w:r>
      <w:proofErr w:type="spellEnd"/>
      <w:r w:rsidRPr="00575A15">
        <w:rPr>
          <w:rFonts w:cs="Arial"/>
          <w:lang w:val="es-ES"/>
        </w:rPr>
        <w:t xml:space="preserve"> experimenta disminuciones locales de población debido a la pérdida de conectividad causada por presas (especialmente hidroeléctricas), la reducción del caudal y la degradación del hábitat. Además, existen riesgos genéticos asociados a la fragmentación de poblaciones y a la hibridación con especies congéneres. </w:t>
      </w:r>
    </w:p>
    <w:p w14:paraId="112ED33E" w14:textId="77777777" w:rsidR="00151745" w:rsidRPr="00575A15" w:rsidRDefault="00151745" w:rsidP="00151745">
      <w:pPr>
        <w:spacing w:after="0" w:line="240" w:lineRule="auto"/>
        <w:jc w:val="both"/>
        <w:rPr>
          <w:rFonts w:cs="Arial"/>
          <w:lang w:val="es-ES"/>
        </w:rPr>
      </w:pPr>
    </w:p>
    <w:p w14:paraId="2DAC954B" w14:textId="77777777" w:rsidR="00151745" w:rsidRPr="00575A15" w:rsidRDefault="00151745" w:rsidP="00151745">
      <w:pPr>
        <w:spacing w:after="0" w:line="240" w:lineRule="auto"/>
        <w:jc w:val="both"/>
        <w:rPr>
          <w:rFonts w:cs="Arial"/>
          <w:lang w:val="es-ES"/>
        </w:rPr>
      </w:pPr>
      <w:r w:rsidRPr="00575A15">
        <w:rPr>
          <w:rFonts w:cs="Arial"/>
          <w:lang w:val="es-ES"/>
        </w:rPr>
        <w:t xml:space="preserve">Estos factores han contribuido a su clasificación como Casi Amenazada a nivel mundial y como Vulnerable en Brasil (Burbano et al., 2024; Salvador, 2023). </w:t>
      </w:r>
    </w:p>
    <w:p w14:paraId="34CF8593" w14:textId="77777777" w:rsidR="00151745" w:rsidRPr="00575A15" w:rsidRDefault="00151745" w:rsidP="00151745">
      <w:pPr>
        <w:spacing w:after="0" w:line="240" w:lineRule="auto"/>
        <w:jc w:val="both"/>
        <w:rPr>
          <w:rFonts w:cs="Arial"/>
          <w:lang w:val="es-ES"/>
        </w:rPr>
      </w:pPr>
    </w:p>
    <w:p w14:paraId="0A3CF23A" w14:textId="77777777" w:rsidR="00151745" w:rsidRPr="00575A15" w:rsidRDefault="00151745" w:rsidP="00151745">
      <w:pPr>
        <w:spacing w:after="0" w:line="240" w:lineRule="auto"/>
        <w:jc w:val="both"/>
        <w:rPr>
          <w:rFonts w:cs="Arial"/>
          <w:lang w:val="es-ES"/>
        </w:rPr>
      </w:pPr>
      <w:r w:rsidRPr="00575A15">
        <w:rPr>
          <w:rFonts w:cs="Arial"/>
          <w:lang w:val="es-ES"/>
        </w:rPr>
        <w:t xml:space="preserve">La cuenca del río de la Plata se considera uno de los sistemas fluviales más fragmentados a causa de presas en todo el mundo. Hay centrales hidroeléctricas binacionales en al menos dos regiones: Itaipú, en la frontera entre Brasil y Paraguay, y </w:t>
      </w:r>
      <w:proofErr w:type="spellStart"/>
      <w:r w:rsidRPr="00575A15">
        <w:rPr>
          <w:rFonts w:cs="Arial"/>
          <w:lang w:val="es-ES"/>
        </w:rPr>
        <w:t>Yacyretá</w:t>
      </w:r>
      <w:proofErr w:type="spellEnd"/>
      <w:r w:rsidRPr="00575A15">
        <w:rPr>
          <w:rFonts w:cs="Arial"/>
          <w:lang w:val="es-ES"/>
        </w:rPr>
        <w:t xml:space="preserve">, entre Argentina y Paraguay. Otro proyecto en el río Uruguay, </w:t>
      </w:r>
      <w:proofErr w:type="spellStart"/>
      <w:r w:rsidRPr="00575A15">
        <w:rPr>
          <w:rFonts w:cs="Arial"/>
          <w:lang w:val="es-ES"/>
        </w:rPr>
        <w:t>Garabí-Panambí</w:t>
      </w:r>
      <w:proofErr w:type="spellEnd"/>
      <w:r w:rsidRPr="00575A15">
        <w:rPr>
          <w:rFonts w:cs="Arial"/>
          <w:lang w:val="es-ES"/>
        </w:rPr>
        <w:t>, podría afectar a las rutas migratorias de este río en la zona fronteriza entre Brasil, Paraguay y Argentina. Además, la construcción de presas hidroeléctricas en un país puede repercutir también en poblaciones transfronterizas de peces al regular el caudal del río y fragmentar zonas clave de alimentación y reproducción.</w:t>
      </w:r>
    </w:p>
    <w:p w14:paraId="50E82BA5" w14:textId="18442B47" w:rsidR="00151745" w:rsidRPr="00575A15" w:rsidRDefault="00151745" w:rsidP="00151745">
      <w:pPr>
        <w:spacing w:after="0" w:line="240" w:lineRule="auto"/>
        <w:jc w:val="both"/>
        <w:rPr>
          <w:rFonts w:cs="Arial"/>
          <w:lang w:val="es-ES"/>
        </w:rPr>
      </w:pPr>
      <w:r w:rsidRPr="00575A15">
        <w:rPr>
          <w:rFonts w:cs="Arial"/>
          <w:lang w:val="es-ES"/>
        </w:rPr>
        <w:t xml:space="preserve"> </w:t>
      </w:r>
    </w:p>
    <w:p w14:paraId="75DF4B21" w14:textId="77777777" w:rsidR="00151745" w:rsidRPr="00575A15" w:rsidRDefault="00151745" w:rsidP="00151745">
      <w:pPr>
        <w:spacing w:after="0" w:line="240" w:lineRule="auto"/>
        <w:jc w:val="both"/>
        <w:rPr>
          <w:rFonts w:cs="Arial"/>
          <w:lang w:val="es-ES"/>
        </w:rPr>
      </w:pPr>
      <w:r w:rsidRPr="00575A15">
        <w:rPr>
          <w:rFonts w:cs="Arial"/>
          <w:lang w:val="es-ES"/>
        </w:rPr>
        <w:t xml:space="preserve">Dada su importancia ecológica y socioeconómica, así como su comportamiento migratorio transfronterizo, se recomienda la inclusión del </w:t>
      </w:r>
      <w:proofErr w:type="spellStart"/>
      <w:r w:rsidRPr="00575A15">
        <w:rPr>
          <w:rFonts w:cs="Arial"/>
          <w:i/>
          <w:iCs/>
          <w:lang w:val="es-ES"/>
        </w:rPr>
        <w:t>Pseudoplatystoma</w:t>
      </w:r>
      <w:proofErr w:type="spellEnd"/>
      <w:r w:rsidRPr="00575A15">
        <w:rPr>
          <w:rFonts w:cs="Arial"/>
          <w:i/>
          <w:iCs/>
          <w:lang w:val="es-ES"/>
        </w:rPr>
        <w:t xml:space="preserve"> </w:t>
      </w:r>
      <w:proofErr w:type="spellStart"/>
      <w:r w:rsidRPr="00575A15">
        <w:rPr>
          <w:rFonts w:cs="Arial"/>
          <w:i/>
          <w:iCs/>
          <w:lang w:val="es-ES"/>
        </w:rPr>
        <w:t>corruscans</w:t>
      </w:r>
      <w:proofErr w:type="spellEnd"/>
      <w:r w:rsidRPr="00575A15">
        <w:rPr>
          <w:rFonts w:cs="Arial"/>
          <w:lang w:val="es-ES"/>
        </w:rPr>
        <w:t xml:space="preserve"> en el Apéndice II de la Convención sobre Especies Migratorias (CMS). Esta inclusión fomentaría la cooperación internacional en la gestión de la conectividad de las rutas migratorias, la gestión coordinada de la pesca y el control de los riesgos de hibridación a lo largo de toda su área de distribución. </w:t>
      </w:r>
    </w:p>
    <w:p w14:paraId="752D8271" w14:textId="77777777" w:rsidR="00151745" w:rsidRPr="00575A15" w:rsidRDefault="00151745" w:rsidP="00151745">
      <w:pPr>
        <w:spacing w:after="0" w:line="240" w:lineRule="auto"/>
        <w:ind w:left="91"/>
        <w:jc w:val="both"/>
        <w:rPr>
          <w:rFonts w:cs="Arial"/>
          <w:lang w:val="es-ES"/>
        </w:rPr>
      </w:pPr>
    </w:p>
    <w:p w14:paraId="6DF22B46" w14:textId="77777777" w:rsidR="00151745" w:rsidRPr="00575A15" w:rsidRDefault="00151745" w:rsidP="00151745">
      <w:pPr>
        <w:numPr>
          <w:ilvl w:val="0"/>
          <w:numId w:val="13"/>
        </w:numPr>
        <w:spacing w:after="0" w:line="240" w:lineRule="auto"/>
        <w:ind w:left="540" w:hanging="540"/>
        <w:jc w:val="both"/>
        <w:rPr>
          <w:rFonts w:cs="Arial"/>
          <w:b/>
          <w:bCs/>
          <w:lang w:val="es-ES"/>
        </w:rPr>
      </w:pPr>
      <w:r w:rsidRPr="00575A15">
        <w:rPr>
          <w:rFonts w:eastAsia="Arial" w:cs="Arial"/>
          <w:b/>
          <w:bCs/>
          <w:lang w:val="es-ES"/>
        </w:rPr>
        <w:t xml:space="preserve">Migraciones </w:t>
      </w:r>
    </w:p>
    <w:p w14:paraId="7E7310F1" w14:textId="77777777" w:rsidR="00151745" w:rsidRPr="00575A15" w:rsidRDefault="00151745" w:rsidP="00151745">
      <w:pPr>
        <w:spacing w:after="0" w:line="240" w:lineRule="auto"/>
        <w:ind w:left="91"/>
        <w:jc w:val="both"/>
        <w:rPr>
          <w:rFonts w:cs="Arial"/>
          <w:lang w:val="es-ES"/>
        </w:rPr>
      </w:pPr>
    </w:p>
    <w:p w14:paraId="1F5DD8C7" w14:textId="53C1DA4A" w:rsidR="00151745" w:rsidRPr="00575A15" w:rsidRDefault="00151745" w:rsidP="00BA6B4C">
      <w:pPr>
        <w:spacing w:after="0" w:line="240" w:lineRule="auto"/>
        <w:ind w:left="540" w:hanging="540"/>
        <w:jc w:val="both"/>
        <w:rPr>
          <w:rFonts w:cs="Arial"/>
          <w:lang w:val="es-ES"/>
        </w:rPr>
      </w:pPr>
      <w:r w:rsidRPr="00575A15">
        <w:rPr>
          <w:rFonts w:eastAsia="Arial" w:cs="Arial"/>
          <w:lang w:val="es-ES"/>
        </w:rPr>
        <w:t>3.1</w:t>
      </w:r>
      <w:r w:rsidRPr="00575A15">
        <w:rPr>
          <w:rFonts w:eastAsia="Arial" w:cs="Arial"/>
          <w:lang w:val="es-ES"/>
        </w:rPr>
        <w:tab/>
        <w:t xml:space="preserve">Tipos de desplazamiento, distancia, carácter </w:t>
      </w:r>
      <w:r w:rsidR="00E36515" w:rsidRPr="00575A15">
        <w:rPr>
          <w:rFonts w:eastAsia="Arial" w:cs="Arial"/>
          <w:lang w:val="es-ES"/>
        </w:rPr>
        <w:t>cíclico</w:t>
      </w:r>
      <w:r w:rsidRPr="00575A15">
        <w:rPr>
          <w:rFonts w:eastAsia="Arial" w:cs="Arial"/>
          <w:lang w:val="es-ES"/>
        </w:rPr>
        <w:t xml:space="preserve"> y previsible de la </w:t>
      </w:r>
      <w:r w:rsidR="00B46EFC" w:rsidRPr="00575A15">
        <w:rPr>
          <w:rFonts w:eastAsia="Arial" w:cs="Arial"/>
          <w:lang w:val="es-ES"/>
        </w:rPr>
        <w:t>migración</w:t>
      </w:r>
      <w:r w:rsidRPr="00575A15">
        <w:rPr>
          <w:rFonts w:eastAsia="Arial" w:cs="Arial"/>
          <w:lang w:val="es-ES"/>
        </w:rPr>
        <w:t xml:space="preserve"> </w:t>
      </w:r>
    </w:p>
    <w:p w14:paraId="6E51FB12" w14:textId="77777777" w:rsidR="00151745" w:rsidRPr="00575A15" w:rsidRDefault="00151745" w:rsidP="00151745">
      <w:pPr>
        <w:spacing w:after="0" w:line="240" w:lineRule="auto"/>
        <w:ind w:left="91"/>
        <w:jc w:val="both"/>
        <w:rPr>
          <w:rFonts w:cs="Arial"/>
          <w:lang w:val="es-ES"/>
        </w:rPr>
      </w:pPr>
      <w:r w:rsidRPr="00575A15">
        <w:rPr>
          <w:rFonts w:eastAsia="Calibri" w:cs="Arial"/>
          <w:color w:val="0000FF"/>
          <w:lang w:val="es-ES"/>
        </w:rPr>
        <w:t xml:space="preserve"> </w:t>
      </w:r>
    </w:p>
    <w:p w14:paraId="5A19C4E5" w14:textId="77777777" w:rsidR="00151745" w:rsidRPr="00575A15" w:rsidRDefault="00151745" w:rsidP="00151745">
      <w:pPr>
        <w:spacing w:after="0" w:line="240" w:lineRule="auto"/>
        <w:jc w:val="both"/>
        <w:rPr>
          <w:rFonts w:cs="Arial"/>
          <w:lang w:val="es-ES"/>
        </w:rPr>
      </w:pPr>
      <w:r w:rsidRPr="00575A15">
        <w:rPr>
          <w:rFonts w:cs="Arial"/>
          <w:lang w:val="es-ES"/>
        </w:rPr>
        <w:t>El pintado (</w:t>
      </w:r>
      <w:proofErr w:type="spellStart"/>
      <w:r w:rsidRPr="00575A15">
        <w:rPr>
          <w:rFonts w:cs="Arial"/>
          <w:i/>
          <w:iCs/>
          <w:lang w:val="es-ES"/>
        </w:rPr>
        <w:t>Pseudoplatystoma</w:t>
      </w:r>
      <w:proofErr w:type="spellEnd"/>
      <w:r w:rsidRPr="00575A15">
        <w:rPr>
          <w:rFonts w:cs="Arial"/>
          <w:i/>
          <w:iCs/>
          <w:lang w:val="es-ES"/>
        </w:rPr>
        <w:t xml:space="preserve"> </w:t>
      </w:r>
      <w:proofErr w:type="spellStart"/>
      <w:r w:rsidRPr="00575A15">
        <w:rPr>
          <w:rFonts w:cs="Arial"/>
          <w:i/>
          <w:iCs/>
          <w:lang w:val="es-ES"/>
        </w:rPr>
        <w:t>corruscans</w:t>
      </w:r>
      <w:proofErr w:type="spellEnd"/>
      <w:r w:rsidRPr="00575A15">
        <w:rPr>
          <w:rFonts w:cs="Arial"/>
          <w:lang w:val="es-ES"/>
        </w:rPr>
        <w:t xml:space="preserve">) realiza migraciones longitudinales predecibles estrechamente asociadas al ciclo hidrológico (desove). Al inicio de la estación lluviosa, los adultos migran aguas arriba para desovar en zonas de aguas someras y en movimiento situadas en los tramos superiores de los ríos principales y sus afluentes. Tras el desove, los huevos y las larvas son transportados corriente abajo hacia áreas de cría como lagunas marginales y llanuras de inundación, donde permanecen aproximadamente dos años durante las primeras etapas de desarrollo. Los individuos adultos suelen concentrarse en los cauces principales de los ríos, donde se alimentan y acumulan reservas de energía antes del siguiente ciclo migratorio. </w:t>
      </w:r>
    </w:p>
    <w:p w14:paraId="0BA11981" w14:textId="77777777" w:rsidR="00151745" w:rsidRPr="00575A15" w:rsidRDefault="00151745" w:rsidP="00151745">
      <w:pPr>
        <w:spacing w:after="0" w:line="240" w:lineRule="auto"/>
        <w:jc w:val="both"/>
        <w:rPr>
          <w:rFonts w:cs="Arial"/>
          <w:lang w:val="es-ES"/>
        </w:rPr>
      </w:pPr>
    </w:p>
    <w:p w14:paraId="29A359A3" w14:textId="59424E92" w:rsidR="00151745" w:rsidRPr="00575A15" w:rsidRDefault="00151745" w:rsidP="00BA6B4C">
      <w:pPr>
        <w:spacing w:after="0" w:line="240" w:lineRule="auto"/>
        <w:ind w:left="540" w:hanging="540"/>
        <w:jc w:val="both"/>
        <w:rPr>
          <w:rFonts w:cs="Arial"/>
          <w:lang w:val="es-ES"/>
        </w:rPr>
      </w:pPr>
      <w:r w:rsidRPr="00575A15">
        <w:rPr>
          <w:rFonts w:eastAsia="Arial" w:cs="Arial"/>
          <w:lang w:val="es-ES"/>
        </w:rPr>
        <w:t>3.2</w:t>
      </w:r>
      <w:r w:rsidRPr="00575A15">
        <w:rPr>
          <w:rFonts w:eastAsia="Arial" w:cs="Arial"/>
          <w:lang w:val="es-ES"/>
        </w:rPr>
        <w:tab/>
        <w:t xml:space="preserve">Proporción de la población migrante, y por qué es una proporción significativa </w:t>
      </w:r>
    </w:p>
    <w:p w14:paraId="7AB290E3" w14:textId="77777777" w:rsidR="00151745" w:rsidRPr="00575A15" w:rsidRDefault="00151745" w:rsidP="00151745">
      <w:pPr>
        <w:spacing w:after="0" w:line="240" w:lineRule="auto"/>
        <w:ind w:left="91"/>
        <w:jc w:val="both"/>
        <w:rPr>
          <w:rFonts w:cs="Arial"/>
          <w:lang w:val="es-ES"/>
        </w:rPr>
      </w:pPr>
      <w:r w:rsidRPr="00575A15">
        <w:rPr>
          <w:rFonts w:eastAsia="Arial" w:cs="Arial"/>
          <w:lang w:val="es-ES"/>
        </w:rPr>
        <w:t xml:space="preserve"> </w:t>
      </w:r>
    </w:p>
    <w:p w14:paraId="2F6D4A07" w14:textId="29E12947" w:rsidR="00151745" w:rsidRPr="00575A15" w:rsidRDefault="00151745" w:rsidP="00151745">
      <w:pPr>
        <w:spacing w:after="0" w:line="240" w:lineRule="auto"/>
        <w:jc w:val="both"/>
        <w:rPr>
          <w:rFonts w:cs="Arial"/>
          <w:lang w:val="es-ES"/>
        </w:rPr>
      </w:pPr>
      <w:r w:rsidRPr="00575A15">
        <w:rPr>
          <w:rFonts w:cs="Arial"/>
          <w:lang w:val="es-ES"/>
        </w:rPr>
        <w:t xml:space="preserve">Prácticamente toda la población de </w:t>
      </w:r>
      <w:proofErr w:type="spellStart"/>
      <w:r w:rsidRPr="00575A15">
        <w:rPr>
          <w:rFonts w:cs="Arial"/>
          <w:i/>
          <w:iCs/>
          <w:lang w:val="es-ES"/>
        </w:rPr>
        <w:t>Pseudoplatystoma</w:t>
      </w:r>
      <w:proofErr w:type="spellEnd"/>
      <w:r w:rsidRPr="00575A15">
        <w:rPr>
          <w:rFonts w:cs="Arial"/>
          <w:i/>
          <w:iCs/>
          <w:lang w:val="es-ES"/>
        </w:rPr>
        <w:t xml:space="preserve"> </w:t>
      </w:r>
      <w:proofErr w:type="spellStart"/>
      <w:r w:rsidRPr="00575A15">
        <w:rPr>
          <w:rFonts w:cs="Arial"/>
          <w:i/>
          <w:iCs/>
          <w:lang w:val="es-ES"/>
        </w:rPr>
        <w:t>corruscans</w:t>
      </w:r>
      <w:proofErr w:type="spellEnd"/>
      <w:r w:rsidRPr="00575A15">
        <w:rPr>
          <w:rFonts w:cs="Arial"/>
          <w:lang w:val="es-ES"/>
        </w:rPr>
        <w:t xml:space="preserve"> depende de migraciones estacionales de larga distancia para completar su ciclo vital. Durante la época de desove, los adultos migran un promedio de 200 a 400 km aguas arriba, hacia los tramos superiores y principales afluentes, donde tiene lugar la reproduc</w:t>
      </w:r>
      <w:r w:rsidR="00B8318E" w:rsidRPr="00575A15">
        <w:rPr>
          <w:rFonts w:cs="Arial"/>
          <w:lang w:val="es-ES"/>
        </w:rPr>
        <w:t xml:space="preserve">ción (Fernandes et al., 2023). </w:t>
      </w:r>
      <w:r w:rsidRPr="00575A15">
        <w:rPr>
          <w:rFonts w:cs="Arial"/>
          <w:lang w:val="es-ES"/>
        </w:rPr>
        <w:t xml:space="preserve">Después del desove, los huevos y las larvas descienden con la corriente hacia lagos marginales y llanuras de inundación, que sirven como zonas esenciales de cría durante las primeras etapas de vida. Los especímenes jóvenes regresan luego a los cauces principales conforme crecen </w:t>
      </w:r>
      <w:r w:rsidRPr="00575A15">
        <w:rPr>
          <w:rFonts w:cs="Arial"/>
          <w:lang w:val="es-ES"/>
        </w:rPr>
        <w:lastRenderedPageBreak/>
        <w:t xml:space="preserve">(Machado et al., 2021). Este patrón migratorio involucra casi a toda la población, ya que el éxito reproductivo depende directamente de la conectividad longitudinal entre los hábitats de desove y de crecimiento. Cuando esta conectividad se interrumpe debido a presas, el ciclo reproductivo se detiene, lo que provoca un descenso poblacional y pérdida de diversidad genética en las poblaciones aisladas (Machado et al., 2021). </w:t>
      </w:r>
    </w:p>
    <w:p w14:paraId="7000B736" w14:textId="77777777" w:rsidR="00151745" w:rsidRPr="00575A15" w:rsidRDefault="00151745" w:rsidP="00151745">
      <w:pPr>
        <w:spacing w:after="0" w:line="240" w:lineRule="auto"/>
        <w:jc w:val="both"/>
        <w:rPr>
          <w:rFonts w:cs="Arial"/>
          <w:lang w:val="es-ES"/>
        </w:rPr>
      </w:pPr>
    </w:p>
    <w:p w14:paraId="57CB215B" w14:textId="77777777" w:rsidR="00151745" w:rsidRPr="00575A15" w:rsidRDefault="00151745" w:rsidP="00151745">
      <w:pPr>
        <w:spacing w:after="0" w:line="240" w:lineRule="auto"/>
        <w:jc w:val="both"/>
        <w:rPr>
          <w:rFonts w:cs="Arial"/>
          <w:lang w:val="es-ES"/>
        </w:rPr>
      </w:pPr>
    </w:p>
    <w:p w14:paraId="0EBDC83C" w14:textId="77777777" w:rsidR="00151745" w:rsidRPr="00575A15" w:rsidRDefault="00151745" w:rsidP="00151745">
      <w:pPr>
        <w:spacing w:after="0" w:line="240" w:lineRule="auto"/>
        <w:jc w:val="both"/>
        <w:rPr>
          <w:rFonts w:cs="Arial"/>
          <w:lang w:val="es-ES"/>
        </w:rPr>
      </w:pPr>
      <w:r w:rsidRPr="00575A15">
        <w:rPr>
          <w:rFonts w:cs="Arial"/>
          <w:lang w:val="es-ES"/>
        </w:rPr>
        <w:t xml:space="preserve">Estudios recientes indican que, además de los impactos causados por grandes presas, incluso las pequeñas centrales hidroeléctricas (PCH) pueden ejercer efectos acumulativos significativos cuando se construyen en serie, fragmentando largos tramos de ríos y afectando desproporcionadamente la persistencia de las especies migratorias (Couto et al., 2021). Por tanto, el comportamiento migratorio del </w:t>
      </w:r>
      <w:proofErr w:type="spellStart"/>
      <w:r w:rsidRPr="00575A15">
        <w:rPr>
          <w:rFonts w:cs="Arial"/>
          <w:i/>
          <w:iCs/>
          <w:lang w:val="es-ES"/>
        </w:rPr>
        <w:t>Pseudoplatystoma</w:t>
      </w:r>
      <w:proofErr w:type="spellEnd"/>
      <w:r w:rsidRPr="00575A15">
        <w:rPr>
          <w:rFonts w:cs="Arial"/>
          <w:i/>
          <w:iCs/>
          <w:lang w:val="es-ES"/>
        </w:rPr>
        <w:t xml:space="preserve"> </w:t>
      </w:r>
      <w:proofErr w:type="spellStart"/>
      <w:r w:rsidRPr="00575A15">
        <w:rPr>
          <w:rFonts w:cs="Arial"/>
          <w:i/>
          <w:iCs/>
          <w:lang w:val="es-ES"/>
        </w:rPr>
        <w:t>corruscans</w:t>
      </w:r>
      <w:proofErr w:type="spellEnd"/>
      <w:r w:rsidRPr="00575A15">
        <w:rPr>
          <w:rFonts w:cs="Arial"/>
          <w:lang w:val="es-ES"/>
        </w:rPr>
        <w:t xml:space="preserve"> debe considerarse clave y representativo de casi toda la población, constituyendo una proporción biológicamente significativa a nivel de especie. </w:t>
      </w:r>
    </w:p>
    <w:p w14:paraId="1458680A" w14:textId="77777777" w:rsidR="00151745" w:rsidRPr="00575A15" w:rsidRDefault="00151745" w:rsidP="00151745">
      <w:pPr>
        <w:spacing w:after="0" w:line="240" w:lineRule="auto"/>
        <w:jc w:val="both"/>
        <w:rPr>
          <w:rFonts w:cs="Arial"/>
          <w:lang w:val="es-ES"/>
        </w:rPr>
      </w:pPr>
    </w:p>
    <w:p w14:paraId="1E9C151C" w14:textId="7124D802" w:rsidR="00151745" w:rsidRPr="00575A15" w:rsidRDefault="00151745" w:rsidP="00151745">
      <w:pPr>
        <w:numPr>
          <w:ilvl w:val="0"/>
          <w:numId w:val="14"/>
        </w:numPr>
        <w:spacing w:after="0" w:line="240" w:lineRule="auto"/>
        <w:ind w:hanging="540"/>
        <w:jc w:val="both"/>
        <w:rPr>
          <w:rFonts w:cs="Arial"/>
          <w:b/>
          <w:bCs/>
          <w:lang w:val="es-ES"/>
        </w:rPr>
      </w:pPr>
      <w:r w:rsidRPr="00575A15">
        <w:rPr>
          <w:rFonts w:eastAsia="Arial" w:cs="Arial"/>
          <w:b/>
          <w:bCs/>
          <w:lang w:val="es-ES"/>
        </w:rPr>
        <w:t xml:space="preserve">Datos biológicos (distintos de la </w:t>
      </w:r>
      <w:r w:rsidR="00B46EFC" w:rsidRPr="00575A15">
        <w:rPr>
          <w:rFonts w:eastAsia="Arial" w:cs="Arial"/>
          <w:b/>
          <w:bCs/>
          <w:lang w:val="es-ES"/>
        </w:rPr>
        <w:t>migración</w:t>
      </w:r>
      <w:r w:rsidRPr="00575A15">
        <w:rPr>
          <w:rFonts w:eastAsia="Arial" w:cs="Arial"/>
          <w:b/>
          <w:bCs/>
          <w:lang w:val="es-ES"/>
        </w:rPr>
        <w:t xml:space="preserve">) </w:t>
      </w:r>
    </w:p>
    <w:p w14:paraId="64E2A5F7" w14:textId="77777777" w:rsidR="00151745" w:rsidRPr="00575A15" w:rsidRDefault="00151745" w:rsidP="00151745">
      <w:pPr>
        <w:spacing w:after="0" w:line="240" w:lineRule="auto"/>
        <w:ind w:left="540"/>
        <w:jc w:val="both"/>
        <w:rPr>
          <w:rFonts w:cs="Arial"/>
          <w:lang w:val="es-ES"/>
        </w:rPr>
      </w:pPr>
    </w:p>
    <w:p w14:paraId="6605E9EB" w14:textId="7072F161" w:rsidR="00151745" w:rsidRPr="00575A15" w:rsidRDefault="00151745" w:rsidP="00BA6B4C">
      <w:pPr>
        <w:spacing w:after="0" w:line="240" w:lineRule="auto"/>
        <w:ind w:left="540" w:hanging="540"/>
        <w:jc w:val="both"/>
        <w:rPr>
          <w:rFonts w:cs="Arial"/>
          <w:lang w:val="es-ES"/>
        </w:rPr>
      </w:pPr>
      <w:r w:rsidRPr="00575A15">
        <w:rPr>
          <w:rFonts w:eastAsia="Arial" w:cs="Arial"/>
          <w:lang w:val="es-ES"/>
        </w:rPr>
        <w:t>4.1</w:t>
      </w:r>
      <w:r w:rsidRPr="00575A15">
        <w:rPr>
          <w:rFonts w:eastAsia="Arial" w:cs="Arial"/>
          <w:lang w:val="es-ES"/>
        </w:rPr>
        <w:tab/>
        <w:t xml:space="preserve">Distribución (actual e histórica)  </w:t>
      </w:r>
    </w:p>
    <w:p w14:paraId="0BEBB983"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6D388199" w14:textId="77777777" w:rsidR="00151745" w:rsidRPr="00575A15" w:rsidRDefault="00151745" w:rsidP="00151745">
      <w:pPr>
        <w:spacing w:after="0" w:line="240" w:lineRule="auto"/>
        <w:ind w:left="-5"/>
        <w:jc w:val="both"/>
        <w:rPr>
          <w:rFonts w:cs="Arial"/>
          <w:lang w:val="es-ES"/>
        </w:rPr>
      </w:pPr>
      <w:r w:rsidRPr="00575A15">
        <w:rPr>
          <w:rFonts w:cs="Arial"/>
          <w:lang w:val="es-ES"/>
        </w:rPr>
        <w:t xml:space="preserve">La distribución histórica del </w:t>
      </w:r>
      <w:proofErr w:type="spellStart"/>
      <w:r w:rsidRPr="00575A15">
        <w:rPr>
          <w:rFonts w:cs="Arial"/>
          <w:i/>
          <w:iCs/>
          <w:lang w:val="es-ES"/>
        </w:rPr>
        <w:t>Pseudoplatystoma</w:t>
      </w:r>
      <w:proofErr w:type="spellEnd"/>
      <w:r w:rsidRPr="00575A15">
        <w:rPr>
          <w:rFonts w:cs="Arial"/>
          <w:i/>
          <w:iCs/>
          <w:lang w:val="es-ES"/>
        </w:rPr>
        <w:t xml:space="preserve"> </w:t>
      </w:r>
      <w:proofErr w:type="spellStart"/>
      <w:r w:rsidRPr="00575A15">
        <w:rPr>
          <w:rFonts w:cs="Arial"/>
          <w:i/>
          <w:iCs/>
          <w:lang w:val="es-ES"/>
        </w:rPr>
        <w:t>corruscans</w:t>
      </w:r>
      <w:proofErr w:type="spellEnd"/>
      <w:r w:rsidRPr="00575A15">
        <w:rPr>
          <w:rFonts w:cs="Arial"/>
          <w:i/>
          <w:iCs/>
          <w:lang w:val="es-ES"/>
        </w:rPr>
        <w:t xml:space="preserve"> </w:t>
      </w:r>
      <w:r w:rsidRPr="00575A15">
        <w:rPr>
          <w:rFonts w:cs="Arial"/>
          <w:lang w:val="es-ES"/>
        </w:rPr>
        <w:t xml:space="preserve">abarca dos importantes cuencas hidrográficas de América del Sur: las del São Francisco y del Plata (incluidos los ríos Paraná, Paraguay y Uruguay), que se extienden por la totalidad o parte de cinco países: Argentina, Bolivia, Brasil, Paraguay y Uruguay (Buitrago-Suárez y Burr, 2007). Actualmente, existen registros habituales de la especie en la cuenca del río Paraguay (en partes de Bolivia, Brasil y Paraguay) y en el curso medio del río São Francisco (Brasil). Se registran observaciones esporádicas en segmentos del bajo Paraná (Argentina y Paraguay), el río Uruguay (Brasil y Uruguay), el alto São Francisco (Brasil) y en afluentes no represados del alto Paraná (Brasil) (Burbano et al., 2024; de Resende, 2003; Salvador, 2023). Existen indicios de extinción local de la especie en tramos de ríos altamente fragmentados o en zonas bajo la influencia hidrológica de grandes presas hidroeléctricas, como los principales afluentes del alto Paraná (p. ej., </w:t>
      </w:r>
      <w:proofErr w:type="spellStart"/>
      <w:r w:rsidRPr="00575A15">
        <w:rPr>
          <w:rFonts w:cs="Arial"/>
          <w:lang w:val="es-ES"/>
        </w:rPr>
        <w:t>Tietê</w:t>
      </w:r>
      <w:proofErr w:type="spellEnd"/>
      <w:r w:rsidRPr="00575A15">
        <w:rPr>
          <w:rFonts w:cs="Arial"/>
          <w:lang w:val="es-ES"/>
        </w:rPr>
        <w:t xml:space="preserve">, Grande, </w:t>
      </w:r>
      <w:proofErr w:type="spellStart"/>
      <w:r w:rsidRPr="00575A15">
        <w:rPr>
          <w:rFonts w:cs="Arial"/>
          <w:lang w:val="es-ES"/>
        </w:rPr>
        <w:t>Paranapanema</w:t>
      </w:r>
      <w:proofErr w:type="spellEnd"/>
      <w:r w:rsidRPr="00575A15">
        <w:rPr>
          <w:rFonts w:cs="Arial"/>
          <w:lang w:val="es-ES"/>
        </w:rPr>
        <w:t xml:space="preserve"> y </w:t>
      </w:r>
      <w:proofErr w:type="spellStart"/>
      <w:r w:rsidRPr="00575A15">
        <w:rPr>
          <w:rFonts w:cs="Arial"/>
          <w:lang w:val="es-ES"/>
        </w:rPr>
        <w:t>Paranaíba</w:t>
      </w:r>
      <w:proofErr w:type="spellEnd"/>
      <w:r w:rsidRPr="00575A15">
        <w:rPr>
          <w:rFonts w:cs="Arial"/>
          <w:lang w:val="es-ES"/>
        </w:rPr>
        <w:t xml:space="preserve">) y en los tramos inferiores del río São Francisco. </w:t>
      </w:r>
    </w:p>
    <w:p w14:paraId="7FC1C3A6"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477BAEE4" w14:textId="55F0C381" w:rsidR="00151745" w:rsidRPr="00575A15" w:rsidRDefault="00151745" w:rsidP="00BA6B4C">
      <w:pPr>
        <w:spacing w:after="0" w:line="240" w:lineRule="auto"/>
        <w:ind w:left="540" w:hanging="540"/>
        <w:jc w:val="both"/>
        <w:rPr>
          <w:rFonts w:cs="Arial"/>
          <w:lang w:val="es-ES"/>
        </w:rPr>
      </w:pPr>
      <w:r w:rsidRPr="00575A15">
        <w:rPr>
          <w:rFonts w:eastAsia="Arial" w:cs="Arial"/>
          <w:lang w:val="es-ES"/>
        </w:rPr>
        <w:t>4.2</w:t>
      </w:r>
      <w:r w:rsidRPr="00575A15">
        <w:rPr>
          <w:rFonts w:eastAsia="Arial" w:cs="Arial"/>
          <w:lang w:val="es-ES"/>
        </w:rPr>
        <w:tab/>
        <w:t xml:space="preserve">Población (estimaciones y tendencias) </w:t>
      </w:r>
    </w:p>
    <w:p w14:paraId="6EF136C5"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36CF0A85" w14:textId="77777777" w:rsidR="00151745" w:rsidRPr="00575A15" w:rsidRDefault="00151745" w:rsidP="00151745">
      <w:pPr>
        <w:spacing w:after="0" w:line="240" w:lineRule="auto"/>
        <w:ind w:left="-5"/>
        <w:jc w:val="both"/>
        <w:rPr>
          <w:rFonts w:cs="Arial"/>
          <w:lang w:val="es-ES"/>
        </w:rPr>
      </w:pPr>
      <w:r w:rsidRPr="00575A15">
        <w:rPr>
          <w:rFonts w:cs="Arial"/>
          <w:lang w:val="es-ES"/>
        </w:rPr>
        <w:t xml:space="preserve">Aunque no existen estimaciones globales sólidas del tamaño poblacional del </w:t>
      </w:r>
      <w:proofErr w:type="spellStart"/>
      <w:r w:rsidRPr="00575A15">
        <w:rPr>
          <w:rFonts w:cs="Arial"/>
          <w:i/>
          <w:iCs/>
          <w:lang w:val="es-ES"/>
        </w:rPr>
        <w:t>Pseudoplatystoma</w:t>
      </w:r>
      <w:proofErr w:type="spellEnd"/>
      <w:r w:rsidRPr="00575A15">
        <w:rPr>
          <w:rFonts w:cs="Arial"/>
          <w:i/>
          <w:iCs/>
          <w:lang w:val="es-ES"/>
        </w:rPr>
        <w:t xml:space="preserve"> </w:t>
      </w:r>
      <w:proofErr w:type="spellStart"/>
      <w:r w:rsidRPr="00575A15">
        <w:rPr>
          <w:rFonts w:cs="Arial"/>
          <w:i/>
          <w:iCs/>
          <w:lang w:val="es-ES"/>
        </w:rPr>
        <w:t>corruscans</w:t>
      </w:r>
      <w:proofErr w:type="spellEnd"/>
      <w:r w:rsidRPr="00575A15">
        <w:rPr>
          <w:rFonts w:cs="Arial"/>
          <w:lang w:val="es-ES"/>
        </w:rPr>
        <w:t xml:space="preserve">, diversas fuentes indican una tendencia decreciente en toda su distribución. Los datos de desembarques pesqueros muestran una reducción significativa desde la década de 1990 en las cuencas del Paraná-Paraguay y São Francisco, reflejando los efectos combinados de la sobrepesca, la pérdida de hábitat y la fragmentación fluvial (Fernandes et al., 2023). Los estudios genéticos confirman que las poblaciones aisladas por presas presentan menor diversidad genética y un coeficiente de parentesco más alto, lo que indica mayor vulnerabilidad y riesgo de erosión genética (Machado et al., 2021). </w:t>
      </w:r>
    </w:p>
    <w:p w14:paraId="486CCF88" w14:textId="77777777" w:rsidR="00151745" w:rsidRPr="00575A15" w:rsidRDefault="00151745" w:rsidP="00151745">
      <w:pPr>
        <w:spacing w:after="0" w:line="240" w:lineRule="auto"/>
        <w:ind w:left="-5"/>
        <w:jc w:val="both"/>
        <w:rPr>
          <w:rFonts w:cs="Arial"/>
          <w:lang w:val="es-ES"/>
        </w:rPr>
      </w:pPr>
    </w:p>
    <w:p w14:paraId="3FD359F9" w14:textId="77777777" w:rsidR="00151745" w:rsidRPr="00575A15" w:rsidRDefault="00151745" w:rsidP="00151745">
      <w:pPr>
        <w:spacing w:after="0" w:line="240" w:lineRule="auto"/>
        <w:ind w:left="-5"/>
        <w:jc w:val="both"/>
        <w:rPr>
          <w:rFonts w:cs="Arial"/>
          <w:lang w:val="es-ES"/>
        </w:rPr>
      </w:pPr>
      <w:r w:rsidRPr="00575A15">
        <w:rPr>
          <w:rFonts w:cs="Arial"/>
          <w:lang w:val="es-ES"/>
        </w:rPr>
        <w:t xml:space="preserve">Se han documentado descensos en los desembarques de pesca comercial a lo largo de amplios tramos de la cuenca del São Francisco, especialmente en los embalses en cascada de </w:t>
      </w:r>
      <w:proofErr w:type="spellStart"/>
      <w:r w:rsidRPr="00575A15">
        <w:rPr>
          <w:rFonts w:cs="Arial"/>
          <w:lang w:val="es-ES"/>
        </w:rPr>
        <w:t>Sobradinho</w:t>
      </w:r>
      <w:proofErr w:type="spellEnd"/>
      <w:r w:rsidRPr="00575A15">
        <w:rPr>
          <w:rFonts w:cs="Arial"/>
          <w:lang w:val="es-ES"/>
        </w:rPr>
        <w:t xml:space="preserve">, Paulo </w:t>
      </w:r>
      <w:proofErr w:type="spellStart"/>
      <w:r w:rsidRPr="00575A15">
        <w:rPr>
          <w:rFonts w:cs="Arial"/>
          <w:lang w:val="es-ES"/>
        </w:rPr>
        <w:t>Afonso</w:t>
      </w:r>
      <w:proofErr w:type="spellEnd"/>
      <w:r w:rsidRPr="00575A15">
        <w:rPr>
          <w:rFonts w:cs="Arial"/>
          <w:lang w:val="es-ES"/>
        </w:rPr>
        <w:t xml:space="preserve">, </w:t>
      </w:r>
      <w:proofErr w:type="spellStart"/>
      <w:r w:rsidRPr="00575A15">
        <w:rPr>
          <w:rFonts w:cs="Arial"/>
          <w:lang w:val="es-ES"/>
        </w:rPr>
        <w:t>Itaparica</w:t>
      </w:r>
      <w:proofErr w:type="spellEnd"/>
      <w:r w:rsidRPr="00575A15">
        <w:rPr>
          <w:rFonts w:cs="Arial"/>
          <w:lang w:val="es-ES"/>
        </w:rPr>
        <w:t xml:space="preserve">, </w:t>
      </w:r>
      <w:proofErr w:type="spellStart"/>
      <w:r w:rsidRPr="00575A15">
        <w:rPr>
          <w:rFonts w:cs="Arial"/>
          <w:lang w:val="es-ES"/>
        </w:rPr>
        <w:t>Moxotó</w:t>
      </w:r>
      <w:proofErr w:type="spellEnd"/>
      <w:r w:rsidRPr="00575A15">
        <w:rPr>
          <w:rFonts w:cs="Arial"/>
          <w:lang w:val="es-ES"/>
        </w:rPr>
        <w:t xml:space="preserve"> y </w:t>
      </w:r>
      <w:proofErr w:type="spellStart"/>
      <w:r w:rsidRPr="00575A15">
        <w:rPr>
          <w:rFonts w:cs="Arial"/>
          <w:lang w:val="es-ES"/>
        </w:rPr>
        <w:t>Xingó</w:t>
      </w:r>
      <w:proofErr w:type="spellEnd"/>
      <w:r w:rsidRPr="00575A15">
        <w:rPr>
          <w:rFonts w:cs="Arial"/>
          <w:lang w:val="es-ES"/>
        </w:rPr>
        <w:t xml:space="preserve">, además de la desaparición de la especie aguas abajo del embalse de </w:t>
      </w:r>
      <w:proofErr w:type="spellStart"/>
      <w:r w:rsidRPr="00575A15">
        <w:rPr>
          <w:rFonts w:cs="Arial"/>
          <w:lang w:val="es-ES"/>
        </w:rPr>
        <w:t>Xingó</w:t>
      </w:r>
      <w:proofErr w:type="spellEnd"/>
      <w:r w:rsidRPr="00575A15">
        <w:rPr>
          <w:rFonts w:cs="Arial"/>
          <w:lang w:val="es-ES"/>
        </w:rPr>
        <w:t xml:space="preserve">. En la cuenca del Paraná se ha observado una reducción similar de los desembarques, con la ausencia de la especie en algunos afluentes, como el río </w:t>
      </w:r>
      <w:proofErr w:type="spellStart"/>
      <w:r w:rsidRPr="00575A15">
        <w:rPr>
          <w:rFonts w:cs="Arial"/>
          <w:lang w:val="es-ES"/>
        </w:rPr>
        <w:t>Paranapanema</w:t>
      </w:r>
      <w:proofErr w:type="spellEnd"/>
      <w:r w:rsidRPr="00575A15">
        <w:rPr>
          <w:rFonts w:cs="Arial"/>
          <w:lang w:val="es-ES"/>
        </w:rPr>
        <w:t xml:space="preserve">. La cuenca del Uruguay presenta un escenario comparable, con un acusado descenso. Estos datos demuestran colectivamente la fuerte disminución de las subpoblaciones en estas tres cuencas. </w:t>
      </w:r>
    </w:p>
    <w:p w14:paraId="0A4E5FFE" w14:textId="77777777" w:rsidR="00151745" w:rsidRPr="00575A15" w:rsidRDefault="00151745" w:rsidP="00151745">
      <w:pPr>
        <w:spacing w:after="0" w:line="240" w:lineRule="auto"/>
        <w:ind w:left="-5"/>
        <w:jc w:val="both"/>
        <w:rPr>
          <w:rFonts w:cs="Arial"/>
          <w:lang w:val="es-ES"/>
        </w:rPr>
      </w:pPr>
    </w:p>
    <w:p w14:paraId="2A2F6E24" w14:textId="77777777" w:rsidR="00151745" w:rsidRPr="00575A15" w:rsidRDefault="00151745" w:rsidP="00151745">
      <w:pPr>
        <w:spacing w:after="0" w:line="240" w:lineRule="auto"/>
        <w:ind w:left="-5"/>
        <w:jc w:val="both"/>
        <w:rPr>
          <w:rFonts w:cs="Arial"/>
          <w:lang w:val="es-ES"/>
        </w:rPr>
      </w:pPr>
      <w:r w:rsidRPr="00575A15">
        <w:rPr>
          <w:rFonts w:cs="Arial"/>
          <w:lang w:val="es-ES"/>
        </w:rPr>
        <w:t xml:space="preserve">Por el contrario, en la cuenca alta del Paraguay, la subpoblación muestra una situación más favorable. No obstante, los registros recientes de individuos híbridos congéneres —que </w:t>
      </w:r>
      <w:r w:rsidRPr="00575A15">
        <w:rPr>
          <w:rFonts w:cs="Arial"/>
          <w:lang w:val="es-ES"/>
        </w:rPr>
        <w:lastRenderedPageBreak/>
        <w:t xml:space="preserve">representan más del 10 % de los individuos muestreados en la cuenca del río Miranda— constituyen una amenaza significativa para el sur del Pantanal. La instalación de pequeñas centrales hidroeléctricas (PCH), existentes y proyectadas en la región, representa un factor de riesgo adicional. De acuerdo con estudios de desembarques, reproducción y amenazas identificadas, se estima una disminución poblacional de al menos el 30 % en la cuenca del São Francisco y de al menos el 50 % en las cuencas del Uruguay y Paraná durante los últimos 45 años (equivalente a tres generaciones). En la cuenca del Paraguay no se observa una reducción marcada; sin embargo, considerando la disminución de las subpoblaciones en territorio brasileño, se sospecha una reducción global de al menos el 30 % durante el mismo período (Burbano et al., 2024). </w:t>
      </w:r>
    </w:p>
    <w:p w14:paraId="78A115E5"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56D1E295" w14:textId="175A7061" w:rsidR="00151745" w:rsidRPr="00575A15" w:rsidRDefault="00151745" w:rsidP="00BA6B4C">
      <w:pPr>
        <w:spacing w:after="0" w:line="240" w:lineRule="auto"/>
        <w:ind w:left="540" w:hanging="540"/>
        <w:jc w:val="both"/>
        <w:rPr>
          <w:rFonts w:cs="Arial"/>
          <w:lang w:val="es-ES"/>
        </w:rPr>
      </w:pPr>
      <w:r w:rsidRPr="00575A15">
        <w:rPr>
          <w:rFonts w:eastAsia="Arial" w:cs="Arial"/>
          <w:lang w:val="es-ES"/>
        </w:rPr>
        <w:t>4.3</w:t>
      </w:r>
      <w:r w:rsidRPr="00575A15">
        <w:rPr>
          <w:rFonts w:eastAsia="Arial" w:cs="Arial"/>
          <w:lang w:val="es-ES"/>
        </w:rPr>
        <w:tab/>
        <w:t xml:space="preserve">Hábitat (descripción breve y tendencias) </w:t>
      </w:r>
    </w:p>
    <w:p w14:paraId="4CEE59A7"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6EF2283E" w14:textId="7A66DBDB" w:rsidR="00151745" w:rsidRPr="00575A15" w:rsidRDefault="00151745" w:rsidP="00151745">
      <w:pPr>
        <w:spacing w:after="0" w:line="240" w:lineRule="auto"/>
        <w:ind w:left="-5"/>
        <w:jc w:val="both"/>
        <w:rPr>
          <w:rFonts w:cs="Arial"/>
          <w:lang w:val="es-ES"/>
        </w:rPr>
      </w:pPr>
      <w:r w:rsidRPr="00575A15">
        <w:rPr>
          <w:rFonts w:cs="Arial"/>
          <w:lang w:val="es-ES"/>
        </w:rPr>
        <w:t xml:space="preserve">Los adultos del </w:t>
      </w:r>
      <w:r w:rsidRPr="00575A15">
        <w:rPr>
          <w:rFonts w:cs="Arial"/>
          <w:i/>
          <w:iCs/>
          <w:lang w:val="es-ES"/>
        </w:rPr>
        <w:t xml:space="preserve">P. </w:t>
      </w:r>
      <w:proofErr w:type="spellStart"/>
      <w:r w:rsidRPr="00575A15">
        <w:rPr>
          <w:rFonts w:cs="Arial"/>
          <w:i/>
          <w:iCs/>
          <w:lang w:val="es-ES"/>
        </w:rPr>
        <w:t>corruscans</w:t>
      </w:r>
      <w:proofErr w:type="spellEnd"/>
      <w:r w:rsidRPr="00575A15">
        <w:rPr>
          <w:rFonts w:cs="Arial"/>
          <w:i/>
          <w:iCs/>
          <w:lang w:val="es-ES"/>
        </w:rPr>
        <w:t xml:space="preserve"> </w:t>
      </w:r>
      <w:r w:rsidRPr="00575A15">
        <w:rPr>
          <w:rFonts w:cs="Arial"/>
          <w:lang w:val="es-ES"/>
        </w:rPr>
        <w:t xml:space="preserve">habitan principalmente el fondo de los cauces de grandes ríos, mientras que los especímenes jóvenes son más comunes en ríos </w:t>
      </w:r>
      <w:proofErr w:type="spellStart"/>
      <w:r w:rsidRPr="00575A15">
        <w:rPr>
          <w:rFonts w:cs="Arial"/>
          <w:lang w:val="es-ES"/>
        </w:rPr>
        <w:t>meandriformes</w:t>
      </w:r>
      <w:proofErr w:type="spellEnd"/>
      <w:r w:rsidRPr="00575A15">
        <w:rPr>
          <w:rFonts w:cs="Arial"/>
          <w:lang w:val="es-ES"/>
        </w:rPr>
        <w:t xml:space="preserve"> y lagunas margin</w:t>
      </w:r>
      <w:r w:rsidR="0059342A" w:rsidRPr="00575A15">
        <w:rPr>
          <w:rFonts w:cs="Arial"/>
          <w:lang w:val="es-ES"/>
        </w:rPr>
        <w:t xml:space="preserve">ales (Agostinho et al., 2003). </w:t>
      </w:r>
      <w:r w:rsidRPr="00575A15">
        <w:rPr>
          <w:rFonts w:cs="Arial"/>
          <w:lang w:val="es-ES"/>
        </w:rPr>
        <w:t xml:space="preserve">La especie utiliza los cauces principales de los grandes ríos para la migración y el desove, mientras que las lagunas marginales y las llanuras de inundación sirven como zonas de crecimiento y alimentación para los especímenes jóvenes (reclutamiento). </w:t>
      </w:r>
    </w:p>
    <w:p w14:paraId="5AFEC4CA" w14:textId="77777777" w:rsidR="00151745" w:rsidRPr="00575A15" w:rsidRDefault="00151745" w:rsidP="00151745">
      <w:pPr>
        <w:spacing w:after="0" w:line="240" w:lineRule="auto"/>
        <w:ind w:left="540"/>
        <w:jc w:val="both"/>
        <w:rPr>
          <w:rFonts w:eastAsia="Arial" w:cs="Arial"/>
          <w:lang w:val="es-ES"/>
        </w:rPr>
      </w:pPr>
      <w:r w:rsidRPr="00575A15">
        <w:rPr>
          <w:rFonts w:eastAsia="Arial" w:cs="Arial"/>
          <w:lang w:val="es-ES"/>
        </w:rPr>
        <w:t xml:space="preserve"> </w:t>
      </w:r>
    </w:p>
    <w:p w14:paraId="7AD0535E" w14:textId="0F746273" w:rsidR="00151745" w:rsidRPr="00575A15" w:rsidRDefault="00151745" w:rsidP="00BA6B4C">
      <w:pPr>
        <w:spacing w:after="0" w:line="240" w:lineRule="auto"/>
        <w:ind w:left="540" w:hanging="540"/>
        <w:jc w:val="both"/>
        <w:rPr>
          <w:rFonts w:cs="Arial"/>
          <w:lang w:val="es-ES"/>
        </w:rPr>
      </w:pPr>
      <w:r w:rsidRPr="00575A15">
        <w:rPr>
          <w:rFonts w:eastAsia="Arial" w:cs="Arial"/>
          <w:lang w:val="es-ES"/>
        </w:rPr>
        <w:t>4.4</w:t>
      </w:r>
      <w:r w:rsidRPr="00575A15">
        <w:rPr>
          <w:rFonts w:eastAsia="Arial" w:cs="Arial"/>
          <w:lang w:val="es-ES"/>
        </w:rPr>
        <w:tab/>
        <w:t xml:space="preserve">Características biológicas </w:t>
      </w:r>
    </w:p>
    <w:p w14:paraId="251B431F"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21EACD69" w14:textId="77777777" w:rsidR="00151745" w:rsidRPr="00575A15" w:rsidRDefault="00151745" w:rsidP="00151745">
      <w:pPr>
        <w:spacing w:after="0" w:line="240" w:lineRule="auto"/>
        <w:ind w:left="-5"/>
        <w:jc w:val="both"/>
        <w:rPr>
          <w:rFonts w:cs="Arial"/>
          <w:lang w:val="es-ES"/>
        </w:rPr>
      </w:pPr>
      <w:proofErr w:type="spellStart"/>
      <w:r w:rsidRPr="00575A15">
        <w:rPr>
          <w:rFonts w:cs="Arial"/>
          <w:i/>
          <w:iCs/>
          <w:lang w:val="es-ES"/>
        </w:rPr>
        <w:t>Pseudoplatystoma</w:t>
      </w:r>
      <w:proofErr w:type="spellEnd"/>
      <w:r w:rsidRPr="00575A15">
        <w:rPr>
          <w:rFonts w:cs="Arial"/>
          <w:i/>
          <w:iCs/>
          <w:lang w:val="es-ES"/>
        </w:rPr>
        <w:t xml:space="preserve"> </w:t>
      </w:r>
      <w:proofErr w:type="spellStart"/>
      <w:r w:rsidRPr="00575A15">
        <w:rPr>
          <w:rFonts w:cs="Arial"/>
          <w:i/>
          <w:iCs/>
          <w:lang w:val="es-ES"/>
        </w:rPr>
        <w:t>corruscans</w:t>
      </w:r>
      <w:proofErr w:type="spellEnd"/>
      <w:r w:rsidRPr="00575A15">
        <w:rPr>
          <w:rFonts w:cs="Arial"/>
          <w:i/>
          <w:iCs/>
          <w:lang w:val="es-ES"/>
        </w:rPr>
        <w:t xml:space="preserve"> </w:t>
      </w:r>
      <w:r w:rsidRPr="00575A15">
        <w:rPr>
          <w:rFonts w:cs="Arial"/>
          <w:lang w:val="es-ES"/>
        </w:rPr>
        <w:t xml:space="preserve">es una especie de gran tamaño, que puede alcanzar hasta 182 cm de longitud total y 100 kg de peso corporal. Es un depredador piscívoro de hábitos nocturnos (Mello et al., 2009), que habita tramos profundos y remansos de grandes ríos (Burbano et al., 2024). </w:t>
      </w:r>
    </w:p>
    <w:p w14:paraId="682FB14B" w14:textId="77777777" w:rsidR="00151745" w:rsidRPr="00575A15" w:rsidRDefault="00151745" w:rsidP="00151745">
      <w:pPr>
        <w:spacing w:after="0" w:line="240" w:lineRule="auto"/>
        <w:ind w:left="-5"/>
        <w:jc w:val="both"/>
        <w:rPr>
          <w:rFonts w:cs="Arial"/>
          <w:lang w:val="es-ES"/>
        </w:rPr>
      </w:pPr>
    </w:p>
    <w:p w14:paraId="47D7041E" w14:textId="7C58D1B0" w:rsidR="00151745" w:rsidRPr="00575A15" w:rsidRDefault="00151745" w:rsidP="00151745">
      <w:pPr>
        <w:spacing w:after="0" w:line="240" w:lineRule="auto"/>
        <w:ind w:left="-5"/>
        <w:jc w:val="both"/>
        <w:rPr>
          <w:rFonts w:cs="Arial"/>
          <w:lang w:val="es-ES"/>
        </w:rPr>
      </w:pPr>
      <w:r w:rsidRPr="00575A15">
        <w:rPr>
          <w:rFonts w:cs="Arial"/>
          <w:lang w:val="es-ES"/>
        </w:rPr>
        <w:t>Durante la estación lluviosa realiza migraciones reproductivas, con desove total y una fecundidad máxima observada de 2,5 millones de ovocitos (Agostinho et al., 2003), cada uno de aproximadamente 1 mm de diámetro (Sato et al., 2003). La especie no presenta cuidado parental, y el desove tiene lugar libremente en los cauces de los grandes ríos. Los huevos son transportados por la corriente hasta la eclosión, que s</w:t>
      </w:r>
      <w:r w:rsidR="0059342A" w:rsidRPr="00575A15">
        <w:rPr>
          <w:rFonts w:cs="Arial"/>
          <w:lang w:val="es-ES"/>
        </w:rPr>
        <w:t>e produce en unas 20 horas a 24</w:t>
      </w:r>
      <w:r w:rsidRPr="00575A15">
        <w:rPr>
          <w:rFonts w:cs="Arial"/>
          <w:lang w:val="es-ES"/>
        </w:rPr>
        <w:t>°C (Sato et al., 2003). Durante el primer año, los individuos pueden alcanzar unos 55 cm de longitud. La primera madurez en hembras ocurre entre 1,2 años (L50) y 2,5 años (L100), mientras que los machos alcanzan la madurez entre 1,47 años (L50) y 3,13 años (L100), mostrando un marcado dimorfismo sexual (</w:t>
      </w:r>
      <w:proofErr w:type="spellStart"/>
      <w:r w:rsidRPr="00575A15">
        <w:rPr>
          <w:rFonts w:cs="Arial"/>
          <w:lang w:val="es-ES"/>
        </w:rPr>
        <w:t>Balboni</w:t>
      </w:r>
      <w:proofErr w:type="spellEnd"/>
      <w:r w:rsidRPr="00575A15">
        <w:rPr>
          <w:rFonts w:cs="Arial"/>
          <w:lang w:val="es-ES"/>
        </w:rPr>
        <w:t xml:space="preserve"> et al., 2021). El desove tiene lugar en el punto máximo de la crecida, y </w:t>
      </w:r>
      <w:r w:rsidRPr="00575A15">
        <w:rPr>
          <w:rFonts w:cs="Arial"/>
          <w:i/>
          <w:iCs/>
          <w:lang w:val="es-ES"/>
        </w:rPr>
        <w:t xml:space="preserve">P. </w:t>
      </w:r>
      <w:proofErr w:type="spellStart"/>
      <w:r w:rsidRPr="00575A15">
        <w:rPr>
          <w:rFonts w:cs="Arial"/>
          <w:i/>
          <w:iCs/>
          <w:lang w:val="es-ES"/>
        </w:rPr>
        <w:t>corruscans</w:t>
      </w:r>
      <w:proofErr w:type="spellEnd"/>
      <w:r w:rsidRPr="00575A15">
        <w:rPr>
          <w:rFonts w:cs="Arial"/>
          <w:lang w:val="es-ES"/>
        </w:rPr>
        <w:t xml:space="preserve"> es una de las últimas especies en reproducirse entre los peces del Pantanal. </w:t>
      </w:r>
    </w:p>
    <w:p w14:paraId="1EC5DDF9" w14:textId="77777777" w:rsidR="00151745" w:rsidRPr="00575A15" w:rsidRDefault="00151745" w:rsidP="00151745">
      <w:pPr>
        <w:spacing w:after="0" w:line="240" w:lineRule="auto"/>
        <w:jc w:val="both"/>
        <w:rPr>
          <w:rFonts w:cs="Arial"/>
          <w:lang w:val="es-ES"/>
        </w:rPr>
      </w:pPr>
      <w:r w:rsidRPr="00575A15">
        <w:rPr>
          <w:rFonts w:cs="Arial"/>
          <w:lang w:val="es-ES"/>
        </w:rPr>
        <w:t xml:space="preserve"> </w:t>
      </w:r>
    </w:p>
    <w:p w14:paraId="27E16297" w14:textId="061E90D0" w:rsidR="00151745" w:rsidRPr="00575A15" w:rsidRDefault="00151745" w:rsidP="00BA6B4C">
      <w:pPr>
        <w:spacing w:after="0" w:line="240" w:lineRule="auto"/>
        <w:ind w:left="540" w:hanging="540"/>
        <w:jc w:val="both"/>
        <w:rPr>
          <w:rFonts w:cs="Arial"/>
          <w:lang w:val="es-ES"/>
        </w:rPr>
      </w:pPr>
      <w:r w:rsidRPr="00575A15">
        <w:rPr>
          <w:rFonts w:eastAsia="Arial" w:cs="Arial"/>
          <w:lang w:val="es-ES"/>
        </w:rPr>
        <w:t>4.5</w:t>
      </w:r>
      <w:r w:rsidRPr="00575A15">
        <w:rPr>
          <w:rFonts w:eastAsia="Arial" w:cs="Arial"/>
          <w:lang w:val="es-ES"/>
        </w:rPr>
        <w:tab/>
        <w:t xml:space="preserve">Función del taxón en su ecosistema  </w:t>
      </w:r>
    </w:p>
    <w:p w14:paraId="0C8FF920"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0A54F1EE" w14:textId="77777777" w:rsidR="00151745" w:rsidRPr="00575A15" w:rsidRDefault="00151745" w:rsidP="00151745">
      <w:pPr>
        <w:spacing w:after="0" w:line="240" w:lineRule="auto"/>
        <w:ind w:left="-5"/>
        <w:jc w:val="both"/>
        <w:rPr>
          <w:rFonts w:cs="Arial"/>
          <w:lang w:val="es-ES"/>
        </w:rPr>
      </w:pPr>
      <w:r w:rsidRPr="00575A15">
        <w:rPr>
          <w:rFonts w:cs="Arial"/>
          <w:lang w:val="es-ES"/>
        </w:rPr>
        <w:t xml:space="preserve">Como depredador de nivel trófico superior, el </w:t>
      </w:r>
      <w:proofErr w:type="spellStart"/>
      <w:r w:rsidRPr="00575A15">
        <w:rPr>
          <w:rFonts w:cs="Arial"/>
          <w:i/>
          <w:iCs/>
          <w:lang w:val="es-ES"/>
        </w:rPr>
        <w:t>Pseudoplatystoma</w:t>
      </w:r>
      <w:proofErr w:type="spellEnd"/>
      <w:r w:rsidRPr="00575A15">
        <w:rPr>
          <w:rFonts w:cs="Arial"/>
          <w:i/>
          <w:iCs/>
          <w:lang w:val="es-ES"/>
        </w:rPr>
        <w:t xml:space="preserve"> </w:t>
      </w:r>
      <w:proofErr w:type="spellStart"/>
      <w:r w:rsidRPr="00575A15">
        <w:rPr>
          <w:rFonts w:cs="Arial"/>
          <w:i/>
          <w:iCs/>
          <w:lang w:val="es-ES"/>
        </w:rPr>
        <w:t>corruscans</w:t>
      </w:r>
      <w:proofErr w:type="spellEnd"/>
      <w:r w:rsidRPr="00575A15">
        <w:rPr>
          <w:rFonts w:cs="Arial"/>
          <w:lang w:val="es-ES"/>
        </w:rPr>
        <w:t xml:space="preserve"> desempeña una función fundamental en la modulación de las cadenas tróficas y las redes alimentarias, influyendo directamente en la estructura y dinámica de las comunidades de peces de las cuencas donde se encuentra. Su relevancia ecológica se acompaña de un elevado valor socioeconómico, especialmente en el contexto de la pesca artesanal y comercial. </w:t>
      </w:r>
    </w:p>
    <w:p w14:paraId="4E2B6875" w14:textId="63FCBDFB" w:rsidR="00151745" w:rsidRPr="00575A15" w:rsidRDefault="00151745" w:rsidP="00151745">
      <w:pPr>
        <w:spacing w:after="0" w:line="240" w:lineRule="auto"/>
        <w:ind w:left="720"/>
        <w:jc w:val="both"/>
        <w:rPr>
          <w:rFonts w:cs="Arial"/>
          <w:lang w:val="es-ES"/>
        </w:rPr>
      </w:pPr>
      <w:r w:rsidRPr="00575A15">
        <w:rPr>
          <w:rFonts w:eastAsia="Arial" w:cs="Arial"/>
          <w:lang w:val="es-ES"/>
        </w:rPr>
        <w:t xml:space="preserve"> </w:t>
      </w:r>
    </w:p>
    <w:p w14:paraId="72533A3A" w14:textId="58BFD683" w:rsidR="00151745" w:rsidRPr="00575A15" w:rsidRDefault="00151745" w:rsidP="00151745">
      <w:pPr>
        <w:numPr>
          <w:ilvl w:val="0"/>
          <w:numId w:val="15"/>
        </w:numPr>
        <w:spacing w:after="0" w:line="240" w:lineRule="auto"/>
        <w:ind w:hanging="540"/>
        <w:jc w:val="both"/>
        <w:rPr>
          <w:rFonts w:cs="Arial"/>
          <w:b/>
          <w:bCs/>
          <w:lang w:val="es-ES"/>
        </w:rPr>
      </w:pPr>
      <w:r w:rsidRPr="00575A15">
        <w:rPr>
          <w:rFonts w:eastAsia="Arial" w:cs="Arial"/>
          <w:b/>
          <w:bCs/>
          <w:lang w:val="es-ES"/>
        </w:rPr>
        <w:t xml:space="preserve">Estado de </w:t>
      </w:r>
      <w:r w:rsidR="00B46EFC" w:rsidRPr="00575A15">
        <w:rPr>
          <w:rFonts w:eastAsia="Arial" w:cs="Arial"/>
          <w:b/>
          <w:bCs/>
          <w:lang w:val="es-ES"/>
        </w:rPr>
        <w:t>conservación</w:t>
      </w:r>
      <w:r w:rsidRPr="00575A15">
        <w:rPr>
          <w:rFonts w:eastAsia="Arial" w:cs="Arial"/>
          <w:b/>
          <w:bCs/>
          <w:lang w:val="es-ES"/>
        </w:rPr>
        <w:t xml:space="preserve"> y amenazas  </w:t>
      </w:r>
    </w:p>
    <w:p w14:paraId="7DEDA838" w14:textId="77777777" w:rsidR="00151745" w:rsidRPr="00575A15" w:rsidRDefault="00151745" w:rsidP="00151745">
      <w:pPr>
        <w:spacing w:after="0" w:line="240" w:lineRule="auto"/>
        <w:ind w:left="540"/>
        <w:jc w:val="both"/>
        <w:rPr>
          <w:rFonts w:cs="Arial"/>
          <w:lang w:val="es-ES"/>
        </w:rPr>
      </w:pPr>
    </w:p>
    <w:p w14:paraId="215B74F1" w14:textId="77777777" w:rsidR="00151745" w:rsidRPr="00575A15" w:rsidRDefault="00151745" w:rsidP="00BA6B4C">
      <w:pPr>
        <w:numPr>
          <w:ilvl w:val="1"/>
          <w:numId w:val="15"/>
        </w:numPr>
        <w:spacing w:after="0" w:line="240" w:lineRule="auto"/>
        <w:ind w:left="540" w:hanging="540"/>
        <w:jc w:val="both"/>
        <w:rPr>
          <w:rFonts w:cs="Arial"/>
          <w:lang w:val="es-ES"/>
        </w:rPr>
      </w:pPr>
      <w:r w:rsidRPr="00575A15">
        <w:rPr>
          <w:rFonts w:eastAsia="Arial" w:cs="Arial"/>
          <w:lang w:val="es-ES"/>
        </w:rPr>
        <w:t xml:space="preserve">Evaluación de la Lista Roja de la UICN (si está disponible) </w:t>
      </w:r>
    </w:p>
    <w:p w14:paraId="4CA1FA1F" w14:textId="77777777" w:rsidR="00151745" w:rsidRPr="00575A15" w:rsidRDefault="00151745" w:rsidP="00151745">
      <w:pPr>
        <w:spacing w:after="0" w:line="240" w:lineRule="auto"/>
        <w:jc w:val="both"/>
        <w:rPr>
          <w:rFonts w:cs="Arial"/>
          <w:lang w:val="es-ES"/>
        </w:rPr>
      </w:pPr>
      <w:r w:rsidRPr="00575A15">
        <w:rPr>
          <w:rFonts w:cs="Arial"/>
          <w:lang w:val="es-ES"/>
        </w:rPr>
        <w:t xml:space="preserve"> </w:t>
      </w:r>
    </w:p>
    <w:p w14:paraId="7D05566B" w14:textId="77777777" w:rsidR="00151745" w:rsidRPr="00575A15" w:rsidRDefault="00151745" w:rsidP="00151745">
      <w:pPr>
        <w:spacing w:after="0" w:line="240" w:lineRule="auto"/>
        <w:ind w:left="-5"/>
        <w:jc w:val="both"/>
        <w:rPr>
          <w:rFonts w:cs="Arial"/>
          <w:lang w:val="es-ES"/>
        </w:rPr>
      </w:pPr>
      <w:r w:rsidRPr="00575A15">
        <w:rPr>
          <w:rFonts w:cs="Arial"/>
          <w:lang w:val="es-ES"/>
        </w:rPr>
        <w:t xml:space="preserve">Figura en la Lista Roja de la UICN como «Casi Amenazada» (NT), según el criterio A2bcde (Salvador, 2023). </w:t>
      </w:r>
    </w:p>
    <w:p w14:paraId="50D13AEF"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05CECA9B" w14:textId="77777777" w:rsidR="00151745" w:rsidRPr="00575A15" w:rsidRDefault="00151745" w:rsidP="00BA6B4C">
      <w:pPr>
        <w:numPr>
          <w:ilvl w:val="1"/>
          <w:numId w:val="15"/>
        </w:numPr>
        <w:spacing w:after="0" w:line="240" w:lineRule="auto"/>
        <w:ind w:left="540" w:hanging="540"/>
        <w:jc w:val="both"/>
        <w:rPr>
          <w:rFonts w:cs="Arial"/>
          <w:lang w:val="es-ES"/>
        </w:rPr>
      </w:pPr>
      <w:r w:rsidRPr="00575A15">
        <w:rPr>
          <w:rFonts w:eastAsia="Arial" w:cs="Arial"/>
          <w:lang w:val="es-ES"/>
        </w:rPr>
        <w:t xml:space="preserve">Información equivalente pertinente para la evaluación del estado de conservación  </w:t>
      </w:r>
    </w:p>
    <w:p w14:paraId="693F3F5F"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lastRenderedPageBreak/>
        <w:t xml:space="preserve"> </w:t>
      </w:r>
    </w:p>
    <w:p w14:paraId="3A6F2004" w14:textId="77777777" w:rsidR="00151745" w:rsidRPr="00575A15" w:rsidRDefault="00151745" w:rsidP="00151745">
      <w:pPr>
        <w:spacing w:after="0" w:line="240" w:lineRule="auto"/>
        <w:ind w:left="-5"/>
        <w:jc w:val="both"/>
        <w:rPr>
          <w:rFonts w:cs="Arial"/>
          <w:lang w:val="es-ES"/>
        </w:rPr>
      </w:pPr>
      <w:r w:rsidRPr="00575A15">
        <w:rPr>
          <w:rFonts w:cs="Arial"/>
          <w:lang w:val="es-ES"/>
        </w:rPr>
        <w:t xml:space="preserve">Existen registros de una disminución en los desembarques de pesca comercial en amplios tramos de la cuenca del São Francisco (incluidos los embalses en cascada de </w:t>
      </w:r>
      <w:proofErr w:type="spellStart"/>
      <w:r w:rsidRPr="00575A15">
        <w:rPr>
          <w:rFonts w:cs="Arial"/>
          <w:lang w:val="es-ES"/>
        </w:rPr>
        <w:t>Sobradinho</w:t>
      </w:r>
      <w:proofErr w:type="spellEnd"/>
      <w:r w:rsidRPr="00575A15">
        <w:rPr>
          <w:rFonts w:cs="Arial"/>
          <w:lang w:val="es-ES"/>
        </w:rPr>
        <w:t xml:space="preserve">, Paulo </w:t>
      </w:r>
      <w:proofErr w:type="spellStart"/>
      <w:r w:rsidRPr="00575A15">
        <w:rPr>
          <w:rFonts w:cs="Arial"/>
          <w:lang w:val="es-ES"/>
        </w:rPr>
        <w:t>Afonso</w:t>
      </w:r>
      <w:proofErr w:type="spellEnd"/>
      <w:r w:rsidRPr="00575A15">
        <w:rPr>
          <w:rFonts w:cs="Arial"/>
          <w:lang w:val="es-ES"/>
        </w:rPr>
        <w:t xml:space="preserve">, </w:t>
      </w:r>
      <w:proofErr w:type="spellStart"/>
      <w:r w:rsidRPr="00575A15">
        <w:rPr>
          <w:rFonts w:cs="Arial"/>
          <w:lang w:val="es-ES"/>
        </w:rPr>
        <w:t>Itaparica</w:t>
      </w:r>
      <w:proofErr w:type="spellEnd"/>
      <w:r w:rsidRPr="00575A15">
        <w:rPr>
          <w:rFonts w:cs="Arial"/>
          <w:lang w:val="es-ES"/>
        </w:rPr>
        <w:t xml:space="preserve">, </w:t>
      </w:r>
      <w:proofErr w:type="spellStart"/>
      <w:r w:rsidRPr="00575A15">
        <w:rPr>
          <w:rFonts w:cs="Arial"/>
          <w:lang w:val="es-ES"/>
        </w:rPr>
        <w:t>Moxotó</w:t>
      </w:r>
      <w:proofErr w:type="spellEnd"/>
      <w:r w:rsidRPr="00575A15">
        <w:rPr>
          <w:rFonts w:cs="Arial"/>
          <w:lang w:val="es-ES"/>
        </w:rPr>
        <w:t xml:space="preserve"> y </w:t>
      </w:r>
      <w:proofErr w:type="spellStart"/>
      <w:r w:rsidRPr="00575A15">
        <w:rPr>
          <w:rFonts w:cs="Arial"/>
          <w:lang w:val="es-ES"/>
        </w:rPr>
        <w:t>Xingó</w:t>
      </w:r>
      <w:proofErr w:type="spellEnd"/>
      <w:r w:rsidRPr="00575A15">
        <w:rPr>
          <w:rFonts w:cs="Arial"/>
          <w:lang w:val="es-ES"/>
        </w:rPr>
        <w:t xml:space="preserve">), así como la desaparición de la especie aguas abajo de </w:t>
      </w:r>
      <w:proofErr w:type="spellStart"/>
      <w:r w:rsidRPr="00575A15">
        <w:rPr>
          <w:rFonts w:cs="Arial"/>
          <w:lang w:val="es-ES"/>
        </w:rPr>
        <w:t>Xingó</w:t>
      </w:r>
      <w:proofErr w:type="spellEnd"/>
      <w:r w:rsidRPr="00575A15">
        <w:rPr>
          <w:rFonts w:cs="Arial"/>
          <w:lang w:val="es-ES"/>
        </w:rPr>
        <w:t xml:space="preserve">. En la cuenca del río Paraná también se observó una fuerte reducción de los desembarques, y en algunas zonas la especie ya no figura en los datos de captura, como en el río </w:t>
      </w:r>
      <w:proofErr w:type="spellStart"/>
      <w:r w:rsidRPr="00575A15">
        <w:rPr>
          <w:rFonts w:cs="Arial"/>
          <w:lang w:val="es-ES"/>
        </w:rPr>
        <w:t>Paranapanema</w:t>
      </w:r>
      <w:proofErr w:type="spellEnd"/>
      <w:r w:rsidRPr="00575A15">
        <w:rPr>
          <w:rFonts w:cs="Arial"/>
          <w:lang w:val="es-ES"/>
        </w:rPr>
        <w:t>. La cuenca del Uruguay muestra una situación similar y la especie también sufrió un fuerte declive. Estos datos evidencian una marcada disminución de las subpoblaciones de la especie en estas tres cuencas. En la cuenca alta del Paraguay, la subpoblación se encuentra en mejor situación. Las principales amenazas son: (i) las presas, que causan fragmentación, reducción del hábitat y alteración del flujo natural de agua; (</w:t>
      </w:r>
      <w:proofErr w:type="spellStart"/>
      <w:r w:rsidRPr="00575A15">
        <w:rPr>
          <w:rFonts w:cs="Arial"/>
          <w:lang w:val="es-ES"/>
        </w:rPr>
        <w:t>ii</w:t>
      </w:r>
      <w:proofErr w:type="spellEnd"/>
      <w:r w:rsidRPr="00575A15">
        <w:rPr>
          <w:rFonts w:cs="Arial"/>
          <w:lang w:val="es-ES"/>
        </w:rPr>
        <w:t>) la hibridación con especies congéneres, resultante de la liberación o escape de híbridos cultivados en piscifactorías hacia ambientes naturales; y (</w:t>
      </w:r>
      <w:proofErr w:type="spellStart"/>
      <w:r w:rsidRPr="00575A15">
        <w:rPr>
          <w:rFonts w:cs="Arial"/>
          <w:lang w:val="es-ES"/>
        </w:rPr>
        <w:t>iii</w:t>
      </w:r>
      <w:proofErr w:type="spellEnd"/>
      <w:r w:rsidRPr="00575A15">
        <w:rPr>
          <w:rFonts w:cs="Arial"/>
          <w:lang w:val="es-ES"/>
        </w:rPr>
        <w:t xml:space="preserve">) la contaminación. Además, la sobrepesca representa una amenaza adicional en algunas regiones. De acuerdo con los estudios de desembarques pesqueros, reproducción y las amenazas mencionadas, se sospecha una disminución poblacional de al menos un 30 % en la cuenca del río São Francisco y de al menos un 50 % en las cuencas del Uruguay y del Paraná durante los últimos 45 años (equivalentes a tres períodos generacionales). En la cuenca del Paraguay no hay evidencia de una reducción poblacional marcada. Sin embargo, se han registrado recientemente híbridos que representan más del 10 % de los individuos en la cuenca del río Miranda, lo que constituye una amenaza importante en el Pantanal meridional. Las pequeñas centrales hidroeléctricas (PCH) ya instaladas y planificadas para la región representan una amenaza adicional. Considerando el declive de las subpoblaciones dentro del territorio brasileño, se sospecha una reducción poblacional de al menos un 30 % durante los últimos 45 años. Por lo tanto, el </w:t>
      </w:r>
      <w:r w:rsidRPr="00575A15">
        <w:rPr>
          <w:rFonts w:cs="Arial"/>
          <w:i/>
          <w:iCs/>
          <w:lang w:val="es-ES"/>
        </w:rPr>
        <w:t xml:space="preserve">P. </w:t>
      </w:r>
      <w:proofErr w:type="spellStart"/>
      <w:r w:rsidRPr="00575A15">
        <w:rPr>
          <w:rFonts w:cs="Arial"/>
          <w:i/>
          <w:iCs/>
          <w:lang w:val="es-ES"/>
        </w:rPr>
        <w:t>corruscans</w:t>
      </w:r>
      <w:proofErr w:type="spellEnd"/>
      <w:r w:rsidRPr="00575A15">
        <w:rPr>
          <w:rFonts w:cs="Arial"/>
          <w:lang w:val="es-ES"/>
        </w:rPr>
        <w:t xml:space="preserve"> ha sido clasificado como «Vulnerable» (VU) según el criterio A2bcde (Burbano et al., 2024). </w:t>
      </w:r>
    </w:p>
    <w:p w14:paraId="542C00A2" w14:textId="77777777" w:rsidR="00151745" w:rsidRPr="00575A15" w:rsidRDefault="00151745" w:rsidP="00151745">
      <w:pPr>
        <w:spacing w:after="0" w:line="240" w:lineRule="auto"/>
        <w:jc w:val="both"/>
        <w:rPr>
          <w:rFonts w:cs="Arial"/>
          <w:lang w:val="es-ES"/>
        </w:rPr>
      </w:pPr>
    </w:p>
    <w:p w14:paraId="3721361F" w14:textId="0DA82B9D" w:rsidR="00151745" w:rsidRPr="00575A15" w:rsidRDefault="00151745" w:rsidP="00BA6B4C">
      <w:pPr>
        <w:numPr>
          <w:ilvl w:val="1"/>
          <w:numId w:val="15"/>
        </w:numPr>
        <w:spacing w:after="0" w:line="240" w:lineRule="auto"/>
        <w:ind w:left="540" w:hanging="540"/>
        <w:jc w:val="both"/>
        <w:rPr>
          <w:rFonts w:cs="Arial"/>
          <w:lang w:val="es-ES"/>
        </w:rPr>
      </w:pPr>
      <w:r w:rsidRPr="00575A15">
        <w:rPr>
          <w:rFonts w:eastAsia="Arial" w:cs="Arial"/>
          <w:lang w:val="es-ES"/>
        </w:rPr>
        <w:t xml:space="preserve">Amenazas para la </w:t>
      </w:r>
      <w:r w:rsidR="00B46EFC" w:rsidRPr="00575A15">
        <w:rPr>
          <w:rFonts w:eastAsia="Arial" w:cs="Arial"/>
          <w:lang w:val="es-ES"/>
        </w:rPr>
        <w:t>población</w:t>
      </w:r>
      <w:r w:rsidRPr="00575A15">
        <w:rPr>
          <w:rFonts w:eastAsia="Arial" w:cs="Arial"/>
          <w:lang w:val="es-ES"/>
        </w:rPr>
        <w:t xml:space="preserve"> (factores, intensidad) </w:t>
      </w:r>
    </w:p>
    <w:p w14:paraId="102612FD"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1FB33194" w14:textId="4D38F91D" w:rsidR="00151745" w:rsidRPr="00575A15" w:rsidRDefault="00151745" w:rsidP="00151745">
      <w:pPr>
        <w:spacing w:after="0" w:line="240" w:lineRule="auto"/>
        <w:ind w:left="10"/>
        <w:jc w:val="both"/>
        <w:rPr>
          <w:rFonts w:cs="Arial"/>
          <w:lang w:val="es-ES"/>
        </w:rPr>
      </w:pPr>
      <w:r w:rsidRPr="00575A15">
        <w:rPr>
          <w:rFonts w:cs="Arial"/>
          <w:lang w:val="es-ES"/>
        </w:rPr>
        <w:t>Fragmentación por presas y pérdida de con</w:t>
      </w:r>
      <w:r w:rsidR="0059342A" w:rsidRPr="00575A15">
        <w:rPr>
          <w:rFonts w:cs="Arial"/>
          <w:lang w:val="es-ES"/>
        </w:rPr>
        <w:t>ectividad: intensidad muy alta.</w:t>
      </w:r>
      <w:r w:rsidRPr="00575A15">
        <w:rPr>
          <w:rFonts w:cs="Arial"/>
          <w:lang w:val="es-ES"/>
        </w:rPr>
        <w:t xml:space="preserve"> Bloquea las rutas migratorias, elimina las zonas de desove y altera los pulsos hidrológicos esenciales, lo que provoca disminuciones locales de la población y riesgo de colapso (Machado et al., 2021; Couto et al., 2021); </w:t>
      </w:r>
    </w:p>
    <w:p w14:paraId="47F97173" w14:textId="77777777" w:rsidR="00151745" w:rsidRPr="00575A15" w:rsidRDefault="00151745" w:rsidP="00151745">
      <w:pPr>
        <w:spacing w:after="0" w:line="240" w:lineRule="auto"/>
        <w:ind w:left="10"/>
        <w:jc w:val="both"/>
        <w:rPr>
          <w:rFonts w:cs="Arial"/>
          <w:lang w:val="es-ES"/>
        </w:rPr>
      </w:pPr>
    </w:p>
    <w:p w14:paraId="3881C10D" w14:textId="77777777" w:rsidR="00151745" w:rsidRPr="00575A15" w:rsidRDefault="00151745" w:rsidP="00151745">
      <w:pPr>
        <w:spacing w:after="0" w:line="240" w:lineRule="auto"/>
        <w:ind w:left="10"/>
        <w:jc w:val="both"/>
        <w:rPr>
          <w:rFonts w:cs="Arial"/>
          <w:lang w:val="es-ES"/>
        </w:rPr>
      </w:pPr>
      <w:r w:rsidRPr="00575A15">
        <w:rPr>
          <w:rFonts w:cs="Arial"/>
          <w:lang w:val="es-ES"/>
        </w:rPr>
        <w:t xml:space="preserve">Erosión genética en poblaciones aisladas: alta intensidad. Los estudios han demostrado una reducción de la diversidad genética, menor tamaño poblacional efectivo y mayor consanguinidad en poblaciones aisladas, lo que indica un riesgo para la persistencia a largo plazo (Machado et al., 2021); </w:t>
      </w:r>
    </w:p>
    <w:p w14:paraId="666B5996" w14:textId="77777777" w:rsidR="00151745" w:rsidRPr="00575A15" w:rsidRDefault="00151745" w:rsidP="00151745">
      <w:pPr>
        <w:spacing w:after="0" w:line="240" w:lineRule="auto"/>
        <w:ind w:left="10"/>
        <w:jc w:val="both"/>
        <w:rPr>
          <w:rFonts w:cs="Arial"/>
          <w:lang w:val="es-ES"/>
        </w:rPr>
      </w:pPr>
    </w:p>
    <w:p w14:paraId="64D7D1BC" w14:textId="77777777" w:rsidR="00151745" w:rsidRPr="00575A15" w:rsidRDefault="00151745" w:rsidP="00151745">
      <w:pPr>
        <w:spacing w:after="0" w:line="240" w:lineRule="auto"/>
        <w:ind w:left="10"/>
        <w:jc w:val="both"/>
        <w:rPr>
          <w:rFonts w:cs="Arial"/>
          <w:lang w:val="es-ES"/>
        </w:rPr>
      </w:pPr>
      <w:r w:rsidRPr="00575A15">
        <w:rPr>
          <w:rFonts w:cs="Arial"/>
          <w:lang w:val="es-ES"/>
        </w:rPr>
        <w:t xml:space="preserve">Sobrepesca: alta intensidad. La presión pesquera histórica sobre grandes especies de bagres ha provocado reducciones documentadas en los desembarques e impactos directos sobre las poblaciones de peces regionales (Fernandes et al., 2023); </w:t>
      </w:r>
    </w:p>
    <w:p w14:paraId="49CC17E0" w14:textId="77777777" w:rsidR="00151745" w:rsidRPr="00575A15" w:rsidRDefault="00151745" w:rsidP="00151745">
      <w:pPr>
        <w:spacing w:after="0" w:line="240" w:lineRule="auto"/>
        <w:ind w:left="10"/>
        <w:jc w:val="both"/>
        <w:rPr>
          <w:rFonts w:cs="Arial"/>
          <w:lang w:val="es-ES"/>
        </w:rPr>
      </w:pPr>
    </w:p>
    <w:p w14:paraId="4695F41C" w14:textId="77777777" w:rsidR="00151745" w:rsidRPr="00575A15" w:rsidRDefault="00151745" w:rsidP="00151745">
      <w:pPr>
        <w:spacing w:after="0" w:line="240" w:lineRule="auto"/>
        <w:ind w:left="10"/>
        <w:jc w:val="both"/>
        <w:rPr>
          <w:rFonts w:cs="Arial"/>
          <w:lang w:val="es-ES"/>
        </w:rPr>
      </w:pPr>
      <w:r w:rsidRPr="00575A15">
        <w:rPr>
          <w:rFonts w:cs="Arial"/>
          <w:lang w:val="es-ES"/>
        </w:rPr>
        <w:t xml:space="preserve">Hibridación en la acuicultura: intensidad moderada. Los cruces artificiales entre especies de </w:t>
      </w:r>
      <w:proofErr w:type="spellStart"/>
      <w:r w:rsidRPr="00575A15">
        <w:rPr>
          <w:rFonts w:cs="Arial"/>
          <w:i/>
          <w:iCs/>
          <w:lang w:val="es-ES"/>
        </w:rPr>
        <w:t>Pseudoplatystoma</w:t>
      </w:r>
      <w:proofErr w:type="spellEnd"/>
      <w:r w:rsidRPr="00575A15">
        <w:rPr>
          <w:rFonts w:cs="Arial"/>
          <w:lang w:val="es-ES"/>
        </w:rPr>
        <w:t xml:space="preserve"> </w:t>
      </w:r>
      <w:proofErr w:type="spellStart"/>
      <w:r w:rsidRPr="00575A15">
        <w:rPr>
          <w:rFonts w:cs="Arial"/>
          <w:lang w:val="es-ES"/>
        </w:rPr>
        <w:t>spp</w:t>
      </w:r>
      <w:proofErr w:type="spellEnd"/>
      <w:r w:rsidRPr="00575A15">
        <w:rPr>
          <w:rFonts w:cs="Arial"/>
          <w:lang w:val="es-ES"/>
        </w:rPr>
        <w:t xml:space="preserve">. representan un riesgo de introgresión genética en poblaciones naturales, aunque el problema sigue siendo localizado (Fernandes et al., 2023). </w:t>
      </w:r>
    </w:p>
    <w:p w14:paraId="260CFDA7" w14:textId="77777777" w:rsidR="00151745" w:rsidRPr="00575A15" w:rsidRDefault="00151745" w:rsidP="00151745">
      <w:pPr>
        <w:spacing w:after="0" w:line="240" w:lineRule="auto"/>
        <w:ind w:left="10"/>
        <w:jc w:val="both"/>
        <w:rPr>
          <w:rFonts w:cs="Arial"/>
          <w:lang w:val="es-ES"/>
        </w:rPr>
      </w:pPr>
    </w:p>
    <w:p w14:paraId="01C2B5B6" w14:textId="77777777" w:rsidR="00151745" w:rsidRPr="00575A15" w:rsidRDefault="00151745" w:rsidP="00151745">
      <w:pPr>
        <w:pStyle w:val="ListParagraph"/>
        <w:spacing w:after="0" w:line="240" w:lineRule="auto"/>
        <w:ind w:left="10"/>
        <w:jc w:val="both"/>
        <w:rPr>
          <w:rFonts w:cs="Arial"/>
          <w:lang w:val="es-ES"/>
        </w:rPr>
      </w:pPr>
      <w:r w:rsidRPr="00575A15">
        <w:rPr>
          <w:rFonts w:cs="Arial"/>
          <w:lang w:val="es-ES"/>
        </w:rPr>
        <w:t xml:space="preserve">La contaminación derivada del uso inadecuado de plaguicidas y el drenaje de lagunas marginales se consideran amenazas adicionales para los hábitats esenciales. </w:t>
      </w:r>
    </w:p>
    <w:p w14:paraId="25C1AAEF" w14:textId="77777777" w:rsidR="00151745" w:rsidRPr="00575A15" w:rsidRDefault="00151745" w:rsidP="00151745">
      <w:pPr>
        <w:spacing w:after="0" w:line="240" w:lineRule="auto"/>
        <w:jc w:val="both"/>
        <w:rPr>
          <w:rFonts w:cs="Arial"/>
          <w:lang w:val="es-ES"/>
        </w:rPr>
      </w:pPr>
      <w:r w:rsidRPr="00575A15">
        <w:rPr>
          <w:rFonts w:eastAsia="Arial" w:cs="Arial"/>
          <w:lang w:val="es-ES"/>
        </w:rPr>
        <w:t xml:space="preserve"> </w:t>
      </w:r>
    </w:p>
    <w:p w14:paraId="11C765ED" w14:textId="77777777" w:rsidR="00151745" w:rsidRPr="00575A15" w:rsidRDefault="00151745" w:rsidP="00BA6B4C">
      <w:pPr>
        <w:numPr>
          <w:ilvl w:val="1"/>
          <w:numId w:val="17"/>
        </w:numPr>
        <w:spacing w:after="0" w:line="240" w:lineRule="auto"/>
        <w:ind w:left="540" w:hanging="540"/>
        <w:jc w:val="both"/>
        <w:rPr>
          <w:rFonts w:cs="Arial"/>
          <w:lang w:val="es-ES"/>
        </w:rPr>
      </w:pPr>
      <w:r w:rsidRPr="00575A15">
        <w:rPr>
          <w:rFonts w:eastAsia="Arial" w:cs="Arial"/>
          <w:lang w:val="es-ES"/>
        </w:rPr>
        <w:t xml:space="preserve">Amenazas especialmente relacionadas con las migraciones </w:t>
      </w:r>
    </w:p>
    <w:p w14:paraId="299DEA13"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2A299E7D" w14:textId="77777777" w:rsidR="00151745" w:rsidRPr="00575A15" w:rsidRDefault="00151745" w:rsidP="00151745">
      <w:pPr>
        <w:spacing w:after="0" w:line="240" w:lineRule="auto"/>
        <w:ind w:left="-5"/>
        <w:jc w:val="both"/>
        <w:rPr>
          <w:rFonts w:cs="Arial"/>
          <w:lang w:val="es-ES"/>
        </w:rPr>
      </w:pPr>
      <w:r w:rsidRPr="00575A15">
        <w:rPr>
          <w:rFonts w:cs="Arial"/>
          <w:lang w:val="es-ES"/>
        </w:rPr>
        <w:t xml:space="preserve">Las barreras físicas y la alteración del pulso de inundación interrumpen las rutas migratorias y la sincronía entre el ciclo hidrológico principal y los eventos del ciclo reproductivo. </w:t>
      </w:r>
    </w:p>
    <w:p w14:paraId="19B1F51C"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5B14E286" w14:textId="43059E23" w:rsidR="00151745" w:rsidRPr="00575A15" w:rsidRDefault="00B46EFC" w:rsidP="00BA6B4C">
      <w:pPr>
        <w:numPr>
          <w:ilvl w:val="1"/>
          <w:numId w:val="17"/>
        </w:numPr>
        <w:tabs>
          <w:tab w:val="left" w:pos="630"/>
        </w:tabs>
        <w:spacing w:after="0" w:line="240" w:lineRule="auto"/>
        <w:ind w:left="540" w:hanging="540"/>
        <w:jc w:val="both"/>
        <w:rPr>
          <w:rFonts w:cs="Arial"/>
          <w:lang w:val="es-ES"/>
        </w:rPr>
      </w:pPr>
      <w:r w:rsidRPr="00575A15">
        <w:rPr>
          <w:rFonts w:eastAsia="Arial" w:cs="Arial"/>
          <w:lang w:val="es-ES"/>
        </w:rPr>
        <w:lastRenderedPageBreak/>
        <w:t>Utilización</w:t>
      </w:r>
      <w:r w:rsidR="00151745" w:rsidRPr="00575A15">
        <w:rPr>
          <w:rFonts w:eastAsia="Arial" w:cs="Arial"/>
          <w:lang w:val="es-ES"/>
        </w:rPr>
        <w:t xml:space="preserve"> nacional e internacional </w:t>
      </w:r>
    </w:p>
    <w:p w14:paraId="4B432717"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6A3F7339" w14:textId="77777777" w:rsidR="00151745" w:rsidRPr="00575A15" w:rsidRDefault="00151745" w:rsidP="00151745">
      <w:pPr>
        <w:spacing w:after="0" w:line="240" w:lineRule="auto"/>
        <w:ind w:left="-5"/>
        <w:jc w:val="both"/>
        <w:rPr>
          <w:rFonts w:cs="Arial"/>
          <w:lang w:val="es-ES"/>
        </w:rPr>
      </w:pPr>
      <w:r w:rsidRPr="00575A15">
        <w:rPr>
          <w:rFonts w:cs="Arial"/>
          <w:lang w:val="es-ES"/>
        </w:rPr>
        <w:t xml:space="preserve">Es una especie de gran tamaño y alto valor comercial, el </w:t>
      </w:r>
      <w:proofErr w:type="spellStart"/>
      <w:r w:rsidRPr="00575A15">
        <w:rPr>
          <w:rFonts w:cs="Arial"/>
          <w:i/>
          <w:iCs/>
          <w:lang w:val="es-ES"/>
        </w:rPr>
        <w:t>Pseudoplatystoma</w:t>
      </w:r>
      <w:proofErr w:type="spellEnd"/>
      <w:r w:rsidRPr="00575A15">
        <w:rPr>
          <w:rFonts w:cs="Arial"/>
          <w:i/>
          <w:iCs/>
          <w:lang w:val="es-ES"/>
        </w:rPr>
        <w:t xml:space="preserve"> </w:t>
      </w:r>
      <w:proofErr w:type="spellStart"/>
      <w:r w:rsidRPr="00575A15">
        <w:rPr>
          <w:rFonts w:cs="Arial"/>
          <w:i/>
          <w:iCs/>
          <w:lang w:val="es-ES"/>
        </w:rPr>
        <w:t>corruscans</w:t>
      </w:r>
      <w:proofErr w:type="spellEnd"/>
      <w:r w:rsidRPr="00575A15">
        <w:rPr>
          <w:rFonts w:cs="Arial"/>
          <w:lang w:val="es-ES"/>
        </w:rPr>
        <w:t xml:space="preserve"> es importante en la pesca artesanal, comercial y deportiva. En la cuenca alta del río Paraguay, dentro de los estados de Mato Grosso y Mato Grosso do Sul, la pesca artesanal profesional del </w:t>
      </w:r>
      <w:r w:rsidRPr="00575A15">
        <w:rPr>
          <w:rFonts w:cs="Arial"/>
          <w:i/>
          <w:iCs/>
          <w:lang w:val="es-ES"/>
        </w:rPr>
        <w:t>pintado</w:t>
      </w:r>
      <w:r w:rsidRPr="00575A15">
        <w:rPr>
          <w:rFonts w:cs="Arial"/>
          <w:lang w:val="es-ES"/>
        </w:rPr>
        <w:t xml:space="preserve"> se estimó en 1 168 388 kg en 2018 (A. </w:t>
      </w:r>
      <w:proofErr w:type="spellStart"/>
      <w:r w:rsidRPr="00575A15">
        <w:rPr>
          <w:rFonts w:cs="Arial"/>
          <w:lang w:val="es-ES"/>
        </w:rPr>
        <w:t>Catella</w:t>
      </w:r>
      <w:proofErr w:type="spellEnd"/>
      <w:r w:rsidRPr="00575A15">
        <w:rPr>
          <w:rFonts w:cs="Arial"/>
          <w:lang w:val="es-ES"/>
        </w:rPr>
        <w:t xml:space="preserve">, com. </w:t>
      </w:r>
      <w:proofErr w:type="spellStart"/>
      <w:r w:rsidRPr="00575A15">
        <w:rPr>
          <w:rFonts w:cs="Arial"/>
          <w:lang w:val="es-ES"/>
        </w:rPr>
        <w:t>pers</w:t>
      </w:r>
      <w:proofErr w:type="spellEnd"/>
      <w:r w:rsidRPr="00575A15">
        <w:rPr>
          <w:rFonts w:cs="Arial"/>
          <w:lang w:val="es-ES"/>
        </w:rPr>
        <w:t xml:space="preserve">., 2020). </w:t>
      </w:r>
    </w:p>
    <w:p w14:paraId="1F3431B1"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65F304D4" w14:textId="77777777" w:rsidR="00151745" w:rsidRPr="00575A15" w:rsidRDefault="00151745" w:rsidP="00BA6B4C">
      <w:pPr>
        <w:numPr>
          <w:ilvl w:val="0"/>
          <w:numId w:val="18"/>
        </w:numPr>
        <w:spacing w:after="0" w:line="240" w:lineRule="auto"/>
        <w:ind w:left="540" w:hanging="540"/>
        <w:jc w:val="both"/>
        <w:rPr>
          <w:rFonts w:cs="Arial"/>
          <w:b/>
          <w:bCs/>
          <w:lang w:val="es-ES"/>
        </w:rPr>
      </w:pPr>
      <w:r w:rsidRPr="00575A15">
        <w:rPr>
          <w:rFonts w:eastAsia="Arial" w:cs="Arial"/>
          <w:b/>
          <w:bCs/>
          <w:lang w:val="es-ES"/>
        </w:rPr>
        <w:t xml:space="preserve">Estado de protección y gestión de la especie  </w:t>
      </w:r>
    </w:p>
    <w:p w14:paraId="370D25F6" w14:textId="77777777" w:rsidR="00151745" w:rsidRPr="00575A15" w:rsidRDefault="00151745" w:rsidP="00151745">
      <w:pPr>
        <w:spacing w:after="0" w:line="240" w:lineRule="auto"/>
        <w:ind w:left="247"/>
        <w:jc w:val="both"/>
        <w:rPr>
          <w:rFonts w:cs="Arial"/>
          <w:lang w:val="es-ES"/>
        </w:rPr>
      </w:pPr>
    </w:p>
    <w:p w14:paraId="0E762C41" w14:textId="0D5E705D" w:rsidR="00151745" w:rsidRPr="00575A15" w:rsidRDefault="00B46EFC" w:rsidP="00BA6B4C">
      <w:pPr>
        <w:numPr>
          <w:ilvl w:val="1"/>
          <w:numId w:val="18"/>
        </w:numPr>
        <w:spacing w:after="0" w:line="240" w:lineRule="auto"/>
        <w:ind w:left="540" w:hanging="540"/>
        <w:jc w:val="both"/>
        <w:rPr>
          <w:rFonts w:cs="Arial"/>
          <w:lang w:val="es-ES"/>
        </w:rPr>
      </w:pPr>
      <w:r w:rsidRPr="00575A15">
        <w:rPr>
          <w:rFonts w:eastAsia="Arial" w:cs="Arial"/>
          <w:lang w:val="es-ES"/>
        </w:rPr>
        <w:t>Situación</w:t>
      </w:r>
      <w:r w:rsidR="00151745" w:rsidRPr="00575A15">
        <w:rPr>
          <w:rFonts w:eastAsia="Arial" w:cs="Arial"/>
          <w:lang w:val="es-ES"/>
        </w:rPr>
        <w:t xml:space="preserve"> de la </w:t>
      </w:r>
      <w:r w:rsidRPr="00575A15">
        <w:rPr>
          <w:rFonts w:eastAsia="Arial" w:cs="Arial"/>
          <w:lang w:val="es-ES"/>
        </w:rPr>
        <w:t>protección</w:t>
      </w:r>
      <w:r w:rsidR="00151745" w:rsidRPr="00575A15">
        <w:rPr>
          <w:rFonts w:eastAsia="Arial" w:cs="Arial"/>
          <w:lang w:val="es-ES"/>
        </w:rPr>
        <w:t xml:space="preserve"> nacional </w:t>
      </w:r>
    </w:p>
    <w:p w14:paraId="1A1CB65B" w14:textId="77777777" w:rsidR="00BA6B4C" w:rsidRPr="00575A15" w:rsidRDefault="00BA6B4C" w:rsidP="00151745">
      <w:pPr>
        <w:spacing w:after="0" w:line="240" w:lineRule="auto"/>
        <w:ind w:left="-5"/>
        <w:jc w:val="both"/>
        <w:rPr>
          <w:rFonts w:cs="Arial"/>
          <w:lang w:val="es-ES"/>
        </w:rPr>
      </w:pPr>
    </w:p>
    <w:p w14:paraId="668C83F1" w14:textId="17D67A40" w:rsidR="00151745" w:rsidRPr="00575A15" w:rsidRDefault="00151745" w:rsidP="00151745">
      <w:pPr>
        <w:spacing w:after="0" w:line="240" w:lineRule="auto"/>
        <w:ind w:left="-5"/>
        <w:jc w:val="both"/>
        <w:rPr>
          <w:rFonts w:cs="Arial"/>
          <w:lang w:val="es-ES"/>
        </w:rPr>
      </w:pPr>
      <w:r w:rsidRPr="00575A15">
        <w:rPr>
          <w:rFonts w:cs="Arial"/>
          <w:lang w:val="es-ES"/>
        </w:rPr>
        <w:t xml:space="preserve">En Brasil, el </w:t>
      </w:r>
      <w:proofErr w:type="spellStart"/>
      <w:r w:rsidRPr="00575A15">
        <w:rPr>
          <w:rFonts w:cs="Arial"/>
          <w:i/>
          <w:iCs/>
          <w:lang w:val="es-ES"/>
        </w:rPr>
        <w:t>Pseudoplatystoma</w:t>
      </w:r>
      <w:proofErr w:type="spellEnd"/>
      <w:r w:rsidRPr="00575A15">
        <w:rPr>
          <w:rFonts w:cs="Arial"/>
          <w:i/>
          <w:iCs/>
          <w:lang w:val="es-ES"/>
        </w:rPr>
        <w:t xml:space="preserve"> </w:t>
      </w:r>
      <w:proofErr w:type="spellStart"/>
      <w:r w:rsidRPr="00575A15">
        <w:rPr>
          <w:rFonts w:cs="Arial"/>
          <w:i/>
          <w:iCs/>
          <w:lang w:val="es-ES"/>
        </w:rPr>
        <w:t>corruscans</w:t>
      </w:r>
      <w:proofErr w:type="spellEnd"/>
      <w:r w:rsidRPr="00575A15">
        <w:rPr>
          <w:rFonts w:cs="Arial"/>
          <w:i/>
          <w:iCs/>
          <w:lang w:val="es-ES"/>
        </w:rPr>
        <w:t xml:space="preserve"> </w:t>
      </w:r>
      <w:r w:rsidRPr="00575A15">
        <w:rPr>
          <w:rFonts w:cs="Arial"/>
          <w:lang w:val="es-ES"/>
        </w:rPr>
        <w:t xml:space="preserve">está reconocido oficialmente como especie amenazada (Ordenanza MMA n.º 148, de 7 de julio de 2022), clasificada como «Vulnerable» (VU) según el criterio A2bcde, de acuerdo con una evaluación realizada en octubre de 2019 (Burbano et al., 2024).  </w:t>
      </w:r>
    </w:p>
    <w:p w14:paraId="58D86385" w14:textId="77777777" w:rsidR="00BA6B4C" w:rsidRPr="00575A15" w:rsidRDefault="00BA6B4C" w:rsidP="00151745">
      <w:pPr>
        <w:spacing w:after="0" w:line="240" w:lineRule="auto"/>
        <w:ind w:left="-5"/>
        <w:jc w:val="both"/>
        <w:rPr>
          <w:rFonts w:cs="Arial"/>
          <w:lang w:val="es-ES"/>
        </w:rPr>
      </w:pPr>
    </w:p>
    <w:p w14:paraId="37AE9595" w14:textId="5A8C7103" w:rsidR="00151745" w:rsidRPr="00575A15" w:rsidRDefault="00151745" w:rsidP="00151745">
      <w:pPr>
        <w:spacing w:after="0" w:line="240" w:lineRule="auto"/>
        <w:ind w:left="-5"/>
        <w:jc w:val="both"/>
        <w:rPr>
          <w:rFonts w:cs="Arial"/>
          <w:lang w:val="es-ES"/>
        </w:rPr>
      </w:pPr>
      <w:r w:rsidRPr="00575A15">
        <w:rPr>
          <w:rFonts w:cs="Arial"/>
          <w:lang w:val="es-ES"/>
        </w:rPr>
        <w:t>En los demás países donde la especie se encuentra (Bolivia, Paraguay, Argentina y Uruguay) no se hallaron listas rojas nacionales oficiales. Sin embargo, existe indicación de la necesidad de su conservación, como en Uruguay (Loureiro et al., 2013) y Argentina (</w:t>
      </w:r>
      <w:proofErr w:type="spellStart"/>
      <w:r w:rsidRPr="00575A15">
        <w:rPr>
          <w:rFonts w:cs="Arial"/>
          <w:lang w:val="es-ES"/>
        </w:rPr>
        <w:t>Cordiviola</w:t>
      </w:r>
      <w:proofErr w:type="spellEnd"/>
      <w:r w:rsidRPr="00575A15">
        <w:rPr>
          <w:rFonts w:cs="Arial"/>
          <w:lang w:val="es-ES"/>
        </w:rPr>
        <w:t xml:space="preserve"> et al., 2009). </w:t>
      </w:r>
    </w:p>
    <w:p w14:paraId="3FAD5796" w14:textId="77777777" w:rsidR="00151745" w:rsidRPr="00575A15" w:rsidRDefault="00151745" w:rsidP="00151745">
      <w:pPr>
        <w:spacing w:after="0" w:line="240" w:lineRule="auto"/>
        <w:ind w:left="540"/>
        <w:jc w:val="both"/>
        <w:rPr>
          <w:rFonts w:eastAsia="Arial" w:cs="Arial"/>
          <w:lang w:val="es-ES"/>
        </w:rPr>
      </w:pPr>
      <w:r w:rsidRPr="00575A15">
        <w:rPr>
          <w:rFonts w:eastAsia="Arial" w:cs="Arial"/>
          <w:lang w:val="es-ES"/>
        </w:rPr>
        <w:t xml:space="preserve">  </w:t>
      </w:r>
    </w:p>
    <w:p w14:paraId="33DED0BF" w14:textId="77777777" w:rsidR="00BA6B4C" w:rsidRPr="00575A15" w:rsidRDefault="00BA6B4C" w:rsidP="00151745">
      <w:pPr>
        <w:spacing w:after="0" w:line="240" w:lineRule="auto"/>
        <w:ind w:left="540"/>
        <w:jc w:val="both"/>
        <w:rPr>
          <w:rFonts w:cs="Arial"/>
          <w:lang w:val="es-ES"/>
        </w:rPr>
      </w:pPr>
    </w:p>
    <w:p w14:paraId="7805E2E4" w14:textId="79D9B12F" w:rsidR="00151745" w:rsidRPr="00575A15" w:rsidRDefault="00151745" w:rsidP="00BA6B4C">
      <w:pPr>
        <w:numPr>
          <w:ilvl w:val="1"/>
          <w:numId w:val="18"/>
        </w:numPr>
        <w:spacing w:after="0" w:line="240" w:lineRule="auto"/>
        <w:ind w:left="540" w:hanging="540"/>
        <w:jc w:val="both"/>
        <w:rPr>
          <w:rFonts w:cs="Arial"/>
          <w:lang w:val="es-ES"/>
        </w:rPr>
      </w:pPr>
      <w:r w:rsidRPr="00575A15">
        <w:rPr>
          <w:rFonts w:eastAsia="Arial" w:cs="Arial"/>
          <w:lang w:val="es-ES"/>
        </w:rPr>
        <w:t xml:space="preserve">Situación de la </w:t>
      </w:r>
      <w:r w:rsidR="00B46EFC" w:rsidRPr="00575A15">
        <w:rPr>
          <w:rFonts w:eastAsia="Arial" w:cs="Arial"/>
          <w:lang w:val="es-ES"/>
        </w:rPr>
        <w:t>protección</w:t>
      </w:r>
      <w:r w:rsidRPr="00575A15">
        <w:rPr>
          <w:rFonts w:eastAsia="Arial" w:cs="Arial"/>
          <w:lang w:val="es-ES"/>
        </w:rPr>
        <w:t xml:space="preserve"> internacional</w:t>
      </w:r>
    </w:p>
    <w:p w14:paraId="14DE3706" w14:textId="77777777" w:rsidR="00151745" w:rsidRPr="00575A15" w:rsidRDefault="00151745" w:rsidP="00151745">
      <w:pPr>
        <w:spacing w:after="0" w:line="240" w:lineRule="auto"/>
        <w:ind w:left="894"/>
        <w:jc w:val="both"/>
        <w:rPr>
          <w:rFonts w:cs="Arial"/>
          <w:lang w:val="es-ES"/>
        </w:rPr>
      </w:pPr>
    </w:p>
    <w:p w14:paraId="2BF18DC3" w14:textId="77777777" w:rsidR="00151745" w:rsidRPr="00575A15" w:rsidRDefault="00151745" w:rsidP="00151745">
      <w:pPr>
        <w:spacing w:after="0" w:line="240" w:lineRule="auto"/>
        <w:jc w:val="both"/>
        <w:rPr>
          <w:rFonts w:cs="Arial"/>
          <w:lang w:val="es-ES"/>
        </w:rPr>
      </w:pPr>
      <w:r w:rsidRPr="00575A15">
        <w:rPr>
          <w:rFonts w:eastAsia="Arial" w:cs="Arial"/>
          <w:lang w:val="es-ES"/>
        </w:rPr>
        <w:t xml:space="preserve"> No existe actualmente un estado oficial de protección internacional establecido.</w:t>
      </w:r>
    </w:p>
    <w:p w14:paraId="6CD84E99" w14:textId="77777777" w:rsidR="00151745" w:rsidRPr="00575A15" w:rsidRDefault="00151745" w:rsidP="00151745">
      <w:pPr>
        <w:spacing w:after="0" w:line="240" w:lineRule="auto"/>
        <w:jc w:val="both"/>
        <w:rPr>
          <w:rFonts w:cs="Arial"/>
          <w:lang w:val="es-ES"/>
        </w:rPr>
      </w:pPr>
      <w:r w:rsidRPr="00575A15">
        <w:rPr>
          <w:rFonts w:cs="Arial"/>
          <w:lang w:val="es-ES"/>
        </w:rPr>
        <w:t xml:space="preserve"> </w:t>
      </w:r>
    </w:p>
    <w:p w14:paraId="414C3ED7" w14:textId="77777777" w:rsidR="00151745" w:rsidRPr="00575A15" w:rsidRDefault="00151745" w:rsidP="00BA6B4C">
      <w:pPr>
        <w:numPr>
          <w:ilvl w:val="1"/>
          <w:numId w:val="18"/>
        </w:numPr>
        <w:spacing w:after="0" w:line="240" w:lineRule="auto"/>
        <w:ind w:left="540" w:hanging="540"/>
        <w:jc w:val="both"/>
        <w:rPr>
          <w:rFonts w:cs="Arial"/>
          <w:lang w:val="es-ES"/>
        </w:rPr>
      </w:pPr>
      <w:r w:rsidRPr="00575A15">
        <w:rPr>
          <w:rFonts w:eastAsia="Arial" w:cs="Arial"/>
          <w:lang w:val="es-ES"/>
        </w:rPr>
        <w:t xml:space="preserve">Medidas de gestión </w:t>
      </w:r>
    </w:p>
    <w:p w14:paraId="2513904E" w14:textId="77777777" w:rsidR="00151745" w:rsidRPr="00575A15" w:rsidRDefault="00151745" w:rsidP="00151745">
      <w:pPr>
        <w:spacing w:after="0" w:line="240" w:lineRule="auto"/>
        <w:ind w:left="894"/>
        <w:jc w:val="both"/>
        <w:rPr>
          <w:rFonts w:cs="Arial"/>
          <w:lang w:val="es-ES"/>
        </w:rPr>
      </w:pPr>
    </w:p>
    <w:p w14:paraId="7A93BDC6" w14:textId="77777777" w:rsidR="00151745" w:rsidRPr="00575A15" w:rsidRDefault="00151745" w:rsidP="00BA6B4C">
      <w:pPr>
        <w:spacing w:after="80" w:line="240" w:lineRule="auto"/>
        <w:jc w:val="both"/>
        <w:rPr>
          <w:rFonts w:cs="Arial"/>
          <w:lang w:val="es-ES"/>
        </w:rPr>
      </w:pPr>
      <w:r w:rsidRPr="00575A15">
        <w:rPr>
          <w:rFonts w:cs="Arial"/>
          <w:lang w:val="es-ES"/>
        </w:rPr>
        <w:t>Las siguientes medidas de gestión se están aplicando en Brasil:</w:t>
      </w:r>
    </w:p>
    <w:p w14:paraId="10E4530A" w14:textId="73088829" w:rsidR="00151745" w:rsidRPr="00575A15" w:rsidRDefault="00151745" w:rsidP="00FF680C">
      <w:pPr>
        <w:pStyle w:val="ListParagraph"/>
        <w:numPr>
          <w:ilvl w:val="0"/>
          <w:numId w:val="20"/>
        </w:numPr>
        <w:spacing w:after="80" w:line="240" w:lineRule="auto"/>
        <w:jc w:val="both"/>
        <w:rPr>
          <w:rFonts w:cs="Arial"/>
          <w:lang w:val="es-ES"/>
        </w:rPr>
      </w:pPr>
      <w:r w:rsidRPr="00575A15">
        <w:rPr>
          <w:rFonts w:cs="Arial"/>
          <w:lang w:val="es-ES"/>
        </w:rPr>
        <w:t>Gestión federal mediante la veda pesquera (</w:t>
      </w:r>
      <w:r w:rsidRPr="00575A15">
        <w:rPr>
          <w:rFonts w:cs="Arial"/>
          <w:i/>
          <w:iCs/>
          <w:lang w:val="es-ES"/>
        </w:rPr>
        <w:t>defeso</w:t>
      </w:r>
      <w:r w:rsidRPr="00575A15">
        <w:rPr>
          <w:rFonts w:cs="Arial"/>
          <w:lang w:val="es-ES"/>
        </w:rPr>
        <w:t>) durante el período reproductivo.</w:t>
      </w:r>
    </w:p>
    <w:p w14:paraId="22524EB9" w14:textId="295C76B2" w:rsidR="00151745" w:rsidRPr="00575A15" w:rsidRDefault="00151745" w:rsidP="00FF680C">
      <w:pPr>
        <w:pStyle w:val="ListParagraph"/>
        <w:numPr>
          <w:ilvl w:val="0"/>
          <w:numId w:val="20"/>
        </w:numPr>
        <w:spacing w:after="80" w:line="240" w:lineRule="auto"/>
        <w:jc w:val="both"/>
        <w:rPr>
          <w:rFonts w:cs="Arial"/>
          <w:lang w:val="es-ES"/>
        </w:rPr>
      </w:pPr>
      <w:r w:rsidRPr="00575A15">
        <w:rPr>
          <w:rFonts w:cs="Arial"/>
          <w:lang w:val="es-ES"/>
        </w:rPr>
        <w:t>Inclusión de la especie en dos Planes de Acción Nacional (PAN) para la conservación de especies amenazadas: PAN Alto Río Paraná y PAN São Francisco.</w:t>
      </w:r>
    </w:p>
    <w:p w14:paraId="4AA2C980" w14:textId="1C3C045E" w:rsidR="00151745" w:rsidRPr="00575A15" w:rsidRDefault="00151745" w:rsidP="00FF680C">
      <w:pPr>
        <w:pStyle w:val="ListParagraph"/>
        <w:numPr>
          <w:ilvl w:val="0"/>
          <w:numId w:val="20"/>
        </w:numPr>
        <w:spacing w:after="0" w:line="240" w:lineRule="auto"/>
        <w:jc w:val="both"/>
        <w:rPr>
          <w:rFonts w:eastAsia="Arial" w:cs="Arial"/>
          <w:lang w:val="es-ES"/>
        </w:rPr>
      </w:pPr>
      <w:r w:rsidRPr="00575A15">
        <w:rPr>
          <w:rFonts w:cs="Arial"/>
          <w:lang w:val="es-ES"/>
        </w:rPr>
        <w:t>Establecimiento del Plan de Recuperación del Pintado.</w:t>
      </w:r>
    </w:p>
    <w:p w14:paraId="6219197A" w14:textId="77777777" w:rsidR="00151745" w:rsidRPr="00575A15" w:rsidRDefault="00151745" w:rsidP="00151745">
      <w:pPr>
        <w:spacing w:after="0" w:line="240" w:lineRule="auto"/>
        <w:jc w:val="both"/>
        <w:rPr>
          <w:rFonts w:cs="Arial"/>
          <w:lang w:val="es-ES"/>
        </w:rPr>
      </w:pPr>
    </w:p>
    <w:p w14:paraId="77F33F53" w14:textId="754D0078" w:rsidR="00151745" w:rsidRPr="00575A15" w:rsidRDefault="00B46EFC" w:rsidP="00BA6B4C">
      <w:pPr>
        <w:numPr>
          <w:ilvl w:val="1"/>
          <w:numId w:val="18"/>
        </w:numPr>
        <w:spacing w:after="0" w:line="240" w:lineRule="auto"/>
        <w:ind w:left="540" w:hanging="540"/>
        <w:jc w:val="both"/>
        <w:rPr>
          <w:rFonts w:cs="Arial"/>
          <w:lang w:val="es-ES"/>
        </w:rPr>
      </w:pPr>
      <w:r w:rsidRPr="00575A15">
        <w:rPr>
          <w:rFonts w:eastAsia="Arial" w:cs="Arial"/>
          <w:lang w:val="es-ES"/>
        </w:rPr>
        <w:t>Conservación</w:t>
      </w:r>
      <w:r w:rsidR="00151745" w:rsidRPr="00575A15">
        <w:rPr>
          <w:rFonts w:eastAsia="Arial" w:cs="Arial"/>
          <w:lang w:val="es-ES"/>
        </w:rPr>
        <w:t xml:space="preserve"> del hábitat </w:t>
      </w:r>
    </w:p>
    <w:p w14:paraId="49D14378"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7C163738" w14:textId="77777777" w:rsidR="00151745" w:rsidRPr="00575A15" w:rsidRDefault="00151745" w:rsidP="00151745">
      <w:pPr>
        <w:spacing w:after="0" w:line="240" w:lineRule="auto"/>
        <w:ind w:left="-5"/>
        <w:jc w:val="both"/>
        <w:rPr>
          <w:rFonts w:cs="Arial"/>
          <w:lang w:val="es-ES"/>
        </w:rPr>
      </w:pPr>
      <w:r w:rsidRPr="00575A15">
        <w:rPr>
          <w:rFonts w:cs="Arial"/>
          <w:lang w:val="es-ES"/>
        </w:rPr>
        <w:t xml:space="preserve">Áreas protegidas en Brasil: Área de Protección Medio Ambiental de las Islas y Llanuras Inundables del Río Paraná; Parque Estatal de las Llanuras Inundables del Río </w:t>
      </w:r>
      <w:proofErr w:type="spellStart"/>
      <w:r w:rsidRPr="00575A15">
        <w:rPr>
          <w:rFonts w:cs="Arial"/>
          <w:lang w:val="es-ES"/>
        </w:rPr>
        <w:t>Ivinhema</w:t>
      </w:r>
      <w:proofErr w:type="spellEnd"/>
      <w:r w:rsidRPr="00575A15">
        <w:rPr>
          <w:rFonts w:cs="Arial"/>
          <w:lang w:val="es-ES"/>
        </w:rPr>
        <w:t xml:space="preserve">; Parque Nacional </w:t>
      </w:r>
      <w:proofErr w:type="spellStart"/>
      <w:r w:rsidRPr="00575A15">
        <w:rPr>
          <w:rFonts w:cs="Arial"/>
          <w:lang w:val="es-ES"/>
        </w:rPr>
        <w:t>Ilha</w:t>
      </w:r>
      <w:proofErr w:type="spellEnd"/>
      <w:r w:rsidRPr="00575A15">
        <w:rPr>
          <w:rFonts w:cs="Arial"/>
          <w:lang w:val="es-ES"/>
        </w:rPr>
        <w:t xml:space="preserve"> Grande; Parque Nacional Pantanal </w:t>
      </w:r>
      <w:proofErr w:type="spellStart"/>
      <w:r w:rsidRPr="00575A15">
        <w:rPr>
          <w:rFonts w:cs="Arial"/>
          <w:lang w:val="es-ES"/>
        </w:rPr>
        <w:t>Matogrossense</w:t>
      </w:r>
      <w:proofErr w:type="spellEnd"/>
      <w:r w:rsidRPr="00575A15">
        <w:rPr>
          <w:rFonts w:cs="Arial"/>
          <w:lang w:val="es-ES"/>
        </w:rPr>
        <w:t xml:space="preserve">. </w:t>
      </w:r>
    </w:p>
    <w:p w14:paraId="7B515D5F"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7B77F36E" w14:textId="77777777" w:rsidR="00151745" w:rsidRPr="00575A15" w:rsidRDefault="00151745" w:rsidP="00FF680C">
      <w:pPr>
        <w:numPr>
          <w:ilvl w:val="1"/>
          <w:numId w:val="18"/>
        </w:numPr>
        <w:spacing w:after="0" w:line="240" w:lineRule="auto"/>
        <w:ind w:left="540" w:hanging="540"/>
        <w:jc w:val="both"/>
        <w:rPr>
          <w:rFonts w:cs="Arial"/>
          <w:lang w:val="es-ES"/>
        </w:rPr>
      </w:pPr>
      <w:r w:rsidRPr="00575A15">
        <w:rPr>
          <w:rFonts w:eastAsia="Arial" w:cs="Arial"/>
          <w:lang w:val="es-ES"/>
        </w:rPr>
        <w:t xml:space="preserve">Seguimiento poblacional </w:t>
      </w:r>
    </w:p>
    <w:p w14:paraId="43C2AEC8"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1EB8172F" w14:textId="77777777" w:rsidR="00151745" w:rsidRPr="00575A15" w:rsidRDefault="00151745" w:rsidP="00151745">
      <w:pPr>
        <w:spacing w:after="0" w:line="240" w:lineRule="auto"/>
        <w:ind w:left="-5"/>
        <w:jc w:val="both"/>
        <w:rPr>
          <w:rFonts w:cs="Arial"/>
          <w:lang w:val="es-ES"/>
        </w:rPr>
      </w:pPr>
      <w:r w:rsidRPr="00575A15">
        <w:rPr>
          <w:rFonts w:cs="Arial"/>
          <w:lang w:val="es-ES"/>
        </w:rPr>
        <w:t xml:space="preserve">Se están implementando acciones de seguimiento en las cuencas de los ríos Paraná y São Francisco, como parte de las actividades del Plan de Recuperación del </w:t>
      </w:r>
      <w:proofErr w:type="spellStart"/>
      <w:r w:rsidRPr="00575A15">
        <w:rPr>
          <w:rFonts w:cs="Arial"/>
          <w:lang w:val="es-ES"/>
        </w:rPr>
        <w:t>Surubim</w:t>
      </w:r>
      <w:proofErr w:type="spellEnd"/>
      <w:r w:rsidRPr="00575A15">
        <w:rPr>
          <w:rFonts w:cs="Arial"/>
          <w:lang w:val="es-ES"/>
        </w:rPr>
        <w:t xml:space="preserve">/Pintado (Ordenanza MMA n.º 355, de 27 de enero de 2023). El Plan fue desarrollado por el subgrupo técnico-científico establecido en el marco del Grupo de Trabajo Interministerial (GTI), creado por la Ordenanza MMA/MAPA n.º 218, de 10 de junio de 2021 (GTI sobre Especies de la Ordenanza MMA n.º 445), y está coordinado por el Ministerio de Medio Ambiente y Cambio Climático. </w:t>
      </w:r>
    </w:p>
    <w:p w14:paraId="12430E29" w14:textId="58B89DC4" w:rsidR="00151745" w:rsidRPr="00575A15" w:rsidRDefault="00151745" w:rsidP="00151745">
      <w:pPr>
        <w:spacing w:after="0" w:line="240" w:lineRule="auto"/>
        <w:jc w:val="both"/>
        <w:rPr>
          <w:rFonts w:cs="Arial"/>
          <w:lang w:val="es-ES"/>
        </w:rPr>
      </w:pPr>
      <w:r w:rsidRPr="00575A15">
        <w:rPr>
          <w:rFonts w:cs="Arial"/>
          <w:lang w:val="es-ES"/>
        </w:rPr>
        <w:t xml:space="preserve"> </w:t>
      </w:r>
    </w:p>
    <w:p w14:paraId="318305D3" w14:textId="77777777" w:rsidR="00151745" w:rsidRPr="00575A15" w:rsidRDefault="00151745" w:rsidP="00FF680C">
      <w:pPr>
        <w:numPr>
          <w:ilvl w:val="0"/>
          <w:numId w:val="18"/>
        </w:numPr>
        <w:spacing w:after="0" w:line="240" w:lineRule="auto"/>
        <w:ind w:left="540" w:hanging="540"/>
        <w:jc w:val="both"/>
        <w:rPr>
          <w:rFonts w:cs="Arial"/>
          <w:b/>
          <w:bCs/>
          <w:lang w:val="es-ES"/>
        </w:rPr>
      </w:pPr>
      <w:r w:rsidRPr="00575A15">
        <w:rPr>
          <w:rFonts w:eastAsia="Arial" w:cs="Arial"/>
          <w:b/>
          <w:bCs/>
          <w:lang w:val="es-ES"/>
        </w:rPr>
        <w:t xml:space="preserve">Efectos de la enmienda propuesta </w:t>
      </w:r>
    </w:p>
    <w:p w14:paraId="0A833BB5" w14:textId="77777777" w:rsidR="00151745" w:rsidRPr="00575A15" w:rsidRDefault="00151745" w:rsidP="00151745">
      <w:pPr>
        <w:spacing w:after="0" w:line="240" w:lineRule="auto"/>
        <w:ind w:left="247"/>
        <w:jc w:val="both"/>
        <w:rPr>
          <w:rFonts w:cs="Arial"/>
          <w:b/>
          <w:bCs/>
          <w:lang w:val="es-ES"/>
        </w:rPr>
      </w:pPr>
    </w:p>
    <w:p w14:paraId="6796503D" w14:textId="77777777" w:rsidR="00151745" w:rsidRPr="00575A15" w:rsidRDefault="00151745" w:rsidP="00FF680C">
      <w:pPr>
        <w:numPr>
          <w:ilvl w:val="1"/>
          <w:numId w:val="18"/>
        </w:numPr>
        <w:spacing w:after="0" w:line="240" w:lineRule="auto"/>
        <w:ind w:left="540" w:hanging="540"/>
        <w:jc w:val="both"/>
        <w:rPr>
          <w:rFonts w:cs="Arial"/>
          <w:lang w:val="es-ES"/>
        </w:rPr>
      </w:pPr>
      <w:r w:rsidRPr="00575A15">
        <w:rPr>
          <w:rFonts w:eastAsia="Arial" w:cs="Arial"/>
          <w:lang w:val="es-ES"/>
        </w:rPr>
        <w:t xml:space="preserve">Beneficios previstos de la enmienda </w:t>
      </w:r>
    </w:p>
    <w:p w14:paraId="0C912AED"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382875C1" w14:textId="77777777" w:rsidR="00151745" w:rsidRPr="00575A15" w:rsidRDefault="00151745" w:rsidP="00151745">
      <w:pPr>
        <w:spacing w:after="0" w:line="240" w:lineRule="auto"/>
        <w:ind w:left="-5"/>
        <w:jc w:val="both"/>
        <w:rPr>
          <w:rFonts w:cs="Arial"/>
          <w:lang w:val="es-ES"/>
        </w:rPr>
      </w:pPr>
      <w:r w:rsidRPr="00575A15">
        <w:rPr>
          <w:rFonts w:cs="Arial"/>
          <w:lang w:val="es-ES"/>
        </w:rPr>
        <w:lastRenderedPageBreak/>
        <w:t xml:space="preserve">La inclusión del </w:t>
      </w:r>
      <w:proofErr w:type="spellStart"/>
      <w:r w:rsidRPr="00575A15">
        <w:rPr>
          <w:rFonts w:cs="Arial"/>
          <w:i/>
          <w:iCs/>
          <w:lang w:val="es-ES"/>
        </w:rPr>
        <w:t>Pseudoplatystoma</w:t>
      </w:r>
      <w:proofErr w:type="spellEnd"/>
      <w:r w:rsidRPr="00575A15">
        <w:rPr>
          <w:rFonts w:cs="Arial"/>
          <w:i/>
          <w:iCs/>
          <w:lang w:val="es-ES"/>
        </w:rPr>
        <w:t xml:space="preserve"> </w:t>
      </w:r>
      <w:proofErr w:type="spellStart"/>
      <w:r w:rsidRPr="00575A15">
        <w:rPr>
          <w:rFonts w:cs="Arial"/>
          <w:i/>
          <w:iCs/>
          <w:lang w:val="es-ES"/>
        </w:rPr>
        <w:t>corruscans</w:t>
      </w:r>
      <w:proofErr w:type="spellEnd"/>
      <w:r w:rsidRPr="00575A15">
        <w:rPr>
          <w:rFonts w:cs="Arial"/>
          <w:i/>
          <w:iCs/>
          <w:lang w:val="es-ES"/>
        </w:rPr>
        <w:t xml:space="preserve"> </w:t>
      </w:r>
      <w:r w:rsidRPr="00575A15">
        <w:rPr>
          <w:rFonts w:cs="Arial"/>
          <w:lang w:val="es-ES"/>
        </w:rPr>
        <w:t xml:space="preserve">en el Apéndice II de la Convención sobre las Especies Migratorias (CMS) representará un avance significativo en la conservación de la especie y sus hábitats. Esta inclusión promoverá la cooperación internacional entre los países de la cuenca del Plata, permitiendo coordinar acciones dirigidas a la gestión pesquera, la protección de las rutas migratorias, el mantenimiento de la conectividad fluvial y el control de la contaminación genética por hibridación.  </w:t>
      </w:r>
    </w:p>
    <w:p w14:paraId="5458867D" w14:textId="77777777" w:rsidR="00FF680C" w:rsidRPr="00575A15" w:rsidRDefault="00FF680C" w:rsidP="00151745">
      <w:pPr>
        <w:spacing w:after="0" w:line="240" w:lineRule="auto"/>
        <w:ind w:left="-5"/>
        <w:jc w:val="both"/>
        <w:rPr>
          <w:rFonts w:cs="Arial"/>
          <w:lang w:val="es-ES"/>
        </w:rPr>
      </w:pPr>
    </w:p>
    <w:p w14:paraId="033A34AD" w14:textId="77777777" w:rsidR="00151745" w:rsidRPr="00575A15" w:rsidRDefault="00151745" w:rsidP="00151745">
      <w:pPr>
        <w:spacing w:after="0" w:line="240" w:lineRule="auto"/>
        <w:ind w:left="-5"/>
        <w:jc w:val="both"/>
        <w:rPr>
          <w:rFonts w:cs="Arial"/>
          <w:lang w:val="es-ES"/>
        </w:rPr>
      </w:pPr>
      <w:r w:rsidRPr="00575A15">
        <w:rPr>
          <w:rFonts w:cs="Arial"/>
          <w:lang w:val="es-ES"/>
        </w:rPr>
        <w:t xml:space="preserve">Además, esta medida podrá facilitar la movilización de recursos y el acceso a financiación internacional, reforzando así las iniciativas existentes, como los Planes de Acción Nacional (PAN) en Brasil. También fomentará el intercambio de datos de seguimiento e investigación entre los países implicados.  </w:t>
      </w:r>
    </w:p>
    <w:p w14:paraId="34D4B7A5" w14:textId="77777777" w:rsidR="00FF680C" w:rsidRPr="00575A15" w:rsidRDefault="00FF680C" w:rsidP="00151745">
      <w:pPr>
        <w:spacing w:after="0" w:line="240" w:lineRule="auto"/>
        <w:ind w:left="-5"/>
        <w:jc w:val="both"/>
        <w:rPr>
          <w:rFonts w:cs="Arial"/>
          <w:lang w:val="es-ES"/>
        </w:rPr>
      </w:pPr>
    </w:p>
    <w:p w14:paraId="6B036FDE" w14:textId="77777777" w:rsidR="00151745" w:rsidRPr="00575A15" w:rsidRDefault="00151745" w:rsidP="00151745">
      <w:pPr>
        <w:spacing w:after="0" w:line="240" w:lineRule="auto"/>
        <w:ind w:left="-5"/>
        <w:jc w:val="both"/>
        <w:rPr>
          <w:rFonts w:cs="Arial"/>
          <w:lang w:val="es-ES"/>
        </w:rPr>
      </w:pPr>
      <w:r w:rsidRPr="00575A15">
        <w:rPr>
          <w:rFonts w:cs="Arial"/>
          <w:lang w:val="es-ES"/>
        </w:rPr>
        <w:t xml:space="preserve">La inclusión en la CMS contribuirá a aumentar la sensibilización sobre el papel ecológico de la especie como depredador tope, cuya presencia es esencial para la estructura trófica y la dinámica de las comunidades de peces, y, por tanto, fundamental para mantener los servicios ecosistémicos acuáticos. Las evidencias recientes indican que la integridad genética y la persistencia de las grandes poblaciones migratorias solo pueden garantizarse mediante la conservación de la conectividad a gran escala y la gestión internacionalmente coordinada de las presas y los usos múltiples del agua (Couto et al., 2021). </w:t>
      </w:r>
    </w:p>
    <w:p w14:paraId="559A811B" w14:textId="77777777" w:rsidR="00FF680C" w:rsidRPr="00575A15" w:rsidRDefault="00FF680C" w:rsidP="00151745">
      <w:pPr>
        <w:spacing w:after="0" w:line="240" w:lineRule="auto"/>
        <w:jc w:val="both"/>
        <w:rPr>
          <w:rFonts w:cs="Arial"/>
          <w:lang w:val="es-ES"/>
        </w:rPr>
      </w:pPr>
    </w:p>
    <w:p w14:paraId="341EE3E5" w14:textId="01BA4F8A" w:rsidR="00151745" w:rsidRPr="00575A15" w:rsidRDefault="00151745" w:rsidP="00FF680C">
      <w:pPr>
        <w:spacing w:after="0" w:line="240" w:lineRule="auto"/>
        <w:ind w:left="535" w:hanging="535"/>
        <w:jc w:val="both"/>
        <w:rPr>
          <w:rFonts w:cs="Arial"/>
          <w:lang w:val="es-ES"/>
        </w:rPr>
      </w:pPr>
      <w:r w:rsidRPr="00575A15">
        <w:rPr>
          <w:rFonts w:eastAsia="Arial" w:cs="Arial"/>
          <w:lang w:val="es-ES"/>
        </w:rPr>
        <w:t>7.2</w:t>
      </w:r>
      <w:r w:rsidRPr="00575A15">
        <w:rPr>
          <w:rFonts w:eastAsia="Arial" w:cs="Arial"/>
          <w:lang w:val="es-ES"/>
        </w:rPr>
        <w:tab/>
        <w:t xml:space="preserve">Riesgos potenciales de la enmienda </w:t>
      </w:r>
    </w:p>
    <w:p w14:paraId="20199A3D" w14:textId="77777777" w:rsidR="00151745" w:rsidRPr="00575A15" w:rsidRDefault="00151745" w:rsidP="00151745">
      <w:pPr>
        <w:spacing w:after="0" w:line="240" w:lineRule="auto"/>
        <w:jc w:val="both"/>
        <w:rPr>
          <w:rFonts w:cs="Arial"/>
          <w:lang w:val="es-ES"/>
        </w:rPr>
      </w:pPr>
      <w:r w:rsidRPr="00575A15">
        <w:rPr>
          <w:rFonts w:eastAsia="Arial" w:cs="Arial"/>
          <w:lang w:val="es-ES"/>
        </w:rPr>
        <w:t xml:space="preserve"> </w:t>
      </w:r>
    </w:p>
    <w:p w14:paraId="113EEC08" w14:textId="77777777" w:rsidR="00151745" w:rsidRPr="00575A15" w:rsidRDefault="00151745" w:rsidP="00151745">
      <w:pPr>
        <w:spacing w:after="0" w:line="240" w:lineRule="auto"/>
        <w:ind w:left="-5"/>
        <w:jc w:val="both"/>
        <w:rPr>
          <w:rFonts w:cs="Arial"/>
          <w:lang w:val="es-ES"/>
        </w:rPr>
      </w:pPr>
      <w:r w:rsidRPr="00575A15">
        <w:rPr>
          <w:rFonts w:cs="Arial"/>
          <w:lang w:val="es-ES"/>
        </w:rPr>
        <w:t xml:space="preserve">El principal riesgo asociado a la inclusión del </w:t>
      </w:r>
      <w:proofErr w:type="spellStart"/>
      <w:r w:rsidRPr="00575A15">
        <w:rPr>
          <w:rFonts w:cs="Arial"/>
          <w:i/>
          <w:iCs/>
          <w:lang w:val="es-ES"/>
        </w:rPr>
        <w:t>Pseudoplatystoma</w:t>
      </w:r>
      <w:proofErr w:type="spellEnd"/>
      <w:r w:rsidRPr="00575A15">
        <w:rPr>
          <w:rFonts w:cs="Arial"/>
          <w:i/>
          <w:iCs/>
          <w:lang w:val="es-ES"/>
        </w:rPr>
        <w:t xml:space="preserve"> </w:t>
      </w:r>
      <w:proofErr w:type="spellStart"/>
      <w:r w:rsidRPr="00575A15">
        <w:rPr>
          <w:rFonts w:cs="Arial"/>
          <w:i/>
          <w:iCs/>
          <w:lang w:val="es-ES"/>
        </w:rPr>
        <w:t>corruscans</w:t>
      </w:r>
      <w:proofErr w:type="spellEnd"/>
      <w:r w:rsidRPr="00575A15">
        <w:rPr>
          <w:rFonts w:cs="Arial"/>
          <w:lang w:val="es-ES"/>
        </w:rPr>
        <w:t xml:space="preserve"> en la CMS es la posible resistencia de los sectores de la pesca comercial y la acuicultura, que podrían interpretar la medida como una restricción de sus actividades económicas. Otro reto relevante, que esta propuesta podría contribuir a reducir, es la actual falta de coordinación efectiva entre los países donde la especie se encuentra, lo que afecta a la eficacia de las acciones de conservación. </w:t>
      </w:r>
    </w:p>
    <w:p w14:paraId="5FB8134C" w14:textId="77777777" w:rsidR="00FF680C" w:rsidRPr="00575A15" w:rsidRDefault="00FF680C" w:rsidP="00151745">
      <w:pPr>
        <w:spacing w:after="0" w:line="240" w:lineRule="auto"/>
        <w:ind w:left="-5"/>
        <w:jc w:val="both"/>
        <w:rPr>
          <w:rFonts w:cs="Arial"/>
          <w:lang w:val="es-ES"/>
        </w:rPr>
      </w:pPr>
    </w:p>
    <w:p w14:paraId="35F1A887" w14:textId="77777777" w:rsidR="00151745" w:rsidRPr="00575A15" w:rsidRDefault="00151745" w:rsidP="00151745">
      <w:pPr>
        <w:spacing w:after="0" w:line="240" w:lineRule="auto"/>
        <w:ind w:left="-5"/>
        <w:jc w:val="both"/>
        <w:rPr>
          <w:rFonts w:cs="Arial"/>
          <w:lang w:val="es-ES"/>
        </w:rPr>
      </w:pPr>
      <w:r w:rsidRPr="00575A15">
        <w:rPr>
          <w:rFonts w:cs="Arial"/>
          <w:lang w:val="es-ES"/>
        </w:rPr>
        <w:t xml:space="preserve">A pesar de estos retos, los beneficios de la inclusión superan ampliamente los riesgos. El establecimiento de un marco formal de cooperación internacional entre las Partes, conforme a los compromisos multilaterales existentes, es esencial ante los descensos poblacionales documentados y la evidencia de pérdida de diversidad genética en las poblaciones aisladas por presas (Machado et al., 2021). </w:t>
      </w:r>
    </w:p>
    <w:p w14:paraId="12DB10AC"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791B50DA" w14:textId="590BDB1F" w:rsidR="00151745" w:rsidRPr="00575A15" w:rsidRDefault="00151745" w:rsidP="00FF680C">
      <w:pPr>
        <w:spacing w:after="0" w:line="240" w:lineRule="auto"/>
        <w:ind w:left="540" w:hanging="540"/>
        <w:jc w:val="both"/>
        <w:rPr>
          <w:rFonts w:cs="Arial"/>
          <w:lang w:val="es-ES"/>
        </w:rPr>
      </w:pPr>
      <w:r w:rsidRPr="00575A15">
        <w:rPr>
          <w:rFonts w:eastAsia="Arial" w:cs="Arial"/>
          <w:lang w:val="es-ES"/>
        </w:rPr>
        <w:t>7.3</w:t>
      </w:r>
      <w:r w:rsidRPr="00575A15">
        <w:rPr>
          <w:rFonts w:eastAsia="Arial" w:cs="Arial"/>
          <w:lang w:val="es-ES"/>
        </w:rPr>
        <w:tab/>
        <w:t xml:space="preserve">Intención del proponente relativa al desarrollo de un acuerdo o Acción Concertada </w:t>
      </w:r>
    </w:p>
    <w:p w14:paraId="27F9A825" w14:textId="77777777" w:rsidR="00151745" w:rsidRPr="00575A15" w:rsidRDefault="00151745" w:rsidP="00151745">
      <w:pPr>
        <w:spacing w:after="0" w:line="240" w:lineRule="auto"/>
        <w:ind w:left="540"/>
        <w:jc w:val="both"/>
        <w:rPr>
          <w:rFonts w:cs="Arial"/>
          <w:lang w:val="es-ES"/>
        </w:rPr>
      </w:pPr>
      <w:r w:rsidRPr="00575A15">
        <w:rPr>
          <w:rFonts w:eastAsia="Arial" w:cs="Arial"/>
          <w:lang w:val="es-ES"/>
        </w:rPr>
        <w:t xml:space="preserve"> </w:t>
      </w:r>
    </w:p>
    <w:p w14:paraId="2FB44B1D" w14:textId="77777777" w:rsidR="00151745" w:rsidRPr="00575A15" w:rsidRDefault="00151745" w:rsidP="00151745">
      <w:pPr>
        <w:spacing w:after="0" w:line="240" w:lineRule="auto"/>
        <w:ind w:left="-5"/>
        <w:jc w:val="both"/>
        <w:rPr>
          <w:rFonts w:cs="Arial"/>
          <w:lang w:val="es-ES"/>
        </w:rPr>
      </w:pPr>
      <w:r w:rsidRPr="00575A15">
        <w:rPr>
          <w:rFonts w:cs="Arial"/>
          <w:lang w:val="es-ES"/>
        </w:rPr>
        <w:t xml:space="preserve">Liderar acciones coordinadas para la especie en todo su ámbito de distribución, armonizando los Planes de Acción Nacional, los protocolos de seguimiento y la evaluación de datos. </w:t>
      </w:r>
    </w:p>
    <w:p w14:paraId="32B26FCD" w14:textId="77777777" w:rsidR="00151745" w:rsidRPr="00575A15" w:rsidRDefault="00151745" w:rsidP="00151745">
      <w:pPr>
        <w:spacing w:after="0" w:line="240" w:lineRule="auto"/>
        <w:jc w:val="both"/>
        <w:rPr>
          <w:rFonts w:cs="Arial"/>
          <w:lang w:val="es-ES"/>
        </w:rPr>
      </w:pPr>
      <w:r w:rsidRPr="00575A15">
        <w:rPr>
          <w:rFonts w:cs="Arial"/>
          <w:lang w:val="es-ES"/>
        </w:rPr>
        <w:t xml:space="preserve"> </w:t>
      </w:r>
    </w:p>
    <w:p w14:paraId="0277E444" w14:textId="77777777" w:rsidR="00151745" w:rsidRPr="00575A15" w:rsidRDefault="00151745" w:rsidP="00151745">
      <w:pPr>
        <w:spacing w:after="0" w:line="240" w:lineRule="auto"/>
        <w:ind w:left="-5"/>
        <w:jc w:val="both"/>
        <w:rPr>
          <w:rFonts w:cs="Arial"/>
          <w:lang w:val="es-ES"/>
        </w:rPr>
      </w:pPr>
      <w:r w:rsidRPr="00575A15">
        <w:rPr>
          <w:rFonts w:cs="Arial"/>
          <w:lang w:val="es-ES"/>
        </w:rPr>
        <w:t xml:space="preserve">Establecer un programa integral de conservación de la especie en las cuencas donde se encuentra, articulado con los instrumentos nacionales existentes de las Partes implicadas, para facilitar el intercambio de información, generar nuevos conocimientos científicos y fortalecer las acciones de gestión y recuperación poblacional. </w:t>
      </w:r>
    </w:p>
    <w:p w14:paraId="6919DE38" w14:textId="77777777" w:rsidR="00151745" w:rsidRPr="00575A15" w:rsidRDefault="00151745" w:rsidP="00151745">
      <w:pPr>
        <w:spacing w:after="0" w:line="240" w:lineRule="auto"/>
        <w:ind w:left="1440"/>
        <w:jc w:val="both"/>
        <w:rPr>
          <w:rFonts w:cs="Arial"/>
          <w:lang w:val="es-ES"/>
        </w:rPr>
      </w:pPr>
      <w:r w:rsidRPr="00575A15">
        <w:rPr>
          <w:rFonts w:eastAsia="Arial" w:cs="Arial"/>
          <w:lang w:val="es-ES"/>
        </w:rPr>
        <w:t xml:space="preserve"> </w:t>
      </w:r>
    </w:p>
    <w:p w14:paraId="206EEA54" w14:textId="721F432F" w:rsidR="00151745" w:rsidRPr="00575A15" w:rsidRDefault="00151745" w:rsidP="00151745">
      <w:pPr>
        <w:numPr>
          <w:ilvl w:val="0"/>
          <w:numId w:val="19"/>
        </w:numPr>
        <w:spacing w:after="0" w:line="240" w:lineRule="auto"/>
        <w:ind w:hanging="540"/>
        <w:jc w:val="both"/>
        <w:rPr>
          <w:rFonts w:cs="Arial"/>
          <w:b/>
          <w:bCs/>
          <w:lang w:val="es-ES"/>
        </w:rPr>
      </w:pPr>
      <w:r w:rsidRPr="00575A15">
        <w:rPr>
          <w:rFonts w:eastAsia="Arial" w:cs="Arial"/>
          <w:b/>
          <w:bCs/>
          <w:lang w:val="es-ES"/>
        </w:rPr>
        <w:t xml:space="preserve">Estados del </w:t>
      </w:r>
      <w:r w:rsidR="00B46EFC" w:rsidRPr="00575A15">
        <w:rPr>
          <w:rFonts w:eastAsia="Arial" w:cs="Arial"/>
          <w:b/>
          <w:bCs/>
          <w:lang w:val="es-ES"/>
        </w:rPr>
        <w:t>área</w:t>
      </w:r>
      <w:r w:rsidRPr="00575A15">
        <w:rPr>
          <w:rFonts w:eastAsia="Arial" w:cs="Arial"/>
          <w:b/>
          <w:bCs/>
          <w:lang w:val="es-ES"/>
        </w:rPr>
        <w:t xml:space="preserve"> de </w:t>
      </w:r>
      <w:r w:rsidR="00B46EFC" w:rsidRPr="00575A15">
        <w:rPr>
          <w:rFonts w:eastAsia="Arial" w:cs="Arial"/>
          <w:b/>
          <w:bCs/>
          <w:lang w:val="es-ES"/>
        </w:rPr>
        <w:t>distribución</w:t>
      </w:r>
      <w:r w:rsidRPr="00575A15">
        <w:rPr>
          <w:rFonts w:eastAsia="Arial" w:cs="Arial"/>
          <w:b/>
          <w:bCs/>
          <w:lang w:val="es-ES"/>
        </w:rPr>
        <w:t xml:space="preserve"> </w:t>
      </w:r>
    </w:p>
    <w:p w14:paraId="5A206624" w14:textId="77777777" w:rsidR="00151745" w:rsidRPr="00575A15" w:rsidRDefault="00151745" w:rsidP="00151745">
      <w:pPr>
        <w:spacing w:after="0" w:line="240" w:lineRule="auto"/>
        <w:jc w:val="both"/>
        <w:rPr>
          <w:rFonts w:cs="Arial"/>
          <w:lang w:val="es-ES"/>
        </w:rPr>
      </w:pPr>
      <w:r w:rsidRPr="00575A15">
        <w:rPr>
          <w:rFonts w:eastAsia="Arial" w:cs="Arial"/>
          <w:color w:val="0000FF"/>
          <w:lang w:val="es-ES"/>
        </w:rPr>
        <w:t xml:space="preserve"> </w:t>
      </w:r>
    </w:p>
    <w:p w14:paraId="27FB53D0" w14:textId="77777777" w:rsidR="00151745" w:rsidRPr="00575A15" w:rsidRDefault="00151745" w:rsidP="00151745">
      <w:pPr>
        <w:spacing w:after="0" w:line="240" w:lineRule="auto"/>
        <w:ind w:left="-5"/>
        <w:jc w:val="both"/>
        <w:rPr>
          <w:rFonts w:cs="Arial"/>
          <w:lang w:val="es-ES"/>
        </w:rPr>
      </w:pPr>
      <w:r w:rsidRPr="00575A15">
        <w:rPr>
          <w:rFonts w:cs="Arial"/>
          <w:lang w:val="es-ES"/>
        </w:rPr>
        <w:t xml:space="preserve">Brasil, Bolivia, Paraguay, Argentina, Uruguay </w:t>
      </w:r>
    </w:p>
    <w:p w14:paraId="5D907E53" w14:textId="392140D3" w:rsidR="00151745" w:rsidRPr="00575A15" w:rsidRDefault="00151745" w:rsidP="00151745">
      <w:pPr>
        <w:spacing w:after="0" w:line="240" w:lineRule="auto"/>
        <w:jc w:val="both"/>
        <w:rPr>
          <w:rFonts w:cs="Arial"/>
          <w:lang w:val="es-ES"/>
        </w:rPr>
      </w:pPr>
      <w:r w:rsidRPr="00575A15">
        <w:rPr>
          <w:rFonts w:eastAsia="Arial" w:cs="Arial"/>
          <w:lang w:val="es-ES"/>
        </w:rPr>
        <w:t xml:space="preserve"> </w:t>
      </w:r>
    </w:p>
    <w:p w14:paraId="0B4B26EC" w14:textId="77777777" w:rsidR="00151745" w:rsidRPr="00575A15" w:rsidRDefault="00151745" w:rsidP="00151745">
      <w:pPr>
        <w:numPr>
          <w:ilvl w:val="0"/>
          <w:numId w:val="19"/>
        </w:numPr>
        <w:spacing w:after="0" w:line="240" w:lineRule="auto"/>
        <w:ind w:hanging="540"/>
        <w:jc w:val="both"/>
        <w:rPr>
          <w:rFonts w:cs="Arial"/>
          <w:b/>
          <w:bCs/>
          <w:lang w:val="es-ES"/>
        </w:rPr>
      </w:pPr>
      <w:r w:rsidRPr="00575A15">
        <w:rPr>
          <w:rFonts w:eastAsia="Arial" w:cs="Arial"/>
          <w:b/>
          <w:bCs/>
          <w:lang w:val="es-ES"/>
        </w:rPr>
        <w:t xml:space="preserve">Consultas </w:t>
      </w:r>
    </w:p>
    <w:p w14:paraId="533F33D8" w14:textId="790FAC5A" w:rsidR="00151745" w:rsidRPr="00575A15" w:rsidRDefault="00151745" w:rsidP="00151745">
      <w:pPr>
        <w:spacing w:after="0" w:line="240" w:lineRule="auto"/>
        <w:jc w:val="both"/>
        <w:rPr>
          <w:rFonts w:cs="Arial"/>
          <w:lang w:val="es-ES"/>
        </w:rPr>
      </w:pPr>
      <w:r w:rsidRPr="00575A15">
        <w:rPr>
          <w:rFonts w:eastAsia="Arial" w:cs="Arial"/>
          <w:lang w:val="es-ES"/>
        </w:rPr>
        <w:t xml:space="preserve">  </w:t>
      </w:r>
    </w:p>
    <w:p w14:paraId="3AB4D99C" w14:textId="77777777" w:rsidR="00151745" w:rsidRPr="00575A15" w:rsidRDefault="00151745" w:rsidP="00151745">
      <w:pPr>
        <w:numPr>
          <w:ilvl w:val="0"/>
          <w:numId w:val="19"/>
        </w:numPr>
        <w:spacing w:after="0" w:line="240" w:lineRule="auto"/>
        <w:ind w:hanging="540"/>
        <w:jc w:val="both"/>
        <w:rPr>
          <w:rFonts w:cs="Arial"/>
          <w:b/>
          <w:bCs/>
          <w:lang w:val="es-ES"/>
        </w:rPr>
      </w:pPr>
      <w:r w:rsidRPr="00575A15">
        <w:rPr>
          <w:rFonts w:eastAsia="Arial" w:cs="Arial"/>
          <w:b/>
          <w:bCs/>
          <w:lang w:val="es-ES"/>
        </w:rPr>
        <w:t xml:space="preserve">Observaciones adicionales </w:t>
      </w:r>
    </w:p>
    <w:p w14:paraId="470CFDFA" w14:textId="77777777" w:rsidR="00151745" w:rsidRPr="00575A15" w:rsidRDefault="00151745" w:rsidP="00151745">
      <w:pPr>
        <w:spacing w:after="0" w:line="240" w:lineRule="auto"/>
        <w:jc w:val="both"/>
        <w:rPr>
          <w:rFonts w:cs="Arial"/>
          <w:lang w:val="es-ES"/>
        </w:rPr>
      </w:pPr>
      <w:r w:rsidRPr="00575A15">
        <w:rPr>
          <w:rFonts w:eastAsia="Arial" w:cs="Arial"/>
          <w:lang w:val="es-ES"/>
        </w:rPr>
        <w:t xml:space="preserve"> </w:t>
      </w:r>
    </w:p>
    <w:p w14:paraId="5574E1D1" w14:textId="127BBFEB" w:rsidR="00FF680C" w:rsidRPr="00575A15" w:rsidRDefault="00FF680C">
      <w:pPr>
        <w:rPr>
          <w:rFonts w:eastAsia="Arial" w:cs="Arial"/>
          <w:lang w:val="es-ES"/>
        </w:rPr>
      </w:pPr>
    </w:p>
    <w:p w14:paraId="18E9A751" w14:textId="6360ECBE" w:rsidR="00151745" w:rsidRPr="00E613B5" w:rsidRDefault="00151745" w:rsidP="00FF680C">
      <w:pPr>
        <w:pStyle w:val="ListParagraph"/>
        <w:numPr>
          <w:ilvl w:val="0"/>
          <w:numId w:val="19"/>
        </w:numPr>
        <w:spacing w:after="0" w:line="240" w:lineRule="auto"/>
        <w:ind w:hanging="540"/>
        <w:jc w:val="both"/>
        <w:rPr>
          <w:rFonts w:cs="Arial"/>
          <w:b/>
          <w:bCs/>
          <w:lang w:val="es-ES"/>
        </w:rPr>
      </w:pPr>
      <w:r w:rsidRPr="00575A15">
        <w:rPr>
          <w:rFonts w:eastAsia="Arial" w:cs="Arial"/>
          <w:b/>
          <w:bCs/>
          <w:lang w:val="es-ES"/>
        </w:rPr>
        <w:lastRenderedPageBreak/>
        <w:t xml:space="preserve"> </w:t>
      </w:r>
      <w:r w:rsidRPr="00E613B5">
        <w:rPr>
          <w:rFonts w:eastAsia="Arial" w:cs="Arial"/>
          <w:b/>
          <w:bCs/>
          <w:lang w:val="es-ES"/>
        </w:rPr>
        <w:t>Referenc</w:t>
      </w:r>
      <w:r w:rsidR="00E613B5" w:rsidRPr="00E613B5">
        <w:rPr>
          <w:rFonts w:eastAsia="Arial" w:cs="Arial"/>
          <w:b/>
          <w:bCs/>
          <w:lang w:val="es-ES"/>
        </w:rPr>
        <w:t>ias</w:t>
      </w:r>
      <w:r w:rsidRPr="00E613B5">
        <w:rPr>
          <w:rFonts w:eastAsia="Arial" w:cs="Arial"/>
          <w:b/>
          <w:bCs/>
          <w:lang w:val="es-ES"/>
        </w:rPr>
        <w:t xml:space="preserve"> </w:t>
      </w:r>
    </w:p>
    <w:p w14:paraId="56C491B6" w14:textId="77777777" w:rsidR="00151745" w:rsidRPr="00E613B5" w:rsidRDefault="00151745" w:rsidP="00151745">
      <w:pPr>
        <w:spacing w:after="0" w:line="240" w:lineRule="auto"/>
        <w:jc w:val="both"/>
        <w:rPr>
          <w:rFonts w:eastAsia="Arial" w:cs="Arial"/>
          <w:lang w:val="es-ES"/>
        </w:rPr>
      </w:pPr>
    </w:p>
    <w:p w14:paraId="4E16D14D" w14:textId="77777777" w:rsidR="00151745" w:rsidRPr="00E613B5" w:rsidRDefault="00151745" w:rsidP="00FF680C">
      <w:pPr>
        <w:pStyle w:val="NormalWeb"/>
        <w:tabs>
          <w:tab w:val="left" w:pos="8910"/>
        </w:tabs>
        <w:spacing w:after="80" w:line="240" w:lineRule="auto"/>
        <w:ind w:left="547" w:right="101" w:hanging="547"/>
        <w:rPr>
          <w:rFonts w:ascii="Arial" w:hAnsi="Arial" w:cs="Arial"/>
          <w:color w:val="auto"/>
          <w:kern w:val="0"/>
          <w:sz w:val="20"/>
          <w:szCs w:val="20"/>
          <w14:ligatures w14:val="none"/>
        </w:rPr>
      </w:pPr>
      <w:r w:rsidRPr="00E613B5">
        <w:rPr>
          <w:rFonts w:ascii="Arial" w:hAnsi="Arial" w:cs="Arial"/>
          <w:color w:val="auto"/>
          <w:kern w:val="0"/>
          <w:sz w:val="20"/>
          <w:szCs w:val="20"/>
          <w:lang w:val="fr-FR"/>
          <w14:ligatures w14:val="none"/>
        </w:rPr>
        <w:t xml:space="preserve">Augustine, A. A., Gomes, L. C., Suzuki, H. I., &amp; </w:t>
      </w:r>
      <w:proofErr w:type="spellStart"/>
      <w:r w:rsidRPr="00E613B5">
        <w:rPr>
          <w:rFonts w:ascii="Arial" w:hAnsi="Arial" w:cs="Arial"/>
          <w:color w:val="auto"/>
          <w:kern w:val="0"/>
          <w:sz w:val="20"/>
          <w:szCs w:val="20"/>
          <w:lang w:val="fr-FR"/>
          <w14:ligatures w14:val="none"/>
        </w:rPr>
        <w:t>Júlio</w:t>
      </w:r>
      <w:proofErr w:type="spellEnd"/>
      <w:r w:rsidRPr="00E613B5">
        <w:rPr>
          <w:rFonts w:ascii="Arial" w:hAnsi="Arial" w:cs="Arial"/>
          <w:color w:val="auto"/>
          <w:kern w:val="0"/>
          <w:sz w:val="20"/>
          <w:szCs w:val="20"/>
          <w:lang w:val="fr-FR"/>
          <w14:ligatures w14:val="none"/>
        </w:rPr>
        <w:t xml:space="preserve"> Jr., H. F. (2003). </w:t>
      </w:r>
      <w:r w:rsidRPr="00E613B5">
        <w:rPr>
          <w:rFonts w:ascii="Arial" w:hAnsi="Arial" w:cs="Arial"/>
          <w:color w:val="auto"/>
          <w:kern w:val="0"/>
          <w:sz w:val="20"/>
          <w:szCs w:val="20"/>
          <w14:ligatures w14:val="none"/>
        </w:rPr>
        <w:t xml:space="preserve">Migratory fish from the upper Paraná River Basin, Brazil. In J. Carolsfeld, B. Harvey, C. Ross, &amp; A. Baer (Eds.), </w:t>
      </w:r>
      <w:r w:rsidRPr="00E613B5">
        <w:rPr>
          <w:rFonts w:ascii="Arial" w:hAnsi="Arial" w:cs="Arial"/>
          <w:i/>
          <w:iCs/>
          <w:color w:val="auto"/>
          <w:kern w:val="0"/>
          <w:sz w:val="20"/>
          <w:szCs w:val="20"/>
          <w14:ligatures w14:val="none"/>
        </w:rPr>
        <w:t>Migratory fishes of South America: Biology, social importance and conservation status</w:t>
      </w:r>
      <w:r w:rsidRPr="00E613B5">
        <w:rPr>
          <w:rFonts w:ascii="Arial" w:hAnsi="Arial" w:cs="Arial"/>
          <w:color w:val="auto"/>
          <w:kern w:val="0"/>
          <w:sz w:val="20"/>
          <w:szCs w:val="20"/>
          <w14:ligatures w14:val="none"/>
        </w:rPr>
        <w:t xml:space="preserve"> (pp. 19–99). World Fisheries Trust, The World Bank, and the International Development Research Centre.</w:t>
      </w:r>
    </w:p>
    <w:p w14:paraId="5C685D2C" w14:textId="77777777" w:rsidR="00151745" w:rsidRPr="00E613B5" w:rsidRDefault="00151745" w:rsidP="00FF680C">
      <w:pPr>
        <w:tabs>
          <w:tab w:val="left" w:pos="8910"/>
        </w:tabs>
        <w:spacing w:after="80" w:line="240" w:lineRule="auto"/>
        <w:ind w:left="547" w:right="101" w:hanging="547"/>
        <w:jc w:val="both"/>
        <w:rPr>
          <w:rFonts w:cs="Arial"/>
          <w:sz w:val="20"/>
          <w:szCs w:val="20"/>
          <w:lang w:val="es-ES"/>
        </w:rPr>
      </w:pPr>
      <w:r w:rsidRPr="00E613B5">
        <w:rPr>
          <w:rFonts w:cs="Arial"/>
          <w:sz w:val="20"/>
          <w:szCs w:val="20"/>
        </w:rPr>
        <w:t xml:space="preserve">Balboni, L., Vargas, F., &amp; </w:t>
      </w:r>
      <w:proofErr w:type="spellStart"/>
      <w:r w:rsidRPr="00E613B5">
        <w:rPr>
          <w:rFonts w:cs="Arial"/>
          <w:sz w:val="20"/>
          <w:szCs w:val="20"/>
        </w:rPr>
        <w:t>Colautti</w:t>
      </w:r>
      <w:proofErr w:type="spellEnd"/>
      <w:r w:rsidRPr="00E613B5">
        <w:rPr>
          <w:rFonts w:cs="Arial"/>
          <w:sz w:val="20"/>
          <w:szCs w:val="20"/>
        </w:rPr>
        <w:t xml:space="preserve">, D. (2020). Age and growth of </w:t>
      </w:r>
      <w:proofErr w:type="spellStart"/>
      <w:r w:rsidRPr="00E613B5">
        <w:rPr>
          <w:rFonts w:cs="Arial"/>
          <w:i/>
          <w:iCs/>
          <w:sz w:val="20"/>
          <w:szCs w:val="20"/>
        </w:rPr>
        <w:t>Pseudoplatystoma</w:t>
      </w:r>
      <w:proofErr w:type="spellEnd"/>
      <w:r w:rsidRPr="00E613B5">
        <w:rPr>
          <w:rFonts w:cs="Arial"/>
          <w:i/>
          <w:iCs/>
          <w:sz w:val="20"/>
          <w:szCs w:val="20"/>
        </w:rPr>
        <w:t xml:space="preserve"> </w:t>
      </w:r>
      <w:proofErr w:type="spellStart"/>
      <w:r w:rsidRPr="00E613B5">
        <w:rPr>
          <w:rFonts w:cs="Arial"/>
          <w:i/>
          <w:iCs/>
          <w:sz w:val="20"/>
          <w:szCs w:val="20"/>
        </w:rPr>
        <w:t>corruscans</w:t>
      </w:r>
      <w:proofErr w:type="spellEnd"/>
      <w:r w:rsidRPr="00E613B5">
        <w:rPr>
          <w:rFonts w:cs="Arial"/>
          <w:sz w:val="20"/>
          <w:szCs w:val="20"/>
        </w:rPr>
        <w:t xml:space="preserve"> (</w:t>
      </w:r>
      <w:proofErr w:type="spellStart"/>
      <w:r w:rsidRPr="00E613B5">
        <w:rPr>
          <w:rFonts w:cs="Arial"/>
          <w:sz w:val="20"/>
          <w:szCs w:val="20"/>
        </w:rPr>
        <w:t>Siluriformes</w:t>
      </w:r>
      <w:proofErr w:type="spellEnd"/>
      <w:r w:rsidRPr="00E613B5">
        <w:rPr>
          <w:rFonts w:cs="Arial"/>
          <w:sz w:val="20"/>
          <w:szCs w:val="20"/>
        </w:rPr>
        <w:t xml:space="preserve">: </w:t>
      </w:r>
      <w:proofErr w:type="spellStart"/>
      <w:r w:rsidRPr="00E613B5">
        <w:rPr>
          <w:rFonts w:cs="Arial"/>
          <w:sz w:val="20"/>
          <w:szCs w:val="20"/>
        </w:rPr>
        <w:t>Pimelodidae</w:t>
      </w:r>
      <w:proofErr w:type="spellEnd"/>
      <w:r w:rsidRPr="00E613B5">
        <w:rPr>
          <w:rFonts w:cs="Arial"/>
          <w:sz w:val="20"/>
          <w:szCs w:val="20"/>
        </w:rPr>
        <w:t xml:space="preserve">) at the confluence of the Paraná and Paraguay rivers. </w:t>
      </w:r>
      <w:r w:rsidRPr="00E613B5">
        <w:rPr>
          <w:rFonts w:cs="Arial"/>
          <w:i/>
          <w:sz w:val="20"/>
          <w:szCs w:val="20"/>
          <w:lang w:val="es-ES"/>
        </w:rPr>
        <w:t xml:space="preserve">Neotropical </w:t>
      </w:r>
      <w:proofErr w:type="spellStart"/>
      <w:r w:rsidRPr="00E613B5">
        <w:rPr>
          <w:rFonts w:cs="Arial"/>
          <w:i/>
          <w:sz w:val="20"/>
          <w:szCs w:val="20"/>
          <w:lang w:val="es-ES"/>
        </w:rPr>
        <w:t>Ichthyology</w:t>
      </w:r>
      <w:proofErr w:type="spellEnd"/>
      <w:r w:rsidRPr="00E613B5">
        <w:rPr>
          <w:rFonts w:cs="Arial"/>
          <w:i/>
          <w:sz w:val="20"/>
          <w:szCs w:val="20"/>
          <w:lang w:val="es-ES"/>
        </w:rPr>
        <w:t>, 19</w:t>
      </w:r>
      <w:r w:rsidRPr="00E613B5">
        <w:rPr>
          <w:rFonts w:cs="Arial"/>
          <w:sz w:val="20"/>
          <w:szCs w:val="20"/>
          <w:lang w:val="es-ES"/>
        </w:rPr>
        <w:t xml:space="preserve">(2), e200101. </w:t>
      </w:r>
      <w:hyperlink r:id="rId12">
        <w:r w:rsidRPr="00E613B5">
          <w:rPr>
            <w:rStyle w:val="Hyperlink"/>
            <w:rFonts w:cs="Arial"/>
            <w:sz w:val="20"/>
            <w:szCs w:val="20"/>
            <w:lang w:val="es-ES"/>
          </w:rPr>
          <w:t>https://doi.org/10.1590/1982-0224-2020-0101</w:t>
        </w:r>
      </w:hyperlink>
    </w:p>
    <w:p w14:paraId="2ACB57E6" w14:textId="77777777" w:rsidR="00151745" w:rsidRPr="00E613B5" w:rsidRDefault="00151745" w:rsidP="00FF680C">
      <w:pPr>
        <w:tabs>
          <w:tab w:val="left" w:pos="8910"/>
        </w:tabs>
        <w:spacing w:after="80" w:line="240" w:lineRule="auto"/>
        <w:ind w:left="547" w:right="101" w:hanging="547"/>
        <w:jc w:val="both"/>
        <w:rPr>
          <w:rFonts w:cs="Arial"/>
          <w:sz w:val="20"/>
          <w:szCs w:val="20"/>
        </w:rPr>
      </w:pPr>
      <w:proofErr w:type="spellStart"/>
      <w:r w:rsidRPr="00E613B5">
        <w:rPr>
          <w:rFonts w:cs="Arial"/>
          <w:sz w:val="20"/>
          <w:szCs w:val="20"/>
          <w:lang w:val="es-ES"/>
        </w:rPr>
        <w:t>Britski</w:t>
      </w:r>
      <w:proofErr w:type="spellEnd"/>
      <w:r w:rsidRPr="00E613B5">
        <w:rPr>
          <w:rFonts w:cs="Arial"/>
          <w:sz w:val="20"/>
          <w:szCs w:val="20"/>
          <w:lang w:val="es-ES"/>
        </w:rPr>
        <w:t xml:space="preserve">, H. A., </w:t>
      </w:r>
      <w:proofErr w:type="spellStart"/>
      <w:r w:rsidRPr="00E613B5">
        <w:rPr>
          <w:rFonts w:cs="Arial"/>
          <w:sz w:val="20"/>
          <w:szCs w:val="20"/>
          <w:lang w:val="es-ES"/>
        </w:rPr>
        <w:t>Silimon</w:t>
      </w:r>
      <w:proofErr w:type="spellEnd"/>
      <w:r w:rsidRPr="00E613B5">
        <w:rPr>
          <w:rFonts w:cs="Arial"/>
          <w:sz w:val="20"/>
          <w:szCs w:val="20"/>
          <w:lang w:val="es-ES"/>
        </w:rPr>
        <w:t xml:space="preserve">, K. Z. S., &amp; Lopes, B. S. (1999). </w:t>
      </w:r>
      <w:proofErr w:type="spellStart"/>
      <w:r w:rsidRPr="00E613B5">
        <w:rPr>
          <w:rFonts w:cs="Arial"/>
          <w:i/>
          <w:iCs/>
          <w:sz w:val="20"/>
          <w:szCs w:val="20"/>
          <w:lang w:val="es-ES"/>
        </w:rPr>
        <w:t>Peixes</w:t>
      </w:r>
      <w:proofErr w:type="spellEnd"/>
      <w:r w:rsidRPr="00E613B5">
        <w:rPr>
          <w:rFonts w:cs="Arial"/>
          <w:i/>
          <w:iCs/>
          <w:sz w:val="20"/>
          <w:szCs w:val="20"/>
          <w:lang w:val="es-ES"/>
        </w:rPr>
        <w:t xml:space="preserve"> do Pantanal: Manual de </w:t>
      </w:r>
      <w:proofErr w:type="spellStart"/>
      <w:r w:rsidRPr="00E613B5">
        <w:rPr>
          <w:rFonts w:cs="Arial"/>
          <w:i/>
          <w:iCs/>
          <w:sz w:val="20"/>
          <w:szCs w:val="20"/>
          <w:lang w:val="es-ES"/>
        </w:rPr>
        <w:t>identificação</w:t>
      </w:r>
      <w:proofErr w:type="spellEnd"/>
      <w:r w:rsidRPr="00E613B5">
        <w:rPr>
          <w:rFonts w:cs="Arial"/>
          <w:sz w:val="20"/>
          <w:szCs w:val="20"/>
          <w:lang w:val="es-ES"/>
        </w:rPr>
        <w:t xml:space="preserve"> (184 p.). </w:t>
      </w:r>
      <w:r w:rsidRPr="00E613B5">
        <w:rPr>
          <w:rFonts w:cs="Arial"/>
          <w:sz w:val="20"/>
          <w:szCs w:val="20"/>
        </w:rPr>
        <w:t>Embrapa.</w:t>
      </w:r>
    </w:p>
    <w:p w14:paraId="55F7D025" w14:textId="77777777" w:rsidR="00151745" w:rsidRPr="00E613B5" w:rsidRDefault="00151745" w:rsidP="00FF680C">
      <w:pPr>
        <w:tabs>
          <w:tab w:val="left" w:pos="8910"/>
        </w:tabs>
        <w:spacing w:after="80" w:line="240" w:lineRule="auto"/>
        <w:ind w:left="547" w:right="101" w:hanging="547"/>
        <w:jc w:val="both"/>
        <w:rPr>
          <w:rFonts w:cs="Arial"/>
          <w:sz w:val="20"/>
          <w:szCs w:val="20"/>
        </w:rPr>
      </w:pPr>
      <w:r w:rsidRPr="00E613B5">
        <w:rPr>
          <w:rFonts w:cs="Arial"/>
          <w:sz w:val="20"/>
          <w:szCs w:val="20"/>
        </w:rPr>
        <w:t xml:space="preserve">Buitrago-Suarez, U. A., &amp; Burr, B. M. (2007). Taxonomy of the catfish genus </w:t>
      </w:r>
      <w:proofErr w:type="spellStart"/>
      <w:r w:rsidRPr="00E613B5">
        <w:rPr>
          <w:rFonts w:cs="Arial"/>
          <w:i/>
          <w:iCs/>
          <w:sz w:val="20"/>
          <w:szCs w:val="20"/>
        </w:rPr>
        <w:t>Pseudoplatystoma</w:t>
      </w:r>
      <w:proofErr w:type="spellEnd"/>
      <w:r w:rsidRPr="00E613B5">
        <w:rPr>
          <w:rFonts w:cs="Arial"/>
          <w:sz w:val="20"/>
          <w:szCs w:val="20"/>
        </w:rPr>
        <w:t xml:space="preserve"> Bleeker (</w:t>
      </w:r>
      <w:proofErr w:type="spellStart"/>
      <w:r w:rsidRPr="00E613B5">
        <w:rPr>
          <w:rFonts w:cs="Arial"/>
          <w:sz w:val="20"/>
          <w:szCs w:val="20"/>
        </w:rPr>
        <w:t>Siluriformes</w:t>
      </w:r>
      <w:proofErr w:type="spellEnd"/>
      <w:r w:rsidRPr="00E613B5">
        <w:rPr>
          <w:rFonts w:cs="Arial"/>
          <w:sz w:val="20"/>
          <w:szCs w:val="20"/>
        </w:rPr>
        <w:t xml:space="preserve">: </w:t>
      </w:r>
      <w:proofErr w:type="spellStart"/>
      <w:r w:rsidRPr="00E613B5">
        <w:rPr>
          <w:rFonts w:cs="Arial"/>
          <w:sz w:val="20"/>
          <w:szCs w:val="20"/>
        </w:rPr>
        <w:t>Pimelodidae</w:t>
      </w:r>
      <w:proofErr w:type="spellEnd"/>
      <w:r w:rsidRPr="00E613B5">
        <w:rPr>
          <w:rFonts w:cs="Arial"/>
          <w:sz w:val="20"/>
          <w:szCs w:val="20"/>
        </w:rPr>
        <w:t xml:space="preserve">) with recognition of eight species. </w:t>
      </w:r>
      <w:proofErr w:type="spellStart"/>
      <w:r w:rsidRPr="00E613B5">
        <w:rPr>
          <w:rFonts w:cs="Arial"/>
          <w:i/>
          <w:iCs/>
          <w:sz w:val="20"/>
          <w:szCs w:val="20"/>
        </w:rPr>
        <w:t>Zootaxa</w:t>
      </w:r>
      <w:proofErr w:type="spellEnd"/>
      <w:r w:rsidRPr="00E613B5">
        <w:rPr>
          <w:rFonts w:cs="Arial"/>
          <w:i/>
          <w:iCs/>
          <w:sz w:val="20"/>
          <w:szCs w:val="20"/>
        </w:rPr>
        <w:t>, 1512</w:t>
      </w:r>
      <w:r w:rsidRPr="00E613B5">
        <w:rPr>
          <w:rFonts w:cs="Arial"/>
          <w:sz w:val="20"/>
          <w:szCs w:val="20"/>
        </w:rPr>
        <w:t xml:space="preserve">, 1–38. </w:t>
      </w:r>
      <w:hyperlink r:id="rId13">
        <w:r w:rsidRPr="00E613B5">
          <w:rPr>
            <w:rStyle w:val="Hyperlink"/>
            <w:rFonts w:cs="Arial"/>
            <w:sz w:val="20"/>
            <w:szCs w:val="20"/>
          </w:rPr>
          <w:t>https://doi.org/10.11646/zootaxa.1512.1.1</w:t>
        </w:r>
      </w:hyperlink>
    </w:p>
    <w:p w14:paraId="1EF9011F" w14:textId="77777777" w:rsidR="00151745" w:rsidRPr="00E613B5" w:rsidRDefault="00151745" w:rsidP="00FF680C">
      <w:pPr>
        <w:tabs>
          <w:tab w:val="left" w:pos="8910"/>
        </w:tabs>
        <w:spacing w:after="80" w:line="240" w:lineRule="auto"/>
        <w:ind w:left="547" w:right="101" w:hanging="547"/>
        <w:jc w:val="both"/>
        <w:rPr>
          <w:rFonts w:cs="Arial"/>
          <w:sz w:val="20"/>
          <w:szCs w:val="20"/>
          <w:lang w:val="es-ES"/>
        </w:rPr>
      </w:pPr>
      <w:r w:rsidRPr="00E613B5">
        <w:rPr>
          <w:rFonts w:cs="Arial"/>
          <w:sz w:val="20"/>
          <w:szCs w:val="20"/>
        </w:rPr>
        <w:t xml:space="preserve">Burbano, A. L., </w:t>
      </w:r>
      <w:proofErr w:type="spellStart"/>
      <w:r w:rsidRPr="00E613B5">
        <w:rPr>
          <w:rFonts w:cs="Arial"/>
          <w:sz w:val="20"/>
          <w:szCs w:val="20"/>
        </w:rPr>
        <w:t>Bifi</w:t>
      </w:r>
      <w:proofErr w:type="spellEnd"/>
      <w:r w:rsidRPr="00E613B5">
        <w:rPr>
          <w:rFonts w:cs="Arial"/>
          <w:sz w:val="20"/>
          <w:szCs w:val="20"/>
        </w:rPr>
        <w:t xml:space="preserve">, A. G., Oliveira, A. K., Ferreira, A. L. N., </w:t>
      </w:r>
      <w:proofErr w:type="spellStart"/>
      <w:r w:rsidRPr="00E613B5">
        <w:rPr>
          <w:rFonts w:cs="Arial"/>
          <w:sz w:val="20"/>
          <w:szCs w:val="20"/>
        </w:rPr>
        <w:t>Manzotti</w:t>
      </w:r>
      <w:proofErr w:type="spellEnd"/>
      <w:r w:rsidRPr="00E613B5">
        <w:rPr>
          <w:rFonts w:cs="Arial"/>
          <w:sz w:val="20"/>
          <w:szCs w:val="20"/>
        </w:rPr>
        <w:t xml:space="preserve">, A. R., Frota, A., </w:t>
      </w:r>
      <w:proofErr w:type="spellStart"/>
      <w:r w:rsidRPr="00E613B5">
        <w:rPr>
          <w:rFonts w:cs="Arial"/>
          <w:sz w:val="20"/>
          <w:szCs w:val="20"/>
        </w:rPr>
        <w:t>Pavanelli</w:t>
      </w:r>
      <w:proofErr w:type="spellEnd"/>
      <w:r w:rsidRPr="00E613B5">
        <w:rPr>
          <w:rFonts w:cs="Arial"/>
          <w:sz w:val="20"/>
          <w:szCs w:val="20"/>
        </w:rPr>
        <w:t xml:space="preserve">, C. S., Baumgartner, D., Vieira, F., Martins, F. O., Carvalho, F. R., Melo, F. A. G., </w:t>
      </w:r>
      <w:proofErr w:type="spellStart"/>
      <w:r w:rsidRPr="00E613B5">
        <w:rPr>
          <w:rFonts w:cs="Arial"/>
          <w:sz w:val="20"/>
          <w:szCs w:val="20"/>
        </w:rPr>
        <w:t>Langeani</w:t>
      </w:r>
      <w:proofErr w:type="spellEnd"/>
      <w:r w:rsidRPr="00E613B5">
        <w:rPr>
          <w:rFonts w:cs="Arial"/>
          <w:sz w:val="20"/>
          <w:szCs w:val="20"/>
        </w:rPr>
        <w:t xml:space="preserve"> Neto, F., Purple, F. F., </w:t>
      </w:r>
      <w:proofErr w:type="spellStart"/>
      <w:r w:rsidRPr="00E613B5">
        <w:rPr>
          <w:rFonts w:cs="Arial"/>
          <w:sz w:val="20"/>
          <w:szCs w:val="20"/>
        </w:rPr>
        <w:t>Deprá</w:t>
      </w:r>
      <w:proofErr w:type="spellEnd"/>
      <w:r w:rsidRPr="00E613B5">
        <w:rPr>
          <w:rFonts w:cs="Arial"/>
          <w:sz w:val="20"/>
          <w:szCs w:val="20"/>
        </w:rPr>
        <w:t xml:space="preserve">, G. C., Silva, G. S. C. E., Nardi, G., Proença, H. C., Penido, I. S., ... </w:t>
      </w:r>
      <w:proofErr w:type="spellStart"/>
      <w:r w:rsidRPr="00E613B5">
        <w:rPr>
          <w:rFonts w:cs="Arial"/>
          <w:sz w:val="20"/>
          <w:szCs w:val="20"/>
          <w:lang w:val="es-ES"/>
        </w:rPr>
        <w:t>Súarez</w:t>
      </w:r>
      <w:proofErr w:type="spellEnd"/>
      <w:r w:rsidRPr="00E613B5">
        <w:rPr>
          <w:rFonts w:cs="Arial"/>
          <w:sz w:val="20"/>
          <w:szCs w:val="20"/>
          <w:lang w:val="es-ES"/>
        </w:rPr>
        <w:t xml:space="preserve">, Y. R. (2024). </w:t>
      </w:r>
      <w:proofErr w:type="spellStart"/>
      <w:r w:rsidRPr="00E613B5">
        <w:rPr>
          <w:rFonts w:cs="Arial"/>
          <w:i/>
          <w:sz w:val="20"/>
          <w:szCs w:val="20"/>
          <w:lang w:val="es-ES"/>
        </w:rPr>
        <w:t>Pseudoplatystoma</w:t>
      </w:r>
      <w:proofErr w:type="spellEnd"/>
      <w:r w:rsidRPr="00E613B5">
        <w:rPr>
          <w:rFonts w:cs="Arial"/>
          <w:i/>
          <w:sz w:val="20"/>
          <w:szCs w:val="20"/>
          <w:lang w:val="es-ES"/>
        </w:rPr>
        <w:t xml:space="preserve"> </w:t>
      </w:r>
      <w:proofErr w:type="spellStart"/>
      <w:r w:rsidRPr="00E613B5">
        <w:rPr>
          <w:rFonts w:cs="Arial"/>
          <w:i/>
          <w:sz w:val="20"/>
          <w:szCs w:val="20"/>
          <w:lang w:val="es-ES"/>
        </w:rPr>
        <w:t>corruscans</w:t>
      </w:r>
      <w:proofErr w:type="spellEnd"/>
      <w:r w:rsidRPr="00E613B5">
        <w:rPr>
          <w:rFonts w:cs="Arial"/>
          <w:sz w:val="20"/>
          <w:szCs w:val="20"/>
          <w:lang w:val="es-ES"/>
        </w:rPr>
        <w:t xml:space="preserve"> (</w:t>
      </w:r>
      <w:proofErr w:type="spellStart"/>
      <w:r w:rsidRPr="00E613B5">
        <w:rPr>
          <w:rFonts w:cs="Arial"/>
          <w:sz w:val="20"/>
          <w:szCs w:val="20"/>
          <w:lang w:val="es-ES"/>
        </w:rPr>
        <w:t>Spix</w:t>
      </w:r>
      <w:proofErr w:type="spellEnd"/>
      <w:r w:rsidRPr="00E613B5">
        <w:rPr>
          <w:rFonts w:cs="Arial"/>
          <w:sz w:val="20"/>
          <w:szCs w:val="20"/>
          <w:lang w:val="es-ES"/>
        </w:rPr>
        <w:t xml:space="preserve"> &amp; </w:t>
      </w:r>
      <w:proofErr w:type="spellStart"/>
      <w:r w:rsidRPr="00E613B5">
        <w:rPr>
          <w:rFonts w:cs="Arial"/>
          <w:sz w:val="20"/>
          <w:szCs w:val="20"/>
          <w:lang w:val="es-ES"/>
        </w:rPr>
        <w:t>Agassiz</w:t>
      </w:r>
      <w:proofErr w:type="spellEnd"/>
      <w:r w:rsidRPr="00E613B5">
        <w:rPr>
          <w:rFonts w:cs="Arial"/>
          <w:sz w:val="20"/>
          <w:szCs w:val="20"/>
          <w:lang w:val="es-ES"/>
        </w:rPr>
        <w:t xml:space="preserve">, 1829). </w:t>
      </w:r>
      <w:r w:rsidRPr="00E613B5">
        <w:rPr>
          <w:rFonts w:cs="Arial"/>
          <w:i/>
          <w:sz w:val="20"/>
          <w:szCs w:val="20"/>
          <w:lang w:val="es-ES"/>
        </w:rPr>
        <w:t xml:space="preserve">Sistema de </w:t>
      </w:r>
      <w:proofErr w:type="spellStart"/>
      <w:r w:rsidRPr="00E613B5">
        <w:rPr>
          <w:rFonts w:cs="Arial"/>
          <w:i/>
          <w:sz w:val="20"/>
          <w:szCs w:val="20"/>
          <w:lang w:val="es-ES"/>
        </w:rPr>
        <w:t>Avaliação</w:t>
      </w:r>
      <w:proofErr w:type="spellEnd"/>
      <w:r w:rsidRPr="00E613B5">
        <w:rPr>
          <w:rFonts w:cs="Arial"/>
          <w:i/>
          <w:sz w:val="20"/>
          <w:szCs w:val="20"/>
          <w:lang w:val="es-ES"/>
        </w:rPr>
        <w:t xml:space="preserve"> do Risco de </w:t>
      </w:r>
      <w:proofErr w:type="spellStart"/>
      <w:r w:rsidRPr="00E613B5">
        <w:rPr>
          <w:rFonts w:cs="Arial"/>
          <w:i/>
          <w:sz w:val="20"/>
          <w:szCs w:val="20"/>
          <w:lang w:val="es-ES"/>
        </w:rPr>
        <w:t>Extinção</w:t>
      </w:r>
      <w:proofErr w:type="spellEnd"/>
      <w:r w:rsidRPr="00E613B5">
        <w:rPr>
          <w:rFonts w:cs="Arial"/>
          <w:i/>
          <w:sz w:val="20"/>
          <w:szCs w:val="20"/>
          <w:lang w:val="es-ES"/>
        </w:rPr>
        <w:t xml:space="preserve"> da Biodiversidade – SALVE</w:t>
      </w:r>
      <w:r w:rsidRPr="00E613B5">
        <w:rPr>
          <w:rFonts w:cs="Arial"/>
          <w:sz w:val="20"/>
          <w:szCs w:val="20"/>
          <w:lang w:val="es-ES"/>
        </w:rPr>
        <w:t xml:space="preserve">. Instituto Chico </w:t>
      </w:r>
      <w:proofErr w:type="spellStart"/>
      <w:r w:rsidRPr="00E613B5">
        <w:rPr>
          <w:rFonts w:cs="Arial"/>
          <w:sz w:val="20"/>
          <w:szCs w:val="20"/>
          <w:lang w:val="es-ES"/>
        </w:rPr>
        <w:t>Mendes</w:t>
      </w:r>
      <w:proofErr w:type="spellEnd"/>
      <w:r w:rsidRPr="00E613B5">
        <w:rPr>
          <w:rFonts w:cs="Arial"/>
          <w:sz w:val="20"/>
          <w:szCs w:val="20"/>
          <w:lang w:val="es-ES"/>
        </w:rPr>
        <w:t xml:space="preserve"> de </w:t>
      </w:r>
      <w:proofErr w:type="spellStart"/>
      <w:r w:rsidRPr="00E613B5">
        <w:rPr>
          <w:rFonts w:cs="Arial"/>
          <w:sz w:val="20"/>
          <w:szCs w:val="20"/>
          <w:lang w:val="es-ES"/>
        </w:rPr>
        <w:t>Conservação</w:t>
      </w:r>
      <w:proofErr w:type="spellEnd"/>
      <w:r w:rsidRPr="00E613B5">
        <w:rPr>
          <w:rFonts w:cs="Arial"/>
          <w:sz w:val="20"/>
          <w:szCs w:val="20"/>
          <w:lang w:val="es-ES"/>
        </w:rPr>
        <w:t xml:space="preserve"> da Biodiversidade (</w:t>
      </w:r>
      <w:proofErr w:type="spellStart"/>
      <w:r w:rsidRPr="00E613B5">
        <w:rPr>
          <w:rFonts w:cs="Arial"/>
          <w:sz w:val="20"/>
          <w:szCs w:val="20"/>
          <w:lang w:val="es-ES"/>
        </w:rPr>
        <w:t>ICMBio</w:t>
      </w:r>
      <w:proofErr w:type="spellEnd"/>
      <w:r w:rsidRPr="00E613B5">
        <w:rPr>
          <w:rFonts w:cs="Arial"/>
          <w:sz w:val="20"/>
          <w:szCs w:val="20"/>
          <w:lang w:val="es-ES"/>
        </w:rPr>
        <w:t xml:space="preserve">). </w:t>
      </w:r>
      <w:hyperlink r:id="rId14" w:tgtFrame="_new" w:history="1">
        <w:r w:rsidRPr="00E613B5">
          <w:rPr>
            <w:rFonts w:cs="Arial"/>
            <w:color w:val="0000FF"/>
            <w:sz w:val="20"/>
            <w:szCs w:val="20"/>
            <w:u w:val="single"/>
            <w:lang w:val="es-ES"/>
          </w:rPr>
          <w:t>https://salve.icmbio.gov.br</w:t>
        </w:r>
      </w:hyperlink>
      <w:r w:rsidRPr="00E613B5">
        <w:rPr>
          <w:rFonts w:cs="Arial"/>
          <w:sz w:val="20"/>
          <w:szCs w:val="20"/>
          <w:lang w:val="es-ES"/>
        </w:rPr>
        <w:br/>
        <w:t>https://doi.org/10.37002/salve.ficha.31196.2 (</w:t>
      </w:r>
      <w:proofErr w:type="spellStart"/>
      <w:r w:rsidRPr="00E613B5">
        <w:rPr>
          <w:rFonts w:cs="Arial"/>
          <w:sz w:val="20"/>
          <w:szCs w:val="20"/>
          <w:lang w:val="es-ES"/>
        </w:rPr>
        <w:t>Acesso</w:t>
      </w:r>
      <w:proofErr w:type="spellEnd"/>
      <w:r w:rsidRPr="00E613B5">
        <w:rPr>
          <w:rFonts w:cs="Arial"/>
          <w:sz w:val="20"/>
          <w:szCs w:val="20"/>
          <w:lang w:val="es-ES"/>
        </w:rPr>
        <w:t xml:space="preserve"> em 25 de </w:t>
      </w:r>
      <w:proofErr w:type="spellStart"/>
      <w:r w:rsidRPr="00E613B5">
        <w:rPr>
          <w:rFonts w:cs="Arial"/>
          <w:sz w:val="20"/>
          <w:szCs w:val="20"/>
          <w:lang w:val="es-ES"/>
        </w:rPr>
        <w:t>setembro</w:t>
      </w:r>
      <w:proofErr w:type="spellEnd"/>
      <w:r w:rsidRPr="00E613B5">
        <w:rPr>
          <w:rFonts w:cs="Arial"/>
          <w:sz w:val="20"/>
          <w:szCs w:val="20"/>
          <w:lang w:val="es-ES"/>
        </w:rPr>
        <w:t xml:space="preserve"> de 2025)</w:t>
      </w:r>
    </w:p>
    <w:p w14:paraId="51ACC865" w14:textId="77777777" w:rsidR="00151745" w:rsidRPr="00E613B5" w:rsidRDefault="00151745" w:rsidP="00FF680C">
      <w:pPr>
        <w:tabs>
          <w:tab w:val="left" w:pos="8910"/>
        </w:tabs>
        <w:spacing w:after="80" w:line="240" w:lineRule="auto"/>
        <w:ind w:left="547" w:right="101" w:hanging="547"/>
        <w:jc w:val="both"/>
        <w:rPr>
          <w:rFonts w:cs="Arial"/>
          <w:sz w:val="20"/>
          <w:szCs w:val="20"/>
        </w:rPr>
      </w:pPr>
      <w:proofErr w:type="spellStart"/>
      <w:r w:rsidRPr="00E613B5">
        <w:rPr>
          <w:rFonts w:cs="Arial"/>
          <w:sz w:val="20"/>
          <w:szCs w:val="20"/>
          <w:lang w:val="es-ES"/>
        </w:rPr>
        <w:t>Cordiviola</w:t>
      </w:r>
      <w:proofErr w:type="spellEnd"/>
      <w:r w:rsidRPr="00E613B5">
        <w:rPr>
          <w:rFonts w:cs="Arial"/>
          <w:sz w:val="20"/>
          <w:szCs w:val="20"/>
          <w:lang w:val="es-ES"/>
        </w:rPr>
        <w:t xml:space="preserve">, E., Campana, M., Demonte, D., Del Barco, D., &amp; </w:t>
      </w:r>
      <w:proofErr w:type="spellStart"/>
      <w:r w:rsidRPr="00E613B5">
        <w:rPr>
          <w:rFonts w:cs="Arial"/>
          <w:sz w:val="20"/>
          <w:szCs w:val="20"/>
          <w:lang w:val="es-ES"/>
        </w:rPr>
        <w:t>Trógolo</w:t>
      </w:r>
      <w:proofErr w:type="spellEnd"/>
      <w:r w:rsidRPr="00E613B5">
        <w:rPr>
          <w:rFonts w:cs="Arial"/>
          <w:sz w:val="20"/>
          <w:szCs w:val="20"/>
          <w:lang w:val="es-ES"/>
        </w:rPr>
        <w:t xml:space="preserve">, A. (2009). </w:t>
      </w:r>
      <w:r w:rsidRPr="00E613B5">
        <w:rPr>
          <w:rFonts w:cs="Arial"/>
          <w:sz w:val="20"/>
          <w:szCs w:val="20"/>
        </w:rPr>
        <w:t xml:space="preserve">Conservation state of </w:t>
      </w:r>
      <w:proofErr w:type="spellStart"/>
      <w:r w:rsidRPr="00E613B5">
        <w:rPr>
          <w:rFonts w:cs="Arial"/>
          <w:sz w:val="20"/>
          <w:szCs w:val="20"/>
        </w:rPr>
        <w:t>Siluriformes</w:t>
      </w:r>
      <w:proofErr w:type="spellEnd"/>
      <w:r w:rsidRPr="00E613B5">
        <w:rPr>
          <w:rFonts w:cs="Arial"/>
          <w:sz w:val="20"/>
          <w:szCs w:val="20"/>
        </w:rPr>
        <w:t xml:space="preserve"> fishes from the RAMSAR site </w:t>
      </w:r>
      <w:proofErr w:type="spellStart"/>
      <w:r w:rsidRPr="00E613B5">
        <w:rPr>
          <w:rFonts w:cs="Arial"/>
          <w:sz w:val="20"/>
          <w:szCs w:val="20"/>
        </w:rPr>
        <w:t>Jaaukanigás</w:t>
      </w:r>
      <w:proofErr w:type="spellEnd"/>
      <w:r w:rsidRPr="00E613B5">
        <w:rPr>
          <w:rFonts w:cs="Arial"/>
          <w:sz w:val="20"/>
          <w:szCs w:val="20"/>
        </w:rPr>
        <w:t xml:space="preserve"> (Middle Paraná River), Argentina. </w:t>
      </w:r>
      <w:r w:rsidRPr="00E613B5">
        <w:rPr>
          <w:rFonts w:cs="Arial"/>
          <w:i/>
          <w:iCs/>
          <w:sz w:val="20"/>
          <w:szCs w:val="20"/>
        </w:rPr>
        <w:t>Gayana, 73</w:t>
      </w:r>
      <w:r w:rsidRPr="00E613B5">
        <w:rPr>
          <w:rFonts w:cs="Arial"/>
          <w:sz w:val="20"/>
          <w:szCs w:val="20"/>
        </w:rPr>
        <w:t>(2), 222–232. https://doi.org/10.4067/S0717-65382009000200011</w:t>
      </w:r>
    </w:p>
    <w:p w14:paraId="6C90A521" w14:textId="77777777" w:rsidR="00151745" w:rsidRPr="00E613B5" w:rsidRDefault="00151745" w:rsidP="00FF680C">
      <w:pPr>
        <w:tabs>
          <w:tab w:val="left" w:pos="8910"/>
        </w:tabs>
        <w:spacing w:after="80" w:line="240" w:lineRule="auto"/>
        <w:ind w:left="547" w:right="101" w:hanging="547"/>
        <w:jc w:val="both"/>
        <w:rPr>
          <w:rFonts w:cs="Arial"/>
          <w:sz w:val="20"/>
          <w:szCs w:val="20"/>
        </w:rPr>
      </w:pPr>
      <w:r w:rsidRPr="00E613B5">
        <w:rPr>
          <w:rFonts w:cs="Arial"/>
          <w:sz w:val="20"/>
          <w:szCs w:val="20"/>
        </w:rPr>
        <w:t xml:space="preserve">Couto, T. B. A., Messager, M. L., &amp; Olden, J. D. (2021). Safeguarding migratory fish via strategic planning of future small hydropower in Brazil. </w:t>
      </w:r>
      <w:r w:rsidRPr="00E613B5">
        <w:rPr>
          <w:rFonts w:cs="Arial"/>
          <w:i/>
          <w:iCs/>
          <w:sz w:val="20"/>
          <w:szCs w:val="20"/>
        </w:rPr>
        <w:t>Nature Sustainability, 4</w:t>
      </w:r>
      <w:r w:rsidRPr="00E613B5">
        <w:rPr>
          <w:rFonts w:cs="Arial"/>
          <w:sz w:val="20"/>
          <w:szCs w:val="20"/>
        </w:rPr>
        <w:t xml:space="preserve">(5), 409–416. </w:t>
      </w:r>
      <w:hyperlink r:id="rId15" w:tgtFrame="_new" w:history="1">
        <w:r w:rsidRPr="00E613B5">
          <w:rPr>
            <w:rFonts w:cs="Arial"/>
            <w:color w:val="0000FF"/>
            <w:sz w:val="20"/>
            <w:szCs w:val="20"/>
            <w:u w:val="single"/>
          </w:rPr>
          <w:t>https://doi.org/10.1038/s41893-020-00665-4</w:t>
        </w:r>
      </w:hyperlink>
    </w:p>
    <w:p w14:paraId="041BC60C" w14:textId="77777777" w:rsidR="00151745" w:rsidRPr="00E613B5" w:rsidRDefault="00151745" w:rsidP="00FF680C">
      <w:pPr>
        <w:tabs>
          <w:tab w:val="left" w:pos="8910"/>
        </w:tabs>
        <w:spacing w:after="80" w:line="240" w:lineRule="auto"/>
        <w:ind w:left="547" w:right="101" w:hanging="547"/>
        <w:jc w:val="both"/>
        <w:rPr>
          <w:rFonts w:cs="Arial"/>
          <w:sz w:val="20"/>
          <w:szCs w:val="20"/>
          <w:lang w:val="es-ES"/>
        </w:rPr>
      </w:pPr>
      <w:r w:rsidRPr="00E613B5">
        <w:rPr>
          <w:rFonts w:cs="Arial"/>
          <w:sz w:val="20"/>
          <w:szCs w:val="20"/>
        </w:rPr>
        <w:t xml:space="preserve">Fernandes, R., Graça, W. J., </w:t>
      </w:r>
      <w:proofErr w:type="spellStart"/>
      <w:r w:rsidRPr="00E613B5">
        <w:rPr>
          <w:rFonts w:cs="Arial"/>
          <w:sz w:val="20"/>
          <w:szCs w:val="20"/>
        </w:rPr>
        <w:t>Mateussi</w:t>
      </w:r>
      <w:proofErr w:type="spellEnd"/>
      <w:r w:rsidRPr="00E613B5">
        <w:rPr>
          <w:rFonts w:cs="Arial"/>
          <w:sz w:val="20"/>
          <w:szCs w:val="20"/>
        </w:rPr>
        <w:t xml:space="preserve">, N. T. B., Lima, F. C. T., &amp; Oliveira, C. (2023). </w:t>
      </w:r>
      <w:proofErr w:type="spellStart"/>
      <w:r w:rsidRPr="00E613B5">
        <w:rPr>
          <w:rFonts w:cs="Arial"/>
          <w:sz w:val="20"/>
          <w:szCs w:val="20"/>
          <w:lang w:val="es-ES"/>
        </w:rPr>
        <w:t>Peixe</w:t>
      </w:r>
      <w:proofErr w:type="spellEnd"/>
      <w:r w:rsidRPr="00E613B5">
        <w:rPr>
          <w:rFonts w:cs="Arial"/>
          <w:sz w:val="20"/>
          <w:szCs w:val="20"/>
          <w:lang w:val="es-ES"/>
        </w:rPr>
        <w:t xml:space="preserve"> da vez: </w:t>
      </w:r>
      <w:proofErr w:type="spellStart"/>
      <w:r w:rsidRPr="00E613B5">
        <w:rPr>
          <w:rFonts w:cs="Arial"/>
          <w:i/>
          <w:iCs/>
          <w:sz w:val="20"/>
          <w:szCs w:val="20"/>
          <w:lang w:val="es-ES"/>
        </w:rPr>
        <w:t>Pseudoplatystoma</w:t>
      </w:r>
      <w:proofErr w:type="spellEnd"/>
      <w:r w:rsidRPr="00E613B5">
        <w:rPr>
          <w:rFonts w:cs="Arial"/>
          <w:i/>
          <w:iCs/>
          <w:sz w:val="20"/>
          <w:szCs w:val="20"/>
          <w:lang w:val="es-ES"/>
        </w:rPr>
        <w:t xml:space="preserve"> </w:t>
      </w:r>
      <w:proofErr w:type="spellStart"/>
      <w:r w:rsidRPr="00E613B5">
        <w:rPr>
          <w:rFonts w:cs="Arial"/>
          <w:i/>
          <w:iCs/>
          <w:sz w:val="20"/>
          <w:szCs w:val="20"/>
          <w:lang w:val="es-ES"/>
        </w:rPr>
        <w:t>corruscans</w:t>
      </w:r>
      <w:proofErr w:type="spellEnd"/>
      <w:r w:rsidRPr="00E613B5">
        <w:rPr>
          <w:rFonts w:cs="Arial"/>
          <w:sz w:val="20"/>
          <w:szCs w:val="20"/>
          <w:lang w:val="es-ES"/>
        </w:rPr>
        <w:t xml:space="preserve">. </w:t>
      </w:r>
      <w:proofErr w:type="spellStart"/>
      <w:r w:rsidRPr="00E613B5">
        <w:rPr>
          <w:rFonts w:cs="Arial"/>
          <w:i/>
          <w:iCs/>
          <w:sz w:val="20"/>
          <w:szCs w:val="20"/>
          <w:lang w:val="es-ES"/>
        </w:rPr>
        <w:t>Boletim</w:t>
      </w:r>
      <w:proofErr w:type="spellEnd"/>
      <w:r w:rsidRPr="00E613B5">
        <w:rPr>
          <w:rFonts w:cs="Arial"/>
          <w:i/>
          <w:iCs/>
          <w:sz w:val="20"/>
          <w:szCs w:val="20"/>
          <w:lang w:val="es-ES"/>
        </w:rPr>
        <w:t xml:space="preserve"> da </w:t>
      </w:r>
      <w:proofErr w:type="spellStart"/>
      <w:r w:rsidRPr="00E613B5">
        <w:rPr>
          <w:rFonts w:cs="Arial"/>
          <w:i/>
          <w:iCs/>
          <w:sz w:val="20"/>
          <w:szCs w:val="20"/>
          <w:lang w:val="es-ES"/>
        </w:rPr>
        <w:t>Sociedade</w:t>
      </w:r>
      <w:proofErr w:type="spellEnd"/>
      <w:r w:rsidRPr="00E613B5">
        <w:rPr>
          <w:rFonts w:cs="Arial"/>
          <w:i/>
          <w:iCs/>
          <w:sz w:val="20"/>
          <w:szCs w:val="20"/>
          <w:lang w:val="es-ES"/>
        </w:rPr>
        <w:t xml:space="preserve"> Brasileira de </w:t>
      </w:r>
      <w:proofErr w:type="spellStart"/>
      <w:r w:rsidRPr="00E613B5">
        <w:rPr>
          <w:rFonts w:cs="Arial"/>
          <w:i/>
          <w:iCs/>
          <w:sz w:val="20"/>
          <w:szCs w:val="20"/>
          <w:lang w:val="es-ES"/>
        </w:rPr>
        <w:t>Ictiologia</w:t>
      </w:r>
      <w:proofErr w:type="spellEnd"/>
      <w:r w:rsidRPr="00E613B5">
        <w:rPr>
          <w:rFonts w:cs="Arial"/>
          <w:i/>
          <w:iCs/>
          <w:sz w:val="20"/>
          <w:szCs w:val="20"/>
          <w:lang w:val="es-ES"/>
        </w:rPr>
        <w:t>, (143)</w:t>
      </w:r>
      <w:r w:rsidRPr="00E613B5">
        <w:rPr>
          <w:rFonts w:cs="Arial"/>
          <w:sz w:val="20"/>
          <w:szCs w:val="20"/>
          <w:lang w:val="es-ES"/>
        </w:rPr>
        <w:t xml:space="preserve">, 36–41. </w:t>
      </w:r>
      <w:hyperlink r:id="rId16" w:tgtFrame="_new" w:history="1">
        <w:r w:rsidRPr="00E613B5">
          <w:rPr>
            <w:rFonts w:cs="Arial"/>
            <w:color w:val="0000FF"/>
            <w:sz w:val="20"/>
            <w:szCs w:val="20"/>
            <w:u w:val="single"/>
            <w:lang w:val="es-ES"/>
          </w:rPr>
          <w:t>https://doi.org/10.13140/RG.2.2.11014.96329</w:t>
        </w:r>
      </w:hyperlink>
    </w:p>
    <w:p w14:paraId="388972EE" w14:textId="77777777" w:rsidR="00151745" w:rsidRPr="00E613B5" w:rsidRDefault="00151745" w:rsidP="00FF680C">
      <w:pPr>
        <w:tabs>
          <w:tab w:val="left" w:pos="8910"/>
        </w:tabs>
        <w:spacing w:after="80" w:line="240" w:lineRule="auto"/>
        <w:ind w:left="547" w:right="101" w:hanging="547"/>
        <w:jc w:val="both"/>
        <w:rPr>
          <w:rFonts w:cs="Arial"/>
          <w:sz w:val="20"/>
          <w:szCs w:val="20"/>
          <w:lang w:val="es-ES"/>
        </w:rPr>
      </w:pPr>
      <w:r w:rsidRPr="00E613B5">
        <w:rPr>
          <w:rFonts w:cs="Arial"/>
          <w:sz w:val="20"/>
          <w:szCs w:val="20"/>
          <w:lang w:val="es-ES"/>
        </w:rPr>
        <w:t xml:space="preserve">Loureiro, M., </w:t>
      </w:r>
      <w:proofErr w:type="spellStart"/>
      <w:r w:rsidRPr="00E613B5">
        <w:rPr>
          <w:rFonts w:cs="Arial"/>
          <w:sz w:val="20"/>
          <w:szCs w:val="20"/>
          <w:lang w:val="es-ES"/>
        </w:rPr>
        <w:t>Zarucki</w:t>
      </w:r>
      <w:proofErr w:type="spellEnd"/>
      <w:r w:rsidRPr="00E613B5">
        <w:rPr>
          <w:rFonts w:cs="Arial"/>
          <w:sz w:val="20"/>
          <w:szCs w:val="20"/>
          <w:lang w:val="es-ES"/>
        </w:rPr>
        <w:t xml:space="preserve">, M., González, I., Vidal, N., &amp; Fabiano, G. (2013). Peces continentales. In A. Soutullo, C. Clavijo, &amp; J. A. Martínez-Lanfranco (Eds.), </w:t>
      </w:r>
      <w:r w:rsidRPr="00E613B5">
        <w:rPr>
          <w:rFonts w:cs="Arial"/>
          <w:i/>
          <w:iCs/>
          <w:sz w:val="20"/>
          <w:szCs w:val="20"/>
          <w:lang w:val="es-ES"/>
        </w:rPr>
        <w:t>Especies prioritarias para la conservación en Uruguay. Vertebrados, moluscos continentales y plantas vasculares</w:t>
      </w:r>
      <w:r w:rsidRPr="00E613B5">
        <w:rPr>
          <w:rFonts w:cs="Arial"/>
          <w:sz w:val="20"/>
          <w:szCs w:val="20"/>
          <w:lang w:val="es-ES"/>
        </w:rPr>
        <w:t xml:space="preserve"> (pp. 91–112). SNAP/DINAMA/MVOTMA y DICYT/MEC.</w:t>
      </w:r>
    </w:p>
    <w:p w14:paraId="0C0AF3A0" w14:textId="77777777" w:rsidR="00151745" w:rsidRPr="00E613B5" w:rsidRDefault="00151745" w:rsidP="00FF680C">
      <w:pPr>
        <w:tabs>
          <w:tab w:val="left" w:pos="8910"/>
        </w:tabs>
        <w:spacing w:after="80" w:line="240" w:lineRule="auto"/>
        <w:ind w:left="547" w:right="101" w:hanging="547"/>
        <w:jc w:val="both"/>
        <w:rPr>
          <w:rFonts w:cs="Arial"/>
          <w:sz w:val="20"/>
          <w:szCs w:val="20"/>
        </w:rPr>
      </w:pPr>
      <w:r w:rsidRPr="00E613B5">
        <w:rPr>
          <w:rFonts w:cs="Arial"/>
          <w:sz w:val="20"/>
          <w:szCs w:val="20"/>
          <w:lang w:val="es-ES"/>
        </w:rPr>
        <w:t xml:space="preserve">Machado, C. B., Braga-Silva, A., Freitas, P. D., &amp; </w:t>
      </w:r>
      <w:proofErr w:type="spellStart"/>
      <w:r w:rsidRPr="00E613B5">
        <w:rPr>
          <w:rFonts w:cs="Arial"/>
          <w:sz w:val="20"/>
          <w:szCs w:val="20"/>
          <w:lang w:val="es-ES"/>
        </w:rPr>
        <w:t>Galetti</w:t>
      </w:r>
      <w:proofErr w:type="spellEnd"/>
      <w:r w:rsidRPr="00E613B5">
        <w:rPr>
          <w:rFonts w:cs="Arial"/>
          <w:sz w:val="20"/>
          <w:szCs w:val="20"/>
          <w:lang w:val="es-ES"/>
        </w:rPr>
        <w:t xml:space="preserve"> Jr., P. M. (2021). </w:t>
      </w:r>
      <w:r w:rsidRPr="00E613B5">
        <w:rPr>
          <w:rFonts w:cs="Arial"/>
          <w:sz w:val="20"/>
          <w:szCs w:val="20"/>
        </w:rPr>
        <w:t xml:space="preserve">Damming shapes genetic patterns and may affect the persistence of freshwater fish populations. </w:t>
      </w:r>
      <w:r w:rsidRPr="00E613B5">
        <w:rPr>
          <w:rFonts w:cs="Arial"/>
          <w:i/>
          <w:iCs/>
          <w:sz w:val="20"/>
          <w:szCs w:val="20"/>
        </w:rPr>
        <w:t>Freshwater Biology, 67</w:t>
      </w:r>
      <w:r w:rsidRPr="00E613B5">
        <w:rPr>
          <w:rFonts w:cs="Arial"/>
          <w:sz w:val="20"/>
          <w:szCs w:val="20"/>
        </w:rPr>
        <w:t xml:space="preserve">(4), 603–618. </w:t>
      </w:r>
      <w:hyperlink r:id="rId17" w:tgtFrame="_new" w:history="1">
        <w:r w:rsidRPr="00E613B5">
          <w:rPr>
            <w:rFonts w:cs="Arial"/>
            <w:color w:val="0000FF"/>
            <w:sz w:val="20"/>
            <w:szCs w:val="20"/>
            <w:u w:val="single"/>
          </w:rPr>
          <w:t>https://doi.org/10.1111/fwb.13866</w:t>
        </w:r>
      </w:hyperlink>
    </w:p>
    <w:p w14:paraId="1B30E877" w14:textId="77777777" w:rsidR="00151745" w:rsidRPr="00E613B5" w:rsidRDefault="00151745" w:rsidP="00FF680C">
      <w:pPr>
        <w:tabs>
          <w:tab w:val="left" w:pos="8910"/>
        </w:tabs>
        <w:spacing w:after="80" w:line="240" w:lineRule="auto"/>
        <w:ind w:left="547" w:right="101" w:hanging="547"/>
        <w:jc w:val="both"/>
        <w:rPr>
          <w:rFonts w:cs="Arial"/>
          <w:sz w:val="20"/>
          <w:szCs w:val="20"/>
          <w:lang w:val="es-ES"/>
        </w:rPr>
      </w:pPr>
      <w:r w:rsidRPr="00E613B5">
        <w:rPr>
          <w:rFonts w:cs="Arial"/>
          <w:sz w:val="20"/>
          <w:szCs w:val="20"/>
        </w:rPr>
        <w:t xml:space="preserve">Mello, P. H., </w:t>
      </w:r>
      <w:proofErr w:type="spellStart"/>
      <w:r w:rsidRPr="00E613B5">
        <w:rPr>
          <w:rFonts w:cs="Arial"/>
          <w:sz w:val="20"/>
          <w:szCs w:val="20"/>
        </w:rPr>
        <w:t>Venturieri</w:t>
      </w:r>
      <w:proofErr w:type="spellEnd"/>
      <w:r w:rsidRPr="00E613B5">
        <w:rPr>
          <w:rFonts w:cs="Arial"/>
          <w:sz w:val="20"/>
          <w:szCs w:val="20"/>
        </w:rPr>
        <w:t xml:space="preserve">, R. L. L., </w:t>
      </w:r>
      <w:proofErr w:type="spellStart"/>
      <w:r w:rsidRPr="00E613B5">
        <w:rPr>
          <w:rFonts w:cs="Arial"/>
          <w:sz w:val="20"/>
          <w:szCs w:val="20"/>
        </w:rPr>
        <w:t>Honji</w:t>
      </w:r>
      <w:proofErr w:type="spellEnd"/>
      <w:r w:rsidRPr="00E613B5">
        <w:rPr>
          <w:rFonts w:cs="Arial"/>
          <w:sz w:val="20"/>
          <w:szCs w:val="20"/>
        </w:rPr>
        <w:t xml:space="preserve">, R. M., &amp; Moreira, R. G. (2009). Threatened fishes of the world: </w:t>
      </w:r>
      <w:proofErr w:type="spellStart"/>
      <w:r w:rsidRPr="00E613B5">
        <w:rPr>
          <w:rFonts w:cs="Arial"/>
          <w:i/>
          <w:iCs/>
          <w:sz w:val="20"/>
          <w:szCs w:val="20"/>
        </w:rPr>
        <w:t>Pseudoplatystoma</w:t>
      </w:r>
      <w:proofErr w:type="spellEnd"/>
      <w:r w:rsidRPr="00E613B5">
        <w:rPr>
          <w:rFonts w:cs="Arial"/>
          <w:i/>
          <w:iCs/>
          <w:sz w:val="20"/>
          <w:szCs w:val="20"/>
        </w:rPr>
        <w:t xml:space="preserve"> </w:t>
      </w:r>
      <w:proofErr w:type="spellStart"/>
      <w:r w:rsidRPr="00E613B5">
        <w:rPr>
          <w:rFonts w:cs="Arial"/>
          <w:i/>
          <w:iCs/>
          <w:sz w:val="20"/>
          <w:szCs w:val="20"/>
        </w:rPr>
        <w:t>corruscans</w:t>
      </w:r>
      <w:proofErr w:type="spellEnd"/>
      <w:r w:rsidRPr="00E613B5">
        <w:rPr>
          <w:rFonts w:cs="Arial"/>
          <w:sz w:val="20"/>
          <w:szCs w:val="20"/>
        </w:rPr>
        <w:t xml:space="preserve"> (Agassiz, 1829) (</w:t>
      </w:r>
      <w:proofErr w:type="spellStart"/>
      <w:r w:rsidRPr="00E613B5">
        <w:rPr>
          <w:rFonts w:cs="Arial"/>
          <w:sz w:val="20"/>
          <w:szCs w:val="20"/>
        </w:rPr>
        <w:t>Siluriformes</w:t>
      </w:r>
      <w:proofErr w:type="spellEnd"/>
      <w:r w:rsidRPr="00E613B5">
        <w:rPr>
          <w:rFonts w:cs="Arial"/>
          <w:sz w:val="20"/>
          <w:szCs w:val="20"/>
        </w:rPr>
        <w:t xml:space="preserve">: </w:t>
      </w:r>
      <w:proofErr w:type="spellStart"/>
      <w:r w:rsidRPr="00E613B5">
        <w:rPr>
          <w:rFonts w:cs="Arial"/>
          <w:sz w:val="20"/>
          <w:szCs w:val="20"/>
        </w:rPr>
        <w:t>Pimelodidae</w:t>
      </w:r>
      <w:proofErr w:type="spellEnd"/>
      <w:r w:rsidRPr="00E613B5">
        <w:rPr>
          <w:rFonts w:cs="Arial"/>
          <w:sz w:val="20"/>
          <w:szCs w:val="20"/>
        </w:rPr>
        <w:t xml:space="preserve">). </w:t>
      </w:r>
      <w:proofErr w:type="spellStart"/>
      <w:r w:rsidRPr="00E613B5">
        <w:rPr>
          <w:rFonts w:cs="Arial"/>
          <w:i/>
          <w:iCs/>
          <w:sz w:val="20"/>
          <w:szCs w:val="20"/>
          <w:lang w:val="es-ES"/>
        </w:rPr>
        <w:t>Environmental</w:t>
      </w:r>
      <w:proofErr w:type="spellEnd"/>
      <w:r w:rsidRPr="00E613B5">
        <w:rPr>
          <w:rFonts w:cs="Arial"/>
          <w:i/>
          <w:iCs/>
          <w:sz w:val="20"/>
          <w:szCs w:val="20"/>
          <w:lang w:val="es-ES"/>
        </w:rPr>
        <w:t xml:space="preserve"> </w:t>
      </w:r>
      <w:proofErr w:type="spellStart"/>
      <w:r w:rsidRPr="00E613B5">
        <w:rPr>
          <w:rFonts w:cs="Arial"/>
          <w:i/>
          <w:iCs/>
          <w:sz w:val="20"/>
          <w:szCs w:val="20"/>
          <w:lang w:val="es-ES"/>
        </w:rPr>
        <w:t>Biology</w:t>
      </w:r>
      <w:proofErr w:type="spellEnd"/>
      <w:r w:rsidRPr="00E613B5">
        <w:rPr>
          <w:rFonts w:cs="Arial"/>
          <w:i/>
          <w:iCs/>
          <w:sz w:val="20"/>
          <w:szCs w:val="20"/>
          <w:lang w:val="es-ES"/>
        </w:rPr>
        <w:t xml:space="preserve"> of </w:t>
      </w:r>
      <w:proofErr w:type="spellStart"/>
      <w:r w:rsidRPr="00E613B5">
        <w:rPr>
          <w:rFonts w:cs="Arial"/>
          <w:i/>
          <w:iCs/>
          <w:sz w:val="20"/>
          <w:szCs w:val="20"/>
          <w:lang w:val="es-ES"/>
        </w:rPr>
        <w:t>Fishes</w:t>
      </w:r>
      <w:proofErr w:type="spellEnd"/>
      <w:r w:rsidRPr="00E613B5">
        <w:rPr>
          <w:rFonts w:cs="Arial"/>
          <w:i/>
          <w:iCs/>
          <w:sz w:val="20"/>
          <w:szCs w:val="20"/>
          <w:lang w:val="es-ES"/>
        </w:rPr>
        <w:t>, 85</w:t>
      </w:r>
      <w:r w:rsidRPr="00E613B5">
        <w:rPr>
          <w:rFonts w:cs="Arial"/>
          <w:sz w:val="20"/>
          <w:szCs w:val="20"/>
          <w:lang w:val="es-ES"/>
        </w:rPr>
        <w:t xml:space="preserve">, 359–360. </w:t>
      </w:r>
      <w:hyperlink r:id="rId18">
        <w:r w:rsidRPr="00E613B5">
          <w:rPr>
            <w:rStyle w:val="Hyperlink"/>
            <w:rFonts w:cs="Arial"/>
            <w:sz w:val="20"/>
            <w:szCs w:val="20"/>
            <w:lang w:val="es-ES"/>
          </w:rPr>
          <w:t>https://doi.org/10.1007/s10641-009-9493-2</w:t>
        </w:r>
      </w:hyperlink>
    </w:p>
    <w:p w14:paraId="3E52DE92" w14:textId="77777777" w:rsidR="00151745" w:rsidRPr="00E613B5" w:rsidRDefault="00151745" w:rsidP="00FF680C">
      <w:pPr>
        <w:tabs>
          <w:tab w:val="left" w:pos="8910"/>
        </w:tabs>
        <w:spacing w:after="80" w:line="240" w:lineRule="auto"/>
        <w:ind w:left="547" w:right="101" w:hanging="547"/>
        <w:jc w:val="both"/>
        <w:rPr>
          <w:rFonts w:cs="Arial"/>
          <w:sz w:val="20"/>
          <w:szCs w:val="20"/>
          <w:lang w:val="es-ES"/>
        </w:rPr>
      </w:pPr>
      <w:proofErr w:type="spellStart"/>
      <w:r w:rsidRPr="00E613B5">
        <w:rPr>
          <w:rFonts w:cs="Arial"/>
          <w:sz w:val="20"/>
          <w:szCs w:val="20"/>
          <w:lang w:val="es-ES"/>
        </w:rPr>
        <w:t>Ministério</w:t>
      </w:r>
      <w:proofErr w:type="spellEnd"/>
      <w:r w:rsidRPr="00E613B5">
        <w:rPr>
          <w:rFonts w:cs="Arial"/>
          <w:sz w:val="20"/>
          <w:szCs w:val="20"/>
          <w:lang w:val="es-ES"/>
        </w:rPr>
        <w:t xml:space="preserve"> do </w:t>
      </w:r>
      <w:proofErr w:type="spellStart"/>
      <w:r w:rsidRPr="00E613B5">
        <w:rPr>
          <w:rFonts w:cs="Arial"/>
          <w:sz w:val="20"/>
          <w:szCs w:val="20"/>
          <w:lang w:val="es-ES"/>
        </w:rPr>
        <w:t>Meio</w:t>
      </w:r>
      <w:proofErr w:type="spellEnd"/>
      <w:r w:rsidRPr="00E613B5">
        <w:rPr>
          <w:rFonts w:cs="Arial"/>
          <w:sz w:val="20"/>
          <w:szCs w:val="20"/>
          <w:lang w:val="es-ES"/>
        </w:rPr>
        <w:t xml:space="preserve"> Ambiente e </w:t>
      </w:r>
      <w:proofErr w:type="spellStart"/>
      <w:r w:rsidRPr="00E613B5">
        <w:rPr>
          <w:rFonts w:cs="Arial"/>
          <w:sz w:val="20"/>
          <w:szCs w:val="20"/>
          <w:lang w:val="es-ES"/>
        </w:rPr>
        <w:t>Mudança</w:t>
      </w:r>
      <w:proofErr w:type="spellEnd"/>
      <w:r w:rsidRPr="00E613B5">
        <w:rPr>
          <w:rFonts w:cs="Arial"/>
          <w:sz w:val="20"/>
          <w:szCs w:val="20"/>
          <w:lang w:val="es-ES"/>
        </w:rPr>
        <w:t xml:space="preserve"> do Clima (MMA). (2022). </w:t>
      </w:r>
      <w:r w:rsidRPr="00E613B5">
        <w:rPr>
          <w:rFonts w:cs="Arial"/>
          <w:i/>
          <w:iCs/>
          <w:sz w:val="20"/>
          <w:szCs w:val="20"/>
          <w:lang w:val="es-ES"/>
        </w:rPr>
        <w:t xml:space="preserve">Plano de </w:t>
      </w:r>
      <w:proofErr w:type="spellStart"/>
      <w:r w:rsidRPr="00E613B5">
        <w:rPr>
          <w:rFonts w:cs="Arial"/>
          <w:i/>
          <w:iCs/>
          <w:sz w:val="20"/>
          <w:szCs w:val="20"/>
          <w:lang w:val="es-ES"/>
        </w:rPr>
        <w:t>recuperação</w:t>
      </w:r>
      <w:proofErr w:type="spellEnd"/>
      <w:r w:rsidRPr="00E613B5">
        <w:rPr>
          <w:rFonts w:cs="Arial"/>
          <w:i/>
          <w:iCs/>
          <w:sz w:val="20"/>
          <w:szCs w:val="20"/>
          <w:lang w:val="es-ES"/>
        </w:rPr>
        <w:t xml:space="preserve"> do </w:t>
      </w:r>
      <w:proofErr w:type="spellStart"/>
      <w:r w:rsidRPr="00E613B5">
        <w:rPr>
          <w:rFonts w:cs="Arial"/>
          <w:i/>
          <w:iCs/>
          <w:sz w:val="20"/>
          <w:szCs w:val="20"/>
          <w:lang w:val="es-ES"/>
        </w:rPr>
        <w:t>surubim</w:t>
      </w:r>
      <w:proofErr w:type="spellEnd"/>
      <w:r w:rsidRPr="00E613B5">
        <w:rPr>
          <w:rFonts w:cs="Arial"/>
          <w:i/>
          <w:iCs/>
          <w:sz w:val="20"/>
          <w:szCs w:val="20"/>
          <w:lang w:val="es-ES"/>
        </w:rPr>
        <w:t xml:space="preserve"> </w:t>
      </w:r>
      <w:proofErr w:type="spellStart"/>
      <w:r w:rsidRPr="00E613B5">
        <w:rPr>
          <w:rFonts w:cs="Arial"/>
          <w:i/>
          <w:iCs/>
          <w:sz w:val="20"/>
          <w:szCs w:val="20"/>
          <w:lang w:val="es-ES"/>
        </w:rPr>
        <w:t>ou</w:t>
      </w:r>
      <w:proofErr w:type="spellEnd"/>
      <w:r w:rsidRPr="00E613B5">
        <w:rPr>
          <w:rFonts w:cs="Arial"/>
          <w:i/>
          <w:iCs/>
          <w:sz w:val="20"/>
          <w:szCs w:val="20"/>
          <w:lang w:val="es-ES"/>
        </w:rPr>
        <w:t xml:space="preserve"> pintado (</w:t>
      </w:r>
      <w:proofErr w:type="spellStart"/>
      <w:r w:rsidRPr="00E613B5">
        <w:rPr>
          <w:rFonts w:cs="Arial"/>
          <w:i/>
          <w:iCs/>
          <w:sz w:val="20"/>
          <w:szCs w:val="20"/>
          <w:lang w:val="es-ES"/>
        </w:rPr>
        <w:t>Pseudoplatystoma</w:t>
      </w:r>
      <w:proofErr w:type="spellEnd"/>
      <w:r w:rsidRPr="00E613B5">
        <w:rPr>
          <w:rFonts w:cs="Arial"/>
          <w:i/>
          <w:iCs/>
          <w:sz w:val="20"/>
          <w:szCs w:val="20"/>
          <w:lang w:val="es-ES"/>
        </w:rPr>
        <w:t xml:space="preserve"> </w:t>
      </w:r>
      <w:proofErr w:type="spellStart"/>
      <w:r w:rsidRPr="00E613B5">
        <w:rPr>
          <w:rFonts w:cs="Arial"/>
          <w:i/>
          <w:iCs/>
          <w:sz w:val="20"/>
          <w:szCs w:val="20"/>
          <w:lang w:val="es-ES"/>
        </w:rPr>
        <w:t>corruscans</w:t>
      </w:r>
      <w:proofErr w:type="spellEnd"/>
      <w:r w:rsidRPr="00E613B5">
        <w:rPr>
          <w:rFonts w:cs="Arial"/>
          <w:i/>
          <w:iCs/>
          <w:sz w:val="20"/>
          <w:szCs w:val="20"/>
          <w:lang w:val="es-ES"/>
        </w:rPr>
        <w:t>)</w:t>
      </w:r>
      <w:r w:rsidRPr="00E613B5">
        <w:rPr>
          <w:rFonts w:cs="Arial"/>
          <w:sz w:val="20"/>
          <w:szCs w:val="20"/>
          <w:lang w:val="es-ES"/>
        </w:rPr>
        <w:t xml:space="preserve"> (82 p.). </w:t>
      </w:r>
      <w:proofErr w:type="spellStart"/>
      <w:r w:rsidRPr="00E613B5">
        <w:rPr>
          <w:rFonts w:cs="Arial"/>
          <w:sz w:val="20"/>
          <w:szCs w:val="20"/>
          <w:lang w:val="es-ES"/>
        </w:rPr>
        <w:t>Brasília</w:t>
      </w:r>
      <w:proofErr w:type="spellEnd"/>
      <w:r w:rsidRPr="00E613B5">
        <w:rPr>
          <w:rFonts w:cs="Arial"/>
          <w:sz w:val="20"/>
          <w:szCs w:val="20"/>
          <w:lang w:val="es-ES"/>
        </w:rPr>
        <w:t xml:space="preserve">, DF: MMA. </w:t>
      </w:r>
      <w:hyperlink r:id="rId19" w:tgtFrame="_new" w:history="1">
        <w:r w:rsidRPr="00E613B5">
          <w:rPr>
            <w:rFonts w:cs="Arial"/>
            <w:color w:val="0000FF"/>
            <w:sz w:val="20"/>
            <w:szCs w:val="20"/>
            <w:u w:val="single"/>
            <w:lang w:val="es-ES"/>
          </w:rPr>
          <w:t>https://www.gov.br/mma/pt/plano_de_recuperacao_pintado_nov_2022_final.pdf</w:t>
        </w:r>
      </w:hyperlink>
    </w:p>
    <w:p w14:paraId="0C314981" w14:textId="77777777" w:rsidR="00151745" w:rsidRPr="00E613B5" w:rsidRDefault="00151745" w:rsidP="00FF680C">
      <w:pPr>
        <w:tabs>
          <w:tab w:val="left" w:pos="8910"/>
        </w:tabs>
        <w:spacing w:after="80" w:line="240" w:lineRule="auto"/>
        <w:ind w:left="547" w:right="101" w:hanging="547"/>
        <w:jc w:val="both"/>
        <w:rPr>
          <w:rFonts w:cs="Arial"/>
          <w:sz w:val="20"/>
          <w:szCs w:val="20"/>
        </w:rPr>
      </w:pPr>
      <w:r w:rsidRPr="00E613B5">
        <w:rPr>
          <w:rFonts w:cs="Arial"/>
          <w:sz w:val="20"/>
          <w:szCs w:val="20"/>
        </w:rPr>
        <w:t xml:space="preserve">Resende, E. K. (2003). Migratory fishes of the Paraguay–Paraná Basin, excluding the upper Paraná Basin. In J. Carolsfeld, B. Harvey, C. Ross, &amp; A. Baer (Eds.), </w:t>
      </w:r>
      <w:r w:rsidRPr="00E613B5">
        <w:rPr>
          <w:rFonts w:cs="Arial"/>
          <w:i/>
          <w:iCs/>
          <w:sz w:val="20"/>
          <w:szCs w:val="20"/>
        </w:rPr>
        <w:t>Migratory fishes of South America</w:t>
      </w:r>
      <w:r w:rsidRPr="00E613B5">
        <w:rPr>
          <w:rFonts w:cs="Arial"/>
          <w:sz w:val="20"/>
          <w:szCs w:val="20"/>
        </w:rPr>
        <w:t xml:space="preserve"> (pp. 99–156). World Fisheries Trust.</w:t>
      </w:r>
    </w:p>
    <w:p w14:paraId="59DD91C2" w14:textId="77777777" w:rsidR="00151745" w:rsidRPr="00E613B5" w:rsidRDefault="00151745" w:rsidP="00FF680C">
      <w:pPr>
        <w:tabs>
          <w:tab w:val="left" w:pos="8910"/>
        </w:tabs>
        <w:spacing w:after="80" w:line="240" w:lineRule="auto"/>
        <w:ind w:left="547" w:right="101" w:hanging="547"/>
        <w:jc w:val="both"/>
        <w:rPr>
          <w:rFonts w:cs="Arial"/>
          <w:sz w:val="20"/>
          <w:szCs w:val="20"/>
        </w:rPr>
      </w:pPr>
      <w:r w:rsidRPr="00E613B5">
        <w:rPr>
          <w:rFonts w:cs="Arial"/>
          <w:sz w:val="20"/>
          <w:szCs w:val="20"/>
        </w:rPr>
        <w:t xml:space="preserve">Salvador, G. N. (2023). </w:t>
      </w:r>
      <w:proofErr w:type="spellStart"/>
      <w:r w:rsidRPr="00E613B5">
        <w:rPr>
          <w:rFonts w:cs="Arial"/>
          <w:i/>
          <w:iCs/>
          <w:sz w:val="20"/>
          <w:szCs w:val="20"/>
        </w:rPr>
        <w:t>Pseudoplatystoma</w:t>
      </w:r>
      <w:proofErr w:type="spellEnd"/>
      <w:r w:rsidRPr="00E613B5">
        <w:rPr>
          <w:rFonts w:cs="Arial"/>
          <w:i/>
          <w:iCs/>
          <w:sz w:val="20"/>
          <w:szCs w:val="20"/>
        </w:rPr>
        <w:t xml:space="preserve"> </w:t>
      </w:r>
      <w:proofErr w:type="spellStart"/>
      <w:r w:rsidRPr="00E613B5">
        <w:rPr>
          <w:rFonts w:cs="Arial"/>
          <w:i/>
          <w:iCs/>
          <w:sz w:val="20"/>
          <w:szCs w:val="20"/>
        </w:rPr>
        <w:t>corruscans</w:t>
      </w:r>
      <w:proofErr w:type="spellEnd"/>
      <w:r w:rsidRPr="00E613B5">
        <w:rPr>
          <w:rFonts w:cs="Arial"/>
          <w:sz w:val="20"/>
          <w:szCs w:val="20"/>
        </w:rPr>
        <w:t xml:space="preserve">. </w:t>
      </w:r>
      <w:r w:rsidRPr="00E613B5">
        <w:rPr>
          <w:rFonts w:cs="Arial"/>
          <w:i/>
          <w:iCs/>
          <w:sz w:val="20"/>
          <w:szCs w:val="20"/>
        </w:rPr>
        <w:t>The IUCN Red List of Threatened Species 2023:</w:t>
      </w:r>
      <w:r w:rsidRPr="00E613B5">
        <w:rPr>
          <w:rFonts w:cs="Arial"/>
          <w:sz w:val="20"/>
          <w:szCs w:val="20"/>
        </w:rPr>
        <w:t xml:space="preserve"> e.T186628A1815977. https://dx.doi.org/10.2305/IUCN.UK.2023-1.RLTS.T186628A1815977.en (</w:t>
      </w:r>
      <w:proofErr w:type="spellStart"/>
      <w:r w:rsidRPr="00E613B5">
        <w:rPr>
          <w:rFonts w:cs="Arial"/>
          <w:sz w:val="20"/>
          <w:szCs w:val="20"/>
        </w:rPr>
        <w:t>Acesso</w:t>
      </w:r>
      <w:proofErr w:type="spellEnd"/>
      <w:r w:rsidRPr="00E613B5">
        <w:rPr>
          <w:rFonts w:cs="Arial"/>
          <w:sz w:val="20"/>
          <w:szCs w:val="20"/>
        </w:rPr>
        <w:t xml:space="preserve"> </w:t>
      </w:r>
      <w:proofErr w:type="spellStart"/>
      <w:r w:rsidRPr="00E613B5">
        <w:rPr>
          <w:rFonts w:cs="Arial"/>
          <w:sz w:val="20"/>
          <w:szCs w:val="20"/>
        </w:rPr>
        <w:t>em</w:t>
      </w:r>
      <w:proofErr w:type="spellEnd"/>
      <w:r w:rsidRPr="00E613B5">
        <w:rPr>
          <w:rFonts w:cs="Arial"/>
          <w:sz w:val="20"/>
          <w:szCs w:val="20"/>
        </w:rPr>
        <w:t xml:space="preserve"> 25 de </w:t>
      </w:r>
      <w:proofErr w:type="spellStart"/>
      <w:r w:rsidRPr="00E613B5">
        <w:rPr>
          <w:rFonts w:cs="Arial"/>
          <w:sz w:val="20"/>
          <w:szCs w:val="20"/>
        </w:rPr>
        <w:t>setembro</w:t>
      </w:r>
      <w:proofErr w:type="spellEnd"/>
      <w:r w:rsidRPr="00E613B5">
        <w:rPr>
          <w:rFonts w:cs="Arial"/>
          <w:sz w:val="20"/>
          <w:szCs w:val="20"/>
        </w:rPr>
        <w:t xml:space="preserve"> de 2025)</w:t>
      </w:r>
    </w:p>
    <w:p w14:paraId="242DACA6" w14:textId="77777777" w:rsidR="00151745" w:rsidRPr="00E613B5" w:rsidRDefault="00151745" w:rsidP="00FF680C">
      <w:pPr>
        <w:tabs>
          <w:tab w:val="left" w:pos="8910"/>
        </w:tabs>
        <w:spacing w:after="80" w:line="240" w:lineRule="auto"/>
        <w:ind w:left="547" w:right="101" w:hanging="547"/>
        <w:jc w:val="both"/>
        <w:rPr>
          <w:rFonts w:cs="Arial"/>
          <w:sz w:val="20"/>
          <w:szCs w:val="20"/>
        </w:rPr>
      </w:pPr>
      <w:r w:rsidRPr="00E613B5">
        <w:rPr>
          <w:rFonts w:cs="Arial"/>
          <w:sz w:val="20"/>
          <w:szCs w:val="20"/>
          <w:lang w:val="de-DE"/>
        </w:rPr>
        <w:t xml:space="preserve">Sato, Y., Fenerich-Verani, N., &amp; Godinho, H. P. (2003). </w:t>
      </w:r>
      <w:r w:rsidRPr="00E613B5">
        <w:rPr>
          <w:rFonts w:cs="Arial"/>
          <w:sz w:val="20"/>
          <w:szCs w:val="20"/>
        </w:rPr>
        <w:t xml:space="preserve">Induced reproduction of fishes of the São Francisco. In H. P. Godinho &amp; A. L. Godinho (Eds.), </w:t>
      </w:r>
      <w:r w:rsidRPr="00E613B5">
        <w:rPr>
          <w:rFonts w:cs="Arial"/>
          <w:i/>
          <w:iCs/>
          <w:sz w:val="20"/>
          <w:szCs w:val="20"/>
        </w:rPr>
        <w:t>Waters, fishes, and fishermen of the São Francisco of Minas Gerais</w:t>
      </w:r>
      <w:r w:rsidRPr="00E613B5">
        <w:rPr>
          <w:rFonts w:cs="Arial"/>
          <w:sz w:val="20"/>
          <w:szCs w:val="20"/>
        </w:rPr>
        <w:t xml:space="preserve"> (pp. 275–290). PUC Minas.</w:t>
      </w:r>
    </w:p>
    <w:p w14:paraId="1426886B" w14:textId="7624C7BC" w:rsidR="006A689A" w:rsidRPr="00575A15" w:rsidRDefault="00151745" w:rsidP="00FF680C">
      <w:pPr>
        <w:tabs>
          <w:tab w:val="left" w:pos="8910"/>
        </w:tabs>
        <w:spacing w:after="0" w:line="240" w:lineRule="auto"/>
        <w:ind w:left="540" w:right="100" w:hanging="540"/>
        <w:jc w:val="both"/>
        <w:rPr>
          <w:lang w:val="es-ES"/>
        </w:rPr>
      </w:pPr>
      <w:r w:rsidRPr="00E613B5">
        <w:rPr>
          <w:rFonts w:cs="Arial"/>
          <w:sz w:val="20"/>
          <w:szCs w:val="20"/>
        </w:rPr>
        <w:t xml:space="preserve">Sato, Y., &amp; Godinho, H. P. (2003). Migratory fishes of the São Francisco River. In J. Carolsfeld, B. Harvey, &amp; C. Ross (Eds.), </w:t>
      </w:r>
      <w:r w:rsidRPr="00E613B5">
        <w:rPr>
          <w:rFonts w:cs="Arial"/>
          <w:i/>
          <w:iCs/>
          <w:sz w:val="20"/>
          <w:szCs w:val="20"/>
        </w:rPr>
        <w:t>Migratory fishes of South America</w:t>
      </w:r>
      <w:r w:rsidRPr="00E613B5">
        <w:rPr>
          <w:rFonts w:cs="Arial"/>
          <w:sz w:val="20"/>
          <w:szCs w:val="20"/>
        </w:rPr>
        <w:t xml:space="preserve"> (pp. 195–232). </w:t>
      </w:r>
      <w:proofErr w:type="spellStart"/>
      <w:r w:rsidRPr="00E613B5">
        <w:rPr>
          <w:rFonts w:cs="Arial"/>
          <w:sz w:val="20"/>
          <w:szCs w:val="20"/>
          <w:lang w:val="es-ES"/>
        </w:rPr>
        <w:t>World</w:t>
      </w:r>
      <w:proofErr w:type="spellEnd"/>
      <w:r w:rsidRPr="00E613B5">
        <w:rPr>
          <w:rFonts w:cs="Arial"/>
          <w:sz w:val="20"/>
          <w:szCs w:val="20"/>
          <w:lang w:val="es-ES"/>
        </w:rPr>
        <w:t xml:space="preserve"> </w:t>
      </w:r>
      <w:proofErr w:type="spellStart"/>
      <w:r w:rsidRPr="00E613B5">
        <w:rPr>
          <w:rFonts w:cs="Arial"/>
          <w:sz w:val="20"/>
          <w:szCs w:val="20"/>
          <w:lang w:val="es-ES"/>
        </w:rPr>
        <w:t>Fisheries</w:t>
      </w:r>
      <w:proofErr w:type="spellEnd"/>
      <w:r w:rsidRPr="00E613B5">
        <w:rPr>
          <w:rFonts w:cs="Arial"/>
          <w:sz w:val="20"/>
          <w:szCs w:val="20"/>
          <w:lang w:val="es-ES"/>
        </w:rPr>
        <w:t xml:space="preserve"> Trust.</w:t>
      </w:r>
    </w:p>
    <w:sectPr w:rsidR="006A689A" w:rsidRPr="00575A15" w:rsidSect="00D93628">
      <w:headerReference w:type="even" r:id="rId20"/>
      <w:headerReference w:type="default" r:id="rId21"/>
      <w:footerReference w:type="even" r:id="rId22"/>
      <w:footerReference w:type="default" r:id="rId23"/>
      <w:headerReference w:type="first" r:id="rId2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2DD1" w14:textId="77777777" w:rsidR="002C1FF1" w:rsidRDefault="002C1FF1" w:rsidP="002E0DE9">
      <w:pPr>
        <w:spacing w:after="0" w:line="240" w:lineRule="auto"/>
      </w:pPr>
      <w:r>
        <w:separator/>
      </w:r>
    </w:p>
  </w:endnote>
  <w:endnote w:type="continuationSeparator" w:id="0">
    <w:p w14:paraId="33466E72" w14:textId="77777777" w:rsidR="002C1FF1" w:rsidRDefault="002C1FF1" w:rsidP="002E0DE9">
      <w:pPr>
        <w:spacing w:after="0" w:line="240" w:lineRule="auto"/>
      </w:pPr>
      <w:r>
        <w:continuationSeparator/>
      </w:r>
    </w:p>
  </w:endnote>
  <w:endnote w:type="continuationNotice" w:id="1">
    <w:p w14:paraId="3996C46D" w14:textId="77777777" w:rsidR="002C1FF1" w:rsidRDefault="002C1F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8F4D702" w:rsidR="002E0DE9" w:rsidRPr="001B4E53" w:rsidRDefault="002E0DE9">
        <w:pPr>
          <w:pStyle w:val="Footer"/>
          <w:jc w:val="center"/>
          <w:rPr>
            <w:sz w:val="18"/>
            <w:szCs w:val="18"/>
          </w:rPr>
        </w:pPr>
        <w:r w:rsidRPr="001B4E53">
          <w:rPr>
            <w:sz w:val="18"/>
            <w:szCs w:val="18"/>
          </w:rPr>
          <w:fldChar w:fldCharType="begin"/>
        </w:r>
        <w:r w:rsidRPr="001B4E53">
          <w:rPr>
            <w:sz w:val="18"/>
            <w:szCs w:val="18"/>
          </w:rPr>
          <w:instrText xml:space="preserve"> PAGE   \* MERGEFORMAT </w:instrText>
        </w:r>
        <w:r w:rsidRPr="001B4E53">
          <w:rPr>
            <w:sz w:val="18"/>
            <w:szCs w:val="18"/>
          </w:rPr>
          <w:fldChar w:fldCharType="separate"/>
        </w:r>
        <w:r w:rsidR="00E36515">
          <w:rPr>
            <w:noProof/>
            <w:sz w:val="18"/>
            <w:szCs w:val="18"/>
          </w:rPr>
          <w:t>10</w:t>
        </w:r>
        <w:r w:rsidRPr="001B4E53">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A91EA4" w:rsidR="0035024E" w:rsidRPr="001B4E53" w:rsidRDefault="0035024E" w:rsidP="0035024E">
        <w:pPr>
          <w:pStyle w:val="Footer"/>
          <w:jc w:val="center"/>
          <w:rPr>
            <w:sz w:val="18"/>
            <w:szCs w:val="18"/>
          </w:rPr>
        </w:pPr>
        <w:r w:rsidRPr="001B4E53">
          <w:rPr>
            <w:sz w:val="18"/>
            <w:szCs w:val="18"/>
          </w:rPr>
          <w:fldChar w:fldCharType="begin"/>
        </w:r>
        <w:r w:rsidRPr="001B4E53">
          <w:rPr>
            <w:sz w:val="18"/>
            <w:szCs w:val="18"/>
          </w:rPr>
          <w:instrText xml:space="preserve"> PAGE   \* MERGEFORMAT </w:instrText>
        </w:r>
        <w:r w:rsidRPr="001B4E53">
          <w:rPr>
            <w:sz w:val="18"/>
            <w:szCs w:val="18"/>
          </w:rPr>
          <w:fldChar w:fldCharType="separate"/>
        </w:r>
        <w:r w:rsidR="00E36515">
          <w:rPr>
            <w:noProof/>
            <w:sz w:val="18"/>
            <w:szCs w:val="18"/>
          </w:rPr>
          <w:t>9</w:t>
        </w:r>
        <w:r w:rsidRPr="001B4E5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381A" w14:textId="77777777" w:rsidR="002C1FF1" w:rsidRDefault="002C1FF1" w:rsidP="002E0DE9">
      <w:pPr>
        <w:spacing w:after="0" w:line="240" w:lineRule="auto"/>
      </w:pPr>
      <w:r>
        <w:separator/>
      </w:r>
    </w:p>
  </w:footnote>
  <w:footnote w:type="continuationSeparator" w:id="0">
    <w:p w14:paraId="61CF6AD7" w14:textId="77777777" w:rsidR="002C1FF1" w:rsidRDefault="002C1FF1" w:rsidP="002E0DE9">
      <w:pPr>
        <w:spacing w:after="0" w:line="240" w:lineRule="auto"/>
      </w:pPr>
      <w:r>
        <w:continuationSeparator/>
      </w:r>
    </w:p>
  </w:footnote>
  <w:footnote w:type="continuationNotice" w:id="1">
    <w:p w14:paraId="336E0052" w14:textId="77777777" w:rsidR="002C1FF1" w:rsidRDefault="002C1F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2CB3FB2B" w:rsidR="002E0DE9" w:rsidRPr="001B4E53" w:rsidRDefault="002E0DE9" w:rsidP="002E0DE9">
    <w:pPr>
      <w:pStyle w:val="Header"/>
      <w:pBdr>
        <w:bottom w:val="single" w:sz="4" w:space="1" w:color="auto"/>
      </w:pBdr>
      <w:rPr>
        <w:i/>
        <w:sz w:val="18"/>
        <w:szCs w:val="18"/>
      </w:rPr>
    </w:pPr>
    <w:r w:rsidRPr="001B4E53">
      <w:rPr>
        <w:rFonts w:eastAsia="Times New Roman" w:cs="Arial"/>
        <w:i/>
        <w:sz w:val="18"/>
        <w:szCs w:val="18"/>
        <w:lang w:val="es-US"/>
      </w:rPr>
      <w:t>UNEP/CMS/COP15/Doc.30.2.</w:t>
    </w:r>
    <w:r w:rsidR="009947C5">
      <w:rPr>
        <w:rFonts w:eastAsia="Times New Roman" w:cs="Arial"/>
        <w:i/>
        <w:sz w:val="18"/>
        <w:szCs w:val="18"/>
        <w:lang w:val="es-US"/>
      </w:rPr>
      <w:t>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13DD68D0" w:rsidR="002E0DE9" w:rsidRPr="001B4E53" w:rsidRDefault="002E0DE9" w:rsidP="00842B75">
    <w:pPr>
      <w:pStyle w:val="Header"/>
      <w:pBdr>
        <w:bottom w:val="single" w:sz="4" w:space="1" w:color="auto"/>
      </w:pBdr>
      <w:jc w:val="right"/>
      <w:rPr>
        <w:i/>
        <w:sz w:val="18"/>
        <w:szCs w:val="18"/>
      </w:rPr>
    </w:pPr>
    <w:r w:rsidRPr="001B4E53">
      <w:rPr>
        <w:rFonts w:eastAsia="Times New Roman" w:cs="Arial"/>
        <w:i/>
        <w:sz w:val="18"/>
        <w:szCs w:val="18"/>
        <w:lang w:val="es-US"/>
      </w:rPr>
      <w:t>UNEP/CMS/COP15/Doc.</w:t>
    </w:r>
    <w:r w:rsidR="009947C5">
      <w:rPr>
        <w:rFonts w:eastAsia="Times New Roman" w:cs="Arial"/>
        <w:i/>
        <w:sz w:val="18"/>
        <w:szCs w:val="18"/>
        <w:lang w:val="es-US"/>
      </w:rPr>
      <w:t>30.2.17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5551" w14:textId="77777777" w:rsidR="008110EF" w:rsidRPr="00002A97" w:rsidRDefault="008110EF" w:rsidP="008110EF">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785DF078" wp14:editId="3918DA68">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7A388782" wp14:editId="65B387DA">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336F9954" wp14:editId="097F9BC8">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745BE3CA" w14:textId="77777777" w:rsidR="008110EF" w:rsidRDefault="00811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B1858"/>
    <w:multiLevelType w:val="hybridMultilevel"/>
    <w:tmpl w:val="EE747DEC"/>
    <w:lvl w:ilvl="0" w:tplc="33BCFE80">
      <w:start w:val="2"/>
      <w:numFmt w:val="upperLetter"/>
      <w:lvlText w:val="%1."/>
      <w:lvlJc w:val="left"/>
      <w:pPr>
        <w:ind w:left="374"/>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6F0CA2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5C57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E22A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C55D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DAAC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44B6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BED8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8C4E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64539B"/>
    <w:multiLevelType w:val="hybridMultilevel"/>
    <w:tmpl w:val="90A0E02E"/>
    <w:lvl w:ilvl="0" w:tplc="DF3C9AF4">
      <w:start w:val="4"/>
      <w:numFmt w:val="decimal"/>
      <w:lvlText w:val="%1"/>
      <w:lvlJc w:val="left"/>
      <w:pPr>
        <w:ind w:left="540"/>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3BAA751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E667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6872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DA04F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940D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6245F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4AF7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402E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467831"/>
    <w:multiLevelType w:val="multilevel"/>
    <w:tmpl w:val="3B9C3F24"/>
    <w:lvl w:ilvl="0">
      <w:start w:val="6"/>
      <w:numFmt w:val="decimal"/>
      <w:lvlText w:val="%1."/>
      <w:lvlJc w:val="left"/>
      <w:pPr>
        <w:ind w:left="247"/>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0F6B0F"/>
    <w:multiLevelType w:val="hybridMultilevel"/>
    <w:tmpl w:val="F6945052"/>
    <w:lvl w:ilvl="0" w:tplc="C53C40C0">
      <w:start w:val="1"/>
      <w:numFmt w:val="bullet"/>
      <w:lvlText w:val="-"/>
      <w:lvlJc w:val="left"/>
      <w:pPr>
        <w:ind w:left="1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1" w:tplc="9A427846">
      <w:start w:val="1"/>
      <w:numFmt w:val="bullet"/>
      <w:lvlText w:val="o"/>
      <w:lvlJc w:val="left"/>
      <w:pPr>
        <w:ind w:left="108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2" w:tplc="720004DA">
      <w:start w:val="1"/>
      <w:numFmt w:val="bullet"/>
      <w:lvlText w:val="▪"/>
      <w:lvlJc w:val="left"/>
      <w:pPr>
        <w:ind w:left="180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3" w:tplc="7F24003A">
      <w:start w:val="1"/>
      <w:numFmt w:val="bullet"/>
      <w:lvlText w:val="•"/>
      <w:lvlJc w:val="left"/>
      <w:pPr>
        <w:ind w:left="252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4" w:tplc="0966FD2C">
      <w:start w:val="1"/>
      <w:numFmt w:val="bullet"/>
      <w:lvlText w:val="o"/>
      <w:lvlJc w:val="left"/>
      <w:pPr>
        <w:ind w:left="324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5" w:tplc="4686D5D0">
      <w:start w:val="1"/>
      <w:numFmt w:val="bullet"/>
      <w:lvlText w:val="▪"/>
      <w:lvlJc w:val="left"/>
      <w:pPr>
        <w:ind w:left="396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6" w:tplc="11126638">
      <w:start w:val="1"/>
      <w:numFmt w:val="bullet"/>
      <w:lvlText w:val="•"/>
      <w:lvlJc w:val="left"/>
      <w:pPr>
        <w:ind w:left="468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7" w:tplc="0EFEA0AC">
      <w:start w:val="1"/>
      <w:numFmt w:val="bullet"/>
      <w:lvlText w:val="o"/>
      <w:lvlJc w:val="left"/>
      <w:pPr>
        <w:ind w:left="540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8" w:tplc="58F4003E">
      <w:start w:val="1"/>
      <w:numFmt w:val="bullet"/>
      <w:lvlText w:val="▪"/>
      <w:lvlJc w:val="left"/>
      <w:pPr>
        <w:ind w:left="612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46AD0"/>
    <w:multiLevelType w:val="hybridMultilevel"/>
    <w:tmpl w:val="7CCE592A"/>
    <w:lvl w:ilvl="0" w:tplc="03C890C2">
      <w:start w:val="3"/>
      <w:numFmt w:val="decimal"/>
      <w:lvlText w:val="%1"/>
      <w:lvlJc w:val="left"/>
      <w:pPr>
        <w:ind w:left="631"/>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53B26A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3894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BAE4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1677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2CD0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44D5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6EEF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FA4F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B294E54"/>
    <w:multiLevelType w:val="multilevel"/>
    <w:tmpl w:val="7C205934"/>
    <w:lvl w:ilvl="0">
      <w:start w:val="5"/>
      <w:numFmt w:val="decimal"/>
      <w:lvlText w:val="%1."/>
      <w:lvlJc w:val="left"/>
      <w:pPr>
        <w:ind w:left="540"/>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81A5CE1"/>
    <w:multiLevelType w:val="multilevel"/>
    <w:tmpl w:val="D01EC440"/>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91327"/>
    <w:multiLevelType w:val="multilevel"/>
    <w:tmpl w:val="A26810D2"/>
    <w:lvl w:ilvl="0">
      <w:start w:val="1"/>
      <w:numFmt w:val="decimal"/>
      <w:lvlText w:val="%1."/>
      <w:lvlJc w:val="left"/>
      <w:pPr>
        <w:ind w:left="631"/>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35B308A"/>
    <w:multiLevelType w:val="hybridMultilevel"/>
    <w:tmpl w:val="33ACA3F4"/>
    <w:lvl w:ilvl="0" w:tplc="6EA2D4BC">
      <w:start w:val="8"/>
      <w:numFmt w:val="decimal"/>
      <w:lvlText w:val="%1."/>
      <w:lvlJc w:val="left"/>
      <w:pPr>
        <w:ind w:left="540"/>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6450DB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5C5B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F2A8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06D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3896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B20B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5A44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7456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765852AF"/>
    <w:multiLevelType w:val="hybridMultilevel"/>
    <w:tmpl w:val="B7C0E196"/>
    <w:lvl w:ilvl="0" w:tplc="0EA89612">
      <w:numFmt w:val="bullet"/>
      <w:lvlText w:val="-"/>
      <w:lvlJc w:val="left"/>
      <w:pPr>
        <w:ind w:left="720" w:hanging="360"/>
      </w:pPr>
      <w:rPr>
        <w:rFonts w:ascii="Calibri" w:eastAsia="Calibri" w:hAnsi="Calibri"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190896">
    <w:abstractNumId w:val="11"/>
  </w:num>
  <w:num w:numId="2" w16cid:durableId="89552560">
    <w:abstractNumId w:val="16"/>
  </w:num>
  <w:num w:numId="3" w16cid:durableId="1997302223">
    <w:abstractNumId w:val="0"/>
  </w:num>
  <w:num w:numId="4" w16cid:durableId="1631338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0387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55130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2851467">
    <w:abstractNumId w:val="6"/>
  </w:num>
  <w:num w:numId="8" w16cid:durableId="1436243369">
    <w:abstractNumId w:val="19"/>
  </w:num>
  <w:num w:numId="9" w16cid:durableId="205876783">
    <w:abstractNumId w:val="12"/>
  </w:num>
  <w:num w:numId="10" w16cid:durableId="1826359810">
    <w:abstractNumId w:val="1"/>
  </w:num>
  <w:num w:numId="11" w16cid:durableId="962542288">
    <w:abstractNumId w:val="2"/>
  </w:num>
  <w:num w:numId="12" w16cid:durableId="720789005">
    <w:abstractNumId w:val="13"/>
  </w:num>
  <w:num w:numId="13" w16cid:durableId="1655261858">
    <w:abstractNumId w:val="7"/>
  </w:num>
  <w:num w:numId="14" w16cid:durableId="708646598">
    <w:abstractNumId w:val="3"/>
  </w:num>
  <w:num w:numId="15" w16cid:durableId="1641301809">
    <w:abstractNumId w:val="8"/>
  </w:num>
  <w:num w:numId="16" w16cid:durableId="1088648228">
    <w:abstractNumId w:val="5"/>
  </w:num>
  <w:num w:numId="17" w16cid:durableId="1440443187">
    <w:abstractNumId w:val="10"/>
  </w:num>
  <w:num w:numId="18" w16cid:durableId="460541085">
    <w:abstractNumId w:val="4"/>
  </w:num>
  <w:num w:numId="19" w16cid:durableId="1550915809">
    <w:abstractNumId w:val="15"/>
  </w:num>
  <w:num w:numId="20" w16cid:durableId="12409390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101D"/>
    <w:rsid w:val="00063C40"/>
    <w:rsid w:val="000661B2"/>
    <w:rsid w:val="00072C79"/>
    <w:rsid w:val="00081045"/>
    <w:rsid w:val="0009245E"/>
    <w:rsid w:val="000F13BB"/>
    <w:rsid w:val="00103C7C"/>
    <w:rsid w:val="00112CFE"/>
    <w:rsid w:val="00137609"/>
    <w:rsid w:val="00151745"/>
    <w:rsid w:val="00177179"/>
    <w:rsid w:val="00184004"/>
    <w:rsid w:val="00184287"/>
    <w:rsid w:val="00190ADA"/>
    <w:rsid w:val="001B4E53"/>
    <w:rsid w:val="001C6C56"/>
    <w:rsid w:val="002326AB"/>
    <w:rsid w:val="002340A1"/>
    <w:rsid w:val="00235010"/>
    <w:rsid w:val="00237692"/>
    <w:rsid w:val="00284272"/>
    <w:rsid w:val="00284880"/>
    <w:rsid w:val="002B2806"/>
    <w:rsid w:val="002B74F7"/>
    <w:rsid w:val="002C1FF1"/>
    <w:rsid w:val="002E0DE9"/>
    <w:rsid w:val="002E6A7D"/>
    <w:rsid w:val="00312CE2"/>
    <w:rsid w:val="00327666"/>
    <w:rsid w:val="00331D38"/>
    <w:rsid w:val="0035024E"/>
    <w:rsid w:val="003669FF"/>
    <w:rsid w:val="003C569E"/>
    <w:rsid w:val="003C7C2C"/>
    <w:rsid w:val="003E78F2"/>
    <w:rsid w:val="0040663F"/>
    <w:rsid w:val="00431FE3"/>
    <w:rsid w:val="00434BDA"/>
    <w:rsid w:val="00443325"/>
    <w:rsid w:val="004531F1"/>
    <w:rsid w:val="00457A20"/>
    <w:rsid w:val="004608C4"/>
    <w:rsid w:val="004639CE"/>
    <w:rsid w:val="004714F5"/>
    <w:rsid w:val="004729D3"/>
    <w:rsid w:val="00472BCE"/>
    <w:rsid w:val="00476ED5"/>
    <w:rsid w:val="00495B71"/>
    <w:rsid w:val="004C015B"/>
    <w:rsid w:val="004C1FDD"/>
    <w:rsid w:val="00500665"/>
    <w:rsid w:val="00516A25"/>
    <w:rsid w:val="00531BD1"/>
    <w:rsid w:val="005330F7"/>
    <w:rsid w:val="0055344C"/>
    <w:rsid w:val="00563598"/>
    <w:rsid w:val="00575A15"/>
    <w:rsid w:val="0059075E"/>
    <w:rsid w:val="0059342A"/>
    <w:rsid w:val="00594151"/>
    <w:rsid w:val="0059467B"/>
    <w:rsid w:val="00597EB1"/>
    <w:rsid w:val="005A2A3E"/>
    <w:rsid w:val="005B23A6"/>
    <w:rsid w:val="005C28E8"/>
    <w:rsid w:val="005C5625"/>
    <w:rsid w:val="005C5C48"/>
    <w:rsid w:val="005C75A7"/>
    <w:rsid w:val="005D3D4E"/>
    <w:rsid w:val="005E031D"/>
    <w:rsid w:val="005E6D3C"/>
    <w:rsid w:val="005F738C"/>
    <w:rsid w:val="00610891"/>
    <w:rsid w:val="006704FB"/>
    <w:rsid w:val="006734FB"/>
    <w:rsid w:val="00682891"/>
    <w:rsid w:val="00685D28"/>
    <w:rsid w:val="006867A3"/>
    <w:rsid w:val="006A689A"/>
    <w:rsid w:val="006A7DC4"/>
    <w:rsid w:val="006B0CCD"/>
    <w:rsid w:val="006C0316"/>
    <w:rsid w:val="006D2054"/>
    <w:rsid w:val="00704E4A"/>
    <w:rsid w:val="0071181A"/>
    <w:rsid w:val="007259EC"/>
    <w:rsid w:val="0073233F"/>
    <w:rsid w:val="00786961"/>
    <w:rsid w:val="008110EF"/>
    <w:rsid w:val="00816618"/>
    <w:rsid w:val="00820572"/>
    <w:rsid w:val="008260EC"/>
    <w:rsid w:val="00837BC1"/>
    <w:rsid w:val="00842B75"/>
    <w:rsid w:val="008619CA"/>
    <w:rsid w:val="008664D5"/>
    <w:rsid w:val="00871567"/>
    <w:rsid w:val="00871E2C"/>
    <w:rsid w:val="00872FF8"/>
    <w:rsid w:val="008852CE"/>
    <w:rsid w:val="008940E0"/>
    <w:rsid w:val="008B0AC3"/>
    <w:rsid w:val="008C3A4A"/>
    <w:rsid w:val="008D5DEC"/>
    <w:rsid w:val="008D7F9C"/>
    <w:rsid w:val="008E399F"/>
    <w:rsid w:val="008E6292"/>
    <w:rsid w:val="008E7441"/>
    <w:rsid w:val="0092141A"/>
    <w:rsid w:val="00933B90"/>
    <w:rsid w:val="0093713A"/>
    <w:rsid w:val="009947C5"/>
    <w:rsid w:val="009A08AE"/>
    <w:rsid w:val="009A2337"/>
    <w:rsid w:val="009A4FCA"/>
    <w:rsid w:val="009B28A1"/>
    <w:rsid w:val="009B3CF3"/>
    <w:rsid w:val="009F6C60"/>
    <w:rsid w:val="00A350E8"/>
    <w:rsid w:val="00A44ED2"/>
    <w:rsid w:val="00A45996"/>
    <w:rsid w:val="00A5442D"/>
    <w:rsid w:val="00A56F6E"/>
    <w:rsid w:val="00A93363"/>
    <w:rsid w:val="00AD4F4C"/>
    <w:rsid w:val="00AF63ED"/>
    <w:rsid w:val="00B07460"/>
    <w:rsid w:val="00B2055E"/>
    <w:rsid w:val="00B33183"/>
    <w:rsid w:val="00B4546D"/>
    <w:rsid w:val="00B46EFC"/>
    <w:rsid w:val="00B51A11"/>
    <w:rsid w:val="00B609A5"/>
    <w:rsid w:val="00B665AB"/>
    <w:rsid w:val="00B716CD"/>
    <w:rsid w:val="00B81CB2"/>
    <w:rsid w:val="00B8318E"/>
    <w:rsid w:val="00B86FD6"/>
    <w:rsid w:val="00B90E5D"/>
    <w:rsid w:val="00B93B28"/>
    <w:rsid w:val="00BA6B4C"/>
    <w:rsid w:val="00BB7FAE"/>
    <w:rsid w:val="00BC60DB"/>
    <w:rsid w:val="00BE54DD"/>
    <w:rsid w:val="00C01ED7"/>
    <w:rsid w:val="00C108C1"/>
    <w:rsid w:val="00C22028"/>
    <w:rsid w:val="00C235F9"/>
    <w:rsid w:val="00C32E9F"/>
    <w:rsid w:val="00C34F42"/>
    <w:rsid w:val="00C7409D"/>
    <w:rsid w:val="00C974A1"/>
    <w:rsid w:val="00CC20D1"/>
    <w:rsid w:val="00CD27A9"/>
    <w:rsid w:val="00CF5D3B"/>
    <w:rsid w:val="00D1567A"/>
    <w:rsid w:val="00D40160"/>
    <w:rsid w:val="00D418E6"/>
    <w:rsid w:val="00D4691A"/>
    <w:rsid w:val="00D61BE5"/>
    <w:rsid w:val="00D62FDB"/>
    <w:rsid w:val="00D66DB0"/>
    <w:rsid w:val="00D8210B"/>
    <w:rsid w:val="00D93628"/>
    <w:rsid w:val="00DD4314"/>
    <w:rsid w:val="00DD57DD"/>
    <w:rsid w:val="00DE481B"/>
    <w:rsid w:val="00E05A74"/>
    <w:rsid w:val="00E36515"/>
    <w:rsid w:val="00E4182C"/>
    <w:rsid w:val="00E56C45"/>
    <w:rsid w:val="00E613B5"/>
    <w:rsid w:val="00E709DC"/>
    <w:rsid w:val="00E77D51"/>
    <w:rsid w:val="00EB3205"/>
    <w:rsid w:val="00EB5FA1"/>
    <w:rsid w:val="00EE7AD4"/>
    <w:rsid w:val="00F071CF"/>
    <w:rsid w:val="00F15868"/>
    <w:rsid w:val="00F166B9"/>
    <w:rsid w:val="00F231E8"/>
    <w:rsid w:val="00F26BA0"/>
    <w:rsid w:val="00F53636"/>
    <w:rsid w:val="00F67E81"/>
    <w:rsid w:val="00F7155B"/>
    <w:rsid w:val="00F74F81"/>
    <w:rsid w:val="00F75474"/>
    <w:rsid w:val="00FA29AC"/>
    <w:rsid w:val="00FA5582"/>
    <w:rsid w:val="00FE321E"/>
    <w:rsid w:val="00FF6285"/>
    <w:rsid w:val="00FF6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51745"/>
    <w:pPr>
      <w:spacing w:after="4" w:line="278" w:lineRule="auto"/>
      <w:ind w:left="101" w:right="687" w:hanging="10"/>
      <w:jc w:val="both"/>
    </w:pPr>
    <w:rPr>
      <w:rFonts w:ascii="Times New Roman" w:eastAsia="Times New Roman" w:hAnsi="Times New Roman" w:cs="Times New Roman"/>
      <w:color w:val="000000" w:themeColor="text1"/>
      <w:kern w:val="2"/>
      <w:sz w:val="24"/>
      <w:szCs w:val="24"/>
      <w:lang w:eastAsia="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646/zootaxa.1512.1.1" TargetMode="External"/><Relationship Id="rId18" Type="http://schemas.openxmlformats.org/officeDocument/2006/relationships/hyperlink" Target="https://doi.org/10.1007/s10641-009-9493-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doi.org/10.1590/1982-0224-2020-0101" TargetMode="External"/><Relationship Id="rId17" Type="http://schemas.openxmlformats.org/officeDocument/2006/relationships/hyperlink" Target="https://doi.org/10.1111/fwb.1386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3140/RG.2.2.11014.9632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doi.org/10.1038/s41893-020-00665-4"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br/mma/pt/plano_de_recuperacao_pintado_nov_2022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lve.icmbio.gov.br"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5D32E-7FA1-4F1E-BD10-EE54D4AEA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6DED7-8A41-4BC5-A8F4-232EFF1A3E6D}">
  <ds:schemaRefs>
    <ds:schemaRef ds:uri="http://schemas.openxmlformats.org/officeDocument/2006/bibliography"/>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33</TotalTime>
  <Pages>9</Pages>
  <Words>4198</Words>
  <Characters>23934</Characters>
  <Application>Microsoft Office Word</Application>
  <DocSecurity>0</DocSecurity>
  <Lines>199</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15</cp:revision>
  <dcterms:created xsi:type="dcterms:W3CDTF">2025-10-29T21:16:00Z</dcterms:created>
  <dcterms:modified xsi:type="dcterms:W3CDTF">2025-11-11T14:47:00Z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