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002A97" w:rsidRPr="001A65DF" w14:paraId="77F5F746" w14:textId="77777777" w:rsidTr="00CF7C14">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68D1D064" w14:textId="77777777" w:rsidR="00002A97" w:rsidRPr="00002A97" w:rsidRDefault="00002A97" w:rsidP="00002A97">
            <w:pPr>
              <w:widowControl w:val="0"/>
              <w:suppressAutoHyphens/>
              <w:autoSpaceDE w:val="0"/>
              <w:autoSpaceDN w:val="0"/>
              <w:spacing w:after="0" w:line="240" w:lineRule="auto"/>
              <w:textAlignment w:val="baseline"/>
              <w:rPr>
                <w:rFonts w:ascii="Calibri" w:eastAsia="Calibri" w:hAnsi="Calibri" w:cs="Times New Roman"/>
              </w:rPr>
            </w:pPr>
            <w:r w:rsidRPr="00002A97">
              <w:rPr>
                <w:rFonts w:eastAsia="Times New Roman" w:cs="Arial"/>
                <w:noProof/>
                <w:szCs w:val="24"/>
              </w:rPr>
              <w:drawing>
                <wp:inline distT="0" distB="0" distL="0" distR="0" wp14:anchorId="01A9DF71" wp14:editId="6CEDAA52">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tcMar>
              <w:top w:w="85" w:type="dxa"/>
              <w:left w:w="108" w:type="dxa"/>
              <w:bottom w:w="0" w:type="dxa"/>
              <w:right w:w="108" w:type="dxa"/>
            </w:tcMar>
          </w:tcPr>
          <w:p w14:paraId="54346F88"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eastAsia="Times New Roman" w:cs="Arial"/>
                <w:sz w:val="12"/>
                <w:szCs w:val="12"/>
                <w:lang w:val="es-ES" w:eastAsia="es-ES"/>
              </w:rPr>
            </w:pPr>
          </w:p>
          <w:p w14:paraId="7AA7A120"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CONVENCIÓN SOBRE</w:t>
            </w:r>
          </w:p>
          <w:p w14:paraId="0BDD37F9"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LAS ESPECIES</w:t>
            </w:r>
          </w:p>
          <w:p w14:paraId="40B8FBF0"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MIGRATORIAS</w:t>
            </w:r>
          </w:p>
        </w:tc>
        <w:tc>
          <w:tcPr>
            <w:tcW w:w="3978" w:type="dxa"/>
            <w:tcBorders>
              <w:top w:val="single" w:sz="12" w:space="0" w:color="000000"/>
              <w:bottom w:val="single" w:sz="12" w:space="0" w:color="000000"/>
            </w:tcBorders>
            <w:tcMar>
              <w:top w:w="85" w:type="dxa"/>
              <w:left w:w="108" w:type="dxa"/>
              <w:bottom w:w="0" w:type="dxa"/>
              <w:right w:w="108" w:type="dxa"/>
            </w:tcMar>
          </w:tcPr>
          <w:p w14:paraId="13A5EDAC" w14:textId="61CEA3F4" w:rsidR="00002A97" w:rsidRPr="00B26725" w:rsidRDefault="00002A97" w:rsidP="002F7EC2">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Calibri" w:eastAsia="Calibri" w:hAnsi="Calibri" w:cs="Times New Roman"/>
                <w:lang w:val="es-ES"/>
              </w:rPr>
            </w:pPr>
            <w:r w:rsidRPr="00B26725">
              <w:rPr>
                <w:rFonts w:eastAsia="Times New Roman" w:cs="Arial"/>
                <w:szCs w:val="24"/>
                <w:lang w:val="es-ES" w:eastAsia="es-ES"/>
              </w:rPr>
              <w:t>UNEP/CMS/COP1</w:t>
            </w:r>
            <w:r w:rsidR="00C22155" w:rsidRPr="00B26725">
              <w:rPr>
                <w:rFonts w:eastAsia="Times New Roman" w:cs="Arial"/>
                <w:szCs w:val="24"/>
                <w:lang w:val="es-ES" w:eastAsia="es-ES"/>
              </w:rPr>
              <w:t>5</w:t>
            </w:r>
            <w:r w:rsidRPr="00B26725">
              <w:rPr>
                <w:rFonts w:eastAsia="Times New Roman" w:cs="Arial"/>
                <w:szCs w:val="24"/>
                <w:lang w:val="es-ES" w:eastAsia="es-ES"/>
              </w:rPr>
              <w:t>/</w:t>
            </w:r>
            <w:r w:rsidR="00800CB3" w:rsidRPr="00B26725">
              <w:rPr>
                <w:rFonts w:eastAsia="Times New Roman" w:cs="Arial"/>
                <w:szCs w:val="24"/>
                <w:lang w:val="es-ES" w:eastAsia="es-ES"/>
              </w:rPr>
              <w:t>Doc</w:t>
            </w:r>
            <w:r w:rsidRPr="00B26725">
              <w:rPr>
                <w:rFonts w:eastAsia="Times New Roman" w:cs="Arial"/>
                <w:szCs w:val="24"/>
                <w:lang w:val="es-ES" w:eastAsia="es-ES"/>
              </w:rPr>
              <w:t>.</w:t>
            </w:r>
            <w:r w:rsidR="001A65DF">
              <w:rPr>
                <w:rFonts w:eastAsia="Times New Roman" w:cs="Arial"/>
                <w:szCs w:val="24"/>
                <w:lang w:val="es-ES" w:eastAsia="es-ES"/>
              </w:rPr>
              <w:t>30.2.14</w:t>
            </w:r>
          </w:p>
          <w:p w14:paraId="5F9B9DE6" w14:textId="53526B75" w:rsidR="00002A97" w:rsidRPr="00B26725" w:rsidRDefault="001A65DF" w:rsidP="002F7EC2">
            <w:pPr>
              <w:widowControl w:val="0"/>
              <w:tabs>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rPr>
                <w:rFonts w:ascii="Calibri" w:eastAsia="Calibri" w:hAnsi="Calibri" w:cs="Times New Roman"/>
                <w:lang w:val="es-ES"/>
              </w:rPr>
            </w:pPr>
            <w:r>
              <w:rPr>
                <w:rFonts w:eastAsia="Times New Roman" w:cs="Arial"/>
                <w:szCs w:val="24"/>
                <w:lang w:val="es-ES" w:eastAsia="es-ES"/>
              </w:rPr>
              <w:t xml:space="preserve">24 de octubre </w:t>
            </w:r>
            <w:r w:rsidR="00002A97" w:rsidRPr="00B26725">
              <w:rPr>
                <w:rFonts w:eastAsia="Times New Roman" w:cs="Arial"/>
                <w:szCs w:val="24"/>
                <w:lang w:val="es-ES" w:eastAsia="es-ES"/>
              </w:rPr>
              <w:t>20</w:t>
            </w:r>
            <w:r w:rsidR="000F4BDA" w:rsidRPr="00B26725">
              <w:rPr>
                <w:rFonts w:eastAsia="Times New Roman" w:cs="Arial"/>
                <w:szCs w:val="24"/>
                <w:lang w:val="es-ES" w:eastAsia="es-ES"/>
              </w:rPr>
              <w:t>2</w:t>
            </w:r>
            <w:r w:rsidR="00BE6C85" w:rsidRPr="00B26725">
              <w:rPr>
                <w:rFonts w:eastAsia="Times New Roman" w:cs="Arial"/>
                <w:szCs w:val="24"/>
                <w:lang w:val="es-ES" w:eastAsia="es-ES"/>
              </w:rPr>
              <w:t>5</w:t>
            </w:r>
          </w:p>
          <w:p w14:paraId="7005662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szCs w:val="24"/>
                <w:lang w:val="es-ES_tradnl" w:eastAsia="es-ES"/>
              </w:rPr>
            </w:pPr>
            <w:r w:rsidRPr="00002A97">
              <w:rPr>
                <w:rFonts w:eastAsia="Times New Roman" w:cs="Arial"/>
                <w:szCs w:val="24"/>
                <w:lang w:val="es-ES_tradnl" w:eastAsia="es-ES"/>
              </w:rPr>
              <w:t>Español</w:t>
            </w:r>
          </w:p>
          <w:p w14:paraId="1A2CF210" w14:textId="77777777" w:rsidR="00002A97" w:rsidRPr="000F4BDA" w:rsidRDefault="00002A97"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 xml:space="preserve">Original: </w:t>
            </w:r>
            <w:proofErr w:type="gramStart"/>
            <w:r w:rsidRPr="00002A97">
              <w:rPr>
                <w:rFonts w:eastAsia="Times New Roman" w:cs="Arial"/>
                <w:szCs w:val="24"/>
                <w:lang w:val="es-ES" w:eastAsia="es-ES"/>
              </w:rPr>
              <w:t>Inglés</w:t>
            </w:r>
            <w:proofErr w:type="gramEnd"/>
          </w:p>
          <w:p w14:paraId="494F0815"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sz w:val="12"/>
                <w:szCs w:val="12"/>
                <w:lang w:val="es-ES" w:eastAsia="es-ES"/>
              </w:rPr>
            </w:pPr>
          </w:p>
        </w:tc>
      </w:tr>
    </w:tbl>
    <w:p w14:paraId="321C3CFB" w14:textId="77777777" w:rsidR="00002A97" w:rsidRPr="00002A97" w:rsidRDefault="00002A97" w:rsidP="00002A97">
      <w:pPr>
        <w:widowControl w:val="0"/>
        <w:tabs>
          <w:tab w:val="left" w:pos="-1057"/>
          <w:tab w:val="left" w:pos="-720"/>
        </w:tabs>
        <w:suppressAutoHyphens/>
        <w:autoSpaceDE w:val="0"/>
        <w:autoSpaceDN w:val="0"/>
        <w:spacing w:after="0" w:line="240" w:lineRule="auto"/>
        <w:textAlignment w:val="baseline"/>
        <w:rPr>
          <w:rFonts w:eastAsia="Times New Roman" w:cs="Arial"/>
          <w:sz w:val="8"/>
          <w:szCs w:val="8"/>
          <w:lang w:val="es-ES" w:eastAsia="es-ES"/>
        </w:rPr>
      </w:pPr>
    </w:p>
    <w:p w14:paraId="005C291A" w14:textId="7C581A96" w:rsidR="00002A97" w:rsidRPr="00002A97" w:rsidRDefault="00002A97" w:rsidP="00002A97">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1</w:t>
      </w:r>
      <w:r w:rsidR="00C22155">
        <w:rPr>
          <w:rFonts w:eastAsia="Times New Roman" w:cs="Arial"/>
          <w:szCs w:val="24"/>
          <w:lang w:val="es-ES" w:eastAsia="es-ES"/>
        </w:rPr>
        <w:t>5</w:t>
      </w:r>
      <w:r w:rsidRPr="00002A97">
        <w:rPr>
          <w:rFonts w:eastAsia="Times New Roman" w:cs="Arial"/>
          <w:szCs w:val="24"/>
          <w:lang w:val="es-ES" w:eastAsia="es-ES"/>
        </w:rPr>
        <w:t>ª REUNIÓN DE LA CONFERENCIA DE LAS PARTES</w:t>
      </w:r>
    </w:p>
    <w:p w14:paraId="6AA17B99" w14:textId="78CEEED7" w:rsidR="00002A97" w:rsidRPr="00002A97" w:rsidRDefault="00BE6C85" w:rsidP="00002A9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es-ES"/>
        </w:rPr>
      </w:pPr>
      <w:r>
        <w:rPr>
          <w:rFonts w:eastAsia="Times New Roman" w:cs="Arial"/>
          <w:bCs/>
          <w:szCs w:val="24"/>
          <w:lang w:val="es-ES" w:eastAsia="es-ES"/>
        </w:rPr>
        <w:t>Campo Grande, Brasil, 23 al 29 marzo</w:t>
      </w:r>
      <w:r w:rsidR="00002A97" w:rsidRPr="00002A97">
        <w:rPr>
          <w:rFonts w:eastAsia="Times New Roman" w:cs="Arial"/>
          <w:bCs/>
          <w:szCs w:val="24"/>
          <w:lang w:val="es-ES" w:eastAsia="es-ES"/>
        </w:rPr>
        <w:t xml:space="preserve"> 202</w:t>
      </w:r>
      <w:r w:rsidR="00C22155">
        <w:rPr>
          <w:rFonts w:eastAsia="Times New Roman" w:cs="Arial"/>
          <w:bCs/>
          <w:szCs w:val="24"/>
          <w:lang w:val="es-ES" w:eastAsia="es-ES"/>
        </w:rPr>
        <w:t>6</w:t>
      </w:r>
    </w:p>
    <w:p w14:paraId="500F7C6B" w14:textId="28FDB885" w:rsidR="00002A97" w:rsidRPr="00002A97" w:rsidRDefault="00002A97" w:rsidP="00002A97">
      <w:pPr>
        <w:widowControl w:val="0"/>
        <w:tabs>
          <w:tab w:val="left" w:pos="70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 xml:space="preserve">Punto </w:t>
      </w:r>
      <w:r w:rsidR="001A65DF">
        <w:rPr>
          <w:rFonts w:eastAsia="Times New Roman" w:cs="Arial"/>
          <w:szCs w:val="24"/>
          <w:lang w:val="es-ES" w:eastAsia="es-ES"/>
        </w:rPr>
        <w:t>30.2.14</w:t>
      </w:r>
      <w:r w:rsidRPr="00002A97">
        <w:rPr>
          <w:rFonts w:eastAsia="Times New Roman" w:cs="Arial"/>
          <w:szCs w:val="24"/>
          <w:lang w:val="es-ES" w:eastAsia="es-ES"/>
        </w:rPr>
        <w:t xml:space="preserve"> del orden del día</w:t>
      </w:r>
    </w:p>
    <w:p w14:paraId="7D24E2F1" w14:textId="77777777" w:rsidR="00002A97" w:rsidRDefault="00002A97" w:rsidP="00002A97">
      <w:pPr>
        <w:widowControl w:val="0"/>
        <w:tabs>
          <w:tab w:val="left" w:pos="7020"/>
        </w:tabs>
        <w:suppressAutoHyphens/>
        <w:autoSpaceDE w:val="0"/>
        <w:autoSpaceDN w:val="0"/>
        <w:spacing w:after="0" w:line="240" w:lineRule="auto"/>
        <w:textAlignment w:val="baseline"/>
        <w:rPr>
          <w:rFonts w:eastAsia="Times New Roman" w:cs="Arial"/>
          <w:lang w:val="es-ES" w:eastAsia="es-ES"/>
        </w:rPr>
      </w:pPr>
    </w:p>
    <w:p w14:paraId="0B234219" w14:textId="77777777" w:rsidR="00AC09AE" w:rsidRPr="00002A97" w:rsidRDefault="00AC09AE" w:rsidP="00002A97">
      <w:pPr>
        <w:widowControl w:val="0"/>
        <w:tabs>
          <w:tab w:val="left" w:pos="7020"/>
        </w:tabs>
        <w:suppressAutoHyphens/>
        <w:autoSpaceDE w:val="0"/>
        <w:autoSpaceDN w:val="0"/>
        <w:spacing w:after="0" w:line="240" w:lineRule="auto"/>
        <w:textAlignment w:val="baseline"/>
        <w:rPr>
          <w:rFonts w:eastAsia="Times New Roman" w:cs="Arial"/>
          <w:lang w:val="es-ES" w:eastAsia="es-ES"/>
        </w:rPr>
      </w:pPr>
    </w:p>
    <w:p w14:paraId="551CBAFF" w14:textId="77777777" w:rsidR="008F1A8B" w:rsidRPr="008A5FE3" w:rsidRDefault="008F1A8B" w:rsidP="008F1A8B">
      <w:pPr>
        <w:widowControl w:val="0"/>
        <w:spacing w:after="0"/>
        <w:jc w:val="center"/>
        <w:rPr>
          <w:rFonts w:eastAsia="Arial" w:cs="Arial"/>
          <w:b/>
          <w:bCs/>
          <w:iCs/>
          <w:lang w:val="es-ES"/>
        </w:rPr>
      </w:pPr>
      <w:r w:rsidRPr="008A5FE3">
        <w:rPr>
          <w:rFonts w:eastAsia="Arial" w:cs="Arial"/>
          <w:b/>
          <w:bCs/>
          <w:iCs/>
          <w:lang w:val="es-ES"/>
        </w:rPr>
        <w:t>PROPUESTA PARA LA INCLUSIÓN DEL</w:t>
      </w:r>
    </w:p>
    <w:p w14:paraId="4A3E9CDB" w14:textId="77777777" w:rsidR="008F1A8B" w:rsidRPr="008A5FE3" w:rsidRDefault="008F1A8B" w:rsidP="008F1A8B">
      <w:pPr>
        <w:widowControl w:val="0"/>
        <w:spacing w:after="0"/>
        <w:jc w:val="center"/>
        <w:rPr>
          <w:rFonts w:eastAsia="Arial" w:cs="Arial"/>
          <w:b/>
          <w:bCs/>
          <w:iCs/>
          <w:lang w:val="es-ES"/>
        </w:rPr>
      </w:pPr>
      <w:r w:rsidRPr="008A5FE3">
        <w:rPr>
          <w:rFonts w:eastAsia="Arial" w:cs="Arial"/>
          <w:b/>
          <w:bCs/>
          <w:iCs/>
          <w:lang w:val="es-ES"/>
        </w:rPr>
        <w:t>TIBURÓN MARTILLO COMÚN (</w:t>
      </w:r>
      <w:proofErr w:type="spellStart"/>
      <w:r w:rsidRPr="008A5FE3">
        <w:rPr>
          <w:rFonts w:eastAsia="Arial" w:cs="Arial"/>
          <w:b/>
          <w:bCs/>
          <w:i/>
          <w:lang w:val="es-ES"/>
        </w:rPr>
        <w:t>Sphyrna</w:t>
      </w:r>
      <w:proofErr w:type="spellEnd"/>
      <w:r w:rsidRPr="008A5FE3">
        <w:rPr>
          <w:rFonts w:eastAsia="Arial" w:cs="Arial"/>
          <w:b/>
          <w:bCs/>
          <w:i/>
          <w:lang w:val="es-ES"/>
        </w:rPr>
        <w:t xml:space="preserve"> </w:t>
      </w:r>
      <w:proofErr w:type="spellStart"/>
      <w:r w:rsidRPr="008A5FE3">
        <w:rPr>
          <w:rFonts w:eastAsia="Arial" w:cs="Arial"/>
          <w:b/>
          <w:bCs/>
          <w:i/>
          <w:lang w:val="es-ES"/>
        </w:rPr>
        <w:t>lewini</w:t>
      </w:r>
      <w:proofErr w:type="spellEnd"/>
      <w:r w:rsidRPr="008A5FE3">
        <w:rPr>
          <w:rFonts w:eastAsia="Arial" w:cs="Arial"/>
          <w:b/>
          <w:bCs/>
          <w:iCs/>
          <w:lang w:val="es-ES"/>
        </w:rPr>
        <w:t>)</w:t>
      </w:r>
    </w:p>
    <w:p w14:paraId="649BC530" w14:textId="5F145DB1" w:rsidR="00002A97" w:rsidRPr="00002A97" w:rsidRDefault="008F1A8B" w:rsidP="008F1A8B">
      <w:pPr>
        <w:widowControl w:val="0"/>
        <w:suppressAutoHyphens/>
        <w:autoSpaceDE w:val="0"/>
        <w:autoSpaceDN w:val="0"/>
        <w:spacing w:after="0" w:line="240" w:lineRule="auto"/>
        <w:jc w:val="center"/>
        <w:textAlignment w:val="baseline"/>
        <w:rPr>
          <w:rFonts w:ascii="Calibri" w:eastAsia="Calibri" w:hAnsi="Calibri" w:cs="Times New Roman"/>
          <w:lang w:val="es-ES"/>
        </w:rPr>
      </w:pPr>
      <w:r w:rsidRPr="008A5FE3">
        <w:rPr>
          <w:rFonts w:eastAsia="Arial" w:cs="Arial"/>
          <w:b/>
          <w:bCs/>
          <w:iCs/>
          <w:lang w:val="es-ES"/>
        </w:rPr>
        <w:t>EN EL APÉNDICE I DE LA CONVENCIÓN*</w:t>
      </w:r>
      <w:r w:rsidR="00002A97" w:rsidRPr="00002A97">
        <w:rPr>
          <w:rFonts w:eastAsia="Times New Roman" w:cs="Arial"/>
          <w:i/>
          <w:szCs w:val="24"/>
          <w:lang w:val="es-ES" w:eastAsia="es-ES"/>
        </w:rPr>
        <w:t xml:space="preserve"> </w:t>
      </w:r>
    </w:p>
    <w:p w14:paraId="6A23E363" w14:textId="77777777" w:rsidR="00002A97" w:rsidRPr="00002A97" w:rsidRDefault="00002A97" w:rsidP="00002A97">
      <w:pPr>
        <w:widowControl w:val="0"/>
        <w:tabs>
          <w:tab w:val="left" w:pos="8295"/>
        </w:tabs>
        <w:suppressAutoHyphens/>
        <w:autoSpaceDE w:val="0"/>
        <w:autoSpaceDN w:val="0"/>
        <w:spacing w:after="0" w:line="240" w:lineRule="auto"/>
        <w:jc w:val="both"/>
        <w:textAlignment w:val="baseline"/>
        <w:rPr>
          <w:rFonts w:eastAsia="Times New Roman" w:cs="Arial"/>
          <w:lang w:val="es-ES" w:eastAsia="es-ES"/>
        </w:rPr>
      </w:pPr>
    </w:p>
    <w:p w14:paraId="7DD73723" w14:textId="7EF653A4" w:rsidR="00002A97" w:rsidRPr="00002A97" w:rsidRDefault="002D5F2A"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EC2A58">
        <w:rPr>
          <w:rFonts w:eastAsia="Times New Roman" w:cs="Arial"/>
          <w:noProof/>
        </w:rPr>
        <mc:AlternateContent>
          <mc:Choice Requires="wps">
            <w:drawing>
              <wp:anchor distT="0" distB="0" distL="114300" distR="114300" simplePos="0" relativeHeight="251658240" behindDoc="0" locked="0" layoutInCell="1" allowOverlap="1" wp14:anchorId="70DD936B" wp14:editId="0E34F0AB">
                <wp:simplePos x="0" y="0"/>
                <wp:positionH relativeFrom="column">
                  <wp:posOffset>974785</wp:posOffset>
                </wp:positionH>
                <wp:positionV relativeFrom="paragraph">
                  <wp:posOffset>151766</wp:posOffset>
                </wp:positionV>
                <wp:extent cx="4304666" cy="1078302"/>
                <wp:effectExtent l="0" t="0" r="19685" b="26670"/>
                <wp:wrapNone/>
                <wp:docPr id="5" name="Text Box 4"/>
                <wp:cNvGraphicFramePr/>
                <a:graphic xmlns:a="http://schemas.openxmlformats.org/drawingml/2006/main">
                  <a:graphicData uri="http://schemas.microsoft.com/office/word/2010/wordprocessingShape">
                    <wps:wsp>
                      <wps:cNvSpPr txBox="1"/>
                      <wps:spPr>
                        <a:xfrm>
                          <a:off x="0" y="0"/>
                          <a:ext cx="4304666" cy="1078302"/>
                        </a:xfrm>
                        <a:prstGeom prst="rect">
                          <a:avLst/>
                        </a:prstGeom>
                        <a:solidFill>
                          <a:srgbClr val="FFFFFF"/>
                        </a:solidFill>
                        <a:ln w="3172">
                          <a:solidFill>
                            <a:srgbClr val="000000"/>
                          </a:solidFill>
                          <a:prstDash val="solid"/>
                        </a:ln>
                      </wps:spPr>
                      <wps:txbx>
                        <w:txbxContent>
                          <w:p w14:paraId="78EFDF6D" w14:textId="1DCE26E8" w:rsidR="002D5F2A" w:rsidRDefault="002D5F2A" w:rsidP="002D5F2A">
                            <w:pPr>
                              <w:spacing w:after="0"/>
                            </w:pPr>
                            <w:proofErr w:type="spellStart"/>
                            <w:proofErr w:type="gramStart"/>
                            <w:r>
                              <w:rPr>
                                <w:rFonts w:eastAsia="Arial" w:cs="Arial"/>
                                <w:lang w:val="fr-FR"/>
                              </w:rPr>
                              <w:t>Resumen</w:t>
                            </w:r>
                            <w:proofErr w:type="spellEnd"/>
                            <w:r>
                              <w:rPr>
                                <w:rFonts w:eastAsia="Arial" w:cs="Arial"/>
                                <w:lang w:val="fr-FR"/>
                              </w:rPr>
                              <w:t>:</w:t>
                            </w:r>
                            <w:proofErr w:type="gramEnd"/>
                          </w:p>
                          <w:p w14:paraId="255B4E63" w14:textId="77777777" w:rsidR="002D5F2A" w:rsidRDefault="002D5F2A" w:rsidP="002D5F2A">
                            <w:pPr>
                              <w:spacing w:after="0"/>
                              <w:rPr>
                                <w:rFonts w:cs="Arial"/>
                                <w:lang w:val="fr-FR"/>
                              </w:rPr>
                            </w:pPr>
                          </w:p>
                          <w:p w14:paraId="74F2B4AE" w14:textId="77777777" w:rsidR="008F1A8B" w:rsidRPr="001E6BD6" w:rsidRDefault="008F1A8B" w:rsidP="008F1A8B">
                            <w:pPr>
                              <w:spacing w:after="0"/>
                              <w:jc w:val="both"/>
                              <w:textDirection w:val="btLr"/>
                              <w:rPr>
                                <w:rFonts w:cs="Arial"/>
                                <w:lang w:val="es-ES"/>
                              </w:rPr>
                            </w:pPr>
                            <w:r w:rsidRPr="001E6BD6">
                              <w:rPr>
                                <w:rFonts w:cs="Arial"/>
                                <w:lang w:val="es-ES"/>
                              </w:rPr>
                              <w:t>El Gobierno de Ecuador ha presentado la propuesta adjunta para la inclusión del tiburón martillo común (</w:t>
                            </w:r>
                            <w:proofErr w:type="spellStart"/>
                            <w:r w:rsidRPr="001E6BD6">
                              <w:rPr>
                                <w:rFonts w:cs="Arial"/>
                                <w:i/>
                                <w:iCs/>
                                <w:lang w:val="es-ES"/>
                              </w:rPr>
                              <w:t>Sphyrna</w:t>
                            </w:r>
                            <w:proofErr w:type="spellEnd"/>
                            <w:r w:rsidRPr="001E6BD6">
                              <w:rPr>
                                <w:rFonts w:cs="Arial"/>
                                <w:i/>
                                <w:iCs/>
                                <w:lang w:val="es-ES"/>
                              </w:rPr>
                              <w:t xml:space="preserve"> </w:t>
                            </w:r>
                            <w:proofErr w:type="spellStart"/>
                            <w:r w:rsidRPr="001E6BD6">
                              <w:rPr>
                                <w:rFonts w:cs="Arial"/>
                                <w:i/>
                                <w:iCs/>
                                <w:lang w:val="es-ES"/>
                              </w:rPr>
                              <w:t>lewini</w:t>
                            </w:r>
                            <w:proofErr w:type="spellEnd"/>
                            <w:r w:rsidRPr="001E6BD6">
                              <w:rPr>
                                <w:rFonts w:cs="Arial"/>
                                <w:lang w:val="es-ES"/>
                              </w:rPr>
                              <w:t>) en el Apéndice I de la CMS.</w:t>
                            </w:r>
                          </w:p>
                          <w:p w14:paraId="22AD7F20" w14:textId="77777777" w:rsidR="008F1A8B" w:rsidRPr="008F1A8B" w:rsidRDefault="008F1A8B" w:rsidP="002D5F2A">
                            <w:pPr>
                              <w:spacing w:after="0"/>
                              <w:rPr>
                                <w:rFonts w:cs="Arial"/>
                                <w:lang w:val="es-ES"/>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70DD936B" id="_x0000_t202" coordsize="21600,21600" o:spt="202" path="m,l,21600r21600,l21600,xe">
                <v:stroke joinstyle="miter"/>
                <v:path gradientshapeok="t" o:connecttype="rect"/>
              </v:shapetype>
              <v:shape id="Text Box 4" o:spid="_x0000_s1026" type="#_x0000_t202" style="position:absolute;margin-left:76.75pt;margin-top:11.95pt;width:338.95pt;height:84.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" strokeweight=".08811mm">
                <v:textbox>
                  <w:txbxContent>
                    <w:p w14:paraId="78EFDF6D" w14:textId="1DCE26E8" w:rsidR="002D5F2A" w:rsidRDefault="002D5F2A" w:rsidP="002D5F2A">
                      <w:pPr>
                        <w:spacing w:after="0"/>
                      </w:pPr>
                      <w:proofErr w:type="spellStart"/>
                      <w:proofErr w:type="gramStart"/>
                      <w:r>
                        <w:rPr>
                          <w:rFonts w:eastAsia="Arial" w:cs="Arial"/>
                          <w:lang w:val="fr-FR"/>
                        </w:rPr>
                        <w:t>Resumen</w:t>
                      </w:r>
                      <w:proofErr w:type="spellEnd"/>
                      <w:r>
                        <w:rPr>
                          <w:rFonts w:eastAsia="Arial" w:cs="Arial"/>
                          <w:lang w:val="fr-FR"/>
                        </w:rPr>
                        <w:t>:</w:t>
                      </w:r>
                      <w:proofErr w:type="gramEnd"/>
                    </w:p>
                    <w:p w14:paraId="255B4E63" w14:textId="77777777" w:rsidR="002D5F2A" w:rsidRDefault="002D5F2A" w:rsidP="002D5F2A">
                      <w:pPr>
                        <w:spacing w:after="0"/>
                        <w:rPr>
                          <w:rFonts w:cs="Arial"/>
                          <w:lang w:val="fr-FR"/>
                        </w:rPr>
                      </w:pPr>
                    </w:p>
                    <w:p w14:paraId="74F2B4AE" w14:textId="77777777" w:rsidR="008F1A8B" w:rsidRPr="001E6BD6" w:rsidRDefault="008F1A8B" w:rsidP="008F1A8B">
                      <w:pPr>
                        <w:spacing w:after="0"/>
                        <w:jc w:val="both"/>
                        <w:textDirection w:val="btLr"/>
                        <w:rPr>
                          <w:rFonts w:cs="Arial"/>
                          <w:lang w:val="es-ES"/>
                        </w:rPr>
                      </w:pPr>
                      <w:r w:rsidRPr="001E6BD6">
                        <w:rPr>
                          <w:rFonts w:cs="Arial"/>
                          <w:lang w:val="es-ES"/>
                        </w:rPr>
                        <w:t>El Gobierno de Ecuador ha presentado la propuesta adjunta para la inclusión del tiburón martillo común (</w:t>
                      </w:r>
                      <w:proofErr w:type="spellStart"/>
                      <w:r w:rsidRPr="001E6BD6">
                        <w:rPr>
                          <w:rFonts w:cs="Arial"/>
                          <w:i/>
                          <w:iCs/>
                          <w:lang w:val="es-ES"/>
                        </w:rPr>
                        <w:t>Sphyrna</w:t>
                      </w:r>
                      <w:proofErr w:type="spellEnd"/>
                      <w:r w:rsidRPr="001E6BD6">
                        <w:rPr>
                          <w:rFonts w:cs="Arial"/>
                          <w:i/>
                          <w:iCs/>
                          <w:lang w:val="es-ES"/>
                        </w:rPr>
                        <w:t xml:space="preserve"> </w:t>
                      </w:r>
                      <w:proofErr w:type="spellStart"/>
                      <w:r w:rsidRPr="001E6BD6">
                        <w:rPr>
                          <w:rFonts w:cs="Arial"/>
                          <w:i/>
                          <w:iCs/>
                          <w:lang w:val="es-ES"/>
                        </w:rPr>
                        <w:t>lewini</w:t>
                      </w:r>
                      <w:proofErr w:type="spellEnd"/>
                      <w:r w:rsidRPr="001E6BD6">
                        <w:rPr>
                          <w:rFonts w:cs="Arial"/>
                          <w:lang w:val="es-ES"/>
                        </w:rPr>
                        <w:t>) en el Apéndice I de la CMS.</w:t>
                      </w:r>
                    </w:p>
                    <w:p w14:paraId="22AD7F20" w14:textId="77777777" w:rsidR="008F1A8B" w:rsidRPr="008F1A8B" w:rsidRDefault="008F1A8B" w:rsidP="002D5F2A">
                      <w:pPr>
                        <w:spacing w:after="0"/>
                        <w:rPr>
                          <w:rFonts w:cs="Arial"/>
                          <w:lang w:val="es-ES"/>
                        </w:rPr>
                      </w:pPr>
                    </w:p>
                  </w:txbxContent>
                </v:textbox>
              </v:shape>
            </w:pict>
          </mc:Fallback>
        </mc:AlternateContent>
      </w:r>
    </w:p>
    <w:p w14:paraId="446B2251" w14:textId="3D106049"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D1046C7" w14:textId="292C83CD"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47839D3"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34F4552"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3232352"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60ED40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1E92F8A"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9D1ABE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0BBCB6E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1C18AAA"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8F1984A"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76C2460"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ABC5A62"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6E41D7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84B6374"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F333155"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9F85BB4"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7E2C95B"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2536E0B"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5B16880"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202BB70"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DDD6F5C"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305F4B1"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688DCBA"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B88AEC7"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5A5CEA7"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4F5A5A6"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EE0A7FF"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B99C18C"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74A2DE84" w14:textId="08B74B01" w:rsidR="002D5F2A" w:rsidRDefault="002D5F2A">
      <w:pPr>
        <w:rPr>
          <w:rFonts w:eastAsia="Times New Roman" w:cs="Arial"/>
          <w:lang w:val="es-ES" w:eastAsia="es-ES"/>
        </w:rPr>
      </w:pPr>
      <w:r>
        <w:rPr>
          <w:rFonts w:eastAsia="Times New Roman" w:cs="Arial"/>
          <w:lang w:val="es-ES" w:eastAsia="es-ES"/>
        </w:rPr>
        <w:br w:type="page"/>
      </w:r>
    </w:p>
    <w:p w14:paraId="46AE1CE4" w14:textId="77777777" w:rsidR="001A65DF" w:rsidRPr="008A5FE3" w:rsidRDefault="001A65DF" w:rsidP="001A65DF">
      <w:pPr>
        <w:widowControl w:val="0"/>
        <w:spacing w:after="0"/>
        <w:jc w:val="center"/>
        <w:rPr>
          <w:rFonts w:eastAsia="Arial" w:cs="Arial"/>
          <w:b/>
          <w:bCs/>
          <w:iCs/>
          <w:lang w:val="es-ES"/>
        </w:rPr>
      </w:pPr>
      <w:r w:rsidRPr="008A5FE3">
        <w:rPr>
          <w:rFonts w:eastAsia="Arial" w:cs="Arial"/>
          <w:b/>
          <w:bCs/>
          <w:iCs/>
          <w:lang w:val="es-ES"/>
        </w:rPr>
        <w:lastRenderedPageBreak/>
        <w:t>PROPUESTA PARA LA INCLUSIÓN DEL</w:t>
      </w:r>
    </w:p>
    <w:p w14:paraId="20974114" w14:textId="77777777" w:rsidR="001A65DF" w:rsidRPr="008A5FE3" w:rsidRDefault="001A65DF" w:rsidP="001A65DF">
      <w:pPr>
        <w:widowControl w:val="0"/>
        <w:spacing w:after="0"/>
        <w:jc w:val="center"/>
        <w:rPr>
          <w:rFonts w:eastAsia="Arial" w:cs="Arial"/>
          <w:b/>
          <w:bCs/>
          <w:iCs/>
          <w:lang w:val="es-ES"/>
        </w:rPr>
      </w:pPr>
      <w:r w:rsidRPr="008A5FE3">
        <w:rPr>
          <w:rFonts w:eastAsia="Arial" w:cs="Arial"/>
          <w:b/>
          <w:bCs/>
          <w:iCs/>
          <w:lang w:val="es-ES"/>
        </w:rPr>
        <w:t>TIBURÓN MARTILLO COMÚN (</w:t>
      </w:r>
      <w:proofErr w:type="spellStart"/>
      <w:r w:rsidRPr="008A5FE3">
        <w:rPr>
          <w:rFonts w:eastAsia="Arial" w:cs="Arial"/>
          <w:b/>
          <w:bCs/>
          <w:i/>
          <w:lang w:val="es-ES"/>
        </w:rPr>
        <w:t>Sphyrna</w:t>
      </w:r>
      <w:proofErr w:type="spellEnd"/>
      <w:r w:rsidRPr="008A5FE3">
        <w:rPr>
          <w:rFonts w:eastAsia="Arial" w:cs="Arial"/>
          <w:b/>
          <w:bCs/>
          <w:i/>
          <w:lang w:val="es-ES"/>
        </w:rPr>
        <w:t xml:space="preserve"> </w:t>
      </w:r>
      <w:proofErr w:type="spellStart"/>
      <w:r w:rsidRPr="008A5FE3">
        <w:rPr>
          <w:rFonts w:eastAsia="Arial" w:cs="Arial"/>
          <w:b/>
          <w:bCs/>
          <w:i/>
          <w:lang w:val="es-ES"/>
        </w:rPr>
        <w:t>lewini</w:t>
      </w:r>
      <w:proofErr w:type="spellEnd"/>
      <w:r w:rsidRPr="008A5FE3">
        <w:rPr>
          <w:rFonts w:eastAsia="Arial" w:cs="Arial"/>
          <w:b/>
          <w:bCs/>
          <w:iCs/>
          <w:lang w:val="es-ES"/>
        </w:rPr>
        <w:t>)</w:t>
      </w:r>
    </w:p>
    <w:p w14:paraId="09D1ECC2" w14:textId="65A86578" w:rsidR="001A65DF" w:rsidRPr="001A65DF" w:rsidRDefault="001A65DF" w:rsidP="001A65DF">
      <w:pPr>
        <w:spacing w:after="0" w:line="240" w:lineRule="auto"/>
        <w:jc w:val="center"/>
        <w:rPr>
          <w:rFonts w:eastAsia="Arial" w:cs="Arial"/>
          <w:b/>
          <w:bCs/>
          <w:color w:val="000000"/>
          <w:lang w:val="es-ES" w:eastAsia="en-GB"/>
        </w:rPr>
      </w:pPr>
      <w:r w:rsidRPr="008A5FE3">
        <w:rPr>
          <w:rFonts w:eastAsia="Arial" w:cs="Arial"/>
          <w:b/>
          <w:bCs/>
          <w:iCs/>
          <w:lang w:val="es-ES"/>
        </w:rPr>
        <w:t>EN EL APÉNDICE I DE LA CONVENCIÓN</w:t>
      </w:r>
    </w:p>
    <w:p w14:paraId="55747331" w14:textId="77777777" w:rsidR="001A65DF" w:rsidRDefault="001A65DF" w:rsidP="001A65DF">
      <w:pPr>
        <w:spacing w:after="0" w:line="240" w:lineRule="auto"/>
        <w:jc w:val="both"/>
        <w:rPr>
          <w:rFonts w:eastAsia="Arial" w:cs="Arial"/>
          <w:lang w:val="es-ES" w:eastAsia="en-GB"/>
        </w:rPr>
      </w:pPr>
    </w:p>
    <w:p w14:paraId="0A606359" w14:textId="77777777" w:rsidR="001A65DF" w:rsidRPr="001A65DF" w:rsidRDefault="001A65DF" w:rsidP="001A65DF">
      <w:pPr>
        <w:spacing w:after="0" w:line="240" w:lineRule="auto"/>
        <w:jc w:val="both"/>
        <w:rPr>
          <w:rFonts w:eastAsia="Arial" w:cs="Arial"/>
          <w:lang w:val="es-ES" w:eastAsia="en-GB"/>
        </w:rPr>
      </w:pPr>
    </w:p>
    <w:p w14:paraId="6F73F8C9"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A. PROPUESTA</w:t>
      </w:r>
    </w:p>
    <w:p w14:paraId="4F1C3CFE" w14:textId="77777777" w:rsidR="001A65DF" w:rsidRPr="001A65DF" w:rsidRDefault="001A65DF" w:rsidP="001A65DF">
      <w:pPr>
        <w:spacing w:after="0" w:line="240" w:lineRule="auto"/>
        <w:jc w:val="both"/>
        <w:rPr>
          <w:rFonts w:eastAsia="Arial" w:cs="Arial"/>
          <w:lang w:val="es-ES" w:eastAsia="en-GB"/>
        </w:rPr>
      </w:pPr>
    </w:p>
    <w:p w14:paraId="095CAD6D"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Inclusión de todas las poblaciones del tiburón martillo común (</w:t>
      </w:r>
      <w:proofErr w:type="spellStart"/>
      <w:r w:rsidRPr="001A65DF">
        <w:rPr>
          <w:rFonts w:eastAsia="Arial" w:cs="Arial"/>
          <w:lang w:val="es-ES" w:eastAsia="en-GB"/>
        </w:rPr>
        <w:t>Sphyrna</w:t>
      </w:r>
      <w:proofErr w:type="spellEnd"/>
      <w:r w:rsidRPr="001A65DF">
        <w:rPr>
          <w:rFonts w:eastAsia="Arial" w:cs="Arial"/>
          <w:lang w:val="es-ES" w:eastAsia="en-GB"/>
        </w:rPr>
        <w:t xml:space="preserve"> </w:t>
      </w:r>
      <w:proofErr w:type="spellStart"/>
      <w:r w:rsidRPr="001A65DF">
        <w:rPr>
          <w:rFonts w:eastAsia="Arial" w:cs="Arial"/>
          <w:lang w:val="es-ES" w:eastAsia="en-GB"/>
        </w:rPr>
        <w:t>lewini</w:t>
      </w:r>
      <w:proofErr w:type="spellEnd"/>
      <w:r w:rsidRPr="001A65DF">
        <w:rPr>
          <w:rFonts w:eastAsia="Arial" w:cs="Arial"/>
          <w:lang w:val="es-ES" w:eastAsia="en-GB"/>
        </w:rPr>
        <w:t xml:space="preserve">) en el Apéndice I </w:t>
      </w:r>
    </w:p>
    <w:p w14:paraId="4375D735" w14:textId="77777777" w:rsidR="001A65DF" w:rsidRPr="001A65DF" w:rsidRDefault="001A65DF" w:rsidP="001A65DF">
      <w:pPr>
        <w:spacing w:after="0" w:line="240" w:lineRule="auto"/>
        <w:jc w:val="both"/>
        <w:rPr>
          <w:rFonts w:eastAsia="Arial" w:cs="Arial"/>
          <w:lang w:val="es-ES" w:eastAsia="en-GB"/>
        </w:rPr>
      </w:pPr>
    </w:p>
    <w:p w14:paraId="1ACDF754"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B. PROPONENTE</w:t>
      </w:r>
    </w:p>
    <w:p w14:paraId="6A961AA5" w14:textId="77777777" w:rsidR="001A65DF" w:rsidRPr="001A65DF" w:rsidRDefault="001A65DF" w:rsidP="001A65DF">
      <w:pPr>
        <w:spacing w:after="0" w:line="240" w:lineRule="auto"/>
        <w:jc w:val="both"/>
        <w:rPr>
          <w:rFonts w:eastAsia="Arial" w:cs="Arial"/>
          <w:lang w:val="es-ES" w:eastAsia="en-GB"/>
        </w:rPr>
      </w:pPr>
    </w:p>
    <w:p w14:paraId="1B891093"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Ecuador</w:t>
      </w:r>
    </w:p>
    <w:p w14:paraId="744D88B4" w14:textId="77777777" w:rsidR="001A65DF" w:rsidRPr="001A65DF" w:rsidRDefault="001A65DF" w:rsidP="001A65DF">
      <w:pPr>
        <w:spacing w:after="0" w:line="240" w:lineRule="auto"/>
        <w:jc w:val="both"/>
        <w:rPr>
          <w:rFonts w:eastAsia="Arial" w:cs="Arial"/>
          <w:lang w:val="es-ES" w:eastAsia="en-GB"/>
        </w:rPr>
      </w:pPr>
    </w:p>
    <w:p w14:paraId="5D824F29"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C. EXPOSICIÓN DE MOTIVOS</w:t>
      </w:r>
    </w:p>
    <w:p w14:paraId="6B23B5C7" w14:textId="77777777" w:rsidR="001A65DF" w:rsidRPr="001A65DF" w:rsidRDefault="001A65DF" w:rsidP="001A65DF">
      <w:pPr>
        <w:spacing w:after="0" w:line="240" w:lineRule="auto"/>
        <w:jc w:val="both"/>
        <w:rPr>
          <w:rFonts w:eastAsia="Arial" w:cs="Arial"/>
          <w:lang w:val="es-ES" w:eastAsia="en-GB"/>
        </w:rPr>
      </w:pPr>
    </w:p>
    <w:p w14:paraId="540183FC" w14:textId="77777777" w:rsidR="001A65DF" w:rsidRPr="001A65DF" w:rsidRDefault="001A65DF" w:rsidP="001A65DF">
      <w:pPr>
        <w:spacing w:after="0" w:line="240" w:lineRule="auto"/>
        <w:ind w:left="540" w:hanging="540"/>
        <w:jc w:val="both"/>
        <w:rPr>
          <w:rFonts w:eastAsia="Arial" w:cs="Arial"/>
          <w:b/>
          <w:u w:val="single"/>
          <w:lang w:val="es-ES" w:eastAsia="en-GB"/>
        </w:rPr>
      </w:pPr>
      <w:r w:rsidRPr="001A65DF">
        <w:rPr>
          <w:rFonts w:eastAsia="Arial" w:cs="Arial"/>
          <w:b/>
          <w:u w:val="single"/>
          <w:lang w:val="es-ES" w:eastAsia="en-GB"/>
        </w:rPr>
        <w:t>1.</w:t>
      </w:r>
      <w:r w:rsidRPr="001A65DF">
        <w:rPr>
          <w:rFonts w:eastAsia="Arial" w:cs="Arial"/>
          <w:b/>
          <w:u w:val="single"/>
          <w:lang w:val="es-ES" w:eastAsia="en-GB"/>
        </w:rPr>
        <w:tab/>
        <w:t>Taxonomía</w:t>
      </w:r>
    </w:p>
    <w:p w14:paraId="59313B94" w14:textId="77777777" w:rsidR="001A65DF" w:rsidRPr="001A65DF" w:rsidRDefault="001A65DF" w:rsidP="001A65DF">
      <w:pPr>
        <w:spacing w:after="0" w:line="240" w:lineRule="auto"/>
        <w:ind w:left="540" w:hanging="540"/>
        <w:jc w:val="both"/>
        <w:rPr>
          <w:rFonts w:eastAsia="Arial" w:cs="Arial"/>
          <w:lang w:val="es-ES" w:eastAsia="en-GB"/>
        </w:rPr>
      </w:pPr>
    </w:p>
    <w:p w14:paraId="50C77F38" w14:textId="77777777" w:rsidR="001A65DF" w:rsidRPr="001A65DF" w:rsidRDefault="001A65DF" w:rsidP="001A65DF">
      <w:pPr>
        <w:tabs>
          <w:tab w:val="left" w:pos="2835"/>
          <w:tab w:val="left" w:pos="4253"/>
        </w:tabs>
        <w:spacing w:after="80" w:line="240" w:lineRule="auto"/>
        <w:jc w:val="both"/>
        <w:rPr>
          <w:rFonts w:eastAsia="Arial" w:cs="Arial"/>
          <w:lang w:val="es-ES" w:eastAsia="en-GB"/>
        </w:rPr>
      </w:pPr>
      <w:r w:rsidRPr="001A65DF">
        <w:rPr>
          <w:rFonts w:eastAsia="Arial" w:cs="Arial"/>
          <w:color w:val="000000"/>
          <w:lang w:val="es-ES" w:eastAsia="en-GB"/>
        </w:rPr>
        <w:t>1.1   Clase</w:t>
      </w:r>
      <w:r w:rsidRPr="001A65DF">
        <w:rPr>
          <w:rFonts w:eastAsia="Arial" w:cs="Arial"/>
          <w:color w:val="000000"/>
          <w:lang w:val="es-ES" w:eastAsia="en-GB"/>
        </w:rPr>
        <w:tab/>
      </w:r>
      <w:r w:rsidRPr="001A65DF">
        <w:rPr>
          <w:rFonts w:eastAsia="Arial" w:cs="Arial"/>
          <w:color w:val="000000"/>
          <w:lang w:val="es-ES" w:eastAsia="en-GB"/>
        </w:rPr>
        <w:tab/>
      </w:r>
      <w:r w:rsidRPr="001A65DF">
        <w:rPr>
          <w:rFonts w:eastAsia="Arial" w:cs="Arial"/>
          <w:lang w:val="es-ES" w:eastAsia="en-GB"/>
        </w:rPr>
        <w:t xml:space="preserve"> </w:t>
      </w:r>
      <w:proofErr w:type="spellStart"/>
      <w:r w:rsidRPr="001A65DF">
        <w:rPr>
          <w:rFonts w:eastAsia="Arial" w:cs="Arial"/>
          <w:lang w:val="es-ES" w:eastAsia="en-GB"/>
        </w:rPr>
        <w:t>Chondrichthyes</w:t>
      </w:r>
      <w:proofErr w:type="spellEnd"/>
      <w:r w:rsidRPr="001A65DF">
        <w:rPr>
          <w:rFonts w:eastAsia="Arial" w:cs="Arial"/>
          <w:lang w:val="es-ES" w:eastAsia="en-GB"/>
        </w:rPr>
        <w:t xml:space="preserve"> (</w:t>
      </w:r>
      <w:proofErr w:type="spellStart"/>
      <w:r w:rsidRPr="001A65DF">
        <w:rPr>
          <w:rFonts w:eastAsia="Arial" w:cs="Arial"/>
          <w:lang w:val="es-ES" w:eastAsia="en-GB"/>
        </w:rPr>
        <w:t>Subclass</w:t>
      </w:r>
      <w:proofErr w:type="spellEnd"/>
      <w:r w:rsidRPr="001A65DF">
        <w:rPr>
          <w:rFonts w:eastAsia="Arial" w:cs="Arial"/>
          <w:lang w:val="es-ES" w:eastAsia="en-GB"/>
        </w:rPr>
        <w:t xml:space="preserve">: </w:t>
      </w:r>
      <w:proofErr w:type="spellStart"/>
      <w:r w:rsidRPr="001A65DF">
        <w:rPr>
          <w:rFonts w:eastAsia="Arial" w:cs="Arial"/>
          <w:lang w:val="es-ES" w:eastAsia="en-GB"/>
        </w:rPr>
        <w:t>Elasmobranchii</w:t>
      </w:r>
      <w:proofErr w:type="spellEnd"/>
      <w:r w:rsidRPr="001A65DF">
        <w:rPr>
          <w:rFonts w:eastAsia="Arial" w:cs="Arial"/>
          <w:lang w:val="es-ES" w:eastAsia="en-GB"/>
        </w:rPr>
        <w:t>)</w:t>
      </w:r>
    </w:p>
    <w:p w14:paraId="10687B1C" w14:textId="77777777" w:rsidR="001A65DF" w:rsidRPr="001A65DF" w:rsidRDefault="001A65DF" w:rsidP="001A65DF">
      <w:pPr>
        <w:tabs>
          <w:tab w:val="left" w:pos="2268"/>
          <w:tab w:val="left" w:pos="4253"/>
        </w:tabs>
        <w:spacing w:after="80" w:line="240" w:lineRule="auto"/>
        <w:ind w:right="1654"/>
        <w:jc w:val="both"/>
        <w:rPr>
          <w:rFonts w:eastAsia="Arial" w:cs="Arial"/>
          <w:lang w:val="es-ES" w:eastAsia="en-GB"/>
        </w:rPr>
      </w:pPr>
      <w:r w:rsidRPr="001A65DF">
        <w:rPr>
          <w:rFonts w:eastAsia="Arial" w:cs="Arial"/>
          <w:lang w:val="es-ES" w:eastAsia="en-GB"/>
        </w:rPr>
        <w:t>1.2   Orden</w:t>
      </w:r>
      <w:r w:rsidRPr="001A65DF">
        <w:rPr>
          <w:rFonts w:eastAsia="Arial" w:cs="Arial"/>
          <w:lang w:val="es-ES" w:eastAsia="en-GB"/>
        </w:rPr>
        <w:tab/>
      </w:r>
      <w:r w:rsidRPr="001A65DF">
        <w:rPr>
          <w:rFonts w:eastAsia="Arial" w:cs="Arial"/>
          <w:lang w:val="es-ES" w:eastAsia="en-GB"/>
        </w:rPr>
        <w:tab/>
        <w:t xml:space="preserve"> </w:t>
      </w:r>
      <w:proofErr w:type="spellStart"/>
      <w:r w:rsidRPr="001A65DF">
        <w:rPr>
          <w:rFonts w:eastAsia="Arial" w:cs="Arial"/>
          <w:lang w:val="es-ES" w:eastAsia="en-GB"/>
        </w:rPr>
        <w:t>Carcharhiniformes</w:t>
      </w:r>
      <w:proofErr w:type="spellEnd"/>
    </w:p>
    <w:p w14:paraId="1347AD01" w14:textId="77777777" w:rsidR="001A65DF" w:rsidRPr="001A65DF" w:rsidRDefault="001A65DF" w:rsidP="001A65DF">
      <w:pPr>
        <w:spacing w:after="80" w:line="240" w:lineRule="auto"/>
        <w:jc w:val="both"/>
        <w:rPr>
          <w:rFonts w:eastAsia="Arial" w:cs="Arial"/>
          <w:lang w:val="es-ES" w:eastAsia="en-GB"/>
        </w:rPr>
      </w:pPr>
      <w:r w:rsidRPr="001A65DF">
        <w:rPr>
          <w:rFonts w:eastAsia="Arial" w:cs="Arial"/>
          <w:lang w:val="es-ES" w:eastAsia="en-GB"/>
        </w:rPr>
        <w:t>1.3   Familia</w:t>
      </w: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t xml:space="preserve">                       </w:t>
      </w:r>
      <w:proofErr w:type="spellStart"/>
      <w:r w:rsidRPr="001A65DF">
        <w:rPr>
          <w:rFonts w:eastAsia="Arial" w:cs="Arial"/>
          <w:lang w:val="es-ES" w:eastAsia="en-GB"/>
        </w:rPr>
        <w:t>Sphyrnidae</w:t>
      </w:r>
      <w:proofErr w:type="spellEnd"/>
    </w:p>
    <w:p w14:paraId="3FC4ABF2" w14:textId="77777777" w:rsidR="001A65DF" w:rsidRPr="001A65DF" w:rsidRDefault="001A65DF" w:rsidP="001A65DF">
      <w:pPr>
        <w:spacing w:after="80" w:line="240" w:lineRule="auto"/>
        <w:rPr>
          <w:rFonts w:eastAsia="Arial" w:cs="Arial"/>
          <w:lang w:val="es-ES" w:eastAsia="en-GB"/>
        </w:rPr>
      </w:pPr>
      <w:r w:rsidRPr="001A65DF">
        <w:rPr>
          <w:rFonts w:eastAsia="Arial" w:cs="Arial"/>
          <w:lang w:val="es-ES" w:eastAsia="en-GB"/>
        </w:rPr>
        <w:t xml:space="preserve">1.4   Género, </w:t>
      </w:r>
      <w:proofErr w:type="gramStart"/>
      <w:r w:rsidRPr="001A65DF">
        <w:rPr>
          <w:rFonts w:eastAsia="Arial" w:cs="Arial"/>
          <w:lang w:val="es-ES" w:eastAsia="en-GB"/>
        </w:rPr>
        <w:t xml:space="preserve">especie  </w:t>
      </w:r>
      <w:r w:rsidRPr="001A65DF">
        <w:rPr>
          <w:rFonts w:eastAsia="Arial" w:cs="Arial"/>
          <w:lang w:val="es-ES" w:eastAsia="en-GB"/>
        </w:rPr>
        <w:tab/>
      </w:r>
      <w:proofErr w:type="gramEnd"/>
      <w:r w:rsidRPr="001A65DF">
        <w:rPr>
          <w:rFonts w:eastAsia="Arial" w:cs="Arial"/>
          <w:lang w:val="es-ES" w:eastAsia="en-GB"/>
        </w:rPr>
        <w:t xml:space="preserve">                       </w:t>
      </w:r>
      <w:proofErr w:type="spellStart"/>
      <w:r w:rsidRPr="001A65DF">
        <w:rPr>
          <w:rFonts w:eastAsia="Arial" w:cs="Arial"/>
          <w:i/>
          <w:lang w:val="es-ES" w:eastAsia="en-GB"/>
        </w:rPr>
        <w:t>Sphyrna</w:t>
      </w:r>
      <w:proofErr w:type="spellEnd"/>
      <w:r w:rsidRPr="001A65DF">
        <w:rPr>
          <w:rFonts w:eastAsia="Arial" w:cs="Arial"/>
          <w:i/>
          <w:lang w:val="es-ES" w:eastAsia="en-GB"/>
        </w:rPr>
        <w:t xml:space="preserve"> </w:t>
      </w:r>
      <w:proofErr w:type="spellStart"/>
      <w:r w:rsidRPr="001A65DF">
        <w:rPr>
          <w:rFonts w:eastAsia="Arial" w:cs="Arial"/>
          <w:i/>
          <w:lang w:val="es-ES" w:eastAsia="en-GB"/>
        </w:rPr>
        <w:t>lewini</w:t>
      </w:r>
      <w:proofErr w:type="spellEnd"/>
      <w:r w:rsidRPr="001A65DF">
        <w:rPr>
          <w:rFonts w:eastAsia="Arial" w:cs="Arial"/>
          <w:lang w:val="es-ES" w:eastAsia="en-GB"/>
        </w:rPr>
        <w:t xml:space="preserve"> (Griffit and Smith, 1834)</w:t>
      </w:r>
    </w:p>
    <w:p w14:paraId="77053FAC" w14:textId="77777777" w:rsidR="001A65DF" w:rsidRPr="001A65DF" w:rsidRDefault="001A65DF" w:rsidP="001A65DF">
      <w:pPr>
        <w:spacing w:after="80" w:line="240" w:lineRule="auto"/>
        <w:jc w:val="both"/>
        <w:rPr>
          <w:rFonts w:eastAsia="Times New Roman" w:cs="Arial"/>
          <w:lang w:val="es-ES" w:eastAsia="en-GB"/>
        </w:rPr>
      </w:pPr>
      <w:r w:rsidRPr="001A65DF">
        <w:rPr>
          <w:rFonts w:eastAsia="Arial" w:cs="Arial"/>
          <w:lang w:val="es-ES" w:eastAsia="en-GB"/>
        </w:rPr>
        <w:t>1.5   Sinónimos científicos</w:t>
      </w:r>
      <w:r w:rsidRPr="001A65DF">
        <w:rPr>
          <w:rFonts w:eastAsia="Times New Roman" w:cs="Arial"/>
          <w:lang w:val="es-ES" w:eastAsia="en-GB"/>
        </w:rPr>
        <w:tab/>
        <w:t xml:space="preserve">                          </w:t>
      </w:r>
      <w:proofErr w:type="spellStart"/>
      <w:r w:rsidRPr="001A65DF">
        <w:rPr>
          <w:rFonts w:eastAsia="Arial" w:cs="Arial"/>
          <w:i/>
          <w:lang w:val="es-ES" w:eastAsia="en-GB"/>
        </w:rPr>
        <w:t>Zygaena</w:t>
      </w:r>
      <w:proofErr w:type="spellEnd"/>
      <w:r w:rsidRPr="001A65DF">
        <w:rPr>
          <w:rFonts w:eastAsia="Arial" w:cs="Arial"/>
          <w:i/>
          <w:lang w:val="es-ES" w:eastAsia="en-GB"/>
        </w:rPr>
        <w:t xml:space="preserve"> </w:t>
      </w:r>
      <w:proofErr w:type="spellStart"/>
      <w:r w:rsidRPr="001A65DF">
        <w:rPr>
          <w:rFonts w:eastAsia="Arial" w:cs="Arial"/>
          <w:i/>
          <w:lang w:val="es-ES" w:eastAsia="en-GB"/>
        </w:rPr>
        <w:t>lewini</w:t>
      </w:r>
      <w:proofErr w:type="spellEnd"/>
      <w:r w:rsidRPr="001A65DF">
        <w:rPr>
          <w:rFonts w:eastAsia="Arial" w:cs="Arial"/>
          <w:lang w:val="es-ES" w:eastAsia="en-GB"/>
        </w:rPr>
        <w:t xml:space="preserve"> (Griffith &amp; Smith, 1834)</w:t>
      </w:r>
    </w:p>
    <w:p w14:paraId="1F68A4BE" w14:textId="77777777" w:rsidR="001A65DF" w:rsidRPr="001A65DF" w:rsidRDefault="001A65DF" w:rsidP="001A65DF">
      <w:pPr>
        <w:spacing w:after="80" w:line="240" w:lineRule="auto"/>
        <w:ind w:left="3600" w:firstLine="720"/>
        <w:rPr>
          <w:rFonts w:eastAsia="Arial" w:cs="Arial"/>
          <w:lang w:val="es-ES" w:eastAsia="en-GB"/>
        </w:rPr>
      </w:pPr>
      <w:proofErr w:type="spellStart"/>
      <w:r w:rsidRPr="001A65DF">
        <w:rPr>
          <w:rFonts w:eastAsia="Arial" w:cs="Arial"/>
          <w:i/>
          <w:lang w:val="es-ES" w:eastAsia="en-GB"/>
        </w:rPr>
        <w:t>Zygaena</w:t>
      </w:r>
      <w:proofErr w:type="spellEnd"/>
      <w:r w:rsidRPr="001A65DF">
        <w:rPr>
          <w:rFonts w:eastAsia="Arial" w:cs="Arial"/>
          <w:i/>
          <w:lang w:val="es-ES" w:eastAsia="en-GB"/>
        </w:rPr>
        <w:t xml:space="preserve"> </w:t>
      </w:r>
      <w:proofErr w:type="spellStart"/>
      <w:r w:rsidRPr="001A65DF">
        <w:rPr>
          <w:rFonts w:eastAsia="Arial" w:cs="Arial"/>
          <w:i/>
          <w:lang w:val="es-ES" w:eastAsia="en-GB"/>
        </w:rPr>
        <w:t>erythraea</w:t>
      </w:r>
      <w:proofErr w:type="spellEnd"/>
      <w:r w:rsidRPr="001A65DF">
        <w:rPr>
          <w:rFonts w:eastAsia="Arial" w:cs="Arial"/>
          <w:lang w:val="es-ES" w:eastAsia="en-GB"/>
        </w:rPr>
        <w:t xml:space="preserve"> (</w:t>
      </w:r>
      <w:proofErr w:type="spellStart"/>
      <w:r w:rsidRPr="001A65DF">
        <w:rPr>
          <w:rFonts w:eastAsia="Arial" w:cs="Arial"/>
          <w:lang w:val="es-ES" w:eastAsia="en-GB"/>
        </w:rPr>
        <w:t>Klunzinger</w:t>
      </w:r>
      <w:proofErr w:type="spellEnd"/>
      <w:r w:rsidRPr="001A65DF">
        <w:rPr>
          <w:rFonts w:eastAsia="Arial" w:cs="Arial"/>
          <w:lang w:val="es-ES" w:eastAsia="en-GB"/>
        </w:rPr>
        <w:t xml:space="preserve">, 1871), </w:t>
      </w:r>
    </w:p>
    <w:p w14:paraId="0C84DF39" w14:textId="77777777" w:rsidR="001A65DF" w:rsidRPr="001A65DF" w:rsidRDefault="001A65DF" w:rsidP="001A65DF">
      <w:pPr>
        <w:spacing w:after="80" w:line="240" w:lineRule="auto"/>
        <w:ind w:left="3600" w:firstLine="720"/>
        <w:rPr>
          <w:rFonts w:eastAsia="Arial" w:cs="Arial"/>
          <w:lang w:val="es-ES" w:eastAsia="en-GB"/>
        </w:rPr>
      </w:pPr>
      <w:proofErr w:type="spellStart"/>
      <w:r w:rsidRPr="001A65DF">
        <w:rPr>
          <w:rFonts w:eastAsia="Arial" w:cs="Arial"/>
          <w:i/>
          <w:lang w:val="es-ES" w:eastAsia="en-GB"/>
        </w:rPr>
        <w:t>Sphyrna</w:t>
      </w:r>
      <w:proofErr w:type="spellEnd"/>
      <w:r w:rsidRPr="001A65DF">
        <w:rPr>
          <w:rFonts w:eastAsia="Arial" w:cs="Arial"/>
          <w:i/>
          <w:lang w:val="es-ES" w:eastAsia="en-GB"/>
        </w:rPr>
        <w:t xml:space="preserve"> </w:t>
      </w:r>
      <w:proofErr w:type="spellStart"/>
      <w:r w:rsidRPr="001A65DF">
        <w:rPr>
          <w:rFonts w:eastAsia="Arial" w:cs="Arial"/>
          <w:i/>
          <w:lang w:val="es-ES" w:eastAsia="en-GB"/>
        </w:rPr>
        <w:t>diplana</w:t>
      </w:r>
      <w:proofErr w:type="spellEnd"/>
      <w:r w:rsidRPr="001A65DF">
        <w:rPr>
          <w:rFonts w:eastAsia="Arial" w:cs="Arial"/>
          <w:lang w:val="es-ES" w:eastAsia="en-GB"/>
        </w:rPr>
        <w:t xml:space="preserve"> (Springer, 1941)</w:t>
      </w:r>
    </w:p>
    <w:p w14:paraId="60744B26" w14:textId="77777777" w:rsidR="001A65DF" w:rsidRPr="001A65DF" w:rsidRDefault="001A65DF" w:rsidP="001A65DF">
      <w:pPr>
        <w:spacing w:after="80" w:line="240" w:lineRule="auto"/>
        <w:jc w:val="both"/>
        <w:rPr>
          <w:rFonts w:eastAsia="Arial" w:cs="Arial"/>
          <w:lang w:val="es-ES" w:eastAsia="en-GB"/>
        </w:rPr>
      </w:pPr>
      <w:r w:rsidRPr="001A65DF">
        <w:rPr>
          <w:rFonts w:eastAsia="Arial" w:cs="Arial"/>
          <w:lang w:val="es-ES" w:eastAsia="en-GB"/>
        </w:rPr>
        <w:t>1.6   Nombre(s) común(es), en todos los aplicables</w:t>
      </w:r>
    </w:p>
    <w:p w14:paraId="6873C88B"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        Idiomas utilizados por la Convención:   </w:t>
      </w:r>
      <w:proofErr w:type="gramStart"/>
      <w:r w:rsidRPr="001A65DF">
        <w:rPr>
          <w:rFonts w:eastAsia="Arial" w:cs="Arial"/>
          <w:lang w:val="es-ES" w:eastAsia="en-GB"/>
        </w:rPr>
        <w:t>Inglés</w:t>
      </w:r>
      <w:proofErr w:type="gramEnd"/>
      <w:r w:rsidRPr="001A65DF">
        <w:rPr>
          <w:rFonts w:eastAsia="Arial" w:cs="Arial"/>
          <w:lang w:val="es-ES" w:eastAsia="en-GB"/>
        </w:rPr>
        <w:t xml:space="preserve">: </w:t>
      </w:r>
      <w:proofErr w:type="spellStart"/>
      <w:r w:rsidRPr="001A65DF">
        <w:rPr>
          <w:rFonts w:eastAsia="Arial" w:cs="Arial"/>
          <w:lang w:val="es-ES" w:eastAsia="en-GB"/>
        </w:rPr>
        <w:t>Scalloped</w:t>
      </w:r>
      <w:proofErr w:type="spellEnd"/>
      <w:r w:rsidRPr="001A65DF">
        <w:rPr>
          <w:rFonts w:eastAsia="Arial" w:cs="Arial"/>
          <w:lang w:val="es-ES" w:eastAsia="en-GB"/>
        </w:rPr>
        <w:t xml:space="preserve"> </w:t>
      </w:r>
      <w:proofErr w:type="spellStart"/>
      <w:r w:rsidRPr="001A65DF">
        <w:rPr>
          <w:rFonts w:eastAsia="Arial" w:cs="Arial"/>
          <w:lang w:val="es-ES" w:eastAsia="en-GB"/>
        </w:rPr>
        <w:t>hammerhead</w:t>
      </w:r>
      <w:proofErr w:type="spellEnd"/>
      <w:r w:rsidRPr="001A65DF">
        <w:rPr>
          <w:rFonts w:eastAsia="Arial" w:cs="Arial"/>
          <w:lang w:val="es-ES" w:eastAsia="en-GB"/>
        </w:rPr>
        <w:t xml:space="preserve"> </w:t>
      </w:r>
      <w:proofErr w:type="spellStart"/>
      <w:r w:rsidRPr="001A65DF">
        <w:rPr>
          <w:rFonts w:eastAsia="Arial" w:cs="Arial"/>
          <w:lang w:val="es-ES" w:eastAsia="en-GB"/>
        </w:rPr>
        <w:t>shark</w:t>
      </w:r>
      <w:proofErr w:type="spellEnd"/>
    </w:p>
    <w:p w14:paraId="3CE1713C" w14:textId="77777777" w:rsidR="001A65DF" w:rsidRPr="001A65DF" w:rsidRDefault="001A65DF" w:rsidP="001A65DF">
      <w:pPr>
        <w:pBdr>
          <w:top w:val="nil"/>
          <w:left w:val="nil"/>
          <w:bottom w:val="nil"/>
          <w:right w:val="nil"/>
          <w:between w:val="nil"/>
        </w:pBdr>
        <w:spacing w:after="0" w:line="240" w:lineRule="auto"/>
        <w:ind w:left="3600" w:firstLine="720"/>
        <w:rPr>
          <w:rFonts w:eastAsia="Arial" w:cs="Arial"/>
          <w:lang w:val="es-ES" w:eastAsia="en-GB"/>
        </w:rPr>
      </w:pPr>
      <w:r w:rsidRPr="001A65DF">
        <w:rPr>
          <w:rFonts w:eastAsia="Arial" w:cs="Arial"/>
          <w:lang w:val="es-ES" w:eastAsia="en-GB"/>
        </w:rPr>
        <w:t xml:space="preserve">Francés: </w:t>
      </w:r>
      <w:proofErr w:type="spellStart"/>
      <w:r w:rsidRPr="001A65DF">
        <w:rPr>
          <w:rFonts w:eastAsia="Arial" w:cs="Arial"/>
          <w:lang w:val="es-ES" w:eastAsia="en-GB"/>
        </w:rPr>
        <w:t>Requin-marteau</w:t>
      </w:r>
      <w:proofErr w:type="spellEnd"/>
      <w:r w:rsidRPr="001A65DF">
        <w:rPr>
          <w:rFonts w:eastAsia="Arial" w:cs="Arial"/>
          <w:lang w:val="es-ES" w:eastAsia="en-GB"/>
        </w:rPr>
        <w:t xml:space="preserve"> </w:t>
      </w:r>
      <w:proofErr w:type="spellStart"/>
      <w:r w:rsidRPr="001A65DF">
        <w:rPr>
          <w:rFonts w:eastAsia="Arial" w:cs="Arial"/>
          <w:lang w:val="es-ES" w:eastAsia="en-GB"/>
        </w:rPr>
        <w:t>halicorne</w:t>
      </w:r>
      <w:proofErr w:type="spellEnd"/>
      <w:r w:rsidRPr="001A65DF">
        <w:rPr>
          <w:rFonts w:eastAsia="Arial" w:cs="Arial"/>
          <w:lang w:val="es-ES" w:eastAsia="en-GB"/>
        </w:rPr>
        <w:t>.</w:t>
      </w:r>
    </w:p>
    <w:p w14:paraId="2FC1E47D" w14:textId="77777777" w:rsidR="001A65DF" w:rsidRPr="001A65DF" w:rsidRDefault="001A65DF" w:rsidP="001A65DF">
      <w:pPr>
        <w:spacing w:after="0" w:line="240" w:lineRule="auto"/>
        <w:ind w:left="4320"/>
        <w:jc w:val="both"/>
        <w:rPr>
          <w:rFonts w:eastAsia="Arial" w:cs="Arial"/>
          <w:lang w:val="es-ES" w:eastAsia="en-GB"/>
        </w:rPr>
      </w:pPr>
      <w:r w:rsidRPr="001A65DF">
        <w:rPr>
          <w:rFonts w:eastAsia="Arial" w:cs="Arial"/>
          <w:lang w:val="es-ES" w:eastAsia="en-GB"/>
        </w:rPr>
        <w:t>Español: Tiburón martillo común.</w:t>
      </w:r>
    </w:p>
    <w:p w14:paraId="3C675325" w14:textId="77777777" w:rsidR="001A65DF" w:rsidRPr="001A65DF" w:rsidRDefault="001A65DF" w:rsidP="001A65DF">
      <w:pPr>
        <w:spacing w:after="0" w:line="240" w:lineRule="auto"/>
        <w:ind w:left="3600" w:firstLine="720"/>
        <w:jc w:val="both"/>
        <w:rPr>
          <w:rFonts w:eastAsia="Times New Roman" w:cs="Arial"/>
          <w:lang w:val="es-ES" w:eastAsia="en-GB"/>
        </w:rPr>
      </w:pPr>
      <w:r w:rsidRPr="001A65DF">
        <w:rPr>
          <w:rFonts w:eastAsia="Arial" w:cs="Arial"/>
          <w:lang w:val="es-ES" w:eastAsia="en-GB"/>
        </w:rPr>
        <w:t xml:space="preserve">Alemán:  </w:t>
      </w:r>
      <w:proofErr w:type="spellStart"/>
      <w:r w:rsidRPr="001A65DF">
        <w:rPr>
          <w:rFonts w:eastAsia="Arial" w:cs="Arial"/>
          <w:lang w:val="es-ES" w:eastAsia="en-GB"/>
        </w:rPr>
        <w:t>Bogenstirn-Hammerhai</w:t>
      </w:r>
      <w:proofErr w:type="spellEnd"/>
    </w:p>
    <w:p w14:paraId="62ED9412" w14:textId="77777777" w:rsidR="001A65DF" w:rsidRPr="001A65DF" w:rsidRDefault="001A65DF" w:rsidP="001A65DF">
      <w:pPr>
        <w:spacing w:after="0" w:line="240" w:lineRule="auto"/>
        <w:ind w:left="540" w:hanging="453"/>
        <w:jc w:val="both"/>
        <w:rPr>
          <w:rFonts w:eastAsia="Times New Roman" w:cs="Arial"/>
          <w:lang w:val="es-ES" w:eastAsia="en-GB"/>
        </w:rPr>
      </w:pP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t xml:space="preserve">Italiano:  </w:t>
      </w:r>
      <w:proofErr w:type="spellStart"/>
      <w:r w:rsidRPr="001A65DF">
        <w:rPr>
          <w:rFonts w:eastAsia="Arial" w:cs="Arial"/>
          <w:lang w:val="es-ES" w:eastAsia="en-GB"/>
        </w:rPr>
        <w:t>Squalo</w:t>
      </w:r>
      <w:proofErr w:type="spellEnd"/>
      <w:r w:rsidRPr="001A65DF">
        <w:rPr>
          <w:rFonts w:eastAsia="Arial" w:cs="Arial"/>
          <w:lang w:val="es-ES" w:eastAsia="en-GB"/>
        </w:rPr>
        <w:t xml:space="preserve"> </w:t>
      </w:r>
      <w:proofErr w:type="spellStart"/>
      <w:r w:rsidRPr="001A65DF">
        <w:rPr>
          <w:rFonts w:eastAsia="Arial" w:cs="Arial"/>
          <w:lang w:val="es-ES" w:eastAsia="en-GB"/>
        </w:rPr>
        <w:t>martello</w:t>
      </w:r>
      <w:proofErr w:type="spellEnd"/>
      <w:r w:rsidRPr="001A65DF">
        <w:rPr>
          <w:rFonts w:eastAsia="Arial" w:cs="Arial"/>
          <w:lang w:val="es-ES" w:eastAsia="en-GB"/>
        </w:rPr>
        <w:t xml:space="preserve"> </w:t>
      </w:r>
      <w:proofErr w:type="spellStart"/>
      <w:r w:rsidRPr="001A65DF">
        <w:rPr>
          <w:rFonts w:eastAsia="Arial" w:cs="Arial"/>
          <w:lang w:val="es-ES" w:eastAsia="en-GB"/>
        </w:rPr>
        <w:t>smerlato</w:t>
      </w:r>
      <w:proofErr w:type="spellEnd"/>
    </w:p>
    <w:p w14:paraId="4F566A61" w14:textId="77777777" w:rsidR="001A65DF" w:rsidRPr="001A65DF" w:rsidRDefault="001A65DF" w:rsidP="001A65DF">
      <w:pPr>
        <w:spacing w:after="0" w:line="240" w:lineRule="auto"/>
        <w:ind w:left="540" w:hanging="453"/>
        <w:jc w:val="both"/>
        <w:rPr>
          <w:rFonts w:eastAsia="Times New Roman" w:cs="Arial"/>
          <w:lang w:val="pt-PT" w:eastAsia="en-GB"/>
        </w:rPr>
      </w:pP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r>
      <w:r w:rsidRPr="001A65DF">
        <w:rPr>
          <w:rFonts w:eastAsia="Arial" w:cs="Arial"/>
          <w:lang w:val="pt-PT" w:eastAsia="en-GB"/>
        </w:rPr>
        <w:t>Portugués: Tubarão-martelo-recortado</w:t>
      </w:r>
    </w:p>
    <w:p w14:paraId="413BDE09" w14:textId="77777777" w:rsidR="001A65DF" w:rsidRPr="001A65DF" w:rsidRDefault="001A65DF" w:rsidP="001A65DF">
      <w:pPr>
        <w:spacing w:after="0" w:line="240" w:lineRule="auto"/>
        <w:ind w:left="540" w:hanging="453"/>
        <w:jc w:val="both"/>
        <w:rPr>
          <w:rFonts w:eastAsia="Times New Roman" w:cs="Arial"/>
          <w:lang w:val="pt-PT" w:eastAsia="en-GB"/>
        </w:rPr>
      </w:pP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t xml:space="preserve">Árabe:  </w:t>
      </w:r>
      <w:r w:rsidRPr="001A65DF">
        <w:rPr>
          <w:rFonts w:eastAsia="Arial" w:cs="Arial"/>
          <w:rtl/>
          <w:lang w:val="es-ES" w:eastAsia="en-GB"/>
        </w:rPr>
        <w:t>القرش أبو مطرقة الصدفي</w:t>
      </w:r>
    </w:p>
    <w:p w14:paraId="30C1CE18" w14:textId="77777777" w:rsidR="001A65DF" w:rsidRPr="001A65DF" w:rsidRDefault="001A65DF" w:rsidP="001A65DF">
      <w:pPr>
        <w:spacing w:after="0" w:line="240" w:lineRule="auto"/>
        <w:ind w:left="540" w:hanging="453"/>
        <w:jc w:val="both"/>
        <w:rPr>
          <w:rFonts w:eastAsia="Times New Roman" w:cs="Arial"/>
          <w:lang w:val="es-ES" w:eastAsia="en-GB"/>
        </w:rPr>
      </w:pP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r>
      <w:r w:rsidRPr="001A65DF">
        <w:rPr>
          <w:rFonts w:eastAsia="Arial" w:cs="Arial"/>
          <w:lang w:val="es-ES" w:eastAsia="en-GB"/>
        </w:rPr>
        <w:t xml:space="preserve">Ruso:  </w:t>
      </w:r>
      <w:proofErr w:type="spellStart"/>
      <w:r w:rsidRPr="001A65DF">
        <w:rPr>
          <w:rFonts w:eastAsia="Arial" w:cs="Arial"/>
          <w:lang w:val="es-ES" w:eastAsia="en-GB"/>
        </w:rPr>
        <w:t>Бронзовая</w:t>
      </w:r>
      <w:proofErr w:type="spellEnd"/>
      <w:r w:rsidRPr="001A65DF">
        <w:rPr>
          <w:rFonts w:eastAsia="Arial" w:cs="Arial"/>
          <w:lang w:val="es-ES" w:eastAsia="en-GB"/>
        </w:rPr>
        <w:t xml:space="preserve"> </w:t>
      </w:r>
      <w:proofErr w:type="spellStart"/>
      <w:r w:rsidRPr="001A65DF">
        <w:rPr>
          <w:rFonts w:eastAsia="Arial" w:cs="Arial"/>
          <w:lang w:val="es-ES" w:eastAsia="en-GB"/>
        </w:rPr>
        <w:t>молот-рыба</w:t>
      </w:r>
      <w:proofErr w:type="spellEnd"/>
    </w:p>
    <w:p w14:paraId="160C4BDC" w14:textId="77777777" w:rsidR="001A65DF" w:rsidRPr="001A65DF" w:rsidRDefault="001A65DF" w:rsidP="001A65DF">
      <w:pPr>
        <w:spacing w:after="0" w:line="240" w:lineRule="auto"/>
        <w:jc w:val="both"/>
        <w:rPr>
          <w:rFonts w:eastAsia="Arial" w:cs="Arial"/>
          <w:lang w:val="es-ES" w:eastAsia="en-GB"/>
        </w:rPr>
      </w:pPr>
    </w:p>
    <w:p w14:paraId="70C6E1EE" w14:textId="77777777" w:rsidR="001A65DF" w:rsidRPr="001A65DF" w:rsidRDefault="001A65DF" w:rsidP="001A65DF">
      <w:pPr>
        <w:spacing w:after="0" w:line="240" w:lineRule="auto"/>
        <w:rPr>
          <w:rFonts w:eastAsia="Arial" w:cs="Arial"/>
          <w:lang w:val="es-ES" w:eastAsia="en-GB"/>
        </w:rPr>
      </w:pPr>
      <w:r w:rsidRPr="001A65DF">
        <w:rPr>
          <w:rFonts w:eastAsia="Calibri" w:cs="Arial"/>
          <w:noProof/>
          <w:lang w:val="es-ES" w:eastAsia="en-GB"/>
        </w:rPr>
        <w:drawing>
          <wp:inline distT="0" distB="0" distL="0" distR="0" wp14:anchorId="498E9D33" wp14:editId="051C1E52">
            <wp:extent cx="3592183" cy="1426923"/>
            <wp:effectExtent l="0" t="0" r="0" b="0"/>
            <wp:docPr id="1262422741" name="image8.jpg" descr="A shark with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262422741" name="image8.jpg" descr="A shark with a white background&#10;&#10;AI-generated content may be incorrect."/>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3592183" cy="1426923"/>
                    </a:xfrm>
                    <a:prstGeom prst="rect">
                      <a:avLst/>
                    </a:prstGeom>
                    <a:ln/>
                  </pic:spPr>
                </pic:pic>
              </a:graphicData>
            </a:graphic>
          </wp:inline>
        </w:drawing>
      </w:r>
      <w:r w:rsidRPr="001A65DF">
        <w:rPr>
          <w:rFonts w:eastAsia="Calibri" w:cs="Arial"/>
          <w:noProof/>
          <w:lang w:val="es-ES" w:eastAsia="en-GB"/>
        </w:rPr>
        <w:drawing>
          <wp:anchor distT="0" distB="0" distL="114300" distR="114300" simplePos="0" relativeHeight="251653632" behindDoc="0" locked="0" layoutInCell="1" hidden="0" allowOverlap="1" wp14:anchorId="2D05B196" wp14:editId="22C3E1B2">
            <wp:simplePos x="0" y="0"/>
            <wp:positionH relativeFrom="column">
              <wp:posOffset>3646745</wp:posOffset>
            </wp:positionH>
            <wp:positionV relativeFrom="paragraph">
              <wp:posOffset>135033</wp:posOffset>
            </wp:positionV>
            <wp:extent cx="2104596" cy="1188669"/>
            <wp:effectExtent l="0" t="0" r="0" b="0"/>
            <wp:wrapNone/>
            <wp:docPr id="1262422732" name="image3.jpg" descr="A drawing of a mouth&#10;&#10;AI-generated content may be incorrect."/>
            <wp:cNvGraphicFramePr/>
            <a:graphic xmlns:a="http://schemas.openxmlformats.org/drawingml/2006/main">
              <a:graphicData uri="http://schemas.openxmlformats.org/drawingml/2006/picture">
                <pic:pic xmlns:pic="http://schemas.openxmlformats.org/drawingml/2006/picture">
                  <pic:nvPicPr>
                    <pic:cNvPr id="1262422732" name="image3.jpg" descr="A drawing of a mouth&#10;&#10;AI-generated content may be incorrect."/>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104596" cy="1188669"/>
                    </a:xfrm>
                    <a:prstGeom prst="rect">
                      <a:avLst/>
                    </a:prstGeom>
                    <a:ln/>
                  </pic:spPr>
                </pic:pic>
              </a:graphicData>
            </a:graphic>
          </wp:anchor>
        </w:drawing>
      </w:r>
    </w:p>
    <w:p w14:paraId="18D64B58" w14:textId="77777777" w:rsidR="001A65DF" w:rsidRPr="001A65DF" w:rsidRDefault="001A65DF" w:rsidP="001A65DF">
      <w:pPr>
        <w:spacing w:after="0" w:line="240" w:lineRule="auto"/>
        <w:jc w:val="both"/>
        <w:rPr>
          <w:rFonts w:eastAsia="Arial" w:cs="Arial"/>
          <w:lang w:val="es-ES" w:eastAsia="en-GB"/>
        </w:rPr>
      </w:pPr>
    </w:p>
    <w:p w14:paraId="70152763" w14:textId="77777777" w:rsidR="001A65DF" w:rsidRPr="001A65DF" w:rsidRDefault="001A65DF" w:rsidP="001A65DF">
      <w:pPr>
        <w:spacing w:after="0" w:line="240" w:lineRule="auto"/>
        <w:jc w:val="both"/>
        <w:rPr>
          <w:rFonts w:eastAsia="Arial" w:cs="Arial"/>
          <w:sz w:val="20"/>
          <w:szCs w:val="20"/>
          <w:lang w:val="es-ES" w:eastAsia="en-GB"/>
        </w:rPr>
      </w:pPr>
      <w:proofErr w:type="spellStart"/>
      <w:r w:rsidRPr="001A65DF">
        <w:rPr>
          <w:rFonts w:eastAsia="Arial" w:cs="Arial"/>
          <w:sz w:val="20"/>
          <w:szCs w:val="20"/>
          <w:lang w:eastAsia="en-GB"/>
        </w:rPr>
        <w:t>Figura</w:t>
      </w:r>
      <w:proofErr w:type="spellEnd"/>
      <w:r w:rsidRPr="001A65DF">
        <w:rPr>
          <w:rFonts w:eastAsia="Arial" w:cs="Arial"/>
          <w:sz w:val="20"/>
          <w:szCs w:val="20"/>
          <w:lang w:eastAsia="en-GB"/>
        </w:rPr>
        <w:t xml:space="preserve"> 1. Scalloped hammerhead shark (</w:t>
      </w:r>
      <w:r w:rsidRPr="001A65DF">
        <w:rPr>
          <w:rFonts w:eastAsia="Arial" w:cs="Arial"/>
          <w:i/>
          <w:sz w:val="20"/>
          <w:szCs w:val="20"/>
          <w:lang w:eastAsia="en-GB"/>
        </w:rPr>
        <w:t xml:space="preserve">Sphyrna </w:t>
      </w:r>
      <w:proofErr w:type="spellStart"/>
      <w:r w:rsidRPr="001A65DF">
        <w:rPr>
          <w:rFonts w:eastAsia="Arial" w:cs="Arial"/>
          <w:i/>
          <w:sz w:val="20"/>
          <w:szCs w:val="20"/>
          <w:lang w:eastAsia="en-GB"/>
        </w:rPr>
        <w:t>lewini</w:t>
      </w:r>
      <w:proofErr w:type="spellEnd"/>
      <w:r w:rsidRPr="001A65DF">
        <w:rPr>
          <w:rFonts w:eastAsia="Arial" w:cs="Arial"/>
          <w:sz w:val="20"/>
          <w:szCs w:val="20"/>
          <w:lang w:eastAsia="en-GB"/>
        </w:rPr>
        <w:t xml:space="preserve">), full body and </w:t>
      </w:r>
      <w:proofErr w:type="spellStart"/>
      <w:r w:rsidRPr="001A65DF">
        <w:rPr>
          <w:rFonts w:eastAsia="Arial" w:cs="Arial"/>
          <w:sz w:val="20"/>
          <w:szCs w:val="20"/>
          <w:lang w:eastAsia="en-GB"/>
        </w:rPr>
        <w:t>cephalofoil</w:t>
      </w:r>
      <w:proofErr w:type="spellEnd"/>
      <w:r w:rsidRPr="001A65DF">
        <w:rPr>
          <w:rFonts w:eastAsia="Arial" w:cs="Arial"/>
          <w:sz w:val="20"/>
          <w:szCs w:val="20"/>
          <w:lang w:eastAsia="en-GB"/>
        </w:rPr>
        <w:t xml:space="preserve">. </w:t>
      </w:r>
      <w:proofErr w:type="spellStart"/>
      <w:r w:rsidRPr="001A65DF">
        <w:rPr>
          <w:rFonts w:eastAsia="Arial" w:cs="Arial"/>
          <w:sz w:val="20"/>
          <w:szCs w:val="20"/>
          <w:lang w:val="es-ES" w:eastAsia="en-GB"/>
        </w:rPr>
        <w:t>Illustrations</w:t>
      </w:r>
      <w:proofErr w:type="spellEnd"/>
      <w:r w:rsidRPr="001A65DF">
        <w:rPr>
          <w:rFonts w:eastAsia="Arial" w:cs="Arial"/>
          <w:sz w:val="20"/>
          <w:szCs w:val="20"/>
          <w:lang w:val="es-ES" w:eastAsia="en-GB"/>
        </w:rPr>
        <w:t xml:space="preserve">: © Marc Dando (Wild </w:t>
      </w:r>
      <w:proofErr w:type="spellStart"/>
      <w:r w:rsidRPr="001A65DF">
        <w:rPr>
          <w:rFonts w:eastAsia="Arial" w:cs="Arial"/>
          <w:sz w:val="20"/>
          <w:szCs w:val="20"/>
          <w:lang w:val="es-ES" w:eastAsia="en-GB"/>
        </w:rPr>
        <w:t>Nature</w:t>
      </w:r>
      <w:proofErr w:type="spellEnd"/>
      <w:r w:rsidRPr="001A65DF">
        <w:rPr>
          <w:rFonts w:eastAsia="Arial" w:cs="Arial"/>
          <w:sz w:val="20"/>
          <w:szCs w:val="20"/>
          <w:lang w:val="es-ES" w:eastAsia="en-GB"/>
        </w:rPr>
        <w:t xml:space="preserve"> </w:t>
      </w:r>
      <w:proofErr w:type="spellStart"/>
      <w:r w:rsidRPr="001A65DF">
        <w:rPr>
          <w:rFonts w:eastAsia="Arial" w:cs="Arial"/>
          <w:sz w:val="20"/>
          <w:szCs w:val="20"/>
          <w:lang w:val="es-ES" w:eastAsia="en-GB"/>
        </w:rPr>
        <w:t>Press</w:t>
      </w:r>
      <w:proofErr w:type="spellEnd"/>
      <w:r w:rsidRPr="001A65DF">
        <w:rPr>
          <w:rFonts w:eastAsia="Arial" w:cs="Arial"/>
          <w:sz w:val="20"/>
          <w:szCs w:val="20"/>
          <w:lang w:val="es-ES" w:eastAsia="en-GB"/>
        </w:rPr>
        <w:t>).</w:t>
      </w:r>
    </w:p>
    <w:p w14:paraId="7694F88C" w14:textId="77777777" w:rsidR="001A65DF" w:rsidRPr="001A65DF" w:rsidRDefault="001A65DF" w:rsidP="001A65DF">
      <w:pPr>
        <w:spacing w:after="0" w:line="240" w:lineRule="auto"/>
        <w:jc w:val="both"/>
        <w:rPr>
          <w:rFonts w:eastAsia="Arial" w:cs="Arial"/>
          <w:lang w:val="es-ES" w:eastAsia="en-GB"/>
        </w:rPr>
      </w:pPr>
    </w:p>
    <w:p w14:paraId="4C100F2A" w14:textId="77777777" w:rsidR="001A65DF" w:rsidRPr="001A65DF" w:rsidRDefault="001A65DF" w:rsidP="001A65DF">
      <w:pPr>
        <w:spacing w:after="0" w:line="240" w:lineRule="auto"/>
        <w:jc w:val="both"/>
        <w:rPr>
          <w:rFonts w:eastAsia="Arial" w:cs="Arial"/>
          <w:lang w:val="es-ES" w:eastAsia="en-GB"/>
        </w:rPr>
      </w:pPr>
    </w:p>
    <w:p w14:paraId="1F22A549" w14:textId="77777777" w:rsidR="001A65DF" w:rsidRPr="001A65DF" w:rsidRDefault="001A65DF" w:rsidP="001A65DF">
      <w:pPr>
        <w:spacing w:after="0" w:line="240" w:lineRule="auto"/>
        <w:jc w:val="both"/>
        <w:rPr>
          <w:rFonts w:eastAsia="Arial" w:cs="Arial"/>
          <w:lang w:val="es-ES" w:eastAsia="en-GB"/>
        </w:rPr>
      </w:pPr>
    </w:p>
    <w:p w14:paraId="0F2BB1FF" w14:textId="77777777" w:rsidR="001A65DF" w:rsidRPr="001A65DF" w:rsidRDefault="001A65DF" w:rsidP="001A65DF">
      <w:pPr>
        <w:spacing w:after="0" w:line="240" w:lineRule="auto"/>
        <w:jc w:val="both"/>
        <w:rPr>
          <w:rFonts w:eastAsia="Arial" w:cs="Arial"/>
          <w:lang w:val="es-ES" w:eastAsia="en-GB"/>
        </w:rPr>
      </w:pPr>
    </w:p>
    <w:p w14:paraId="1A583A43" w14:textId="77777777" w:rsidR="001A65DF" w:rsidRPr="001A65DF" w:rsidRDefault="001A65DF" w:rsidP="001A65DF">
      <w:pPr>
        <w:spacing w:after="0" w:line="240" w:lineRule="auto"/>
        <w:jc w:val="both"/>
        <w:rPr>
          <w:rFonts w:eastAsia="Arial" w:cs="Arial"/>
          <w:lang w:val="es-ES" w:eastAsia="en-GB"/>
        </w:rPr>
      </w:pPr>
    </w:p>
    <w:p w14:paraId="45BFDFC6" w14:textId="77777777" w:rsidR="001A65DF" w:rsidRPr="001A65DF" w:rsidRDefault="001A65DF" w:rsidP="001A65DF">
      <w:pPr>
        <w:spacing w:after="0" w:line="240" w:lineRule="auto"/>
        <w:ind w:left="540" w:hanging="540"/>
        <w:jc w:val="both"/>
        <w:rPr>
          <w:rFonts w:eastAsia="Arial" w:cs="Arial"/>
          <w:b/>
          <w:u w:val="single"/>
          <w:lang w:val="es-ES" w:eastAsia="en-GB"/>
        </w:rPr>
      </w:pPr>
      <w:r w:rsidRPr="001A65DF">
        <w:rPr>
          <w:rFonts w:eastAsia="Arial" w:cs="Arial"/>
          <w:b/>
          <w:u w:val="single"/>
          <w:lang w:val="es-ES" w:eastAsia="en-GB"/>
        </w:rPr>
        <w:t>2.</w:t>
      </w:r>
      <w:r w:rsidRPr="001A65DF">
        <w:rPr>
          <w:rFonts w:eastAsia="Arial" w:cs="Arial"/>
          <w:b/>
          <w:u w:val="single"/>
          <w:lang w:val="es-ES" w:eastAsia="en-GB"/>
        </w:rPr>
        <w:tab/>
      </w:r>
      <w:proofErr w:type="spellStart"/>
      <w:r w:rsidRPr="001A65DF">
        <w:rPr>
          <w:rFonts w:eastAsia="Arial" w:cs="Arial"/>
          <w:b/>
          <w:u w:val="single"/>
          <w:lang w:val="es-ES" w:eastAsia="en-GB"/>
        </w:rPr>
        <w:t>Overview</w:t>
      </w:r>
      <w:proofErr w:type="spellEnd"/>
    </w:p>
    <w:p w14:paraId="6CF89B0C" w14:textId="77777777" w:rsidR="001A65DF" w:rsidRPr="001A65DF" w:rsidRDefault="001A65DF" w:rsidP="001A65DF">
      <w:pPr>
        <w:spacing w:after="0" w:line="240" w:lineRule="auto"/>
        <w:jc w:val="both"/>
        <w:rPr>
          <w:rFonts w:eastAsia="Arial" w:cs="Arial"/>
          <w:lang w:val="es-ES" w:eastAsia="en-GB"/>
        </w:rPr>
      </w:pPr>
    </w:p>
    <w:p w14:paraId="18611FAF"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El tiburón martillo común (</w:t>
      </w:r>
      <w:proofErr w:type="spellStart"/>
      <w:r w:rsidRPr="001A65DF">
        <w:rPr>
          <w:rFonts w:eastAsia="Arial" w:cs="Arial"/>
          <w:i/>
          <w:iCs/>
          <w:color w:val="000000"/>
          <w:lang w:val="es-ES" w:eastAsia="en-GB"/>
        </w:rPr>
        <w:t>Sphyrna</w:t>
      </w:r>
      <w:proofErr w:type="spellEnd"/>
      <w:r w:rsidRPr="001A65DF">
        <w:rPr>
          <w:rFonts w:eastAsia="Arial" w:cs="Arial"/>
          <w:i/>
          <w:iCs/>
          <w:color w:val="000000"/>
          <w:lang w:val="es-ES" w:eastAsia="en-GB"/>
        </w:rPr>
        <w:t xml:space="preserve"> </w:t>
      </w:r>
      <w:proofErr w:type="spellStart"/>
      <w:r w:rsidRPr="001A65DF">
        <w:rPr>
          <w:rFonts w:eastAsia="Arial" w:cs="Arial"/>
          <w:i/>
          <w:iCs/>
          <w:color w:val="000000"/>
          <w:lang w:val="es-ES" w:eastAsia="en-GB"/>
        </w:rPr>
        <w:t>lewini</w:t>
      </w:r>
      <w:proofErr w:type="spellEnd"/>
      <w:r w:rsidRPr="001A65DF">
        <w:rPr>
          <w:rFonts w:eastAsia="Arial" w:cs="Arial"/>
          <w:color w:val="000000"/>
          <w:lang w:val="es-ES" w:eastAsia="en-GB"/>
        </w:rPr>
        <w:t>) está evaluado globalmente como En Peligro Crítico por la Lista Roja de la UICN, debido a reducciones poblacionales superiores al 80% en las últimas tres generaciones (</w:t>
      </w:r>
      <w:proofErr w:type="spellStart"/>
      <w:r w:rsidRPr="001A65DF">
        <w:rPr>
          <w:rFonts w:eastAsia="Arial" w:cs="Arial"/>
          <w:color w:val="000000"/>
          <w:lang w:val="es-ES" w:eastAsia="en-GB"/>
        </w:rPr>
        <w:t>Rigby</w:t>
      </w:r>
      <w:proofErr w:type="spellEnd"/>
      <w:r w:rsidRPr="001A65DF">
        <w:rPr>
          <w:rFonts w:eastAsia="Arial" w:cs="Arial"/>
          <w:color w:val="000000"/>
          <w:lang w:val="es-ES" w:eastAsia="en-GB"/>
        </w:rPr>
        <w:t xml:space="preserve"> et al. 2019). El principal impulsor de estas disminuciones poblacionales es la sobreexplotación pesquera, tanto como especie objetivo, como incidental. Los martillos comunes son altamente valorados por el tamaño y la calidad de sus aletas (Abercrombie et al. 2005), y evidencias genéticas recientes, sugieren que los tiburones martillo comunes del Pacífico Oriental Tropical (POT) representan más del 60% del suministro internacional en uno de los mayores centros de comercio mundial de aletas de tiburón </w:t>
      </w:r>
      <w:r w:rsidRPr="001A65DF">
        <w:rPr>
          <w:rFonts w:eastAsia="Arial" w:cs="Arial"/>
          <w:lang w:val="es-ES" w:eastAsia="en-GB"/>
        </w:rPr>
        <w:t>(</w:t>
      </w:r>
      <w:proofErr w:type="spellStart"/>
      <w:r w:rsidRPr="001A65DF">
        <w:rPr>
          <w:rFonts w:eastAsia="Arial" w:cs="Arial"/>
          <w:lang w:val="es-ES" w:eastAsia="en-GB"/>
        </w:rPr>
        <w:t>Fields</w:t>
      </w:r>
      <w:proofErr w:type="spellEnd"/>
      <w:r w:rsidRPr="001A65DF">
        <w:rPr>
          <w:rFonts w:eastAsia="Arial" w:cs="Arial"/>
          <w:lang w:val="es-ES" w:eastAsia="en-GB"/>
        </w:rPr>
        <w:t xml:space="preserve"> et al. 2020). </w:t>
      </w:r>
      <w:r w:rsidRPr="001A65DF">
        <w:rPr>
          <w:rFonts w:eastAsia="Arial" w:cs="Arial"/>
          <w:color w:val="000000"/>
          <w:lang w:val="es-ES" w:eastAsia="en-GB"/>
        </w:rPr>
        <w:t xml:space="preserve"> Estas reducciones poblacionales han ocurrido en todos los mares cálidos templados y tropicales a lo largo de su rango de distribución </w:t>
      </w:r>
      <w:proofErr w:type="spellStart"/>
      <w:r w:rsidRPr="001A65DF">
        <w:rPr>
          <w:rFonts w:eastAsia="Arial" w:cs="Arial"/>
          <w:color w:val="000000"/>
          <w:lang w:val="es-ES" w:eastAsia="en-GB"/>
        </w:rPr>
        <w:t>circunglobal</w:t>
      </w:r>
      <w:proofErr w:type="spellEnd"/>
      <w:r w:rsidRPr="001A65DF">
        <w:rPr>
          <w:rFonts w:eastAsia="Arial" w:cs="Arial"/>
          <w:color w:val="000000"/>
          <w:lang w:val="es-ES" w:eastAsia="en-GB"/>
        </w:rPr>
        <w:t>. Los martillos comunes son altamente migratorios: algunos machos se desplazan a través de cuencas oceánicas, mientras que las hembras maduras realizan migraciones transfronterizas regulares entre áreas de reproducción y alimentación para parir, dentro de su región de origen, incluyendo zonas más allá de la jurisdicción nacional (ABNJ); (Ketchum et al. 2014; Salinas-de-León et al.</w:t>
      </w:r>
      <w:r w:rsidRPr="001A65DF">
        <w:rPr>
          <w:rFonts w:eastAsia="Arial" w:cs="Arial"/>
          <w:lang w:val="es-ES" w:eastAsia="en-GB"/>
        </w:rPr>
        <w:t xml:space="preserve"> </w:t>
      </w:r>
      <w:sdt>
        <w:sdtPr>
          <w:rPr>
            <w:rFonts w:eastAsia="Calibri" w:cs="Arial"/>
            <w:lang w:val="es-ES" w:eastAsia="en-GB"/>
          </w:rPr>
          <w:tag w:val="goog_rdk_1"/>
          <w:id w:val="950827362"/>
        </w:sdtPr>
        <w:sdtContent/>
      </w:sdt>
      <w:r w:rsidRPr="001A65DF">
        <w:rPr>
          <w:rFonts w:eastAsia="Arial" w:cs="Arial"/>
          <w:lang w:val="es-ES" w:eastAsia="en-GB"/>
        </w:rPr>
        <w:t xml:space="preserve">2025). </w:t>
      </w:r>
      <w:r w:rsidRPr="001A65DF">
        <w:rPr>
          <w:rFonts w:eastAsia="Arial" w:cs="Arial"/>
          <w:color w:val="000000"/>
          <w:lang w:val="es-ES" w:eastAsia="en-GB"/>
        </w:rPr>
        <w:t xml:space="preserve">A pesar de sus migraciones de larga distancia, existe evidencia que indica que algunas hembras podrían tener </w:t>
      </w:r>
      <w:proofErr w:type="spellStart"/>
      <w:r w:rsidRPr="001A65DF">
        <w:rPr>
          <w:rFonts w:eastAsia="Arial" w:cs="Arial"/>
          <w:color w:val="000000"/>
          <w:lang w:val="es-ES" w:eastAsia="en-GB"/>
        </w:rPr>
        <w:t>filopatria</w:t>
      </w:r>
      <w:proofErr w:type="spellEnd"/>
      <w:r w:rsidRPr="001A65DF">
        <w:rPr>
          <w:rFonts w:eastAsia="Arial" w:cs="Arial"/>
          <w:color w:val="000000"/>
          <w:lang w:val="es-ES" w:eastAsia="en-GB"/>
        </w:rPr>
        <w:t xml:space="preserve"> a las zonas costeras someras de crianza donde nacieron, a las que regresan para dar a luz</w:t>
      </w:r>
      <w:r w:rsidRPr="001A65DF">
        <w:rPr>
          <w:rFonts w:eastAsia="Arial" w:cs="Arial"/>
          <w:lang w:val="es-ES" w:eastAsia="en-GB"/>
        </w:rPr>
        <w:t xml:space="preserve"> </w:t>
      </w:r>
      <w:r w:rsidRPr="001A65DF">
        <w:rPr>
          <w:rFonts w:eastAsia="Arial" w:cs="Arial"/>
          <w:color w:val="000000"/>
          <w:lang w:val="es-ES" w:eastAsia="en-GB"/>
        </w:rPr>
        <w:t>(Rangel-Morales et al. 2022).</w:t>
      </w:r>
    </w:p>
    <w:p w14:paraId="61094E05" w14:textId="77777777" w:rsidR="001A65DF" w:rsidRPr="001A65DF" w:rsidRDefault="001A65DF" w:rsidP="001A65DF">
      <w:pPr>
        <w:spacing w:after="0" w:line="240" w:lineRule="auto"/>
        <w:jc w:val="both"/>
        <w:rPr>
          <w:rFonts w:eastAsia="Arial" w:cs="Arial"/>
          <w:color w:val="000000"/>
          <w:lang w:val="es-ES" w:eastAsia="en-GB"/>
        </w:rPr>
      </w:pPr>
    </w:p>
    <w:p w14:paraId="3D0300AA"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 xml:space="preserve">La presión pesquera está impulsada por el incremento en la demanda e incentivada por el alto valor económico de sus aletas y el consumo de su carne, lo que ha llevado a que la especie sea sobreexplotada en todas las etapas de su ciclo de vida, tanto en ambientes costeros como en oceánicos. Su naturaleza altamente migratoria, su lento crecimiento y sus largos períodos de gestación ponen a esta especie, comúnmente capturada como fauna acompañante, en riesgo frente a las prácticas pesqueras en alta mar, en sitios oceánicos de agregación y en zonas costeras de crianza (Gallagher y </w:t>
      </w:r>
      <w:proofErr w:type="spellStart"/>
      <w:r w:rsidRPr="001A65DF">
        <w:rPr>
          <w:rFonts w:eastAsia="Arial" w:cs="Arial"/>
          <w:color w:val="000000"/>
          <w:lang w:val="es-ES" w:eastAsia="en-GB"/>
        </w:rPr>
        <w:t>Klimley</w:t>
      </w:r>
      <w:proofErr w:type="spellEnd"/>
      <w:r w:rsidRPr="001A65DF">
        <w:rPr>
          <w:rFonts w:eastAsia="Arial" w:cs="Arial"/>
          <w:color w:val="000000"/>
          <w:lang w:val="es-ES" w:eastAsia="en-GB"/>
        </w:rPr>
        <w:t xml:space="preserve">, </w:t>
      </w:r>
      <w:r w:rsidRPr="001A65DF">
        <w:rPr>
          <w:rFonts w:eastAsia="Arial" w:cs="Arial"/>
          <w:lang w:val="es-ES" w:eastAsia="en-GB"/>
        </w:rPr>
        <w:t>2018</w:t>
      </w:r>
      <w:r w:rsidRPr="001A65DF">
        <w:rPr>
          <w:rFonts w:eastAsia="Arial" w:cs="Arial"/>
          <w:color w:val="000000"/>
          <w:lang w:val="es-ES" w:eastAsia="en-GB"/>
        </w:rPr>
        <w:t>). Las áreas de crianza costeras también están cada vez más amenazadas por el cambio climático, la pesca intensiva y la degradación o pérdida de hábitat debido, entre otros factores, a la contaminación y el desarrollo costero (</w:t>
      </w:r>
      <w:proofErr w:type="spellStart"/>
      <w:r w:rsidRPr="001A65DF">
        <w:rPr>
          <w:rFonts w:eastAsia="Arial" w:cs="Arial"/>
          <w:color w:val="000000"/>
          <w:lang w:val="es-ES" w:eastAsia="en-GB"/>
        </w:rPr>
        <w:t>Cerutti</w:t>
      </w:r>
      <w:proofErr w:type="spellEnd"/>
      <w:r w:rsidRPr="001A65DF">
        <w:rPr>
          <w:rFonts w:eastAsia="Arial" w:cs="Arial"/>
          <w:color w:val="000000"/>
          <w:lang w:val="es-ES" w:eastAsia="en-GB"/>
        </w:rPr>
        <w:t xml:space="preserve">-Pereyra et al. 2024). Ante estas presiones actuales, sumadas a </w:t>
      </w:r>
      <w:proofErr w:type="gramStart"/>
      <w:r w:rsidRPr="001A65DF">
        <w:rPr>
          <w:rFonts w:eastAsia="Arial" w:cs="Arial"/>
          <w:color w:val="000000"/>
          <w:lang w:val="es-ES" w:eastAsia="en-GB"/>
        </w:rPr>
        <w:t>la insuficientes estrategias</w:t>
      </w:r>
      <w:proofErr w:type="gramEnd"/>
      <w:r w:rsidRPr="001A65DF">
        <w:rPr>
          <w:rFonts w:eastAsia="Arial" w:cs="Arial"/>
          <w:color w:val="000000"/>
          <w:lang w:val="es-ES" w:eastAsia="en-GB"/>
        </w:rPr>
        <w:t xml:space="preserve"> de gestión por parte de las Organizaciones Regionales de Ordenación Pesquera (OROP), las altas tasas de captura actuales de </w:t>
      </w:r>
      <w:proofErr w:type="spellStart"/>
      <w:r w:rsidRPr="001A65DF">
        <w:rPr>
          <w:rFonts w:eastAsia="Arial" w:cs="Arial"/>
          <w:i/>
          <w:iCs/>
          <w:color w:val="000000"/>
          <w:lang w:val="es-ES" w:eastAsia="en-GB"/>
        </w:rPr>
        <w:t>Sphyrna</w:t>
      </w:r>
      <w:proofErr w:type="spellEnd"/>
      <w:r w:rsidRPr="001A65DF">
        <w:rPr>
          <w:rFonts w:eastAsia="Arial" w:cs="Arial"/>
          <w:i/>
          <w:iCs/>
          <w:color w:val="000000"/>
          <w:lang w:val="es-ES" w:eastAsia="en-GB"/>
        </w:rPr>
        <w:t xml:space="preserve"> </w:t>
      </w:r>
      <w:proofErr w:type="spellStart"/>
      <w:r w:rsidRPr="001A65DF">
        <w:rPr>
          <w:rFonts w:eastAsia="Arial" w:cs="Arial"/>
          <w:i/>
          <w:iCs/>
          <w:color w:val="000000"/>
          <w:lang w:val="es-ES" w:eastAsia="en-GB"/>
        </w:rPr>
        <w:t>lewini</w:t>
      </w:r>
      <w:proofErr w:type="spellEnd"/>
      <w:r w:rsidRPr="001A65DF">
        <w:rPr>
          <w:rFonts w:eastAsia="Arial" w:cs="Arial"/>
          <w:color w:val="000000"/>
          <w:lang w:val="es-ES" w:eastAsia="en-GB"/>
        </w:rPr>
        <w:t xml:space="preserve"> representan una seria amenaza para la supervivencia de la especie. Debido a las dificultades para diferenciar entre las especies de este género, las estimaciones de tendencias poblacionales para los tres martillos de gran tamaño suelen agruparse. Los análisis de tendencias de abundancia basados en tasas de captura para el complejo de grandes martillos, que incluye a </w:t>
      </w:r>
      <w:proofErr w:type="spellStart"/>
      <w:r w:rsidRPr="001A65DF">
        <w:rPr>
          <w:rFonts w:eastAsia="Arial" w:cs="Arial"/>
          <w:i/>
          <w:iCs/>
          <w:color w:val="000000"/>
          <w:lang w:val="es-ES" w:eastAsia="en-GB"/>
        </w:rPr>
        <w:t>Sphyrna</w:t>
      </w:r>
      <w:proofErr w:type="spellEnd"/>
      <w:r w:rsidRPr="001A65DF">
        <w:rPr>
          <w:rFonts w:eastAsia="Arial" w:cs="Arial"/>
          <w:i/>
          <w:iCs/>
          <w:color w:val="000000"/>
          <w:lang w:val="es-ES" w:eastAsia="en-GB"/>
        </w:rPr>
        <w:t xml:space="preserve"> </w:t>
      </w:r>
      <w:proofErr w:type="spellStart"/>
      <w:r w:rsidRPr="001A65DF">
        <w:rPr>
          <w:rFonts w:eastAsia="Arial" w:cs="Arial"/>
          <w:i/>
          <w:iCs/>
          <w:color w:val="000000"/>
          <w:lang w:val="es-ES" w:eastAsia="en-GB"/>
        </w:rPr>
        <w:t>lewini</w:t>
      </w:r>
      <w:proofErr w:type="spellEnd"/>
      <w:r w:rsidRPr="001A65DF">
        <w:rPr>
          <w:rFonts w:eastAsia="Arial" w:cs="Arial"/>
          <w:color w:val="000000"/>
          <w:lang w:val="es-ES" w:eastAsia="en-GB"/>
        </w:rPr>
        <w:t xml:space="preserve"> (junto con </w:t>
      </w:r>
      <w:r w:rsidRPr="001A65DF">
        <w:rPr>
          <w:rFonts w:eastAsia="Arial" w:cs="Arial"/>
          <w:i/>
          <w:iCs/>
          <w:color w:val="000000"/>
          <w:lang w:val="es-ES" w:eastAsia="en-GB"/>
        </w:rPr>
        <w:t xml:space="preserve">S. </w:t>
      </w:r>
      <w:proofErr w:type="spellStart"/>
      <w:r w:rsidRPr="001A65DF">
        <w:rPr>
          <w:rFonts w:eastAsia="Arial" w:cs="Arial"/>
          <w:i/>
          <w:iCs/>
          <w:color w:val="000000"/>
          <w:lang w:val="es-ES" w:eastAsia="en-GB"/>
        </w:rPr>
        <w:t>mokarran</w:t>
      </w:r>
      <w:proofErr w:type="spellEnd"/>
      <w:r w:rsidRPr="001A65DF">
        <w:rPr>
          <w:rFonts w:eastAsia="Arial" w:cs="Arial"/>
          <w:color w:val="000000"/>
          <w:lang w:val="es-ES" w:eastAsia="en-GB"/>
        </w:rPr>
        <w:t xml:space="preserve"> y </w:t>
      </w:r>
      <w:r w:rsidRPr="001A65DF">
        <w:rPr>
          <w:rFonts w:eastAsia="Arial" w:cs="Arial"/>
          <w:i/>
          <w:iCs/>
          <w:color w:val="000000"/>
          <w:lang w:val="es-ES" w:eastAsia="en-GB"/>
        </w:rPr>
        <w:t xml:space="preserve">S. </w:t>
      </w:r>
      <w:proofErr w:type="spellStart"/>
      <w:r w:rsidRPr="001A65DF">
        <w:rPr>
          <w:rFonts w:eastAsia="Arial" w:cs="Arial"/>
          <w:i/>
          <w:iCs/>
          <w:color w:val="000000"/>
          <w:lang w:val="es-ES" w:eastAsia="en-GB"/>
        </w:rPr>
        <w:t>zygaena</w:t>
      </w:r>
      <w:proofErr w:type="spellEnd"/>
      <w:r w:rsidRPr="001A65DF">
        <w:rPr>
          <w:rFonts w:eastAsia="Arial" w:cs="Arial"/>
          <w:color w:val="000000"/>
          <w:lang w:val="es-ES" w:eastAsia="en-GB"/>
        </w:rPr>
        <w:t>), han reportado disminuciones drásticas, que van del 60 al 99% en los últimos años.</w:t>
      </w:r>
    </w:p>
    <w:p w14:paraId="373D5459" w14:textId="77777777" w:rsidR="001A65DF" w:rsidRPr="001A65DF" w:rsidRDefault="001A65DF" w:rsidP="001A65DF">
      <w:pPr>
        <w:spacing w:after="0" w:line="240" w:lineRule="auto"/>
        <w:jc w:val="both"/>
        <w:rPr>
          <w:rFonts w:eastAsia="Arial" w:cs="Arial"/>
          <w:color w:val="000000"/>
          <w:lang w:val="es-ES" w:eastAsia="en-GB"/>
        </w:rPr>
      </w:pPr>
    </w:p>
    <w:p w14:paraId="46D9A4F6"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 xml:space="preserve">En 2014, en reconocimiento de que el comercio internacional de sus productos (particularmente las aletas) era un impulsor clave de las disminuciones poblacionales, la especie fue incluida en el Apéndice II de la Convención sobre el Comercio Internacional de Especies Amenazadas de Fauna y Flora Silvestres (CITES). Desde entonces, la especie ha sido identificada, mediante procesos de cumplimiento de CITES, como objeto de un comercio insostenible continuo y de comercio ilegal en grandes volúmenes. La reclasificación de la Lista Roja de la UICN, de En Peligro a En Peligro Crítico, se realizó después de la inclusión de esta especie en el Apéndice II de la CMS en la </w:t>
      </w:r>
      <w:proofErr w:type="spellStart"/>
      <w:r w:rsidRPr="001A65DF">
        <w:rPr>
          <w:rFonts w:eastAsia="Arial" w:cs="Arial"/>
          <w:color w:val="000000"/>
          <w:lang w:val="es-ES" w:eastAsia="en-GB"/>
        </w:rPr>
        <w:t>CoP</w:t>
      </w:r>
      <w:proofErr w:type="spellEnd"/>
      <w:r w:rsidRPr="001A65DF">
        <w:rPr>
          <w:rFonts w:eastAsia="Arial" w:cs="Arial"/>
          <w:color w:val="000000"/>
          <w:lang w:val="es-ES" w:eastAsia="en-GB"/>
        </w:rPr>
        <w:t xml:space="preserve"> 11 (2014) y en el Anexo I del Memorando de Entendimiento sobre Tiburones Migratorios (2016). A pesar de la mejora en la colaboración internacional entre los Estados del área de distribución bajo la CMS, los descensos poblacionales continúan en todas las regiones, excepto en el Atlántico Noroeste y el Golfo de México.</w:t>
      </w:r>
    </w:p>
    <w:p w14:paraId="269A47E9" w14:textId="77777777" w:rsidR="001A65DF" w:rsidRPr="001A65DF" w:rsidRDefault="001A65DF" w:rsidP="001A65DF">
      <w:pPr>
        <w:spacing w:after="0" w:line="240" w:lineRule="auto"/>
        <w:jc w:val="both"/>
        <w:rPr>
          <w:rFonts w:eastAsia="Arial" w:cs="Arial"/>
          <w:color w:val="000000"/>
          <w:lang w:val="es-ES" w:eastAsia="en-GB"/>
        </w:rPr>
      </w:pPr>
    </w:p>
    <w:p w14:paraId="07C5879F"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 xml:space="preserve">Dado el estado actual de esta especie, que incluye su sobreutilización, la insuficiencia de los mecanismos regulatorios existentes y otras amenazas antropogénicas, la inclusión de </w:t>
      </w:r>
      <w:proofErr w:type="spellStart"/>
      <w:r w:rsidRPr="001A65DF">
        <w:rPr>
          <w:rFonts w:eastAsia="Arial" w:cs="Arial"/>
          <w:i/>
          <w:iCs/>
          <w:color w:val="000000"/>
          <w:lang w:val="es-ES" w:eastAsia="en-GB"/>
        </w:rPr>
        <w:t>Sphyrna</w:t>
      </w:r>
      <w:proofErr w:type="spellEnd"/>
      <w:r w:rsidRPr="001A65DF">
        <w:rPr>
          <w:rFonts w:eastAsia="Arial" w:cs="Arial"/>
          <w:i/>
          <w:iCs/>
          <w:color w:val="000000"/>
          <w:lang w:val="es-ES" w:eastAsia="en-GB"/>
        </w:rPr>
        <w:t xml:space="preserve"> </w:t>
      </w:r>
      <w:proofErr w:type="spellStart"/>
      <w:r w:rsidRPr="001A65DF">
        <w:rPr>
          <w:rFonts w:eastAsia="Arial" w:cs="Arial"/>
          <w:i/>
          <w:iCs/>
          <w:color w:val="000000"/>
          <w:lang w:val="es-ES" w:eastAsia="en-GB"/>
        </w:rPr>
        <w:t>lewini</w:t>
      </w:r>
      <w:proofErr w:type="spellEnd"/>
      <w:r w:rsidRPr="001A65DF">
        <w:rPr>
          <w:rFonts w:eastAsia="Arial" w:cs="Arial"/>
          <w:color w:val="000000"/>
          <w:lang w:val="es-ES" w:eastAsia="en-GB"/>
        </w:rPr>
        <w:t xml:space="preserve"> en el Apéndice I de la CMS es urgente y necesaria para comenzar a frenar las disminuciones poblacionales e iniciar su recuperación. Esta propuesta de inclusión del tiburón martillo común en el Apéndice I de la Convención busca alentar a las Partes a introducir o mejorar la implementación de un estatus de protección estricta para esta especie, la conservación o restauración de hábitats críticos como agregaciones de alimentación y reproducción, áreas de crianza y zonas de parto, así como la protección de corredores de movimiento.</w:t>
      </w:r>
    </w:p>
    <w:p w14:paraId="3FF0874C" w14:textId="77777777" w:rsidR="001A65DF" w:rsidRPr="001A65DF" w:rsidRDefault="001A65DF" w:rsidP="001A65DF">
      <w:pPr>
        <w:spacing w:after="0" w:line="240" w:lineRule="auto"/>
        <w:jc w:val="both"/>
        <w:rPr>
          <w:rFonts w:eastAsia="Arial" w:cs="Arial"/>
          <w:color w:val="7030A0"/>
          <w:lang w:val="es-ES" w:eastAsia="en-GB"/>
        </w:rPr>
      </w:pPr>
    </w:p>
    <w:p w14:paraId="098352B8" w14:textId="77777777" w:rsidR="001A65DF" w:rsidRPr="001A65DF" w:rsidRDefault="001A65DF" w:rsidP="001A65DF">
      <w:pPr>
        <w:spacing w:after="0" w:line="240" w:lineRule="auto"/>
        <w:ind w:left="540" w:hanging="540"/>
        <w:jc w:val="both"/>
        <w:rPr>
          <w:rFonts w:eastAsia="Arial" w:cs="Arial"/>
          <w:b/>
          <w:u w:val="single"/>
          <w:lang w:val="es-ES" w:eastAsia="en-GB"/>
        </w:rPr>
      </w:pPr>
      <w:r w:rsidRPr="001A65DF">
        <w:rPr>
          <w:rFonts w:eastAsia="Arial" w:cs="Arial"/>
          <w:b/>
          <w:u w:val="single"/>
          <w:lang w:val="es-ES" w:eastAsia="en-GB"/>
        </w:rPr>
        <w:t>3.</w:t>
      </w:r>
      <w:r w:rsidRPr="001A65DF">
        <w:rPr>
          <w:rFonts w:eastAsia="Arial" w:cs="Arial"/>
          <w:b/>
          <w:u w:val="single"/>
          <w:lang w:val="es-ES" w:eastAsia="en-GB"/>
        </w:rPr>
        <w:tab/>
        <w:t>Migraciones</w:t>
      </w:r>
    </w:p>
    <w:p w14:paraId="0E0903BC" w14:textId="77777777" w:rsidR="001A65DF" w:rsidRPr="001A65DF" w:rsidRDefault="001A65DF" w:rsidP="001A65DF">
      <w:pPr>
        <w:spacing w:after="0" w:line="240" w:lineRule="auto"/>
        <w:ind w:left="540" w:hanging="540"/>
        <w:jc w:val="center"/>
        <w:rPr>
          <w:rFonts w:eastAsia="Arial" w:cs="Arial"/>
          <w:lang w:val="es-ES" w:eastAsia="en-GB"/>
        </w:rPr>
      </w:pPr>
    </w:p>
    <w:p w14:paraId="0AE10131"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3.1 Tipos de movimiento, distancia, naturaleza cíclica y predecible de la migración</w:t>
      </w:r>
    </w:p>
    <w:p w14:paraId="74F7699F" w14:textId="77777777" w:rsidR="001A65DF" w:rsidRPr="001A65DF" w:rsidRDefault="001A65DF" w:rsidP="001A65DF">
      <w:pPr>
        <w:spacing w:after="0" w:line="240" w:lineRule="auto"/>
        <w:jc w:val="both"/>
        <w:rPr>
          <w:rFonts w:eastAsia="Arial" w:cs="Arial"/>
          <w:lang w:val="es-ES" w:eastAsia="en-GB"/>
        </w:rPr>
      </w:pPr>
    </w:p>
    <w:p w14:paraId="529BFB23" w14:textId="77777777" w:rsidR="001A65DF" w:rsidRPr="001A65DF" w:rsidRDefault="001A65DF" w:rsidP="001A65DF">
      <w:pPr>
        <w:spacing w:after="0" w:line="240" w:lineRule="auto"/>
        <w:jc w:val="both"/>
        <w:rPr>
          <w:rFonts w:eastAsia="Arial" w:cs="Arial"/>
          <w:lang w:val="es-ES" w:eastAsia="en-GB"/>
        </w:rPr>
      </w:pPr>
      <w:proofErr w:type="spellStart"/>
      <w:r w:rsidRPr="001A65DF">
        <w:rPr>
          <w:rFonts w:eastAsia="Arial" w:cs="Arial"/>
          <w:i/>
          <w:iCs/>
          <w:lang w:val="es-ES" w:eastAsia="en-GB"/>
        </w:rPr>
        <w:t>Sphyrna</w:t>
      </w:r>
      <w:proofErr w:type="spellEnd"/>
      <w:r w:rsidRPr="001A65DF">
        <w:rPr>
          <w:rFonts w:eastAsia="Arial" w:cs="Arial"/>
          <w:i/>
          <w:iCs/>
          <w:lang w:val="es-ES" w:eastAsia="en-GB"/>
        </w:rPr>
        <w:t xml:space="preserve">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es una especie gregaria y migratoria estacional, al menos en parte de su área de distribución, que con frecuencia cruza fronteras nacionales y a menudo entra en alta mar al desplazarse entre aguas costeras y oceánicas en busca de áreas de reproducción y alimentación. La especie se segrega por edad y sexo: los juveniles tienden a encontrarse en aguas costeras (</w:t>
      </w:r>
      <w:proofErr w:type="spellStart"/>
      <w:r w:rsidRPr="001A65DF">
        <w:rPr>
          <w:rFonts w:eastAsia="Arial" w:cs="Arial"/>
          <w:lang w:val="es-ES" w:eastAsia="en-GB"/>
        </w:rPr>
        <w:t>Holland</w:t>
      </w:r>
      <w:proofErr w:type="spellEnd"/>
      <w:r w:rsidRPr="001A65DF">
        <w:rPr>
          <w:rFonts w:eastAsia="Arial" w:cs="Arial"/>
          <w:lang w:val="es-ES" w:eastAsia="en-GB"/>
        </w:rPr>
        <w:t xml:space="preserve"> </w:t>
      </w:r>
      <w:r w:rsidRPr="001A65DF">
        <w:rPr>
          <w:rFonts w:eastAsia="Arial" w:cs="Arial"/>
          <w:i/>
          <w:lang w:val="es-ES" w:eastAsia="en-GB"/>
        </w:rPr>
        <w:t>et al.</w:t>
      </w:r>
      <w:r w:rsidRPr="001A65DF">
        <w:rPr>
          <w:rFonts w:eastAsia="Arial" w:cs="Arial"/>
          <w:lang w:val="es-ES" w:eastAsia="en-GB"/>
        </w:rPr>
        <w:t>, 1992), mientras que los adultos suelen encontrarse en alta mar, ya sea como individuos solitarios o formando grandes agregaciones alrededor de islas oceánicas y montes submarinos (</w:t>
      </w:r>
      <w:proofErr w:type="spellStart"/>
      <w:r w:rsidRPr="001A65DF">
        <w:rPr>
          <w:rFonts w:eastAsia="Arial" w:cs="Arial"/>
          <w:lang w:val="es-ES" w:eastAsia="en-GB"/>
        </w:rPr>
        <w:t>Klimley</w:t>
      </w:r>
      <w:proofErr w:type="spellEnd"/>
      <w:r w:rsidRPr="001A65DF">
        <w:rPr>
          <w:rFonts w:eastAsia="Arial" w:cs="Arial"/>
          <w:lang w:val="es-ES" w:eastAsia="en-GB"/>
        </w:rPr>
        <w:t xml:space="preserve">, 1983). Los juveniles pasan los primeros años de su vida en áreas de crianza ubicadas en ambientes costeros, y los </w:t>
      </w:r>
      <w:proofErr w:type="spellStart"/>
      <w:r w:rsidRPr="001A65DF">
        <w:rPr>
          <w:rFonts w:eastAsia="Arial" w:cs="Arial"/>
          <w:lang w:val="es-ES" w:eastAsia="en-GB"/>
        </w:rPr>
        <w:t>sub-adultos</w:t>
      </w:r>
      <w:proofErr w:type="spellEnd"/>
      <w:r w:rsidRPr="001A65DF">
        <w:rPr>
          <w:rFonts w:eastAsia="Arial" w:cs="Arial"/>
          <w:lang w:val="es-ES" w:eastAsia="en-GB"/>
        </w:rPr>
        <w:t xml:space="preserve"> realizan migraciones ontogenéticas entre las áreas de crianza costeras y los ambientes oceánicos abiertos (Figura 2).</w:t>
      </w:r>
    </w:p>
    <w:p w14:paraId="44FE49A7" w14:textId="77777777" w:rsidR="001A65DF" w:rsidRPr="001A65DF" w:rsidRDefault="001A65DF" w:rsidP="001A65DF">
      <w:pPr>
        <w:spacing w:after="0" w:line="240" w:lineRule="auto"/>
        <w:jc w:val="both"/>
        <w:rPr>
          <w:rFonts w:eastAsia="Arial" w:cs="Arial"/>
          <w:lang w:val="es-ES" w:eastAsia="en-GB"/>
        </w:rPr>
      </w:pPr>
    </w:p>
    <w:p w14:paraId="6A5C60A2" w14:textId="77777777" w:rsidR="001A65DF" w:rsidRPr="001A65DF" w:rsidRDefault="001A65DF" w:rsidP="001A65DF">
      <w:pPr>
        <w:spacing w:after="0" w:line="240" w:lineRule="auto"/>
        <w:ind w:hanging="2"/>
        <w:rPr>
          <w:rFonts w:eastAsia="Arial" w:cs="Arial"/>
          <w:color w:val="385623"/>
          <w:lang w:val="es-ES" w:eastAsia="en-GB"/>
        </w:rPr>
      </w:pPr>
      <w:r w:rsidRPr="001A65DF">
        <w:rPr>
          <w:rFonts w:eastAsia="Arial" w:cs="Arial"/>
          <w:noProof/>
          <w:color w:val="385623"/>
          <w:lang w:val="es-ES" w:eastAsia="en-GB"/>
        </w:rPr>
        <w:drawing>
          <wp:inline distT="0" distB="0" distL="0" distR="0" wp14:anchorId="4DFFB46B" wp14:editId="4FB63315">
            <wp:extent cx="5730875" cy="4428490"/>
            <wp:effectExtent l="0" t="0" r="0" b="0"/>
            <wp:docPr id="1262422743" name="image5.jpg" descr="A diagram of sharks swimming in the ocean&#10;&#10;AI-generated content may be incorrect."/>
            <wp:cNvGraphicFramePr/>
            <a:graphic xmlns:a="http://schemas.openxmlformats.org/drawingml/2006/main">
              <a:graphicData uri="http://schemas.openxmlformats.org/drawingml/2006/picture">
                <pic:pic xmlns:pic="http://schemas.openxmlformats.org/drawingml/2006/picture">
                  <pic:nvPicPr>
                    <pic:cNvPr id="1262422743" name="image5.jpg" descr="A diagram of sharks swimming in the ocean&#10;&#10;AI-generated content may be incorrect."/>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5730875" cy="4428490"/>
                    </a:xfrm>
                    <a:prstGeom prst="rect">
                      <a:avLst/>
                    </a:prstGeom>
                    <a:ln/>
                  </pic:spPr>
                </pic:pic>
              </a:graphicData>
            </a:graphic>
          </wp:inline>
        </w:drawing>
      </w:r>
    </w:p>
    <w:p w14:paraId="74F4264D" w14:textId="77777777" w:rsidR="001A65DF" w:rsidRPr="001A65DF" w:rsidRDefault="001A65DF" w:rsidP="001A65DF">
      <w:pPr>
        <w:spacing w:after="0" w:line="240" w:lineRule="auto"/>
        <w:jc w:val="both"/>
        <w:rPr>
          <w:rFonts w:eastAsia="Arial" w:cs="Arial"/>
          <w:sz w:val="20"/>
          <w:szCs w:val="20"/>
          <w:lang w:val="es-ES" w:eastAsia="en-GB"/>
        </w:rPr>
      </w:pPr>
      <w:r w:rsidRPr="001A65DF">
        <w:rPr>
          <w:rFonts w:eastAsia="Arial" w:cs="Arial"/>
          <w:color w:val="385623"/>
          <w:sz w:val="20"/>
          <w:szCs w:val="20"/>
          <w:lang w:val="es-ES" w:eastAsia="en-GB"/>
        </w:rPr>
        <w:t xml:space="preserve">Figura 2. </w:t>
      </w:r>
      <w:r w:rsidRPr="001A65DF">
        <w:rPr>
          <w:rFonts w:eastAsia="Arial" w:cs="Arial"/>
          <w:sz w:val="20"/>
          <w:szCs w:val="20"/>
          <w:lang w:val="es-ES" w:eastAsia="en-GB"/>
        </w:rPr>
        <w:t>Ontogenia propuesta para el tiburón martillo común (</w:t>
      </w:r>
      <w:proofErr w:type="spellStart"/>
      <w:r w:rsidRPr="001A65DF">
        <w:rPr>
          <w:rFonts w:eastAsia="Arial" w:cs="Arial"/>
          <w:i/>
          <w:iCs/>
          <w:sz w:val="20"/>
          <w:szCs w:val="20"/>
          <w:lang w:val="es-ES" w:eastAsia="en-GB"/>
        </w:rPr>
        <w:t>Sphyrna</w:t>
      </w:r>
      <w:proofErr w:type="spellEnd"/>
      <w:r w:rsidRPr="001A65DF">
        <w:rPr>
          <w:rFonts w:eastAsia="Arial" w:cs="Arial"/>
          <w:i/>
          <w:iCs/>
          <w:sz w:val="20"/>
          <w:szCs w:val="20"/>
          <w:lang w:val="es-ES" w:eastAsia="en-GB"/>
        </w:rPr>
        <w:t xml:space="preserve"> </w:t>
      </w:r>
      <w:proofErr w:type="spellStart"/>
      <w:r w:rsidRPr="001A65DF">
        <w:rPr>
          <w:rFonts w:eastAsia="Arial" w:cs="Arial"/>
          <w:i/>
          <w:iCs/>
          <w:sz w:val="20"/>
          <w:szCs w:val="20"/>
          <w:lang w:val="es-ES" w:eastAsia="en-GB"/>
        </w:rPr>
        <w:t>lewini</w:t>
      </w:r>
      <w:proofErr w:type="spellEnd"/>
      <w:r w:rsidRPr="001A65DF">
        <w:rPr>
          <w:rFonts w:eastAsia="Arial" w:cs="Arial"/>
          <w:sz w:val="20"/>
          <w:szCs w:val="20"/>
          <w:lang w:val="es-ES" w:eastAsia="en-GB"/>
        </w:rPr>
        <w:t>) en el Pacífico Tropical Oriental. Modificado de Salinas-de-León et al. (</w:t>
      </w:r>
      <w:sdt>
        <w:sdtPr>
          <w:rPr>
            <w:rFonts w:eastAsia="Calibri" w:cs="Arial"/>
            <w:sz w:val="20"/>
            <w:szCs w:val="20"/>
            <w:lang w:val="es-ES" w:eastAsia="en-GB"/>
          </w:rPr>
          <w:tag w:val="goog_rdk_8"/>
          <w:id w:val="-1610146694"/>
        </w:sdtPr>
        <w:sdtContent/>
      </w:sdt>
      <w:r w:rsidRPr="001A65DF">
        <w:rPr>
          <w:rFonts w:eastAsia="Arial" w:cs="Arial"/>
          <w:sz w:val="20"/>
          <w:szCs w:val="20"/>
          <w:lang w:val="es-ES" w:eastAsia="en-GB"/>
        </w:rPr>
        <w:t>2017).</w:t>
      </w:r>
    </w:p>
    <w:p w14:paraId="556E570D" w14:textId="77777777" w:rsidR="001A65DF" w:rsidRPr="001A65DF" w:rsidRDefault="001A65DF" w:rsidP="001A65DF">
      <w:pPr>
        <w:spacing w:after="0" w:line="240" w:lineRule="auto"/>
        <w:ind w:hanging="2"/>
        <w:rPr>
          <w:rFonts w:eastAsia="Arial" w:cs="Arial"/>
          <w:color w:val="385623"/>
          <w:lang w:val="es-ES" w:eastAsia="en-GB"/>
        </w:rPr>
      </w:pPr>
    </w:p>
    <w:p w14:paraId="50EDC6AA" w14:textId="77777777" w:rsidR="001A65DF" w:rsidRDefault="001A65DF">
      <w:pPr>
        <w:rPr>
          <w:rFonts w:eastAsia="Arial" w:cs="Arial"/>
          <w:color w:val="000000"/>
          <w:lang w:val="es-ES" w:eastAsia="en-GB"/>
        </w:rPr>
      </w:pPr>
      <w:r>
        <w:rPr>
          <w:rFonts w:eastAsia="Arial" w:cs="Arial"/>
          <w:color w:val="000000"/>
          <w:lang w:val="es-ES" w:eastAsia="en-GB"/>
        </w:rPr>
        <w:br w:type="page"/>
      </w:r>
    </w:p>
    <w:p w14:paraId="050E69F7" w14:textId="4C82CC8B"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 xml:space="preserve">Los estudios de genética poblacional sugieren que las hembras adultas altamente migratorias podrían ser </w:t>
      </w:r>
      <w:proofErr w:type="spellStart"/>
      <w:r w:rsidRPr="001A65DF">
        <w:rPr>
          <w:rFonts w:eastAsia="Arial" w:cs="Arial"/>
          <w:color w:val="000000"/>
          <w:lang w:val="es-ES" w:eastAsia="en-GB"/>
        </w:rPr>
        <w:t>filopátricas</w:t>
      </w:r>
      <w:proofErr w:type="spellEnd"/>
      <w:r w:rsidRPr="001A65DF">
        <w:rPr>
          <w:rFonts w:eastAsia="Arial" w:cs="Arial"/>
          <w:color w:val="000000"/>
          <w:lang w:val="es-ES" w:eastAsia="en-GB"/>
        </w:rPr>
        <w:t xml:space="preserve"> a sus zonas de nacimiento y áreas de crianza, al menos en parte de su distribución (Rangel-Morales et al. 2022). Los datos de seguimiento satelital han revelado que los tiburones martillo comunes pueden recorrer miles de kilómetros en periodos cortos (Hoyos-Padilla et al.</w:t>
      </w:r>
      <w:r w:rsidRPr="001A65DF">
        <w:rPr>
          <w:rFonts w:eastAsia="Calibri" w:cs="Arial"/>
          <w:lang w:val="es-ES" w:eastAsia="en-GB"/>
        </w:rPr>
        <w:t xml:space="preserve"> </w:t>
      </w:r>
      <w:sdt>
        <w:sdtPr>
          <w:rPr>
            <w:rFonts w:eastAsia="Calibri" w:cs="Arial"/>
            <w:lang w:val="es-ES" w:eastAsia="en-GB"/>
          </w:rPr>
          <w:tag w:val="goog_rdk_9"/>
          <w:id w:val="295290098"/>
        </w:sdtPr>
        <w:sdtContent/>
      </w:sdt>
      <w:r w:rsidRPr="001A65DF">
        <w:rPr>
          <w:rFonts w:eastAsia="Arial" w:cs="Arial"/>
          <w:lang w:val="es-ES" w:eastAsia="en-GB"/>
        </w:rPr>
        <w:t>2014</w:t>
      </w:r>
      <w:r w:rsidRPr="001A65DF">
        <w:rPr>
          <w:rFonts w:eastAsia="Arial" w:cs="Arial"/>
          <w:color w:val="000000"/>
          <w:lang w:val="es-ES" w:eastAsia="en-GB"/>
        </w:rPr>
        <w:t>; Bessudo et al.</w:t>
      </w:r>
      <w:r w:rsidRPr="001A65DF">
        <w:rPr>
          <w:rFonts w:eastAsia="Calibri" w:cs="Arial"/>
          <w:lang w:val="es-ES" w:eastAsia="en-GB"/>
        </w:rPr>
        <w:t xml:space="preserve"> </w:t>
      </w:r>
      <w:sdt>
        <w:sdtPr>
          <w:rPr>
            <w:rFonts w:eastAsia="Calibri" w:cs="Arial"/>
            <w:lang w:val="es-ES" w:eastAsia="en-GB"/>
          </w:rPr>
          <w:tag w:val="goog_rdk_10"/>
          <w:id w:val="2144167603"/>
        </w:sdtPr>
        <w:sdtContent/>
      </w:sdt>
      <w:r w:rsidRPr="001A65DF">
        <w:rPr>
          <w:rFonts w:eastAsia="Arial" w:cs="Arial"/>
          <w:lang w:val="es-ES" w:eastAsia="en-GB"/>
        </w:rPr>
        <w:t>2016</w:t>
      </w:r>
      <w:r w:rsidRPr="001A65DF">
        <w:rPr>
          <w:rFonts w:eastAsia="Arial" w:cs="Arial"/>
          <w:color w:val="000000"/>
          <w:lang w:val="es-ES" w:eastAsia="en-GB"/>
        </w:rPr>
        <w:t xml:space="preserve">; </w:t>
      </w:r>
      <w:proofErr w:type="spellStart"/>
      <w:r w:rsidRPr="001A65DF">
        <w:rPr>
          <w:rFonts w:eastAsia="Arial" w:cs="Arial"/>
          <w:color w:val="000000"/>
          <w:lang w:val="es-ES" w:eastAsia="en-GB"/>
        </w:rPr>
        <w:t>Spaet</w:t>
      </w:r>
      <w:proofErr w:type="spellEnd"/>
      <w:r w:rsidRPr="001A65DF">
        <w:rPr>
          <w:rFonts w:eastAsia="Arial" w:cs="Arial"/>
          <w:color w:val="000000"/>
          <w:lang w:val="es-ES" w:eastAsia="en-GB"/>
        </w:rPr>
        <w:t xml:space="preserve"> et al.</w:t>
      </w:r>
      <w:r w:rsidRPr="001A65DF">
        <w:rPr>
          <w:rFonts w:eastAsia="Arial" w:cs="Arial"/>
          <w:lang w:val="es-ES" w:eastAsia="en-GB"/>
        </w:rPr>
        <w:t xml:space="preserve"> </w:t>
      </w:r>
      <w:sdt>
        <w:sdtPr>
          <w:rPr>
            <w:rFonts w:eastAsia="Calibri" w:cs="Arial"/>
            <w:lang w:val="es-ES" w:eastAsia="en-GB"/>
          </w:rPr>
          <w:tag w:val="goog_rdk_11"/>
          <w:id w:val="524454950"/>
        </w:sdtPr>
        <w:sdtContent/>
      </w:sdt>
      <w:r w:rsidRPr="001A65DF">
        <w:rPr>
          <w:rFonts w:eastAsia="Arial" w:cs="Arial"/>
          <w:lang w:val="es-ES" w:eastAsia="en-GB"/>
        </w:rPr>
        <w:t xml:space="preserve">2017; </w:t>
      </w:r>
      <w:r w:rsidRPr="001A65DF">
        <w:rPr>
          <w:rFonts w:eastAsia="Arial" w:cs="Arial"/>
          <w:color w:val="000000"/>
          <w:lang w:val="es-ES" w:eastAsia="en-GB"/>
        </w:rPr>
        <w:t>Salinas-de-León et al. 2025).</w:t>
      </w:r>
    </w:p>
    <w:p w14:paraId="1503CCD9" w14:textId="77777777" w:rsidR="001A65DF" w:rsidRPr="001A65DF" w:rsidRDefault="001A65DF" w:rsidP="001A65DF">
      <w:pPr>
        <w:spacing w:after="0" w:line="240" w:lineRule="auto"/>
        <w:jc w:val="both"/>
        <w:rPr>
          <w:rFonts w:eastAsia="Arial" w:cs="Arial"/>
          <w:color w:val="000000"/>
          <w:lang w:val="es-ES" w:eastAsia="en-GB"/>
        </w:rPr>
      </w:pPr>
    </w:p>
    <w:p w14:paraId="4DD66970"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 xml:space="preserve">Los adultos de </w:t>
      </w:r>
      <w:r w:rsidRPr="001A65DF">
        <w:rPr>
          <w:rFonts w:eastAsia="Arial" w:cs="Arial"/>
          <w:i/>
          <w:iCs/>
          <w:color w:val="000000"/>
          <w:lang w:val="es-ES" w:eastAsia="en-GB"/>
        </w:rPr>
        <w:t xml:space="preserve">S. </w:t>
      </w:r>
      <w:proofErr w:type="spellStart"/>
      <w:r w:rsidRPr="001A65DF">
        <w:rPr>
          <w:rFonts w:eastAsia="Arial" w:cs="Arial"/>
          <w:i/>
          <w:iCs/>
          <w:color w:val="000000"/>
          <w:lang w:val="es-ES" w:eastAsia="en-GB"/>
        </w:rPr>
        <w:t>lewini</w:t>
      </w:r>
      <w:proofErr w:type="spellEnd"/>
      <w:r w:rsidRPr="001A65DF">
        <w:rPr>
          <w:rFonts w:eastAsia="Arial" w:cs="Arial"/>
          <w:color w:val="000000"/>
          <w:lang w:val="es-ES" w:eastAsia="en-GB"/>
        </w:rPr>
        <w:t xml:space="preserve"> suelen formar agregaciones estacionales alrededor de islas oceánicas y montes submarinos (</w:t>
      </w:r>
      <w:proofErr w:type="spellStart"/>
      <w:r w:rsidRPr="001A65DF">
        <w:rPr>
          <w:rFonts w:eastAsia="Arial" w:cs="Arial"/>
          <w:color w:val="000000"/>
          <w:lang w:val="es-ES" w:eastAsia="en-GB"/>
        </w:rPr>
        <w:t>Klimley</w:t>
      </w:r>
      <w:proofErr w:type="spellEnd"/>
      <w:r w:rsidRPr="001A65DF">
        <w:rPr>
          <w:rFonts w:eastAsia="Calibri" w:cs="Arial"/>
          <w:lang w:val="es-ES" w:eastAsia="en-GB"/>
        </w:rPr>
        <w:t xml:space="preserve"> </w:t>
      </w:r>
      <w:sdt>
        <w:sdtPr>
          <w:rPr>
            <w:rFonts w:eastAsia="Calibri" w:cs="Arial"/>
            <w:lang w:val="es-ES" w:eastAsia="en-GB"/>
          </w:rPr>
          <w:tag w:val="goog_rdk_12"/>
          <w:id w:val="-580754080"/>
        </w:sdtPr>
        <w:sdtContent/>
      </w:sdt>
      <w:r w:rsidRPr="001A65DF">
        <w:rPr>
          <w:rFonts w:eastAsia="Arial" w:cs="Arial"/>
          <w:lang w:val="es-ES" w:eastAsia="en-GB"/>
        </w:rPr>
        <w:t>1983).</w:t>
      </w:r>
      <w:r w:rsidRPr="001A65DF">
        <w:rPr>
          <w:rFonts w:eastAsia="Arial" w:cs="Arial"/>
          <w:color w:val="000000"/>
          <w:lang w:val="es-ES" w:eastAsia="en-GB"/>
        </w:rPr>
        <w:t xml:space="preserve"> </w:t>
      </w:r>
      <w:r w:rsidRPr="001A65DF">
        <w:rPr>
          <w:rFonts w:eastAsia="Arial" w:cs="Arial"/>
          <w:i/>
          <w:iCs/>
          <w:color w:val="000000"/>
          <w:lang w:val="es-ES" w:eastAsia="en-GB"/>
        </w:rPr>
        <w:t xml:space="preserve">S. </w:t>
      </w:r>
      <w:proofErr w:type="spellStart"/>
      <w:r w:rsidRPr="001A65DF">
        <w:rPr>
          <w:rFonts w:eastAsia="Arial" w:cs="Arial"/>
          <w:i/>
          <w:iCs/>
          <w:color w:val="000000"/>
          <w:lang w:val="es-ES" w:eastAsia="en-GB"/>
        </w:rPr>
        <w:t>lewini</w:t>
      </w:r>
      <w:proofErr w:type="spellEnd"/>
      <w:r w:rsidRPr="001A65DF">
        <w:rPr>
          <w:rFonts w:eastAsia="Arial" w:cs="Arial"/>
          <w:color w:val="000000"/>
          <w:lang w:val="es-ES" w:eastAsia="en-GB"/>
        </w:rPr>
        <w:t xml:space="preserve"> es la única especie de tiburón martillo grande conocida por formar cardúmenes, un comportamiento que la hace altamente vulnerable a la pesca dirigida. En el Pacífico Tropical Oriental (PTO), las aguas alrededor de las islas oceánicas de Malpelo (Colombia), Coco (Costa Rica) y Galápagos (Ecuador) albergan algunas de las concentraciones más grandes de </w:t>
      </w:r>
      <w:r w:rsidRPr="001A65DF">
        <w:rPr>
          <w:rFonts w:eastAsia="Arial" w:cs="Arial"/>
          <w:i/>
          <w:iCs/>
          <w:color w:val="000000"/>
          <w:lang w:val="es-ES" w:eastAsia="en-GB"/>
        </w:rPr>
        <w:t xml:space="preserve">S. </w:t>
      </w:r>
      <w:proofErr w:type="spellStart"/>
      <w:r w:rsidRPr="001A65DF">
        <w:rPr>
          <w:rFonts w:eastAsia="Arial" w:cs="Arial"/>
          <w:i/>
          <w:iCs/>
          <w:color w:val="000000"/>
          <w:lang w:val="es-ES" w:eastAsia="en-GB"/>
        </w:rPr>
        <w:t>lewini</w:t>
      </w:r>
      <w:proofErr w:type="spellEnd"/>
      <w:r w:rsidRPr="001A65DF">
        <w:rPr>
          <w:rFonts w:eastAsia="Arial" w:cs="Arial"/>
          <w:color w:val="000000"/>
          <w:lang w:val="es-ES" w:eastAsia="en-GB"/>
        </w:rPr>
        <w:t xml:space="preserve"> en el mundo (Bessudo et al.</w:t>
      </w:r>
      <w:r w:rsidRPr="001A65DF">
        <w:rPr>
          <w:rFonts w:eastAsia="Arial" w:cs="Arial"/>
          <w:lang w:val="es-ES" w:eastAsia="en-GB"/>
        </w:rPr>
        <w:t>2011;</w:t>
      </w:r>
      <w:r w:rsidRPr="001A65DF">
        <w:rPr>
          <w:rFonts w:eastAsia="Arial" w:cs="Arial"/>
          <w:color w:val="000000"/>
          <w:lang w:val="es-ES" w:eastAsia="en-GB"/>
        </w:rPr>
        <w:t xml:space="preserve"> </w:t>
      </w:r>
      <w:proofErr w:type="spellStart"/>
      <w:r w:rsidRPr="001A65DF">
        <w:rPr>
          <w:rFonts w:eastAsia="Arial" w:cs="Arial"/>
          <w:color w:val="000000"/>
          <w:lang w:val="es-ES" w:eastAsia="en-GB"/>
        </w:rPr>
        <w:t>Friedlander</w:t>
      </w:r>
      <w:proofErr w:type="spellEnd"/>
      <w:r w:rsidRPr="001A65DF">
        <w:rPr>
          <w:rFonts w:eastAsia="Arial" w:cs="Arial"/>
          <w:color w:val="000000"/>
          <w:lang w:val="es-ES" w:eastAsia="en-GB"/>
        </w:rPr>
        <w:t xml:space="preserve"> et al. </w:t>
      </w:r>
      <w:proofErr w:type="gramStart"/>
      <w:r w:rsidRPr="001A65DF">
        <w:rPr>
          <w:rFonts w:eastAsia="Arial" w:cs="Arial"/>
          <w:color w:val="000000"/>
          <w:lang w:val="es-ES" w:eastAsia="en-GB"/>
        </w:rPr>
        <w:t>201</w:t>
      </w:r>
      <w:r w:rsidRPr="001A65DF">
        <w:rPr>
          <w:rFonts w:eastAsia="Arial" w:cs="Arial"/>
          <w:lang w:val="es-ES" w:eastAsia="en-GB"/>
        </w:rPr>
        <w:t>2;</w:t>
      </w:r>
      <w:r w:rsidRPr="001A65DF">
        <w:rPr>
          <w:rFonts w:eastAsia="Arial" w:cs="Arial"/>
          <w:color w:val="000000"/>
          <w:lang w:val="es-ES" w:eastAsia="en-GB"/>
        </w:rPr>
        <w:t>;</w:t>
      </w:r>
      <w:proofErr w:type="gramEnd"/>
      <w:r w:rsidRPr="001A65DF">
        <w:rPr>
          <w:rFonts w:eastAsia="Arial" w:cs="Arial"/>
          <w:color w:val="000000"/>
          <w:lang w:val="es-ES" w:eastAsia="en-GB"/>
        </w:rPr>
        <w:t xml:space="preserve"> Salinas-de-León et al. 201</w:t>
      </w:r>
      <w:r w:rsidRPr="001A65DF">
        <w:rPr>
          <w:rFonts w:eastAsia="Arial" w:cs="Arial"/>
          <w:lang w:val="es-ES" w:eastAsia="en-GB"/>
        </w:rPr>
        <w:t>6</w:t>
      </w:r>
      <w:r w:rsidRPr="001A65DF">
        <w:rPr>
          <w:rFonts w:eastAsia="Arial" w:cs="Arial"/>
          <w:color w:val="000000"/>
          <w:lang w:val="es-ES" w:eastAsia="en-GB"/>
        </w:rPr>
        <w:t xml:space="preserve">). Los tiburones marcados en estas islas han mostrado movimientos verticales diurnos y migraciones horizontales transfronterizas entre ellas (Bessudo et al., 2016; Ketchum et al., 2014; </w:t>
      </w:r>
      <w:proofErr w:type="spellStart"/>
      <w:r w:rsidRPr="001A65DF">
        <w:rPr>
          <w:rFonts w:eastAsia="Arial" w:cs="Arial"/>
          <w:color w:val="000000"/>
          <w:lang w:val="es-ES" w:eastAsia="en-GB"/>
        </w:rPr>
        <w:t>Nalesso</w:t>
      </w:r>
      <w:proofErr w:type="spellEnd"/>
      <w:r w:rsidRPr="001A65DF">
        <w:rPr>
          <w:rFonts w:eastAsia="Arial" w:cs="Arial"/>
          <w:color w:val="000000"/>
          <w:lang w:val="es-ES" w:eastAsia="en-GB"/>
        </w:rPr>
        <w:t xml:space="preserve"> et al., 2019). Los análisis genéticos entre padres e hijos también han demostrado la conectividad entre tiburones adultos muestreados en la Isla Malpelo y juveniles muestreados en áreas de crianza ubicadas en zonas costeras de Colombia continental (Quintanilla et al.</w:t>
      </w:r>
      <w:r w:rsidRPr="001A65DF">
        <w:rPr>
          <w:rFonts w:eastAsia="Calibri" w:cs="Arial"/>
          <w:lang w:val="es-ES" w:eastAsia="en-GB"/>
        </w:rPr>
        <w:t xml:space="preserve"> </w:t>
      </w:r>
      <w:r w:rsidRPr="001A65DF">
        <w:rPr>
          <w:rFonts w:eastAsia="Arial" w:cs="Arial"/>
          <w:lang w:val="es-ES" w:eastAsia="en-GB"/>
        </w:rPr>
        <w:t>2015).</w:t>
      </w:r>
    </w:p>
    <w:p w14:paraId="3597C7E7" w14:textId="77777777" w:rsidR="001A65DF" w:rsidRPr="001A65DF" w:rsidRDefault="001A65DF" w:rsidP="001A65DF">
      <w:pPr>
        <w:spacing w:after="0" w:line="240" w:lineRule="auto"/>
        <w:jc w:val="both"/>
        <w:rPr>
          <w:rFonts w:eastAsia="Arial" w:cs="Arial"/>
          <w:color w:val="000000"/>
          <w:lang w:val="es-ES" w:eastAsia="en-GB"/>
        </w:rPr>
      </w:pPr>
    </w:p>
    <w:p w14:paraId="1ADCB712"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 xml:space="preserve">El seguimiento satelital de una hembra probablemente embarazada de </w:t>
      </w:r>
      <w:r w:rsidRPr="001A65DF">
        <w:rPr>
          <w:rFonts w:eastAsia="Arial" w:cs="Arial"/>
          <w:i/>
          <w:iCs/>
          <w:color w:val="000000"/>
          <w:lang w:val="es-ES" w:eastAsia="en-GB"/>
        </w:rPr>
        <w:t xml:space="preserve">S. </w:t>
      </w:r>
      <w:proofErr w:type="spellStart"/>
      <w:r w:rsidRPr="001A65DF">
        <w:rPr>
          <w:rFonts w:eastAsia="Arial" w:cs="Arial"/>
          <w:i/>
          <w:iCs/>
          <w:color w:val="000000"/>
          <w:lang w:val="es-ES" w:eastAsia="en-GB"/>
        </w:rPr>
        <w:t>lewini</w:t>
      </w:r>
      <w:proofErr w:type="spellEnd"/>
      <w:r w:rsidRPr="001A65DF">
        <w:rPr>
          <w:rFonts w:eastAsia="Arial" w:cs="Arial"/>
          <w:color w:val="000000"/>
          <w:lang w:val="es-ES" w:eastAsia="en-GB"/>
        </w:rPr>
        <w:t xml:space="preserve"> proporcionó la primera ruta de migración de retorno para parir, entre Galápagos (Ecuador), la costa pacífica de Panamá y aguas internacionales al oeste de las Islas Galápagos (Salinas-de-León et al. 2025; Figura 3). Los movimientos fueron estacionales, con la hembra viajando desde Galápagos hacia áreas continentales durante la temporada cálida (enero a junio) y hacia aguas internacionales al oeste de la Zona Económica Exclusiva (ZEE) de Ecuador alrededor de </w:t>
      </w:r>
      <w:proofErr w:type="gramStart"/>
      <w:r w:rsidRPr="001A65DF">
        <w:rPr>
          <w:rFonts w:eastAsia="Arial" w:cs="Arial"/>
          <w:color w:val="000000"/>
          <w:lang w:val="es-ES" w:eastAsia="en-GB"/>
        </w:rPr>
        <w:t>Galápagos</w:t>
      </w:r>
      <w:proofErr w:type="gramEnd"/>
      <w:r w:rsidRPr="001A65DF">
        <w:rPr>
          <w:rFonts w:eastAsia="Arial" w:cs="Arial"/>
          <w:color w:val="000000"/>
          <w:lang w:val="es-ES" w:eastAsia="en-GB"/>
        </w:rPr>
        <w:t xml:space="preserve"> durante la temporada fría (junio-diciembre; Figura 3). Esta hembra pasó un tercio del tiempo de seguimiento en aguas internacionales al oeste de la ZEE de Ecuador.</w:t>
      </w:r>
    </w:p>
    <w:p w14:paraId="2067F253" w14:textId="77777777" w:rsidR="001A65DF" w:rsidRPr="001A65DF" w:rsidRDefault="001A65DF" w:rsidP="001A65DF">
      <w:pPr>
        <w:spacing w:after="0" w:line="240" w:lineRule="auto"/>
        <w:rPr>
          <w:rFonts w:eastAsia="Arial" w:cs="Arial"/>
          <w:color w:val="385623"/>
          <w:lang w:val="es-ES" w:eastAsia="en-GB"/>
        </w:rPr>
      </w:pPr>
    </w:p>
    <w:p w14:paraId="4EC82A40" w14:textId="77777777" w:rsidR="001A65DF" w:rsidRPr="001A65DF" w:rsidRDefault="001A65DF" w:rsidP="001A65DF">
      <w:pPr>
        <w:spacing w:after="0" w:line="240" w:lineRule="auto"/>
        <w:rPr>
          <w:rFonts w:eastAsia="Arial" w:cs="Arial"/>
          <w:highlight w:val="yellow"/>
          <w:lang w:val="es-ES" w:eastAsia="en-GB"/>
        </w:rPr>
      </w:pPr>
      <w:r w:rsidRPr="001A65DF">
        <w:rPr>
          <w:rFonts w:eastAsia="Arial" w:cs="Arial"/>
          <w:noProof/>
          <w:color w:val="385623"/>
          <w:lang w:val="es-ES" w:eastAsia="en-GB"/>
        </w:rPr>
        <w:drawing>
          <wp:inline distT="0" distB="0" distL="0" distR="0" wp14:anchorId="0F78CA30" wp14:editId="1BD29DE3">
            <wp:extent cx="5730875" cy="1661169"/>
            <wp:effectExtent l="0" t="0" r="0" b="0"/>
            <wp:docPr id="1262422742" name="image9.png" descr="A map of the north atlantic ocean&#10;&#10;AI-generated content may be incorrect."/>
            <wp:cNvGraphicFramePr/>
            <a:graphic xmlns:a="http://schemas.openxmlformats.org/drawingml/2006/main">
              <a:graphicData uri="http://schemas.openxmlformats.org/drawingml/2006/picture">
                <pic:pic xmlns:pic="http://schemas.openxmlformats.org/drawingml/2006/picture">
                  <pic:nvPicPr>
                    <pic:cNvPr id="1262422742" name="image9.png" descr="A map of the north atlantic ocean&#10;&#10;AI-generated content may be incorrect."/>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5730875" cy="1661169"/>
                    </a:xfrm>
                    <a:prstGeom prst="rect">
                      <a:avLst/>
                    </a:prstGeom>
                    <a:ln/>
                  </pic:spPr>
                </pic:pic>
              </a:graphicData>
            </a:graphic>
          </wp:inline>
        </w:drawing>
      </w:r>
    </w:p>
    <w:p w14:paraId="7009B9C1" w14:textId="77777777" w:rsidR="001A65DF" w:rsidRPr="001A65DF" w:rsidRDefault="001A65DF" w:rsidP="001A65DF">
      <w:pPr>
        <w:spacing w:after="0" w:line="240" w:lineRule="auto"/>
        <w:jc w:val="both"/>
        <w:rPr>
          <w:rFonts w:eastAsia="Arial" w:cs="Arial"/>
          <w:sz w:val="20"/>
          <w:szCs w:val="20"/>
          <w:lang w:val="es-ES" w:eastAsia="en-GB"/>
        </w:rPr>
      </w:pPr>
      <w:r w:rsidRPr="001A65DF">
        <w:rPr>
          <w:rFonts w:eastAsia="Arial" w:cs="Arial"/>
          <w:b/>
          <w:sz w:val="20"/>
          <w:szCs w:val="20"/>
          <w:lang w:val="es-ES" w:eastAsia="en-GB"/>
        </w:rPr>
        <w:t>Figura 3.</w:t>
      </w:r>
      <w:r w:rsidRPr="001A65DF">
        <w:rPr>
          <w:rFonts w:eastAsia="Arial" w:cs="Arial"/>
          <w:sz w:val="20"/>
          <w:szCs w:val="20"/>
          <w:lang w:val="es-ES" w:eastAsia="en-GB"/>
        </w:rPr>
        <w:t xml:space="preserve"> Ruta satelital de una probable migración para parir de un tiburón martillo común, conectando las Islas Galápagos con áreas de crianza costeras en Panamá y aguas internacionales al oeste de la Zona Económica Exclusiva (ZEE) de Ecuador alrededor de las Islas Galápagos. Los límites blancos y los números representan las Áreas Marinas Protegidas dentro del Pacífico Tropical Oriental que el tiburón visitó (1- Reserva Marina Galápagos, Ecuador; 2- Reserva Marina Hermandad, Ecuador; 3- Área de Manejo del Bicentenario, Costa Rica; 4- Parque Nacional Isla del Coco, Costa Rica; 5- Área de Recursos Manejado Cordillera de Coiba, Panamá; 6- Parque Nacional Coiba, Panamá). Las líneas grises representan los límites de la Zona Económica Exclusiva para los países de la región (ECU: Ecuador; CR: Costa Rica; COL: Colombia; PAN: Panamá). Las estaciones se diferencian por color (temporada fría: junio–noviembre en rojo; temporada cálida: diciembre–mayo en amarillo). Obtenido de Salinas-de-León et al. (2025).</w:t>
      </w:r>
    </w:p>
    <w:p w14:paraId="6CBCD790" w14:textId="77777777" w:rsidR="001A65DF" w:rsidRDefault="001A65DF" w:rsidP="001A65DF">
      <w:pPr>
        <w:spacing w:after="0" w:line="240" w:lineRule="auto"/>
        <w:jc w:val="both"/>
        <w:rPr>
          <w:rFonts w:eastAsia="Arial" w:cs="Arial"/>
          <w:bCs/>
          <w:lang w:val="es-ES" w:eastAsia="en-GB"/>
        </w:rPr>
      </w:pPr>
    </w:p>
    <w:p w14:paraId="40281F85" w14:textId="1CA7CEFF" w:rsidR="001A65DF" w:rsidRPr="001A65DF" w:rsidRDefault="001A65DF" w:rsidP="001A65DF">
      <w:pPr>
        <w:spacing w:after="0" w:line="240" w:lineRule="auto"/>
        <w:jc w:val="both"/>
        <w:rPr>
          <w:rFonts w:eastAsia="Arial" w:cs="Arial"/>
          <w:bCs/>
          <w:highlight w:val="yellow"/>
          <w:lang w:val="es-ES" w:eastAsia="en-GB"/>
        </w:rPr>
      </w:pPr>
      <w:r w:rsidRPr="001A65DF">
        <w:rPr>
          <w:rFonts w:eastAsia="Arial" w:cs="Arial"/>
          <w:bCs/>
          <w:lang w:val="es-ES" w:eastAsia="en-GB"/>
        </w:rPr>
        <w:t>Datos recientes de seguimiento satelital, también han revelado migraciones para parir predecibles, estacionales y multianuales entre las Islas Galápagos (Ecuador) y la Isla del Coco (Costa Rica), hacia áreas de crianza costeras ubicadas en las costas del Pacífico de Panamá, Costa Rica y México (Salinas-de-León et al., datos no publicados; Figura 4). La Dorsal Sumergida de Coco (SCR, por sus siglas en inglés), una cadena de montes submarinos que conecta Galápagos (Ecuador) con la Isla del Coco (Costa Rica), también ha sido descrita como un sitio importante de agregación y un corredor migratorio, particularmente el monte submarino West Cocos dentro de la ZEE de Costa Rica y el monte submarino Paramount dentro de la ZEE de Ecuador (Cambra et al.</w:t>
      </w:r>
      <w:r w:rsidRPr="001A65DF">
        <w:rPr>
          <w:rFonts w:eastAsia="Arial" w:cs="Arial"/>
          <w:lang w:val="es-ES" w:eastAsia="en-GB"/>
        </w:rPr>
        <w:t>2021).</w:t>
      </w:r>
    </w:p>
    <w:p w14:paraId="5E4DF546" w14:textId="77777777" w:rsidR="001A65DF" w:rsidRPr="001A65DF" w:rsidRDefault="001A65DF" w:rsidP="001A65DF">
      <w:pPr>
        <w:spacing w:after="0" w:line="240" w:lineRule="auto"/>
        <w:jc w:val="both"/>
        <w:rPr>
          <w:rFonts w:eastAsia="Arial" w:cs="Arial"/>
          <w:b/>
          <w:lang w:val="es-ES" w:eastAsia="en-GB"/>
        </w:rPr>
      </w:pPr>
      <w:r w:rsidRPr="001A65DF">
        <w:rPr>
          <w:rFonts w:eastAsia="Arial" w:cs="Arial"/>
          <w:noProof/>
          <w:lang w:val="en" w:eastAsia="en-GB"/>
        </w:rPr>
        <w:drawing>
          <wp:inline distT="0" distB="0" distL="0" distR="0" wp14:anchorId="71E92642" wp14:editId="186DA8BE">
            <wp:extent cx="5166995" cy="4018519"/>
            <wp:effectExtent l="0" t="0" r="0" b="1270"/>
            <wp:docPr id="818434213" name="Picture 12" descr="A map of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34213" name="Picture 12" descr="A map of the ocean&#10;&#10;AI-generated content may be incorrect."/>
                    <pic:cNvPicPr/>
                  </pic:nvPicPr>
                  <pic:blipFill>
                    <a:blip r:embed="rId16" cstate="screen">
                      <a:extLst>
                        <a:ext uri="{28A0092B-C50C-407E-A947-70E740481C1C}">
                          <a14:useLocalDpi xmlns:a14="http://schemas.microsoft.com/office/drawing/2010/main"/>
                        </a:ext>
                      </a:extLst>
                    </a:blip>
                    <a:stretch>
                      <a:fillRect/>
                    </a:stretch>
                  </pic:blipFill>
                  <pic:spPr>
                    <a:xfrm>
                      <a:off x="0" y="0"/>
                      <a:ext cx="5172423" cy="4022740"/>
                    </a:xfrm>
                    <a:prstGeom prst="rect">
                      <a:avLst/>
                    </a:prstGeom>
                  </pic:spPr>
                </pic:pic>
              </a:graphicData>
            </a:graphic>
          </wp:inline>
        </w:drawing>
      </w:r>
    </w:p>
    <w:p w14:paraId="6FC774F7" w14:textId="77777777" w:rsidR="001A65DF" w:rsidRPr="001A65DF" w:rsidRDefault="001A65DF" w:rsidP="001A65DF">
      <w:pPr>
        <w:spacing w:after="0" w:line="240" w:lineRule="auto"/>
        <w:jc w:val="both"/>
        <w:rPr>
          <w:rFonts w:eastAsia="Arial" w:cs="Arial"/>
          <w:b/>
          <w:lang w:val="es-ES" w:eastAsia="en-GB"/>
        </w:rPr>
      </w:pPr>
    </w:p>
    <w:p w14:paraId="51DF0F35" w14:textId="77777777" w:rsidR="001A65DF" w:rsidRPr="001A65DF" w:rsidRDefault="001A65DF" w:rsidP="001A65DF">
      <w:pPr>
        <w:spacing w:after="0" w:line="240" w:lineRule="auto"/>
        <w:jc w:val="both"/>
        <w:rPr>
          <w:rFonts w:eastAsia="Arial" w:cs="Arial"/>
          <w:sz w:val="20"/>
          <w:szCs w:val="20"/>
          <w:lang w:val="es-ES" w:eastAsia="en-GB"/>
        </w:rPr>
      </w:pPr>
      <w:r w:rsidRPr="001A65DF">
        <w:rPr>
          <w:rFonts w:eastAsia="Arial" w:cs="Arial"/>
          <w:b/>
          <w:sz w:val="20"/>
          <w:szCs w:val="20"/>
          <w:lang w:val="es-ES" w:eastAsia="en-GB"/>
        </w:rPr>
        <w:t>Figura 4.</w:t>
      </w:r>
      <w:r w:rsidRPr="001A65DF">
        <w:rPr>
          <w:rFonts w:eastAsia="Arial" w:cs="Arial"/>
          <w:sz w:val="20"/>
          <w:szCs w:val="20"/>
          <w:lang w:val="es-ES" w:eastAsia="en-GB"/>
        </w:rPr>
        <w:t xml:space="preserve"> Rutas satelitales de migraciones para parir de tiburones martillo común marcados en las Islas Galápagos (Ecuador) y la Isla del Coco (Costa Rica), y que migran hacia áreas de crianza costeras ubicadas en Panamá (líneas negras), Costa Rica (líneas rojas) y México (línea naranja). Fuente: Salinas-de-León et al. (datos no publicados).</w:t>
      </w:r>
    </w:p>
    <w:p w14:paraId="7557383F" w14:textId="77777777" w:rsidR="001A65DF" w:rsidRPr="001A65DF" w:rsidRDefault="001A65DF" w:rsidP="001A65DF">
      <w:pPr>
        <w:spacing w:after="0" w:line="240" w:lineRule="auto"/>
        <w:jc w:val="both"/>
        <w:rPr>
          <w:rFonts w:eastAsia="Arial" w:cs="Arial"/>
          <w:lang w:val="es-ES" w:eastAsia="en-GB"/>
        </w:rPr>
      </w:pPr>
    </w:p>
    <w:p w14:paraId="2E15BA7B"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Las migraciones para parir también ocurrieron dentro y más allá de la recientemente identificada área importante para tiburones y rayas (ISRA, en sus siglas en inglés) denominada ISRA del Corredor Marino del Pacífico Tropical Oriental (Figura 5). Esta ISRA fue designada como un área reproductiva importante para neonatos y juveniles de primer año de tiburón martillo común en aguas </w:t>
      </w:r>
      <w:proofErr w:type="gramStart"/>
      <w:r w:rsidRPr="001A65DF">
        <w:rPr>
          <w:rFonts w:eastAsia="Arial" w:cs="Arial"/>
          <w:lang w:val="es-ES" w:eastAsia="en-GB"/>
        </w:rPr>
        <w:t>costeras ,</w:t>
      </w:r>
      <w:proofErr w:type="gramEnd"/>
      <w:r w:rsidRPr="001A65DF">
        <w:rPr>
          <w:rFonts w:eastAsia="Arial" w:cs="Arial"/>
          <w:lang w:val="es-ES" w:eastAsia="en-GB"/>
        </w:rPr>
        <w:t xml:space="preserve"> dada su presencia en censos dependientes de la pesca. Se han confirmado áreas reproductivas y posibles zonas de crianza en países como Colombia (Quintanilla et al. 2015), Costa Rica (Zanella et al. 2019), Ecuador (Chiriboga et al. 2022)), y Panamá (Robles et al. 2015).</w:t>
      </w:r>
    </w:p>
    <w:p w14:paraId="129FC240" w14:textId="77777777" w:rsidR="001A65DF" w:rsidRPr="001A65DF" w:rsidRDefault="001A65DF" w:rsidP="001A65DF">
      <w:pPr>
        <w:spacing w:after="0" w:line="240" w:lineRule="auto"/>
        <w:jc w:val="both"/>
        <w:rPr>
          <w:rFonts w:eastAsia="Arial" w:cs="Arial"/>
          <w:lang w:val="es-ES" w:eastAsia="en-GB"/>
        </w:rPr>
      </w:pPr>
    </w:p>
    <w:p w14:paraId="15EBC242" w14:textId="77777777" w:rsidR="001A65DF" w:rsidRPr="001A65DF" w:rsidRDefault="001A65DF" w:rsidP="001A65DF">
      <w:pPr>
        <w:spacing w:after="0" w:line="240" w:lineRule="auto"/>
        <w:jc w:val="center"/>
        <w:rPr>
          <w:rFonts w:eastAsia="Arial" w:cs="Arial"/>
          <w:lang w:val="es-ES" w:eastAsia="en-GB"/>
        </w:rPr>
      </w:pPr>
      <w:r w:rsidRPr="001A65DF">
        <w:rPr>
          <w:rFonts w:eastAsia="Arial" w:cs="Arial"/>
          <w:noProof/>
          <w:lang w:val="es-ES" w:eastAsia="en-GB"/>
        </w:rPr>
        <w:drawing>
          <wp:inline distT="114300" distB="114300" distL="114300" distR="114300" wp14:anchorId="41EF30C1" wp14:editId="79FFC2D0">
            <wp:extent cx="5290457" cy="2836506"/>
            <wp:effectExtent l="0" t="0" r="0" b="0"/>
            <wp:docPr id="1262422738" name="image11.png" descr="A screenshot of a map&#10;&#10;AI-generated content may be incorrect."/>
            <wp:cNvGraphicFramePr/>
            <a:graphic xmlns:a="http://schemas.openxmlformats.org/drawingml/2006/main">
              <a:graphicData uri="http://schemas.openxmlformats.org/drawingml/2006/picture">
                <pic:pic xmlns:pic="http://schemas.openxmlformats.org/drawingml/2006/picture">
                  <pic:nvPicPr>
                    <pic:cNvPr id="1262422738" name="image11.png" descr="A screenshot of a map&#10;&#10;AI-generated content may be incorrect."/>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5372305" cy="2880389"/>
                    </a:xfrm>
                    <a:prstGeom prst="rect">
                      <a:avLst/>
                    </a:prstGeom>
                    <a:ln/>
                  </pic:spPr>
                </pic:pic>
              </a:graphicData>
            </a:graphic>
          </wp:inline>
        </w:drawing>
      </w:r>
    </w:p>
    <w:p w14:paraId="10880983" w14:textId="77777777" w:rsidR="001A65DF" w:rsidRPr="001A65DF" w:rsidRDefault="001A65DF" w:rsidP="001A65DF">
      <w:pPr>
        <w:spacing w:after="0" w:line="240" w:lineRule="auto"/>
        <w:jc w:val="both"/>
        <w:rPr>
          <w:rFonts w:eastAsia="Arial" w:cs="Arial"/>
          <w:sz w:val="20"/>
          <w:szCs w:val="20"/>
          <w:lang w:val="es-ES" w:eastAsia="en-GB"/>
        </w:rPr>
      </w:pPr>
      <w:r w:rsidRPr="001A65DF">
        <w:rPr>
          <w:rFonts w:eastAsia="Arial" w:cs="Arial"/>
          <w:b/>
          <w:bCs/>
          <w:sz w:val="20"/>
          <w:szCs w:val="20"/>
          <w:lang w:val="es-ES" w:eastAsia="en-GB"/>
        </w:rPr>
        <w:t>Figura 5:</w:t>
      </w:r>
      <w:r w:rsidRPr="001A65DF">
        <w:rPr>
          <w:rFonts w:eastAsia="Arial" w:cs="Arial"/>
          <w:sz w:val="20"/>
          <w:szCs w:val="20"/>
          <w:lang w:val="es-ES" w:eastAsia="en-GB"/>
        </w:rPr>
        <w:t xml:space="preserve"> Área Importante para Tiburones y Rayas (ISRA) del Corredor Marino del Pacífico Tropical Oriental, desde Perú en el sur hasta México en el norte. Obtenido de </w:t>
      </w:r>
      <w:hyperlink r:id="rId18" w:history="1">
        <w:r w:rsidRPr="001A65DF">
          <w:rPr>
            <w:rFonts w:eastAsia="Arial" w:cs="Arial"/>
            <w:color w:val="0563C1"/>
            <w:sz w:val="20"/>
            <w:szCs w:val="20"/>
            <w:u w:val="single"/>
            <w:lang w:val="es-ES" w:eastAsia="en-GB"/>
          </w:rPr>
          <w:t>https://sharkrayareas.org/</w:t>
        </w:r>
      </w:hyperlink>
      <w:r w:rsidRPr="001A65DF">
        <w:rPr>
          <w:rFonts w:eastAsia="Arial" w:cs="Arial"/>
          <w:sz w:val="20"/>
          <w:szCs w:val="20"/>
          <w:lang w:val="es-ES" w:eastAsia="en-GB"/>
        </w:rPr>
        <w:t xml:space="preserve"> </w:t>
      </w:r>
    </w:p>
    <w:p w14:paraId="4DE1AE85"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w:t>
      </w:r>
    </w:p>
    <w:p w14:paraId="65F10C8A"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Después de parir, también se han documentado recientemente migraciones estacionales hacia una probable área de alimentación en alta mar (OFA, en sus siglas en inglés), ubicada en aguas internacionales del Pacífico Tropical Oriental, mediante el seguimiento de los movimientos de hembras tras parir en áreas de crianza costeras ubicadas en la costa pacífica de Panamá y Costa Rica. varias hembras marcadas con transmisores satelitales realizaron movimientos altamente direccionales hacia aguas internacionales al oeste de la Zona Económica Exclusiva de Ecuador alrededor de </w:t>
      </w:r>
      <w:proofErr w:type="gramStart"/>
      <w:r w:rsidRPr="001A65DF">
        <w:rPr>
          <w:rFonts w:eastAsia="Arial" w:cs="Arial"/>
          <w:lang w:val="es-ES" w:eastAsia="en-GB"/>
        </w:rPr>
        <w:t>Galápagos</w:t>
      </w:r>
      <w:proofErr w:type="gramEnd"/>
      <w:r w:rsidRPr="001A65DF">
        <w:rPr>
          <w:rFonts w:eastAsia="Arial" w:cs="Arial"/>
          <w:lang w:val="es-ES" w:eastAsia="en-GB"/>
        </w:rPr>
        <w:t xml:space="preserve"> durante la temporada fría (junio-diciembre); (Figura 6 y 7).</w:t>
      </w:r>
    </w:p>
    <w:p w14:paraId="6B7AFD5F"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noProof/>
          <w:lang w:val="en" w:eastAsia="en-GB"/>
        </w:rPr>
        <w:drawing>
          <wp:inline distT="0" distB="0" distL="0" distR="0" wp14:anchorId="562696D7" wp14:editId="217597F7">
            <wp:extent cx="5730875" cy="3274695"/>
            <wp:effectExtent l="0" t="0" r="3175" b="1905"/>
            <wp:docPr id="1882616739" name="Picture 13" descr="A map of the galapagos isl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16739" name="Picture 13" descr="A map of the galapagos islands&#10;&#10;AI-generated content may be incorrect."/>
                    <pic:cNvPicPr/>
                  </pic:nvPicPr>
                  <pic:blipFill>
                    <a:blip r:embed="rId19" cstate="screen">
                      <a:extLst>
                        <a:ext uri="{28A0092B-C50C-407E-A947-70E740481C1C}">
                          <a14:useLocalDpi xmlns:a14="http://schemas.microsoft.com/office/drawing/2010/main"/>
                        </a:ext>
                      </a:extLst>
                    </a:blip>
                    <a:stretch>
                      <a:fillRect/>
                    </a:stretch>
                  </pic:blipFill>
                  <pic:spPr>
                    <a:xfrm>
                      <a:off x="0" y="0"/>
                      <a:ext cx="5730875" cy="3274695"/>
                    </a:xfrm>
                    <a:prstGeom prst="rect">
                      <a:avLst/>
                    </a:prstGeom>
                  </pic:spPr>
                </pic:pic>
              </a:graphicData>
            </a:graphic>
          </wp:inline>
        </w:drawing>
      </w:r>
    </w:p>
    <w:p w14:paraId="68570D49" w14:textId="77777777" w:rsidR="001A65DF" w:rsidRPr="001A65DF" w:rsidRDefault="001A65DF" w:rsidP="001A65DF">
      <w:pPr>
        <w:spacing w:after="0" w:line="240" w:lineRule="auto"/>
        <w:jc w:val="both"/>
        <w:rPr>
          <w:rFonts w:eastAsia="Arial" w:cs="Arial"/>
          <w:sz w:val="20"/>
          <w:szCs w:val="20"/>
          <w:lang w:val="es-ES" w:eastAsia="en-GB"/>
        </w:rPr>
      </w:pPr>
      <w:r w:rsidRPr="001A65DF">
        <w:rPr>
          <w:rFonts w:eastAsia="Arial" w:cs="Arial"/>
          <w:b/>
          <w:bCs/>
          <w:sz w:val="20"/>
          <w:szCs w:val="20"/>
          <w:lang w:val="es-ES" w:eastAsia="en-GB"/>
        </w:rPr>
        <w:t xml:space="preserve">Figura 6. </w:t>
      </w:r>
      <w:r w:rsidRPr="001A65DF">
        <w:rPr>
          <w:rFonts w:eastAsia="Arial" w:cs="Arial"/>
          <w:sz w:val="20"/>
          <w:szCs w:val="20"/>
          <w:lang w:val="es-ES" w:eastAsia="en-GB"/>
        </w:rPr>
        <w:t xml:space="preserve">Rutas satelitales de las migraciones posteriores a de tiburones martillo moteados que parten de criaderos costeros ubicados en la costa del Pacífico de Costa Rica y Panamá. </w:t>
      </w:r>
      <w:proofErr w:type="gramStart"/>
      <w:r w:rsidRPr="001A65DF">
        <w:rPr>
          <w:rFonts w:eastAsia="Arial" w:cs="Arial"/>
          <w:sz w:val="20"/>
          <w:szCs w:val="20"/>
          <w:lang w:val="es-ES" w:eastAsia="en-GB"/>
        </w:rPr>
        <w:t>Los movimientos posteriores a parir</w:t>
      </w:r>
      <w:proofErr w:type="gramEnd"/>
      <w:r w:rsidRPr="001A65DF">
        <w:rPr>
          <w:rFonts w:eastAsia="Arial" w:cs="Arial"/>
          <w:sz w:val="20"/>
          <w:szCs w:val="20"/>
          <w:lang w:val="es-ES" w:eastAsia="en-GB"/>
        </w:rPr>
        <w:t xml:space="preserve"> se realizaron hacia un área en aguas internacionales al oeste de la Zona Económica Exclusiva de Ecuador, alrededor de las Islas Galápagos, durante la temporada fría (junio-diciembre). Fuente: Salinas-de-León et al. (datos no publicados).</w:t>
      </w:r>
    </w:p>
    <w:p w14:paraId="6EA59963" w14:textId="77777777" w:rsidR="001A65DF" w:rsidRPr="001A65DF" w:rsidRDefault="001A65DF" w:rsidP="001A65DF">
      <w:pPr>
        <w:spacing w:after="0" w:line="240" w:lineRule="auto"/>
        <w:jc w:val="both"/>
        <w:rPr>
          <w:rFonts w:eastAsia="Arial" w:cs="Arial"/>
          <w:lang w:val="es-ES" w:eastAsia="en-GB"/>
        </w:rPr>
      </w:pPr>
    </w:p>
    <w:p w14:paraId="61FA4C12"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Esta área al noroeste de las Islas Galápagos ha sido recientemente identificada como un Área de Importancia para Tiburones y Rayas (ISRA) denominada ISRA del Frente Ecuatorial del Pacífico (Figura 6). El Frente Ecuatorial del Pacífico es un área importante de movimiento para el tiburón ballena (</w:t>
      </w:r>
      <w:proofErr w:type="spellStart"/>
      <w:r w:rsidRPr="001A65DF">
        <w:rPr>
          <w:rFonts w:eastAsia="Arial" w:cs="Arial"/>
          <w:i/>
          <w:iCs/>
          <w:lang w:val="es-ES" w:eastAsia="en-GB"/>
        </w:rPr>
        <w:t>Rhincodon</w:t>
      </w:r>
      <w:proofErr w:type="spellEnd"/>
      <w:r w:rsidRPr="001A65DF">
        <w:rPr>
          <w:rFonts w:eastAsia="Arial" w:cs="Arial"/>
          <w:i/>
          <w:iCs/>
          <w:lang w:val="es-ES" w:eastAsia="en-GB"/>
        </w:rPr>
        <w:t xml:space="preserve"> </w:t>
      </w:r>
      <w:proofErr w:type="spellStart"/>
      <w:r w:rsidRPr="001A65DF">
        <w:rPr>
          <w:rFonts w:eastAsia="Arial" w:cs="Arial"/>
          <w:i/>
          <w:iCs/>
          <w:lang w:val="es-ES" w:eastAsia="en-GB"/>
        </w:rPr>
        <w:t>typus</w:t>
      </w:r>
      <w:proofErr w:type="spellEnd"/>
      <w:r w:rsidRPr="001A65DF">
        <w:rPr>
          <w:rFonts w:eastAsia="Arial" w:cs="Arial"/>
          <w:lang w:val="es-ES" w:eastAsia="en-GB"/>
        </w:rPr>
        <w:t>), donde se ha registrado que hembras adultas rastreadas se desplazan a lo largo del frente desde julio hasta octubre durante varios años (Hearn et al.,</w:t>
      </w:r>
      <w:r w:rsidRPr="001A65DF">
        <w:rPr>
          <w:rFonts w:eastAsia="Calibri" w:cs="Arial"/>
          <w:lang w:val="es-ES" w:eastAsia="en-GB"/>
        </w:rPr>
        <w:t xml:space="preserve"> 2016),</w:t>
      </w:r>
      <w:r w:rsidRPr="001A65DF">
        <w:rPr>
          <w:rFonts w:eastAsia="Arial" w:cs="Arial"/>
          <w:lang w:val="es-ES" w:eastAsia="en-GB"/>
        </w:rPr>
        <w:t xml:space="preserve"> siguiendo las ondas de inestabilidad tropical (Ryan et al.,</w:t>
      </w:r>
      <w:r w:rsidRPr="001A65DF">
        <w:rPr>
          <w:rFonts w:eastAsia="Calibri" w:cs="Arial"/>
          <w:lang w:val="es-ES" w:eastAsia="en-GB"/>
        </w:rPr>
        <w:t>2017</w:t>
      </w:r>
      <w:r w:rsidRPr="001A65DF">
        <w:rPr>
          <w:rFonts w:eastAsia="Arial" w:cs="Arial"/>
          <w:lang w:val="es-ES" w:eastAsia="en-GB"/>
        </w:rPr>
        <w:t>). Evidencia reciente sugiere que esta también es un área importante de movimiento para hembras adultas de tiburón martillo común.</w:t>
      </w:r>
    </w:p>
    <w:p w14:paraId="5A4537F6" w14:textId="77777777" w:rsidR="001A65DF" w:rsidRPr="001A65DF" w:rsidRDefault="001A65DF" w:rsidP="001A65DF">
      <w:pPr>
        <w:spacing w:after="0" w:line="240" w:lineRule="auto"/>
        <w:jc w:val="both"/>
        <w:rPr>
          <w:rFonts w:eastAsia="Arial" w:cs="Arial"/>
          <w:lang w:val="es-ES" w:eastAsia="en-GB"/>
        </w:rPr>
      </w:pPr>
    </w:p>
    <w:p w14:paraId="2C80C803"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noProof/>
          <w:lang w:val="en" w:eastAsia="en-GB"/>
        </w:rPr>
        <w:drawing>
          <wp:inline distT="0" distB="0" distL="0" distR="0" wp14:anchorId="37539AC0" wp14:editId="1D647E2F">
            <wp:extent cx="5660458" cy="3595867"/>
            <wp:effectExtent l="0" t="0" r="3810" b="0"/>
            <wp:docPr id="1601230182" name="Picture 2" descr="A map of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30182" name="Picture 2" descr="A map of the ocean&#10;&#10;AI-generated content may be incorrect."/>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738033" cy="3645147"/>
                    </a:xfrm>
                    <a:prstGeom prst="rect">
                      <a:avLst/>
                    </a:prstGeom>
                    <a:ln>
                      <a:noFill/>
                    </a:ln>
                    <a:extLst>
                      <a:ext uri="{53640926-AAD7-44D8-BBD7-CCE9431645EC}">
                        <a14:shadowObscured xmlns:a14="http://schemas.microsoft.com/office/drawing/2010/main"/>
                      </a:ext>
                    </a:extLst>
                  </pic:spPr>
                </pic:pic>
              </a:graphicData>
            </a:graphic>
          </wp:inline>
        </w:drawing>
      </w:r>
    </w:p>
    <w:p w14:paraId="6385E74A" w14:textId="77777777" w:rsidR="001A65DF" w:rsidRPr="001A65DF" w:rsidRDefault="001A65DF" w:rsidP="001A65DF">
      <w:pPr>
        <w:spacing w:after="0" w:line="240" w:lineRule="auto"/>
        <w:jc w:val="both"/>
        <w:rPr>
          <w:rFonts w:eastAsia="Arial" w:cs="Arial"/>
          <w:sz w:val="20"/>
          <w:szCs w:val="20"/>
          <w:lang w:val="es-ES" w:eastAsia="en-GB"/>
        </w:rPr>
      </w:pPr>
      <w:r w:rsidRPr="001A65DF">
        <w:rPr>
          <w:rFonts w:eastAsia="Arial" w:cs="Arial"/>
          <w:b/>
          <w:bCs/>
          <w:sz w:val="20"/>
          <w:szCs w:val="20"/>
          <w:lang w:val="es-ES" w:eastAsia="en-GB"/>
        </w:rPr>
        <w:t xml:space="preserve">Figura 7. </w:t>
      </w:r>
      <w:r w:rsidRPr="001A65DF">
        <w:rPr>
          <w:rFonts w:eastAsia="Arial" w:cs="Arial"/>
          <w:sz w:val="20"/>
          <w:szCs w:val="20"/>
          <w:lang w:val="es-ES" w:eastAsia="en-GB"/>
        </w:rPr>
        <w:t xml:space="preserve">Rastros de tiburones martillo </w:t>
      </w:r>
      <w:proofErr w:type="spellStart"/>
      <w:r w:rsidRPr="001A65DF">
        <w:rPr>
          <w:rFonts w:eastAsia="Arial" w:cs="Arial"/>
          <w:sz w:val="20"/>
          <w:szCs w:val="20"/>
          <w:lang w:val="es-ES" w:eastAsia="en-GB"/>
        </w:rPr>
        <w:t>comun</w:t>
      </w:r>
      <w:proofErr w:type="spellEnd"/>
      <w:r w:rsidRPr="001A65DF">
        <w:rPr>
          <w:rFonts w:eastAsia="Arial" w:cs="Arial"/>
          <w:sz w:val="20"/>
          <w:szCs w:val="20"/>
          <w:lang w:val="es-ES" w:eastAsia="en-GB"/>
        </w:rPr>
        <w:t xml:space="preserve"> marcados en el monte submarino y la Reserva Marina de </w:t>
      </w:r>
      <w:proofErr w:type="gramStart"/>
      <w:r w:rsidRPr="001A65DF">
        <w:rPr>
          <w:rFonts w:eastAsia="Arial" w:cs="Arial"/>
          <w:sz w:val="20"/>
          <w:szCs w:val="20"/>
          <w:lang w:val="es-ES" w:eastAsia="en-GB"/>
        </w:rPr>
        <w:t>Galápagos</w:t>
      </w:r>
      <w:proofErr w:type="gramEnd"/>
      <w:r w:rsidRPr="001A65DF">
        <w:rPr>
          <w:rFonts w:eastAsia="Arial" w:cs="Arial"/>
          <w:sz w:val="20"/>
          <w:szCs w:val="20"/>
          <w:lang w:val="es-ES" w:eastAsia="en-GB"/>
        </w:rPr>
        <w:t xml:space="preserve"> en enero de 2025, que muestran movimientos migratorios hacia las aguas costeras de Panamá (de Velasco y Hearn 2025).</w:t>
      </w:r>
    </w:p>
    <w:p w14:paraId="2306F7AC" w14:textId="77777777" w:rsidR="001A65DF" w:rsidRPr="001A65DF" w:rsidRDefault="001A65DF" w:rsidP="001A65DF">
      <w:pPr>
        <w:spacing w:after="0" w:line="240" w:lineRule="auto"/>
        <w:jc w:val="both"/>
        <w:rPr>
          <w:rFonts w:eastAsia="Arial" w:cs="Arial"/>
          <w:b/>
          <w:bCs/>
          <w:lang w:val="es-ES" w:eastAsia="en-GB"/>
        </w:rPr>
      </w:pPr>
    </w:p>
    <w:p w14:paraId="5D5849A4" w14:textId="77777777" w:rsidR="001A65DF" w:rsidRPr="001A65DF" w:rsidRDefault="001A65DF" w:rsidP="001A65DF">
      <w:pPr>
        <w:spacing w:after="0" w:line="240" w:lineRule="auto"/>
        <w:ind w:hanging="2"/>
        <w:rPr>
          <w:rFonts w:eastAsia="Arial" w:cs="Arial"/>
          <w:lang w:val="es-ES" w:eastAsia="en-GB"/>
        </w:rPr>
      </w:pPr>
      <w:r w:rsidRPr="001A65DF">
        <w:rPr>
          <w:rFonts w:eastAsia="Arial" w:cs="Arial"/>
          <w:noProof/>
          <w:lang w:val="es-ES" w:eastAsia="en-GB"/>
        </w:rPr>
        <w:drawing>
          <wp:inline distT="114300" distB="114300" distL="114300" distR="114300" wp14:anchorId="3349A106" wp14:editId="63E18BFD">
            <wp:extent cx="5731200" cy="3403600"/>
            <wp:effectExtent l="0" t="0" r="0" b="0"/>
            <wp:docPr id="1262422735" name="image7.png" descr="A screenshot of a map&#10;&#10;AI-generated content may be incorrect."/>
            <wp:cNvGraphicFramePr/>
            <a:graphic xmlns:a="http://schemas.openxmlformats.org/drawingml/2006/main">
              <a:graphicData uri="http://schemas.openxmlformats.org/drawingml/2006/picture">
                <pic:pic xmlns:pic="http://schemas.openxmlformats.org/drawingml/2006/picture">
                  <pic:nvPicPr>
                    <pic:cNvPr id="1262422735" name="image7.png" descr="A screenshot of a map&#10;&#10;AI-generated content may be incorrect."/>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5731200" cy="3403600"/>
                    </a:xfrm>
                    <a:prstGeom prst="rect">
                      <a:avLst/>
                    </a:prstGeom>
                    <a:ln/>
                  </pic:spPr>
                </pic:pic>
              </a:graphicData>
            </a:graphic>
          </wp:inline>
        </w:drawing>
      </w:r>
    </w:p>
    <w:p w14:paraId="1F0DEF59" w14:textId="77777777" w:rsidR="001A65DF" w:rsidRPr="001A65DF" w:rsidRDefault="001A65DF" w:rsidP="001A65DF">
      <w:pPr>
        <w:spacing w:after="0" w:line="240" w:lineRule="auto"/>
        <w:ind w:hanging="2"/>
        <w:jc w:val="both"/>
        <w:rPr>
          <w:rFonts w:eastAsia="Arial" w:cs="Arial"/>
          <w:lang w:val="es-ES" w:eastAsia="en-GB"/>
        </w:rPr>
      </w:pPr>
    </w:p>
    <w:p w14:paraId="74A3E9D8" w14:textId="77777777" w:rsidR="001A65DF" w:rsidRPr="001A65DF" w:rsidRDefault="001A65DF" w:rsidP="001A65DF">
      <w:pPr>
        <w:spacing w:after="0" w:line="240" w:lineRule="auto"/>
        <w:ind w:hanging="2"/>
        <w:jc w:val="both"/>
        <w:rPr>
          <w:rFonts w:eastAsia="Arial" w:cs="Arial"/>
          <w:sz w:val="20"/>
          <w:szCs w:val="20"/>
          <w:lang w:val="es-ES" w:eastAsia="en-GB"/>
        </w:rPr>
      </w:pPr>
      <w:r w:rsidRPr="001A65DF">
        <w:rPr>
          <w:rFonts w:eastAsia="Arial" w:cs="Arial"/>
          <w:b/>
          <w:bCs/>
          <w:sz w:val="20"/>
          <w:szCs w:val="20"/>
          <w:lang w:val="es-ES" w:eastAsia="en-GB"/>
        </w:rPr>
        <w:t>Figura 8.</w:t>
      </w:r>
      <w:r w:rsidRPr="001A65DF">
        <w:rPr>
          <w:rFonts w:eastAsia="Arial" w:cs="Arial"/>
          <w:sz w:val="20"/>
          <w:szCs w:val="20"/>
          <w:lang w:val="es-ES" w:eastAsia="en-GB"/>
        </w:rPr>
        <w:t xml:space="preserve"> Área de Importancia para Tiburones y Rayas (ISRA) del Frente Ecuatorial del Pacífico, ubicada en aguas internacionales al noroeste de la Reserva Marina de </w:t>
      </w:r>
      <w:proofErr w:type="gramStart"/>
      <w:r w:rsidRPr="001A65DF">
        <w:rPr>
          <w:rFonts w:eastAsia="Arial" w:cs="Arial"/>
          <w:sz w:val="20"/>
          <w:szCs w:val="20"/>
          <w:lang w:val="es-ES" w:eastAsia="en-GB"/>
        </w:rPr>
        <w:t>Galápagos</w:t>
      </w:r>
      <w:proofErr w:type="gramEnd"/>
      <w:r w:rsidRPr="001A65DF">
        <w:rPr>
          <w:rFonts w:eastAsia="Arial" w:cs="Arial"/>
          <w:sz w:val="20"/>
          <w:szCs w:val="20"/>
          <w:lang w:val="es-ES" w:eastAsia="en-GB"/>
        </w:rPr>
        <w:t xml:space="preserve"> (GMR). Fuente: </w:t>
      </w:r>
      <w:hyperlink r:id="rId22" w:history="1">
        <w:r w:rsidRPr="001A65DF">
          <w:rPr>
            <w:rFonts w:eastAsia="Arial" w:cs="Arial"/>
            <w:color w:val="0563C1"/>
            <w:sz w:val="20"/>
            <w:szCs w:val="20"/>
            <w:u w:val="single"/>
            <w:lang w:val="es-ES" w:eastAsia="en-GB"/>
          </w:rPr>
          <w:t>https://sharkrayareas.org/</w:t>
        </w:r>
      </w:hyperlink>
    </w:p>
    <w:p w14:paraId="4F4EEC5E" w14:textId="77777777" w:rsidR="001A65DF" w:rsidRPr="001A65DF" w:rsidRDefault="001A65DF" w:rsidP="001A65DF">
      <w:pPr>
        <w:spacing w:after="0" w:line="240" w:lineRule="auto"/>
        <w:ind w:hanging="2"/>
        <w:jc w:val="both"/>
        <w:rPr>
          <w:rFonts w:eastAsia="Arial" w:cs="Arial"/>
          <w:lang w:val="es-ES" w:eastAsia="en-GB"/>
        </w:rPr>
      </w:pPr>
    </w:p>
    <w:p w14:paraId="21CEB761" w14:textId="77777777" w:rsidR="001A65DF" w:rsidRPr="001A65DF" w:rsidRDefault="001A65DF" w:rsidP="001A65DF">
      <w:pPr>
        <w:spacing w:after="0" w:line="240" w:lineRule="auto"/>
        <w:ind w:hanging="2"/>
        <w:jc w:val="both"/>
        <w:rPr>
          <w:rFonts w:eastAsia="Arial" w:cs="Arial"/>
          <w:lang w:val="es-ES" w:eastAsia="en-GB"/>
        </w:rPr>
      </w:pPr>
      <w:r w:rsidRPr="001A65DF">
        <w:rPr>
          <w:rFonts w:eastAsia="Arial" w:cs="Arial"/>
          <w:lang w:val="es-ES" w:eastAsia="en-GB"/>
        </w:rPr>
        <w:t>En Australia, se cree que las hembras embarazadas de tiburón martillo común migran desde aguas australianas hacia zonas costeras poco profundas del norte de Australia y Papúa Nueva Guinea para parir, mientras que los machos se encuentran principalmente como residentes sobre la plataforma continental. Además de la migración transversal de la plataforma, se han registrado migraciones a lo largo de la plataforma en escalas de cientos a miles de kilómetros en Sudáfrica (</w:t>
      </w:r>
      <w:proofErr w:type="spellStart"/>
      <w:r w:rsidRPr="001A65DF">
        <w:rPr>
          <w:rFonts w:eastAsia="Arial" w:cs="Arial"/>
          <w:lang w:val="es-ES" w:eastAsia="en-GB"/>
        </w:rPr>
        <w:t>Diemer</w:t>
      </w:r>
      <w:proofErr w:type="spellEnd"/>
      <w:r w:rsidRPr="001A65DF">
        <w:rPr>
          <w:rFonts w:eastAsia="Arial" w:cs="Arial"/>
          <w:lang w:val="es-ES" w:eastAsia="en-GB"/>
        </w:rPr>
        <w:t xml:space="preserve"> et</w:t>
      </w:r>
      <w:r w:rsidRPr="001A65DF">
        <w:rPr>
          <w:rFonts w:eastAsia="Calibri" w:cs="Arial"/>
          <w:lang w:val="es-ES" w:eastAsia="en-GB"/>
        </w:rPr>
        <w:t xml:space="preserve"> </w:t>
      </w:r>
      <w:sdt>
        <w:sdtPr>
          <w:rPr>
            <w:rFonts w:eastAsia="Calibri" w:cs="Arial"/>
            <w:lang w:val="es-ES" w:eastAsia="en-GB"/>
          </w:rPr>
          <w:tag w:val="goog_rdk_25"/>
          <w:id w:val="-95180991"/>
        </w:sdtPr>
        <w:sdtContent/>
      </w:sdt>
      <w:r w:rsidRPr="001A65DF">
        <w:rPr>
          <w:rFonts w:eastAsia="Arial" w:cs="Arial"/>
          <w:lang w:val="es-ES" w:eastAsia="en-GB"/>
        </w:rPr>
        <w:t>al., 2011), la costa pacífica de México (Hoyos-Padilla et al., 2014), el Mar Rojo (</w:t>
      </w:r>
      <w:proofErr w:type="spellStart"/>
      <w:r w:rsidRPr="001A65DF">
        <w:rPr>
          <w:rFonts w:eastAsia="Arial" w:cs="Arial"/>
          <w:lang w:val="es-ES" w:eastAsia="en-GB"/>
        </w:rPr>
        <w:t>Spaet</w:t>
      </w:r>
      <w:proofErr w:type="spellEnd"/>
      <w:r w:rsidRPr="001A65DF">
        <w:rPr>
          <w:rFonts w:eastAsia="Arial" w:cs="Arial"/>
          <w:lang w:val="es-ES" w:eastAsia="en-GB"/>
        </w:rPr>
        <w:t xml:space="preserve"> et </w:t>
      </w:r>
      <w:sdt>
        <w:sdtPr>
          <w:rPr>
            <w:rFonts w:eastAsia="Calibri" w:cs="Arial"/>
            <w:lang w:val="es-ES" w:eastAsia="en-GB"/>
          </w:rPr>
          <w:tag w:val="goog_rdk_27"/>
          <w:id w:val="-1065941863"/>
        </w:sdtPr>
        <w:sdtContent/>
      </w:sdt>
      <w:r w:rsidRPr="001A65DF">
        <w:rPr>
          <w:rFonts w:eastAsia="Arial" w:cs="Arial"/>
          <w:lang w:val="es-ES" w:eastAsia="en-GB"/>
        </w:rPr>
        <w:t>al, 2017) y el Golfo de México (Wells et al., 2018).</w:t>
      </w:r>
    </w:p>
    <w:p w14:paraId="125DC6ED" w14:textId="77777777" w:rsidR="001A65DF" w:rsidRPr="001A65DF" w:rsidRDefault="001A65DF" w:rsidP="001A65DF">
      <w:pPr>
        <w:spacing w:after="0" w:line="240" w:lineRule="auto"/>
        <w:ind w:hanging="2"/>
        <w:jc w:val="both"/>
        <w:rPr>
          <w:rFonts w:eastAsia="Arial" w:cs="Arial"/>
          <w:lang w:val="es-ES" w:eastAsia="en-GB"/>
        </w:rPr>
      </w:pPr>
    </w:p>
    <w:p w14:paraId="32A53EE6" w14:textId="698F2E09" w:rsidR="001A65DF" w:rsidRPr="001A65DF" w:rsidRDefault="001A65DF" w:rsidP="001A65DF">
      <w:pPr>
        <w:spacing w:after="0" w:line="240" w:lineRule="auto"/>
        <w:ind w:hanging="2"/>
        <w:jc w:val="both"/>
        <w:rPr>
          <w:rFonts w:eastAsia="Arial" w:cs="Arial"/>
          <w:lang w:val="es-ES" w:eastAsia="en-GB"/>
        </w:rPr>
      </w:pPr>
      <w:r w:rsidRPr="001A65DF">
        <w:rPr>
          <w:rFonts w:eastAsia="Arial" w:cs="Arial"/>
          <w:lang w:val="es-ES" w:eastAsia="en-GB"/>
        </w:rPr>
        <w:t xml:space="preserve">Los movimientos relacionados con la edad de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en el Pacífico Mexicano sugieren que las hembras utilizan hábitats muy variables a lo largo de su vida, mientras que los machos alternan entre dos patrones migratorios, costero o pelágico, permaneciendo cerca de la costa durante toda su vida o migrando mar adentro para luego regresar a hábitats costeros (</w:t>
      </w:r>
      <w:proofErr w:type="spellStart"/>
      <w:r w:rsidRPr="001A65DF">
        <w:rPr>
          <w:rFonts w:eastAsia="Arial" w:cs="Arial"/>
          <w:lang w:val="es-ES" w:eastAsia="en-GB"/>
        </w:rPr>
        <w:t>Coiraton</w:t>
      </w:r>
      <w:proofErr w:type="spellEnd"/>
      <w:r w:rsidRPr="001A65DF">
        <w:rPr>
          <w:rFonts w:eastAsia="Arial" w:cs="Arial"/>
          <w:lang w:val="es-ES" w:eastAsia="en-GB"/>
        </w:rPr>
        <w:t xml:space="preserve"> et al., 2020).</w:t>
      </w:r>
    </w:p>
    <w:p w14:paraId="086ADE5E" w14:textId="77777777" w:rsidR="001A65DF" w:rsidRPr="001A65DF" w:rsidRDefault="001A65DF" w:rsidP="001A65DF">
      <w:pPr>
        <w:spacing w:after="0" w:line="240" w:lineRule="auto"/>
        <w:ind w:hanging="2"/>
        <w:jc w:val="both"/>
        <w:rPr>
          <w:rFonts w:eastAsia="Arial" w:cs="Arial"/>
          <w:lang w:val="es-ES" w:eastAsia="en-GB"/>
        </w:rPr>
      </w:pPr>
    </w:p>
    <w:p w14:paraId="06E16357" w14:textId="77777777" w:rsidR="001A65DF" w:rsidRPr="001A65DF" w:rsidRDefault="001A65DF" w:rsidP="001A65DF">
      <w:pPr>
        <w:spacing w:after="0" w:line="240" w:lineRule="auto"/>
        <w:ind w:hanging="2"/>
        <w:jc w:val="both"/>
        <w:rPr>
          <w:rFonts w:eastAsia="Arial" w:cs="Arial"/>
          <w:lang w:val="es-ES" w:eastAsia="en-GB"/>
        </w:rPr>
      </w:pPr>
      <w:r w:rsidRPr="001A65DF">
        <w:rPr>
          <w:rFonts w:eastAsia="Arial" w:cs="Arial"/>
          <w:lang w:val="es-ES" w:eastAsia="en-GB"/>
        </w:rPr>
        <w:t xml:space="preserve">En el Indo-Pacífico, una evaluación de la estructura poblacional y la conectividad de S. </w:t>
      </w:r>
      <w:proofErr w:type="spellStart"/>
      <w:r w:rsidRPr="001A65DF">
        <w:rPr>
          <w:rFonts w:eastAsia="Arial" w:cs="Arial"/>
          <w:lang w:val="es-ES" w:eastAsia="en-GB"/>
        </w:rPr>
        <w:t>lewini</w:t>
      </w:r>
      <w:proofErr w:type="spellEnd"/>
      <w:r w:rsidRPr="001A65DF">
        <w:rPr>
          <w:rFonts w:eastAsia="Arial" w:cs="Arial"/>
          <w:lang w:val="es-ES" w:eastAsia="en-GB"/>
        </w:rPr>
        <w:t xml:space="preserve"> a través del norte de Australia, Indonesia y Papúa Nueva Guinea (PNG) reveló segregaciones por sexo y tamaño, con poblaciones australianas dominadas por juveniles y machos adultos pequeños, mientras que las poblaciones de Indonesia y PNG incluían hembras adultas grandes. La evaluación incorporó datos genéticos y de marcaje para producir modelos conceptuales de la estructura de stock y los movimientos. Esta estructura poblacional sugiere que una proporción de hembras adultas podría migrar desde Australia hacia Indonesia y PNG, pero regresar para dar a luz a sus crías en áreas de crianza en las zonas costeras del norte de Australia (Yates et al., 2015a, 2015b). Existe evidencia genética de mezcla entre las poblaciones australianas e indonesias. Esta evidencia no descarta la posibilidad de que las hembras adultas de tiburón martillo moteado migren regularmente hacia el norte desde Australia hacia Indonesia y PNG (Chin et al., 2017).</w:t>
      </w:r>
    </w:p>
    <w:p w14:paraId="0FACB402" w14:textId="77777777" w:rsidR="001A65DF" w:rsidRPr="001A65DF" w:rsidRDefault="001A65DF" w:rsidP="001A65DF">
      <w:pPr>
        <w:spacing w:after="0" w:line="240" w:lineRule="auto"/>
        <w:ind w:hanging="2"/>
        <w:jc w:val="both"/>
        <w:rPr>
          <w:rFonts w:eastAsia="Arial" w:cs="Arial"/>
          <w:lang w:val="es-ES" w:eastAsia="en-GB"/>
        </w:rPr>
      </w:pPr>
    </w:p>
    <w:p w14:paraId="6F827B6D" w14:textId="77777777" w:rsidR="001A65DF" w:rsidRPr="001A65DF" w:rsidRDefault="001A65DF" w:rsidP="001A65DF">
      <w:pPr>
        <w:spacing w:after="0" w:line="240" w:lineRule="auto"/>
        <w:ind w:hanging="2"/>
        <w:jc w:val="both"/>
        <w:rPr>
          <w:rFonts w:eastAsia="Arial" w:cs="Arial"/>
          <w:lang w:val="es-ES" w:eastAsia="en-GB"/>
        </w:rPr>
      </w:pPr>
      <w:r w:rsidRPr="001A65DF">
        <w:rPr>
          <w:rFonts w:eastAsia="Arial" w:cs="Arial"/>
          <w:lang w:val="es-ES" w:eastAsia="en-GB"/>
        </w:rPr>
        <w:t xml:space="preserve">Los análisis genéticos que utilizan tanto microsatélites nucleares heredados biparentalmente como secuencias de la región control mitocondrial heredada materna en adultos de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muestran de manera consistente la existencia de al menos tres linajes evolutivos distintos de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correspondientes a los tres principales océanos del mundo, destacando la necesidad de una conservación específica para cada linaje evolutivo único en cada océano (</w:t>
      </w:r>
      <w:proofErr w:type="spellStart"/>
      <w:r w:rsidRPr="001A65DF">
        <w:rPr>
          <w:rFonts w:eastAsia="Arial" w:cs="Arial"/>
          <w:lang w:val="es-ES" w:eastAsia="en-GB"/>
        </w:rPr>
        <w:t>Harned</w:t>
      </w:r>
      <w:proofErr w:type="spellEnd"/>
      <w:r w:rsidRPr="001A65DF">
        <w:rPr>
          <w:rFonts w:eastAsia="Arial" w:cs="Arial"/>
          <w:lang w:val="es-ES" w:eastAsia="en-GB"/>
        </w:rPr>
        <w:t xml:space="preserve"> et al., 2022). Además, evaluaciones poblacionales basadas en múltiples marcadores (usando microsatélites nucleares, </w:t>
      </w:r>
      <w:proofErr w:type="spellStart"/>
      <w:r w:rsidRPr="001A65DF">
        <w:rPr>
          <w:rFonts w:eastAsia="Arial" w:cs="Arial"/>
          <w:lang w:val="es-ES" w:eastAsia="en-GB"/>
        </w:rPr>
        <w:t>SNPs</w:t>
      </w:r>
      <w:proofErr w:type="spellEnd"/>
      <w:r w:rsidRPr="001A65DF">
        <w:rPr>
          <w:rFonts w:eastAsia="Arial" w:cs="Arial"/>
          <w:lang w:val="es-ES" w:eastAsia="en-GB"/>
        </w:rPr>
        <w:t xml:space="preserve"> y secuencias mitocondriales) de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muestreados en todo el Indo-Pacífico muestran una diferenciación clara a nivel poblacional entre tiburones del Océano Índico Occidental (tiburones de Seychelles), el Indo-Pacífico central (tiburones de Australia, Papúa Nueva Guinea, </w:t>
      </w:r>
      <w:proofErr w:type="spellStart"/>
      <w:r w:rsidRPr="001A65DF">
        <w:rPr>
          <w:rFonts w:eastAsia="Arial" w:cs="Arial"/>
          <w:lang w:val="es-ES" w:eastAsia="en-GB"/>
        </w:rPr>
        <w:t>Fiji</w:t>
      </w:r>
      <w:proofErr w:type="spellEnd"/>
      <w:r w:rsidRPr="001A65DF">
        <w:rPr>
          <w:rFonts w:eastAsia="Arial" w:cs="Arial"/>
          <w:lang w:val="es-ES" w:eastAsia="en-GB"/>
        </w:rPr>
        <w:t xml:space="preserve">, Filipinas, Taiwán), el Pacífico Central (tiburones de </w:t>
      </w:r>
      <w:proofErr w:type="spellStart"/>
      <w:r w:rsidRPr="001A65DF">
        <w:rPr>
          <w:rFonts w:eastAsia="Arial" w:cs="Arial"/>
          <w:lang w:val="es-ES" w:eastAsia="en-GB"/>
        </w:rPr>
        <w:t>Hawáii</w:t>
      </w:r>
      <w:proofErr w:type="spellEnd"/>
      <w:r w:rsidRPr="001A65DF">
        <w:rPr>
          <w:rFonts w:eastAsia="Arial" w:cs="Arial"/>
          <w:lang w:val="es-ES" w:eastAsia="en-GB"/>
        </w:rPr>
        <w:t xml:space="preserve">) y el Pacífico Oriental (tiburones del Golfo de California); (Green et al.,2022).). Ambos estudios indican que los machos de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no realizan migraciones de larga distancia a través del océano abierto para reproducirse.</w:t>
      </w:r>
    </w:p>
    <w:p w14:paraId="7BC60878" w14:textId="77777777" w:rsidR="001A65DF" w:rsidRPr="001A65DF" w:rsidRDefault="001A65DF" w:rsidP="001A65DF">
      <w:pPr>
        <w:spacing w:after="0" w:line="240" w:lineRule="auto"/>
        <w:ind w:hanging="2"/>
        <w:jc w:val="both"/>
        <w:rPr>
          <w:rFonts w:eastAsia="Arial" w:cs="Arial"/>
          <w:lang w:val="es-ES" w:eastAsia="en-GB"/>
        </w:rPr>
      </w:pPr>
    </w:p>
    <w:p w14:paraId="773FD7CE" w14:textId="77777777" w:rsidR="001A65DF" w:rsidRPr="001A65DF" w:rsidRDefault="001A65DF" w:rsidP="001A65DF">
      <w:pPr>
        <w:spacing w:after="0" w:line="240" w:lineRule="auto"/>
        <w:ind w:hanging="2"/>
        <w:jc w:val="both"/>
        <w:rPr>
          <w:rFonts w:eastAsia="Arial" w:cs="Arial"/>
          <w:lang w:val="es-ES" w:eastAsia="en-GB"/>
        </w:rPr>
      </w:pPr>
      <w:r w:rsidRPr="001A65DF">
        <w:rPr>
          <w:rFonts w:eastAsia="Arial" w:cs="Arial"/>
          <w:lang w:val="es-ES" w:eastAsia="en-GB"/>
        </w:rPr>
        <w:t xml:space="preserve">También existe evidencia sólida de diferenciación poblacional basada en ADN mitocondrial en algunos casos a distancias mucho más cortas (Daly-Engel et al., 2012; Rangel-Morales, 2022), lo que sugiere que las hembras de esta especie demuestran </w:t>
      </w:r>
      <w:proofErr w:type="spellStart"/>
      <w:r w:rsidRPr="001A65DF">
        <w:rPr>
          <w:rFonts w:eastAsia="Arial" w:cs="Arial"/>
          <w:lang w:val="es-ES" w:eastAsia="en-GB"/>
        </w:rPr>
        <w:t>filopatría</w:t>
      </w:r>
      <w:proofErr w:type="spellEnd"/>
      <w:r w:rsidRPr="001A65DF">
        <w:rPr>
          <w:rFonts w:eastAsia="Arial" w:cs="Arial"/>
          <w:lang w:val="es-ES" w:eastAsia="en-GB"/>
        </w:rPr>
        <w:t xml:space="preserve"> reproductiva, creando múltiples poblaciones genéticas matrilineales en partes de su distribución. </w:t>
      </w:r>
    </w:p>
    <w:p w14:paraId="6746EF8C" w14:textId="77777777" w:rsidR="001A65DF" w:rsidRPr="001A65DF" w:rsidRDefault="001A65DF" w:rsidP="001A65DF">
      <w:pPr>
        <w:spacing w:after="0" w:line="240" w:lineRule="auto"/>
        <w:ind w:hanging="2"/>
        <w:jc w:val="both"/>
        <w:rPr>
          <w:rFonts w:eastAsia="Arial" w:cs="Arial"/>
          <w:lang w:val="es-ES" w:eastAsia="en-GB"/>
        </w:rPr>
      </w:pPr>
    </w:p>
    <w:p w14:paraId="2760B57D" w14:textId="77777777" w:rsidR="001A65DF" w:rsidRPr="001A65DF" w:rsidRDefault="001A65DF" w:rsidP="001A65DF">
      <w:pPr>
        <w:spacing w:after="0" w:line="240" w:lineRule="auto"/>
        <w:ind w:hanging="2"/>
        <w:jc w:val="both"/>
        <w:rPr>
          <w:rFonts w:eastAsia="Arial" w:cs="Arial"/>
          <w:lang w:val="es-ES" w:eastAsia="en-GB"/>
        </w:rPr>
      </w:pPr>
      <w:r w:rsidRPr="001A65DF">
        <w:rPr>
          <w:rFonts w:eastAsia="Arial" w:cs="Arial"/>
          <w:lang w:val="es-ES" w:eastAsia="en-GB"/>
        </w:rPr>
        <w:t xml:space="preserve">Estos estudios genéticos han identificado múltiples poblaciones genéticas distintas y al menos tres linajes evolutivos de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i/>
          <w:iCs/>
          <w:lang w:val="es-ES" w:eastAsia="en-GB"/>
        </w:rPr>
        <w:t>,</w:t>
      </w:r>
      <w:r w:rsidRPr="001A65DF">
        <w:rPr>
          <w:rFonts w:eastAsia="Arial" w:cs="Arial"/>
          <w:lang w:val="es-ES" w:eastAsia="en-GB"/>
        </w:rPr>
        <w:t xml:space="preserve"> lo que indica que esta especie requiere esfuerzos de conservación coordinados a lo largo de su distribución global para preservar su diversidad genética y su potencial evolutivo.</w:t>
      </w:r>
    </w:p>
    <w:p w14:paraId="441F37E7" w14:textId="77777777" w:rsidR="001A65DF" w:rsidRPr="001A65DF" w:rsidRDefault="001A65DF" w:rsidP="001A65DF">
      <w:pPr>
        <w:spacing w:after="0" w:line="240" w:lineRule="auto"/>
        <w:ind w:hanging="2"/>
        <w:jc w:val="both"/>
        <w:rPr>
          <w:rFonts w:eastAsia="Arial" w:cs="Arial"/>
          <w:lang w:val="es-ES" w:eastAsia="en-GB"/>
        </w:rPr>
      </w:pPr>
    </w:p>
    <w:p w14:paraId="7CB07B4C" w14:textId="77777777" w:rsidR="001A65DF" w:rsidRPr="001A65DF" w:rsidRDefault="001A65DF" w:rsidP="001A65DF">
      <w:pPr>
        <w:spacing w:after="0" w:line="240" w:lineRule="auto"/>
        <w:ind w:hanging="2"/>
        <w:jc w:val="both"/>
        <w:rPr>
          <w:rFonts w:eastAsia="Arial" w:cs="Arial"/>
          <w:lang w:val="es-ES" w:eastAsia="en-GB"/>
        </w:rPr>
      </w:pPr>
      <w:r w:rsidRPr="001A65DF">
        <w:rPr>
          <w:rFonts w:eastAsia="Arial" w:cs="Arial"/>
          <w:lang w:val="es-ES" w:eastAsia="en-GB"/>
        </w:rPr>
        <w:t xml:space="preserve">Los patrones de movimiento de </w:t>
      </w:r>
      <w:proofErr w:type="spellStart"/>
      <w:r w:rsidRPr="001A65DF">
        <w:rPr>
          <w:rFonts w:eastAsia="Arial" w:cs="Arial"/>
          <w:lang w:val="es-ES" w:eastAsia="en-GB"/>
        </w:rPr>
        <w:t>Sphyrna</w:t>
      </w:r>
      <w:proofErr w:type="spellEnd"/>
      <w:r w:rsidRPr="001A65DF">
        <w:rPr>
          <w:rFonts w:eastAsia="Arial" w:cs="Arial"/>
          <w:lang w:val="es-ES" w:eastAsia="en-GB"/>
        </w:rPr>
        <w:t xml:space="preserve"> </w:t>
      </w:r>
      <w:proofErr w:type="spellStart"/>
      <w:r w:rsidRPr="001A65DF">
        <w:rPr>
          <w:rFonts w:eastAsia="Arial" w:cs="Arial"/>
          <w:lang w:val="es-ES" w:eastAsia="en-GB"/>
        </w:rPr>
        <w:t>lewini</w:t>
      </w:r>
      <w:proofErr w:type="spellEnd"/>
      <w:r w:rsidRPr="001A65DF">
        <w:rPr>
          <w:rFonts w:eastAsia="Arial" w:cs="Arial"/>
          <w:lang w:val="es-ES" w:eastAsia="en-GB"/>
        </w:rPr>
        <w:t xml:space="preserve"> en el Atlántico Suroccidental, que abarca las costas de Brasil, Uruguay y Argentina, se caracterizan por cambios ontogenéticos distintivos: migraciones directamente relacionadas con la etapa de vida del tiburón. Estos movimientos implican cambios predecibles en latitud, profundidad y uso del hábitat, lo que resalta la necesidad de una gestión cooperativa regional. La subpoblación exhibe movimiento entre aguas más cálidas del norte (para reproducción/cría) y aguas más frías del sur, probablemente extendiéndose hasta la costa de Uruguay y el norte de Argentina durante las temporadas de alimentación (</w:t>
      </w:r>
      <w:proofErr w:type="spellStart"/>
      <w:r w:rsidRPr="001A65DF">
        <w:rPr>
          <w:rFonts w:eastAsia="Arial" w:cs="Arial"/>
          <w:lang w:val="es-ES" w:eastAsia="en-GB"/>
        </w:rPr>
        <w:t>Kotas</w:t>
      </w:r>
      <w:proofErr w:type="spellEnd"/>
      <w:r w:rsidRPr="001A65DF">
        <w:rPr>
          <w:rFonts w:eastAsia="Arial" w:cs="Arial"/>
          <w:lang w:val="es-ES" w:eastAsia="en-GB"/>
        </w:rPr>
        <w:t xml:space="preserve"> et al., 2011, 2014; </w:t>
      </w:r>
      <w:proofErr w:type="spellStart"/>
      <w:r w:rsidRPr="001A65DF">
        <w:rPr>
          <w:rFonts w:eastAsia="Arial" w:cs="Arial"/>
          <w:lang w:val="es-ES" w:eastAsia="en-GB"/>
        </w:rPr>
        <w:t>Rigby</w:t>
      </w:r>
      <w:proofErr w:type="spellEnd"/>
      <w:r w:rsidRPr="001A65DF">
        <w:rPr>
          <w:rFonts w:eastAsia="Arial" w:cs="Arial"/>
          <w:lang w:val="es-ES" w:eastAsia="en-GB"/>
        </w:rPr>
        <w:t xml:space="preserve"> et al., 2019).</w:t>
      </w:r>
    </w:p>
    <w:p w14:paraId="1976FF68" w14:textId="77777777" w:rsidR="001A65DF" w:rsidRPr="001A65DF" w:rsidRDefault="001A65DF" w:rsidP="001A65DF">
      <w:pPr>
        <w:spacing w:after="0" w:line="240" w:lineRule="auto"/>
        <w:ind w:hanging="2"/>
        <w:jc w:val="both"/>
        <w:rPr>
          <w:rFonts w:eastAsia="Arial" w:cs="Arial"/>
          <w:lang w:val="es-ES" w:eastAsia="en-GB"/>
        </w:rPr>
      </w:pPr>
    </w:p>
    <w:p w14:paraId="053108BC"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3.2 Proporción de la población que migra y por qué esa es una proporción significativa</w:t>
      </w:r>
    </w:p>
    <w:p w14:paraId="4528C081" w14:textId="77777777" w:rsidR="001A65DF" w:rsidRPr="001A65DF" w:rsidRDefault="001A65DF" w:rsidP="001A65DF">
      <w:pPr>
        <w:spacing w:after="0" w:line="240" w:lineRule="auto"/>
        <w:jc w:val="both"/>
        <w:rPr>
          <w:rFonts w:eastAsia="Arial" w:cs="Arial"/>
          <w:lang w:val="es-ES" w:eastAsia="en-GB"/>
        </w:rPr>
      </w:pPr>
    </w:p>
    <w:p w14:paraId="476DF525"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El ciclo de vida de los tiburones martillo común puede caracterizarse por al menos dos migraciones ontogenéticas: 1) Los juveniles de S. </w:t>
      </w:r>
      <w:proofErr w:type="spellStart"/>
      <w:r w:rsidRPr="001A65DF">
        <w:rPr>
          <w:rFonts w:eastAsia="Arial" w:cs="Arial"/>
          <w:lang w:val="es-ES" w:eastAsia="en-GB"/>
        </w:rPr>
        <w:t>lewini</w:t>
      </w:r>
      <w:proofErr w:type="spellEnd"/>
      <w:r w:rsidRPr="001A65DF">
        <w:rPr>
          <w:rFonts w:eastAsia="Arial" w:cs="Arial"/>
          <w:lang w:val="es-ES" w:eastAsia="en-GB"/>
        </w:rPr>
        <w:t xml:space="preserve"> permanecen en zonas de crianza costeras durante los primeros años de vida, antes de migrar a hábitats de adultos en aguas abiertas; 2) Las hembras maduras realizan migraciones estacionales para parir, entre sitios de agregación y apareamiento en aguas abiertas, y las zonas de crianza costeras. Por ejemplo, veintiséis tiburones martillo comunes embarazadas marcadas con transmisores satelitales en las Islas Galápagos (Ecuador) fueron registradas realizando migraciones </w:t>
      </w:r>
      <w:proofErr w:type="spellStart"/>
      <w:r w:rsidRPr="001A65DF">
        <w:rPr>
          <w:rFonts w:eastAsia="Arial" w:cs="Arial"/>
          <w:lang w:val="es-ES" w:eastAsia="en-GB"/>
        </w:rPr>
        <w:t>pars</w:t>
      </w:r>
      <w:proofErr w:type="spellEnd"/>
      <w:r w:rsidRPr="001A65DF">
        <w:rPr>
          <w:rFonts w:eastAsia="Arial" w:cs="Arial"/>
          <w:lang w:val="es-ES" w:eastAsia="en-GB"/>
        </w:rPr>
        <w:t xml:space="preserve"> parir hacia zonas de crianza costeras ubicadas en las costas de México, Costa Rica y Panamá (Figura 4, Salinas-de-León et al., datos no publicados). Hasta la fecha, aún se desconoce si los machos adultos participan en migraciones estacionales específicas.</w:t>
      </w:r>
    </w:p>
    <w:p w14:paraId="606275F0" w14:textId="77777777" w:rsidR="001A65DF" w:rsidRPr="001A65DF" w:rsidRDefault="001A65DF" w:rsidP="001A65DF">
      <w:pPr>
        <w:spacing w:after="0" w:line="240" w:lineRule="auto"/>
        <w:jc w:val="both"/>
        <w:rPr>
          <w:rFonts w:eastAsia="Arial" w:cs="Arial"/>
          <w:lang w:val="es-ES" w:eastAsia="en-GB"/>
        </w:rPr>
      </w:pPr>
    </w:p>
    <w:p w14:paraId="3C536ECD"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En el Océano Atlántico Suroccidental, los neonatos y los juveniles de menores tallas utilizan zonas costeras poco profundas, cálidas y altamente productivas como zonas de crianza esenciales (</w:t>
      </w:r>
      <w:proofErr w:type="spellStart"/>
      <w:r w:rsidRPr="001A65DF">
        <w:rPr>
          <w:rFonts w:eastAsia="Arial" w:cs="Arial"/>
          <w:lang w:val="es-ES" w:eastAsia="en-GB"/>
        </w:rPr>
        <w:t>Kotas</w:t>
      </w:r>
      <w:proofErr w:type="spellEnd"/>
      <w:r w:rsidRPr="001A65DF">
        <w:rPr>
          <w:rFonts w:eastAsia="Arial" w:cs="Arial"/>
          <w:lang w:val="es-ES" w:eastAsia="en-GB"/>
        </w:rPr>
        <w:t xml:space="preserve"> et al., 1995, 2014). A lo largo de la costa sur de Brasil, se ha informado que la distribución de juveniles ocurre en aguas de hasta 100 m de profundidad. Los juveniles permanecen en estos entornos costeros durante sus primeros años de vida antes de realizar el desplazamiento ontogenético mar adentro. A medida que los tiburones aumentan de tallas, experimentan un cambio importante desde aguas costeras confinadas a hábitats más oceánicos/</w:t>
      </w:r>
      <w:proofErr w:type="gramStart"/>
      <w:r w:rsidRPr="001A65DF">
        <w:rPr>
          <w:rFonts w:eastAsia="Arial" w:cs="Arial"/>
          <w:lang w:val="es-ES" w:eastAsia="en-GB"/>
        </w:rPr>
        <w:t>pelágicos mar</w:t>
      </w:r>
      <w:proofErr w:type="gramEnd"/>
      <w:r w:rsidRPr="001A65DF">
        <w:rPr>
          <w:rFonts w:eastAsia="Arial" w:cs="Arial"/>
          <w:lang w:val="es-ES" w:eastAsia="en-GB"/>
        </w:rPr>
        <w:t xml:space="preserve"> adentro. Los adultos y </w:t>
      </w:r>
      <w:proofErr w:type="spellStart"/>
      <w:r w:rsidRPr="001A65DF">
        <w:rPr>
          <w:rFonts w:eastAsia="Arial" w:cs="Arial"/>
          <w:lang w:val="es-ES" w:eastAsia="en-GB"/>
        </w:rPr>
        <w:t>subadultos</w:t>
      </w:r>
      <w:proofErr w:type="spellEnd"/>
      <w:r w:rsidRPr="001A65DF">
        <w:rPr>
          <w:rFonts w:eastAsia="Arial" w:cs="Arial"/>
          <w:lang w:val="es-ES" w:eastAsia="en-GB"/>
        </w:rPr>
        <w:t xml:space="preserve"> realizan migraciones latitudinales estacionales a través de las Zonas Económicas Exclusivas (ZEE) de los países del Sudoeste de Australia, a menudo asociadas con cambios estacionales de temperatura y eventos reproductivos.</w:t>
      </w:r>
    </w:p>
    <w:p w14:paraId="67CE768D" w14:textId="77777777" w:rsidR="001A65DF" w:rsidRPr="001A65DF" w:rsidRDefault="001A65DF" w:rsidP="001A65DF">
      <w:pPr>
        <w:spacing w:after="0" w:line="240" w:lineRule="auto"/>
        <w:jc w:val="both"/>
        <w:rPr>
          <w:rFonts w:eastAsia="Arial" w:cs="Arial"/>
          <w:lang w:val="es-ES" w:eastAsia="en-GB"/>
        </w:rPr>
      </w:pPr>
    </w:p>
    <w:p w14:paraId="76A6F562" w14:textId="1745ECBE" w:rsid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Al igual que con casi toda la megafauna marina (excluyendo mamíferos), se desconoce el tamaño poblacional global de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así como el número y la proporción de la población que realiza migraciones cíclicas y predecibles. Sin embargo, considerando que los juveniles y </w:t>
      </w:r>
      <w:proofErr w:type="spellStart"/>
      <w:r w:rsidRPr="001A65DF">
        <w:rPr>
          <w:rFonts w:eastAsia="Arial" w:cs="Arial"/>
          <w:lang w:val="es-ES" w:eastAsia="en-GB"/>
        </w:rPr>
        <w:t>sub-adultos</w:t>
      </w:r>
      <w:proofErr w:type="spellEnd"/>
      <w:r w:rsidRPr="001A65DF">
        <w:rPr>
          <w:rFonts w:eastAsia="Arial" w:cs="Arial"/>
          <w:lang w:val="es-ES" w:eastAsia="en-GB"/>
        </w:rPr>
        <w:t xml:space="preserve"> migran entre las zonas de crianza costeras y los ambientes de aguas abiertas, y que los </w:t>
      </w:r>
      <w:proofErr w:type="gramStart"/>
      <w:r w:rsidRPr="001A65DF">
        <w:rPr>
          <w:rFonts w:eastAsia="Arial" w:cs="Arial"/>
          <w:lang w:val="es-ES" w:eastAsia="en-GB"/>
        </w:rPr>
        <w:t>tiburones embarazadas</w:t>
      </w:r>
      <w:proofErr w:type="gramEnd"/>
      <w:r w:rsidRPr="001A65DF">
        <w:rPr>
          <w:rFonts w:eastAsia="Arial" w:cs="Arial"/>
          <w:lang w:val="es-ES" w:eastAsia="en-GB"/>
        </w:rPr>
        <w:t>, realizan migraciones estacionales para parir, queda claro que una proporción significativa de la población participa en migraciones durante una o más etapas de su ciclo de vida.</w:t>
      </w:r>
    </w:p>
    <w:p w14:paraId="60F545B7" w14:textId="77777777" w:rsidR="00267186" w:rsidRPr="001A65DF" w:rsidRDefault="00267186" w:rsidP="001A65DF">
      <w:pPr>
        <w:spacing w:after="0" w:line="240" w:lineRule="auto"/>
        <w:jc w:val="both"/>
        <w:rPr>
          <w:rFonts w:eastAsia="Arial" w:cs="Arial"/>
          <w:lang w:val="es-ES" w:eastAsia="en-GB"/>
        </w:rPr>
      </w:pPr>
    </w:p>
    <w:p w14:paraId="7E209B98" w14:textId="670F5250" w:rsidR="001A65DF" w:rsidRDefault="00267186" w:rsidP="001A65DF">
      <w:pPr>
        <w:spacing w:after="0" w:line="240" w:lineRule="auto"/>
        <w:jc w:val="both"/>
        <w:rPr>
          <w:rFonts w:eastAsia="Arial" w:cs="Arial"/>
          <w:color w:val="000000"/>
          <w:sz w:val="20"/>
          <w:szCs w:val="20"/>
          <w:lang w:val="es-ES" w:eastAsia="en-GB"/>
        </w:rPr>
      </w:pPr>
      <w:r w:rsidRPr="001A65DF">
        <w:rPr>
          <w:rFonts w:eastAsia="Calibri" w:cs="Arial"/>
          <w:noProof/>
          <w:lang w:val="es-ES" w:eastAsia="en-GB"/>
        </w:rPr>
        <w:drawing>
          <wp:anchor distT="0" distB="0" distL="114300" distR="114300" simplePos="0" relativeHeight="251662848" behindDoc="0" locked="0" layoutInCell="1" hidden="0" allowOverlap="1" wp14:anchorId="3821E709" wp14:editId="3446A118">
            <wp:simplePos x="0" y="0"/>
            <wp:positionH relativeFrom="margin">
              <wp:posOffset>0</wp:posOffset>
            </wp:positionH>
            <wp:positionV relativeFrom="margin">
              <wp:posOffset>1863892</wp:posOffset>
            </wp:positionV>
            <wp:extent cx="5829935" cy="2112645"/>
            <wp:effectExtent l="12700" t="12700" r="12065" b="8255"/>
            <wp:wrapSquare wrapText="bothSides"/>
            <wp:docPr id="1262422739" name="image13.png" descr="A map of the world&#10;&#10;AI-generated content may be incorrect."/>
            <wp:cNvGraphicFramePr/>
            <a:graphic xmlns:a="http://schemas.openxmlformats.org/drawingml/2006/main">
              <a:graphicData uri="http://schemas.openxmlformats.org/drawingml/2006/picture">
                <pic:pic xmlns:pic="http://schemas.openxmlformats.org/drawingml/2006/picture">
                  <pic:nvPicPr>
                    <pic:cNvPr id="1262422739" name="image13.png" descr="A map of the world&#10;&#10;AI-generated content may be incorrect."/>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5829935" cy="2112645"/>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r w:rsidR="001A65DF" w:rsidRPr="001A65DF">
        <w:rPr>
          <w:rFonts w:eastAsia="Arial" w:cs="Arial"/>
          <w:b/>
          <w:bCs/>
          <w:color w:val="000000"/>
          <w:sz w:val="20"/>
          <w:szCs w:val="20"/>
          <w:lang w:val="es-ES" w:eastAsia="en-GB"/>
        </w:rPr>
        <w:t>Figura 9.</w:t>
      </w:r>
      <w:r w:rsidR="001A65DF" w:rsidRPr="001A65DF">
        <w:rPr>
          <w:rFonts w:eastAsia="Arial" w:cs="Arial"/>
          <w:color w:val="000000"/>
          <w:sz w:val="20"/>
          <w:szCs w:val="20"/>
          <w:lang w:val="es-ES" w:eastAsia="en-GB"/>
        </w:rPr>
        <w:t xml:space="preserve"> Mapa de distribución global del tiburón martillo común (</w:t>
      </w:r>
      <w:proofErr w:type="spellStart"/>
      <w:r w:rsidR="001A65DF" w:rsidRPr="001A65DF">
        <w:rPr>
          <w:rFonts w:eastAsia="Arial" w:cs="Arial"/>
          <w:i/>
          <w:iCs/>
          <w:color w:val="000000"/>
          <w:sz w:val="20"/>
          <w:szCs w:val="20"/>
          <w:lang w:val="es-ES" w:eastAsia="en-GB"/>
        </w:rPr>
        <w:t>Sphyrna</w:t>
      </w:r>
      <w:proofErr w:type="spellEnd"/>
      <w:r w:rsidR="001A65DF" w:rsidRPr="001A65DF">
        <w:rPr>
          <w:rFonts w:eastAsia="Arial" w:cs="Arial"/>
          <w:i/>
          <w:iCs/>
          <w:color w:val="000000"/>
          <w:sz w:val="20"/>
          <w:szCs w:val="20"/>
          <w:lang w:val="es-ES" w:eastAsia="en-GB"/>
        </w:rPr>
        <w:t xml:space="preserve"> </w:t>
      </w:r>
      <w:proofErr w:type="spellStart"/>
      <w:r w:rsidR="001A65DF" w:rsidRPr="001A65DF">
        <w:rPr>
          <w:rFonts w:eastAsia="Arial" w:cs="Arial"/>
          <w:i/>
          <w:iCs/>
          <w:color w:val="000000"/>
          <w:sz w:val="20"/>
          <w:szCs w:val="20"/>
          <w:lang w:val="es-ES" w:eastAsia="en-GB"/>
        </w:rPr>
        <w:t>lewini</w:t>
      </w:r>
      <w:proofErr w:type="spellEnd"/>
      <w:r w:rsidR="001A65DF" w:rsidRPr="001A65DF">
        <w:rPr>
          <w:rFonts w:eastAsia="Arial" w:cs="Arial"/>
          <w:color w:val="000000"/>
          <w:sz w:val="20"/>
          <w:szCs w:val="20"/>
          <w:lang w:val="es-ES" w:eastAsia="en-GB"/>
        </w:rPr>
        <w:t>) (</w:t>
      </w:r>
      <w:hyperlink r:id="rId24" w:anchor="geographic-range" w:history="1">
        <w:r w:rsidR="001A65DF" w:rsidRPr="001A65DF">
          <w:rPr>
            <w:rFonts w:eastAsia="Arial" w:cs="Arial"/>
            <w:color w:val="000000"/>
            <w:sz w:val="20"/>
            <w:szCs w:val="20"/>
            <w:u w:val="single"/>
            <w:lang w:val="es-ES" w:eastAsia="en-GB"/>
          </w:rPr>
          <w:t>https://www.iucnredlist.org/species/39385/2918526#geographic-range</w:t>
        </w:r>
      </w:hyperlink>
      <w:r w:rsidR="001A65DF" w:rsidRPr="001A65DF">
        <w:rPr>
          <w:rFonts w:eastAsia="Arial" w:cs="Arial"/>
          <w:color w:val="000000"/>
          <w:sz w:val="20"/>
          <w:szCs w:val="20"/>
          <w:lang w:val="es-ES" w:eastAsia="en-GB"/>
        </w:rPr>
        <w:t xml:space="preserve"> ).</w:t>
      </w:r>
    </w:p>
    <w:p w14:paraId="43FE251B" w14:textId="77777777" w:rsidR="001A65DF" w:rsidRPr="001A65DF" w:rsidRDefault="001A65DF" w:rsidP="001A65DF">
      <w:pPr>
        <w:spacing w:after="0" w:line="240" w:lineRule="auto"/>
        <w:jc w:val="both"/>
        <w:rPr>
          <w:rFonts w:eastAsia="Arial" w:cs="Arial"/>
          <w:lang w:val="es-ES" w:eastAsia="en-GB"/>
        </w:rPr>
      </w:pPr>
    </w:p>
    <w:p w14:paraId="07E265A3" w14:textId="77777777" w:rsidR="001A65DF" w:rsidRPr="001A65DF" w:rsidRDefault="001A65DF" w:rsidP="001A65DF">
      <w:pPr>
        <w:spacing w:after="0" w:line="240" w:lineRule="auto"/>
        <w:ind w:left="540" w:hanging="540"/>
        <w:jc w:val="both"/>
        <w:rPr>
          <w:rFonts w:eastAsia="Arial" w:cs="Arial"/>
          <w:b/>
          <w:u w:val="single"/>
          <w:lang w:val="es-ES" w:eastAsia="en-GB"/>
        </w:rPr>
      </w:pPr>
      <w:r w:rsidRPr="001A65DF">
        <w:rPr>
          <w:rFonts w:eastAsia="Arial" w:cs="Arial"/>
          <w:b/>
          <w:lang w:val="es-ES" w:eastAsia="en-GB"/>
        </w:rPr>
        <w:t>4.</w:t>
      </w:r>
      <w:r w:rsidRPr="001A65DF">
        <w:rPr>
          <w:rFonts w:eastAsia="Arial" w:cs="Arial"/>
          <w:b/>
          <w:lang w:val="es-ES" w:eastAsia="en-GB"/>
        </w:rPr>
        <w:tab/>
      </w:r>
      <w:r w:rsidRPr="001A65DF">
        <w:rPr>
          <w:rFonts w:eastAsia="Arial" w:cs="Arial"/>
          <w:b/>
          <w:u w:val="single"/>
          <w:lang w:val="es-ES" w:eastAsia="en-GB"/>
        </w:rPr>
        <w:t>Datos biológicos (aparte de la migración)</w:t>
      </w:r>
    </w:p>
    <w:p w14:paraId="1361D61D" w14:textId="77777777" w:rsidR="001A65DF" w:rsidRPr="001A65DF" w:rsidRDefault="001A65DF" w:rsidP="001A65DF">
      <w:pPr>
        <w:spacing w:after="0" w:line="240" w:lineRule="auto"/>
        <w:ind w:left="540" w:hanging="540"/>
        <w:jc w:val="both"/>
        <w:rPr>
          <w:rFonts w:eastAsia="Arial" w:cs="Arial"/>
          <w:lang w:val="es-ES" w:eastAsia="en-GB"/>
        </w:rPr>
      </w:pPr>
    </w:p>
    <w:p w14:paraId="2B5FDD58"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4.1 Distribución (actual e histórica)</w:t>
      </w:r>
    </w:p>
    <w:p w14:paraId="17BB4566" w14:textId="77777777" w:rsidR="001A65DF" w:rsidRPr="001A65DF" w:rsidRDefault="001A65DF" w:rsidP="001A65DF">
      <w:pPr>
        <w:spacing w:after="0" w:line="240" w:lineRule="auto"/>
        <w:jc w:val="both"/>
        <w:rPr>
          <w:rFonts w:eastAsia="Arial" w:cs="Arial"/>
          <w:lang w:val="es-ES" w:eastAsia="en-GB"/>
        </w:rPr>
      </w:pPr>
    </w:p>
    <w:p w14:paraId="06621806" w14:textId="77777777" w:rsidR="001A65DF" w:rsidRPr="001A65DF" w:rsidRDefault="001A65DF" w:rsidP="001A65DF">
      <w:pPr>
        <w:spacing w:after="0" w:line="240" w:lineRule="auto"/>
        <w:ind w:hanging="2"/>
        <w:jc w:val="both"/>
        <w:rPr>
          <w:rFonts w:eastAsia="Arial" w:cs="Arial"/>
          <w:lang w:val="es-ES" w:eastAsia="en-GB"/>
        </w:rPr>
      </w:pPr>
      <w:r w:rsidRPr="001A65DF">
        <w:rPr>
          <w:rFonts w:eastAsia="Arial" w:cs="Arial"/>
          <w:lang w:val="es-ES" w:eastAsia="en-GB"/>
        </w:rPr>
        <w:t xml:space="preserve">El tiburón martillo común, </w:t>
      </w:r>
      <w:proofErr w:type="spellStart"/>
      <w:r w:rsidRPr="001A65DF">
        <w:rPr>
          <w:rFonts w:eastAsia="Arial" w:cs="Arial"/>
          <w:i/>
          <w:iCs/>
          <w:lang w:val="es-ES" w:eastAsia="en-GB"/>
        </w:rPr>
        <w:t>Sphyrna</w:t>
      </w:r>
      <w:proofErr w:type="spellEnd"/>
      <w:r w:rsidRPr="001A65DF">
        <w:rPr>
          <w:rFonts w:eastAsia="Arial" w:cs="Arial"/>
          <w:i/>
          <w:iCs/>
          <w:lang w:val="es-ES" w:eastAsia="en-GB"/>
        </w:rPr>
        <w:t xml:space="preserve">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(Griffith y Smith, 1834), tiene una distribución </w:t>
      </w:r>
      <w:proofErr w:type="spellStart"/>
      <w:r w:rsidRPr="001A65DF">
        <w:rPr>
          <w:rFonts w:eastAsia="Arial" w:cs="Arial"/>
          <w:lang w:val="es-ES" w:eastAsia="en-GB"/>
        </w:rPr>
        <w:t>circuntropical</w:t>
      </w:r>
      <w:proofErr w:type="spellEnd"/>
      <w:r w:rsidRPr="001A65DF">
        <w:rPr>
          <w:rFonts w:eastAsia="Arial" w:cs="Arial"/>
          <w:lang w:val="es-ES" w:eastAsia="en-GB"/>
        </w:rPr>
        <w:t xml:space="preserve"> a lo largo de ambientes costeros, pelágicos y </w:t>
      </w:r>
      <w:proofErr w:type="spellStart"/>
      <w:r w:rsidRPr="001A65DF">
        <w:rPr>
          <w:rFonts w:eastAsia="Arial" w:cs="Arial"/>
          <w:lang w:val="es-ES" w:eastAsia="en-GB"/>
        </w:rPr>
        <w:t>semi-oceánicos</w:t>
      </w:r>
      <w:proofErr w:type="spellEnd"/>
      <w:r w:rsidRPr="001A65DF">
        <w:rPr>
          <w:rFonts w:eastAsia="Arial" w:cs="Arial"/>
          <w:lang w:val="es-ES" w:eastAsia="en-GB"/>
        </w:rPr>
        <w:t xml:space="preserve">, incluyendo plataformas continentales, taludes y aguas oceánicas profundas, desde la superficie hasta profundidades superiores a 1200 m </w:t>
      </w:r>
      <w:sdt>
        <w:sdtPr>
          <w:rPr>
            <w:rFonts w:eastAsia="Calibri" w:cs="Arial"/>
            <w:lang w:val="es-ES" w:eastAsia="en-GB"/>
          </w:rPr>
          <w:tag w:val="goog_rdk_30"/>
          <w:id w:val="-1961939777"/>
        </w:sdtPr>
        <w:sdtContent/>
      </w:sdt>
      <w:sdt>
        <w:sdtPr>
          <w:rPr>
            <w:rFonts w:eastAsia="Calibri" w:cs="Arial"/>
            <w:lang w:val="es-ES" w:eastAsia="en-GB"/>
          </w:rPr>
          <w:tag w:val="goog_rdk_31"/>
          <w:id w:val="-550071929"/>
        </w:sdtPr>
        <w:sdtContent/>
      </w:sdt>
      <w:r w:rsidRPr="001A65DF">
        <w:rPr>
          <w:rFonts w:eastAsia="Arial" w:cs="Arial"/>
          <w:lang w:val="es-ES" w:eastAsia="en-GB"/>
        </w:rPr>
        <w:t xml:space="preserve">(Anderson </w:t>
      </w:r>
      <w:r w:rsidRPr="001A65DF">
        <w:rPr>
          <w:rFonts w:eastAsia="Arial" w:cs="Arial"/>
          <w:i/>
          <w:lang w:val="es-ES" w:eastAsia="en-GB"/>
        </w:rPr>
        <w:t>et al.</w:t>
      </w:r>
      <w:r w:rsidRPr="001A65DF">
        <w:rPr>
          <w:rFonts w:eastAsia="Arial" w:cs="Arial"/>
          <w:lang w:val="es-ES" w:eastAsia="en-GB"/>
        </w:rPr>
        <w:t xml:space="preserve">, 2022; </w:t>
      </w:r>
      <w:proofErr w:type="spellStart"/>
      <w:r w:rsidRPr="001A65DF">
        <w:rPr>
          <w:rFonts w:eastAsia="Arial" w:cs="Arial"/>
          <w:lang w:val="es-ES" w:eastAsia="en-GB"/>
        </w:rPr>
        <w:t>Compagno</w:t>
      </w:r>
      <w:proofErr w:type="spellEnd"/>
      <w:r w:rsidRPr="001A65DF">
        <w:rPr>
          <w:rFonts w:eastAsia="Arial" w:cs="Arial"/>
          <w:lang w:val="es-ES" w:eastAsia="en-GB"/>
        </w:rPr>
        <w:t xml:space="preserve">, 1984); (Figure 7).  </w:t>
      </w:r>
    </w:p>
    <w:p w14:paraId="7C4059F8" w14:textId="77777777" w:rsidR="001A65DF" w:rsidRPr="001A65DF" w:rsidRDefault="001A65DF" w:rsidP="001A65DF">
      <w:pPr>
        <w:spacing w:after="0" w:line="240" w:lineRule="auto"/>
        <w:jc w:val="both"/>
        <w:rPr>
          <w:rFonts w:eastAsia="Arial" w:cs="Arial"/>
          <w:lang w:val="es-ES" w:eastAsia="en-GB"/>
        </w:rPr>
      </w:pPr>
    </w:p>
    <w:p w14:paraId="4BC87D59" w14:textId="77777777" w:rsidR="001A65DF" w:rsidRPr="001A65DF" w:rsidRDefault="001A65DF" w:rsidP="001A65DF">
      <w:pPr>
        <w:spacing w:after="0" w:line="240" w:lineRule="auto"/>
        <w:jc w:val="both"/>
        <w:rPr>
          <w:rFonts w:eastAsia="Arial" w:cs="Arial"/>
          <w:lang w:val="es-ES" w:eastAsia="en-GB"/>
        </w:rPr>
      </w:pPr>
    </w:p>
    <w:p w14:paraId="657D9BB7" w14:textId="77777777" w:rsidR="001A65DF" w:rsidRPr="001A65DF" w:rsidRDefault="001A65DF" w:rsidP="001A65DF">
      <w:pPr>
        <w:spacing w:after="0" w:line="240" w:lineRule="auto"/>
        <w:jc w:val="both"/>
        <w:rPr>
          <w:rFonts w:eastAsia="Arial" w:cs="Arial"/>
          <w:lang w:val="es-ES" w:eastAsia="en-GB"/>
        </w:rPr>
      </w:pPr>
    </w:p>
    <w:p w14:paraId="1ECBBA43"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En el océano Atlántico occidental,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se encuentra desde el sur de Nueva Jersey (Estados Unidos) hasta Argentina (Ebert et al. 2021), incluyendo el Golfo de México y el Mar Caribe; en el Atlántico oriental, se distribuye desde el Mar Mediterráneo hasta Namibia. </w:t>
      </w:r>
      <w:proofErr w:type="spellStart"/>
      <w:r w:rsidRPr="001A65DF">
        <w:rPr>
          <w:rFonts w:eastAsia="Arial" w:cs="Arial"/>
          <w:lang w:val="es-ES" w:eastAsia="en-GB"/>
        </w:rPr>
        <w:t>Sperone</w:t>
      </w:r>
      <w:proofErr w:type="spellEnd"/>
      <w:r w:rsidRPr="001A65DF">
        <w:rPr>
          <w:rFonts w:eastAsia="Arial" w:cs="Arial"/>
          <w:lang w:val="es-ES" w:eastAsia="en-GB"/>
        </w:rPr>
        <w:t xml:space="preserve"> et al. (2012) documentaron la expansión de rango de la especie hacia el Mediterráneo central, frente al sur de Italia. La distribución en el océano Indo-Pacífico incluye Sudáfrica y el Mar Rojo, a lo largo del océano Índico por ambas costas de India, a lo largo de las costas occidental, norte y oriental de Australia, y se extiende hacia el Pacífico occidental hasta el norte de Japón y hacia el oeste hasta Tahití y Hawái.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también es nativo del océano Pacífico oriental, desde la costa sur de California (EE. UU.) hasta Ecuador y, posiblemente, hasta el sur de Perú (Figura 2).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se encuentra en las siguientes Áreas de Pesca de la FAO: 21, 31, 34, 41, 47, 51, 57, 61, 71, 77 y 87. Los estados de rango para los tiburones martillo comunes se detallan en la Sección 8, categorizados según si el estado de rango es Parte del CMS o no.</w:t>
      </w:r>
    </w:p>
    <w:p w14:paraId="08B55CB5" w14:textId="77777777" w:rsidR="001A65DF" w:rsidRPr="001A65DF" w:rsidRDefault="001A65DF" w:rsidP="001A65DF">
      <w:pPr>
        <w:spacing w:after="0" w:line="240" w:lineRule="auto"/>
        <w:jc w:val="both"/>
        <w:rPr>
          <w:rFonts w:eastAsia="Arial" w:cs="Arial"/>
          <w:lang w:val="es-ES" w:eastAsia="en-GB"/>
        </w:rPr>
      </w:pPr>
    </w:p>
    <w:p w14:paraId="30B2405B"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4.2 Población (estimaciones y tendencias)</w:t>
      </w:r>
    </w:p>
    <w:p w14:paraId="415BAA2A" w14:textId="77777777" w:rsidR="001A65DF" w:rsidRPr="001A65DF" w:rsidRDefault="001A65DF" w:rsidP="001A65DF">
      <w:pPr>
        <w:spacing w:after="0" w:line="240" w:lineRule="auto"/>
        <w:jc w:val="both"/>
        <w:rPr>
          <w:rFonts w:eastAsia="Arial" w:cs="Arial"/>
          <w:lang w:val="es-ES" w:eastAsia="en-GB"/>
        </w:rPr>
      </w:pPr>
    </w:p>
    <w:p w14:paraId="749BF58E"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No existen datos disponibles sobre el tamaño poblacional global o regional de S. </w:t>
      </w:r>
      <w:proofErr w:type="spellStart"/>
      <w:r w:rsidRPr="001A65DF">
        <w:rPr>
          <w:rFonts w:eastAsia="Arial" w:cs="Arial"/>
          <w:lang w:val="es-ES" w:eastAsia="en-GB"/>
        </w:rPr>
        <w:t>lewini</w:t>
      </w:r>
      <w:proofErr w:type="spellEnd"/>
      <w:r w:rsidRPr="001A65DF">
        <w:rPr>
          <w:rFonts w:eastAsia="Arial" w:cs="Arial"/>
          <w:lang w:val="es-ES" w:eastAsia="en-GB"/>
        </w:rPr>
        <w:t xml:space="preserve"> (</w:t>
      </w:r>
      <w:proofErr w:type="spellStart"/>
      <w:r w:rsidRPr="001A65DF">
        <w:rPr>
          <w:rFonts w:eastAsia="Arial" w:cs="Arial"/>
          <w:lang w:val="es-ES" w:eastAsia="en-GB"/>
        </w:rPr>
        <w:t>Rigby</w:t>
      </w:r>
      <w:proofErr w:type="spellEnd"/>
      <w:r w:rsidRPr="001A65DF">
        <w:rPr>
          <w:rFonts w:eastAsia="Arial" w:cs="Arial"/>
          <w:lang w:val="es-ES" w:eastAsia="en-GB"/>
        </w:rPr>
        <w:t xml:space="preserve"> et al., 2019). Se estima que la población global de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ha disminuido drásticamente en todos los océanos en más del 80 % durante los últimos 72 años (tres generaciones); (</w:t>
      </w:r>
      <w:proofErr w:type="spellStart"/>
      <w:r w:rsidRPr="001A65DF">
        <w:rPr>
          <w:rFonts w:eastAsia="Arial" w:cs="Arial"/>
          <w:lang w:val="es-ES" w:eastAsia="en-GB"/>
        </w:rPr>
        <w:t>Rigby</w:t>
      </w:r>
      <w:proofErr w:type="spellEnd"/>
      <w:r w:rsidRPr="001A65DF">
        <w:rPr>
          <w:rFonts w:eastAsia="Arial" w:cs="Arial"/>
          <w:lang w:val="es-ES" w:eastAsia="en-GB"/>
        </w:rPr>
        <w:t xml:space="preserve"> et al., 2019). La línea base previa a la explotación ocurrió hace más de tres generaciones, y la disminución desde entonces ha sido mayor. </w:t>
      </w:r>
      <w:proofErr w:type="spellStart"/>
      <w:r w:rsidRPr="001A65DF">
        <w:rPr>
          <w:rFonts w:eastAsia="Arial" w:cs="Arial"/>
          <w:lang w:val="es-ES" w:eastAsia="en-GB"/>
        </w:rPr>
        <w:t>Rigby</w:t>
      </w:r>
      <w:proofErr w:type="spellEnd"/>
      <w:r w:rsidRPr="001A65DF">
        <w:rPr>
          <w:rFonts w:eastAsia="Arial" w:cs="Arial"/>
          <w:lang w:val="es-ES" w:eastAsia="en-GB"/>
        </w:rPr>
        <w:t xml:space="preserve"> et al. (2019) examinaron cuatro conjuntos de datos sobre tendencias poblacionales: una evaluación de stock en el Atlántico noroeste y el Golfo de México (</w:t>
      </w:r>
      <w:proofErr w:type="spellStart"/>
      <w:r w:rsidRPr="001A65DF">
        <w:rPr>
          <w:rFonts w:eastAsia="Arial" w:cs="Arial"/>
          <w:lang w:val="es-ES" w:eastAsia="en-GB"/>
        </w:rPr>
        <w:t>Jiao</w:t>
      </w:r>
      <w:proofErr w:type="spellEnd"/>
      <w:r w:rsidRPr="001A65DF">
        <w:rPr>
          <w:rFonts w:eastAsia="Arial" w:cs="Arial"/>
          <w:lang w:val="es-ES" w:eastAsia="en-GB"/>
        </w:rPr>
        <w:t xml:space="preserve"> et al., 2011); y datos estandarizados de captura por unidad de esfuerzo (CPUE) en: el Atlántico noroeste y el Golfo de México (J. Carlson y W.B. </w:t>
      </w:r>
      <w:proofErr w:type="spellStart"/>
      <w:r w:rsidRPr="001A65DF">
        <w:rPr>
          <w:rFonts w:eastAsia="Arial" w:cs="Arial"/>
          <w:lang w:val="es-ES" w:eastAsia="en-GB"/>
        </w:rPr>
        <w:t>Driggers</w:t>
      </w:r>
      <w:proofErr w:type="spellEnd"/>
      <w:r w:rsidRPr="001A65DF">
        <w:rPr>
          <w:rFonts w:eastAsia="Arial" w:cs="Arial"/>
          <w:lang w:val="es-ES" w:eastAsia="en-GB"/>
        </w:rPr>
        <w:t>, datos no publicados); el Pacífico sur (</w:t>
      </w:r>
      <w:proofErr w:type="spellStart"/>
      <w:r w:rsidRPr="001A65DF">
        <w:rPr>
          <w:rFonts w:eastAsia="Arial" w:cs="Arial"/>
          <w:lang w:val="es-ES" w:eastAsia="en-GB"/>
        </w:rPr>
        <w:t>Simpfendorfer</w:t>
      </w:r>
      <w:proofErr w:type="spellEnd"/>
      <w:r w:rsidRPr="001A65DF">
        <w:rPr>
          <w:rFonts w:eastAsia="Arial" w:cs="Arial"/>
          <w:lang w:val="es-ES" w:eastAsia="en-GB"/>
        </w:rPr>
        <w:t xml:space="preserve"> et al., 2010); y el océano Índico (Dudley y </w:t>
      </w:r>
      <w:proofErr w:type="spellStart"/>
      <w:r w:rsidRPr="001A65DF">
        <w:rPr>
          <w:rFonts w:eastAsia="Arial" w:cs="Arial"/>
          <w:lang w:val="es-ES" w:eastAsia="en-GB"/>
        </w:rPr>
        <w:t>Simpfendorfer</w:t>
      </w:r>
      <w:proofErr w:type="spellEnd"/>
      <w:r w:rsidRPr="001A65DF">
        <w:rPr>
          <w:rFonts w:eastAsia="Arial" w:cs="Arial"/>
          <w:lang w:val="es-ES" w:eastAsia="en-GB"/>
        </w:rPr>
        <w:t>, 2006).</w:t>
      </w:r>
    </w:p>
    <w:p w14:paraId="1E2842CC" w14:textId="77777777" w:rsidR="001A65DF" w:rsidRPr="001A65DF" w:rsidRDefault="001A65DF" w:rsidP="001A65DF">
      <w:pPr>
        <w:spacing w:after="0" w:line="240" w:lineRule="auto"/>
        <w:ind w:left="540"/>
        <w:jc w:val="both"/>
        <w:rPr>
          <w:rFonts w:eastAsia="Arial" w:cs="Arial"/>
          <w:lang w:val="es-ES" w:eastAsia="en-GB"/>
        </w:rPr>
      </w:pPr>
    </w:p>
    <w:p w14:paraId="0997497B"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La evaluación de stock del Atlántico noroeste y el Golfo de México indicó que la población estaba sobreexplotada (B &lt; </w:t>
      </w:r>
      <w:proofErr w:type="spellStart"/>
      <w:r w:rsidRPr="001A65DF">
        <w:rPr>
          <w:rFonts w:eastAsia="Arial" w:cs="Arial"/>
          <w:lang w:val="es-ES" w:eastAsia="en-GB"/>
        </w:rPr>
        <w:t>Bmsy</w:t>
      </w:r>
      <w:proofErr w:type="spellEnd"/>
      <w:r w:rsidRPr="001A65DF">
        <w:rPr>
          <w:rFonts w:eastAsia="Arial" w:cs="Arial"/>
          <w:lang w:val="es-ES" w:eastAsia="en-GB"/>
        </w:rPr>
        <w:t xml:space="preserve">) desde principios de la década de 1980, con sobrepesca (F &gt; </w:t>
      </w:r>
      <w:proofErr w:type="spellStart"/>
      <w:r w:rsidRPr="001A65DF">
        <w:rPr>
          <w:rFonts w:eastAsia="Arial" w:cs="Arial"/>
          <w:lang w:val="es-ES" w:eastAsia="en-GB"/>
        </w:rPr>
        <w:t>Fmsy</w:t>
      </w:r>
      <w:proofErr w:type="spellEnd"/>
      <w:r w:rsidRPr="001A65DF">
        <w:rPr>
          <w:rFonts w:eastAsia="Arial" w:cs="Arial"/>
          <w:lang w:val="es-ES" w:eastAsia="en-GB"/>
        </w:rPr>
        <w:t>) ocurriendo periódicamente entre 1983 y 2005 (</w:t>
      </w:r>
      <w:proofErr w:type="spellStart"/>
      <w:r w:rsidRPr="001A65DF">
        <w:rPr>
          <w:rFonts w:eastAsia="Arial" w:cs="Arial"/>
          <w:lang w:val="es-ES" w:eastAsia="en-GB"/>
        </w:rPr>
        <w:t>Jiao</w:t>
      </w:r>
      <w:proofErr w:type="spellEnd"/>
      <w:r w:rsidRPr="001A65DF">
        <w:rPr>
          <w:rFonts w:eastAsia="Arial" w:cs="Arial"/>
          <w:lang w:val="es-ES" w:eastAsia="en-GB"/>
        </w:rPr>
        <w:t xml:space="preserve"> et al., 2011). Las disminuciones más pronunciadas ocurrieron antes de 1995; a partir de entonces, el índice de abundancia permaneció estable hasta el final de la serie temporal en 2005. El análisis de tendencias de la abundancia poblacional modelada para 1981–2005 (25 años) arrojó tasas de reducción anual del 7,5 %, consistentes con una reducción media estimada del 99,6 % durante tres generaciones (72,3 años), con la mayor probabilidad de una reducción &gt;80 % durante tres generaciones (</w:t>
      </w:r>
      <w:proofErr w:type="spellStart"/>
      <w:r w:rsidRPr="001A65DF">
        <w:rPr>
          <w:rFonts w:eastAsia="Arial" w:cs="Arial"/>
          <w:lang w:val="es-ES" w:eastAsia="en-GB"/>
        </w:rPr>
        <w:t>Rigby</w:t>
      </w:r>
      <w:proofErr w:type="spellEnd"/>
      <w:r w:rsidRPr="001A65DF">
        <w:rPr>
          <w:rFonts w:eastAsia="Arial" w:cs="Arial"/>
          <w:lang w:val="es-ES" w:eastAsia="en-GB"/>
        </w:rPr>
        <w:t xml:space="preserve"> et al., 2019).</w:t>
      </w:r>
    </w:p>
    <w:p w14:paraId="0BEA9E19" w14:textId="77777777" w:rsidR="001A65DF" w:rsidRPr="001A65DF" w:rsidRDefault="001A65DF" w:rsidP="001A65DF">
      <w:pPr>
        <w:spacing w:after="0" w:line="240" w:lineRule="auto"/>
        <w:jc w:val="both"/>
        <w:rPr>
          <w:rFonts w:eastAsia="Arial" w:cs="Arial"/>
          <w:lang w:val="es-ES" w:eastAsia="en-GB"/>
        </w:rPr>
      </w:pPr>
    </w:p>
    <w:p w14:paraId="42BFD137"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Datos más recientes (1994–2017) del Atlántico noroeste y del Golfo de México, que comprenden dos de las series temporales subyacentes a la evaluación de stock de </w:t>
      </w:r>
      <w:proofErr w:type="spellStart"/>
      <w:r w:rsidRPr="001A65DF">
        <w:rPr>
          <w:rFonts w:eastAsia="Arial" w:cs="Arial"/>
          <w:lang w:val="es-ES" w:eastAsia="en-GB"/>
        </w:rPr>
        <w:t>Jiao</w:t>
      </w:r>
      <w:proofErr w:type="spellEnd"/>
      <w:r w:rsidRPr="001A65DF">
        <w:rPr>
          <w:rFonts w:eastAsia="Arial" w:cs="Arial"/>
          <w:lang w:val="es-ES" w:eastAsia="en-GB"/>
        </w:rPr>
        <w:t xml:space="preserve"> et al. (2011); (J. Carlson y W.B. </w:t>
      </w:r>
      <w:proofErr w:type="spellStart"/>
      <w:r w:rsidRPr="001A65DF">
        <w:rPr>
          <w:rFonts w:eastAsia="Arial" w:cs="Arial"/>
          <w:lang w:val="es-ES" w:eastAsia="en-GB"/>
        </w:rPr>
        <w:t>Driggers</w:t>
      </w:r>
      <w:proofErr w:type="spellEnd"/>
      <w:r w:rsidRPr="001A65DF">
        <w:rPr>
          <w:rFonts w:eastAsia="Arial" w:cs="Arial"/>
          <w:lang w:val="es-ES" w:eastAsia="en-GB"/>
        </w:rPr>
        <w:t xml:space="preserve">, datos no publicados), indican que esta población comenzó a aumentar poco después de la implementación de medidas de manejo. Las encuestas independientes de pesca con palangre de fondo anuales (Grace y </w:t>
      </w:r>
      <w:proofErr w:type="spellStart"/>
      <w:r w:rsidRPr="001A65DF">
        <w:rPr>
          <w:rFonts w:eastAsia="Arial" w:cs="Arial"/>
          <w:lang w:val="es-ES" w:eastAsia="en-GB"/>
        </w:rPr>
        <w:t>Henwood</w:t>
      </w:r>
      <w:proofErr w:type="spellEnd"/>
      <w:r w:rsidRPr="001A65DF">
        <w:rPr>
          <w:rFonts w:eastAsia="Arial" w:cs="Arial"/>
          <w:lang w:val="es-ES" w:eastAsia="en-GB"/>
        </w:rPr>
        <w:t xml:space="preserve">, 1998) se realizaron en todo el norte del Golfo de México y el Atlántico noroeste por el Servicio Nacional de Pesca Marina (NMFS), Centro de Ciencia Pesquera del Sudeste, Laboratorios de Mississippi; conocido como NMFS Mississippi bottom </w:t>
      </w:r>
      <w:proofErr w:type="spellStart"/>
      <w:r w:rsidRPr="001A65DF">
        <w:rPr>
          <w:rFonts w:eastAsia="Arial" w:cs="Arial"/>
          <w:lang w:val="es-ES" w:eastAsia="en-GB"/>
        </w:rPr>
        <w:t>longline</w:t>
      </w:r>
      <w:proofErr w:type="spellEnd"/>
      <w:r w:rsidRPr="001A65DF">
        <w:rPr>
          <w:rFonts w:eastAsia="Arial" w:cs="Arial"/>
          <w:lang w:val="es-ES" w:eastAsia="en-GB"/>
        </w:rPr>
        <w:t xml:space="preserve"> </w:t>
      </w:r>
      <w:proofErr w:type="spellStart"/>
      <w:r w:rsidRPr="001A65DF">
        <w:rPr>
          <w:rFonts w:eastAsia="Arial" w:cs="Arial"/>
          <w:lang w:val="es-ES" w:eastAsia="en-GB"/>
        </w:rPr>
        <w:t>shark</w:t>
      </w:r>
      <w:proofErr w:type="spellEnd"/>
      <w:r w:rsidRPr="001A65DF">
        <w:rPr>
          <w:rFonts w:eastAsia="Arial" w:cs="Arial"/>
          <w:lang w:val="es-ES" w:eastAsia="en-GB"/>
        </w:rPr>
        <w:t xml:space="preserve"> </w:t>
      </w:r>
      <w:proofErr w:type="spellStart"/>
      <w:r w:rsidRPr="001A65DF">
        <w:rPr>
          <w:rFonts w:eastAsia="Arial" w:cs="Arial"/>
          <w:lang w:val="es-ES" w:eastAsia="en-GB"/>
        </w:rPr>
        <w:t>survey</w:t>
      </w:r>
      <w:proofErr w:type="spellEnd"/>
      <w:r w:rsidRPr="001A65DF">
        <w:rPr>
          <w:rFonts w:eastAsia="Arial" w:cs="Arial"/>
          <w:lang w:val="es-ES" w:eastAsia="en-GB"/>
        </w:rPr>
        <w:t xml:space="preserve"> (NMFS-LL-SE, en número de tiburones por cada 10,000 horas de anzuelos; Ingram et al., 2005). Estos datos muestran un fuerte aumento en CPUE a partir de 2010. </w:t>
      </w:r>
    </w:p>
    <w:p w14:paraId="53CA044B" w14:textId="77777777" w:rsidR="001A65DF" w:rsidRPr="001A65DF" w:rsidRDefault="001A65DF" w:rsidP="001A65DF">
      <w:pPr>
        <w:spacing w:after="0" w:line="240" w:lineRule="auto"/>
        <w:jc w:val="both"/>
        <w:rPr>
          <w:rFonts w:eastAsia="Arial" w:cs="Arial"/>
          <w:lang w:val="es-ES" w:eastAsia="en-GB"/>
        </w:rPr>
      </w:pPr>
    </w:p>
    <w:p w14:paraId="08139EDF"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Además, la pesquería comercial de tiburones con palangre de fondo está activa en el océano Atlántico de EE. UU., desde Carolina del Norte hasta Florida y a lo largo del Golfo de México oriental (BLLOP) (Morgan et al., 2009). Ambas series temporales combinadas para 1994–2017 (24 años) demostraron un aumento medio y la mayor probabilidad de incremento durante tres generaciones (72,3 años).</w:t>
      </w:r>
    </w:p>
    <w:p w14:paraId="73C27A85" w14:textId="77777777" w:rsidR="001A65DF" w:rsidRPr="001A65DF" w:rsidRDefault="001A65DF" w:rsidP="001A65DF">
      <w:pPr>
        <w:spacing w:after="0" w:line="240" w:lineRule="auto"/>
        <w:jc w:val="both"/>
        <w:rPr>
          <w:rFonts w:eastAsia="Arial" w:cs="Arial"/>
          <w:lang w:val="es-ES" w:eastAsia="en-GB"/>
        </w:rPr>
      </w:pPr>
    </w:p>
    <w:p w14:paraId="06E33249"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En tercer lugar, el análisis del programa de protección de bañistas con redes del Queensland </w:t>
      </w:r>
      <w:proofErr w:type="spellStart"/>
      <w:r w:rsidRPr="001A65DF">
        <w:rPr>
          <w:rFonts w:eastAsia="Arial" w:cs="Arial"/>
          <w:lang w:val="es-ES" w:eastAsia="en-GB"/>
        </w:rPr>
        <w:t>Shark</w:t>
      </w:r>
      <w:proofErr w:type="spellEnd"/>
      <w:r w:rsidRPr="001A65DF">
        <w:rPr>
          <w:rFonts w:eastAsia="Arial" w:cs="Arial"/>
          <w:lang w:val="es-ES" w:eastAsia="en-GB"/>
        </w:rPr>
        <w:t xml:space="preserve"> Control </w:t>
      </w:r>
      <w:proofErr w:type="spellStart"/>
      <w:r w:rsidRPr="001A65DF">
        <w:rPr>
          <w:rFonts w:eastAsia="Arial" w:cs="Arial"/>
          <w:lang w:val="es-ES" w:eastAsia="en-GB"/>
        </w:rPr>
        <w:t>Program</w:t>
      </w:r>
      <w:proofErr w:type="spellEnd"/>
      <w:r w:rsidRPr="001A65DF">
        <w:rPr>
          <w:rFonts w:eastAsia="Arial" w:cs="Arial"/>
          <w:lang w:val="es-ES" w:eastAsia="en-GB"/>
        </w:rPr>
        <w:t xml:space="preserve"> en el Pacífico Sur para 1964–2004 (41 años) arrojó tasas de reducción anual del 8,4 %, consistentes con una reducción media estimada del 99,8 % durante tres generaciones (72,3 años), con la mayor probabilidad de &gt;80 % de reducción en ese período.</w:t>
      </w:r>
    </w:p>
    <w:p w14:paraId="550CD8A2" w14:textId="77777777" w:rsidR="001A65DF" w:rsidRPr="001A65DF" w:rsidRDefault="001A65DF" w:rsidP="001A65DF">
      <w:pPr>
        <w:spacing w:after="0" w:line="240" w:lineRule="auto"/>
        <w:jc w:val="both"/>
        <w:rPr>
          <w:rFonts w:eastAsia="Arial" w:cs="Arial"/>
          <w:lang w:val="es-ES" w:eastAsia="en-GB"/>
        </w:rPr>
      </w:pPr>
    </w:p>
    <w:p w14:paraId="68DFAEF1"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Por último, un análisis del programa de protección de bañistas de la Natal </w:t>
      </w:r>
      <w:proofErr w:type="spellStart"/>
      <w:r w:rsidRPr="001A65DF">
        <w:rPr>
          <w:rFonts w:eastAsia="Arial" w:cs="Arial"/>
          <w:lang w:val="es-ES" w:eastAsia="en-GB"/>
        </w:rPr>
        <w:t>Sharks</w:t>
      </w:r>
      <w:proofErr w:type="spellEnd"/>
      <w:r w:rsidRPr="001A65DF">
        <w:rPr>
          <w:rFonts w:eastAsia="Arial" w:cs="Arial"/>
          <w:lang w:val="es-ES" w:eastAsia="en-GB"/>
        </w:rPr>
        <w:t xml:space="preserve"> </w:t>
      </w:r>
      <w:proofErr w:type="spellStart"/>
      <w:r w:rsidRPr="001A65DF">
        <w:rPr>
          <w:rFonts w:eastAsia="Arial" w:cs="Arial"/>
          <w:lang w:val="es-ES" w:eastAsia="en-GB"/>
        </w:rPr>
        <w:t>Board</w:t>
      </w:r>
      <w:proofErr w:type="spellEnd"/>
      <w:r w:rsidRPr="001A65DF">
        <w:rPr>
          <w:rFonts w:eastAsia="Arial" w:cs="Arial"/>
          <w:lang w:val="es-ES" w:eastAsia="en-GB"/>
        </w:rPr>
        <w:t xml:space="preserve"> en el océano Índico para 1978–2003 (26 años) arrojó tasas de reducción anual del 4,0 %, consistentes con una reducción media estimada del 93,4 % durante tres generaciones (72,3 años), con la mayor probabilidad de &gt;80 % de reducción en ese período.</w:t>
      </w:r>
    </w:p>
    <w:p w14:paraId="68474990" w14:textId="77777777" w:rsidR="001A65DF" w:rsidRPr="001A65DF" w:rsidRDefault="001A65DF" w:rsidP="001A65DF">
      <w:pPr>
        <w:spacing w:after="0" w:line="240" w:lineRule="auto"/>
        <w:jc w:val="both"/>
        <w:rPr>
          <w:rFonts w:eastAsia="Arial" w:cs="Arial"/>
          <w:lang w:val="es-ES" w:eastAsia="en-GB"/>
        </w:rPr>
      </w:pPr>
    </w:p>
    <w:p w14:paraId="11DDF660"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Además de estos cuatro análisis de tendencias poblacionales, se consideró un análisis reciente de CPUE dependiente de pesquerías con palangre en el Atlántico Sur. Estas series temporales son complejas, reflejando el acceso de diferentes flotas y nacionalidades a lo largo del tiempo, pero las mejores estimaciones de tendencias provienen de la fase B, que abarcó 1998–2008, durante la cual 20 flotas (100 embarcaciones) pescaban atunes, pez espada y tiburones. Durante este período de 10 años, hubo una disminución del 61,7 % en la CPUE de </w:t>
      </w:r>
      <w:proofErr w:type="spellStart"/>
      <w:r w:rsidRPr="001A65DF">
        <w:rPr>
          <w:rFonts w:eastAsia="Arial" w:cs="Arial"/>
          <w:lang w:val="es-ES" w:eastAsia="en-GB"/>
        </w:rPr>
        <w:t>Sphyrna</w:t>
      </w:r>
      <w:proofErr w:type="spellEnd"/>
      <w:r w:rsidRPr="001A65DF">
        <w:rPr>
          <w:rFonts w:eastAsia="Arial" w:cs="Arial"/>
          <w:lang w:val="es-ES" w:eastAsia="en-GB"/>
        </w:rPr>
        <w:t xml:space="preserve"> </w:t>
      </w:r>
      <w:proofErr w:type="spellStart"/>
      <w:r w:rsidRPr="001A65DF">
        <w:rPr>
          <w:rFonts w:eastAsia="Arial" w:cs="Arial"/>
          <w:lang w:val="es-ES" w:eastAsia="en-GB"/>
        </w:rPr>
        <w:t>spp</w:t>
      </w:r>
      <w:proofErr w:type="spellEnd"/>
      <w:r w:rsidRPr="001A65DF">
        <w:rPr>
          <w:rFonts w:eastAsia="Arial" w:cs="Arial"/>
          <w:lang w:val="es-ES" w:eastAsia="en-GB"/>
        </w:rPr>
        <w:t>. (Barreto et al., 2016).</w:t>
      </w:r>
    </w:p>
    <w:p w14:paraId="0B418B48"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En Brasil, considerando que la mayoría de la biomasa de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se encuentra en las regiones Sudeste y Sur, se infirió una disminución del tamaño poblacional superior al 80% durante un período de 76,5 años (equivalente a tres generaciones) a partir de 1962, clasificando a la especie como En Peligro Crítico (CR) (</w:t>
      </w:r>
      <w:proofErr w:type="spellStart"/>
      <w:r w:rsidRPr="001A65DF">
        <w:rPr>
          <w:rFonts w:eastAsia="Arial" w:cs="Arial"/>
          <w:lang w:val="es-ES" w:eastAsia="en-GB"/>
        </w:rPr>
        <w:t>Kotas</w:t>
      </w:r>
      <w:proofErr w:type="spellEnd"/>
      <w:r w:rsidRPr="001A65DF">
        <w:rPr>
          <w:rFonts w:eastAsia="Arial" w:cs="Arial"/>
          <w:lang w:val="es-ES" w:eastAsia="en-GB"/>
        </w:rPr>
        <w:t xml:space="preserve"> et al., 2024).</w:t>
      </w:r>
    </w:p>
    <w:p w14:paraId="6C890ACB" w14:textId="77777777" w:rsidR="001A65DF" w:rsidRPr="001A65DF" w:rsidRDefault="001A65DF" w:rsidP="001A65DF">
      <w:pPr>
        <w:spacing w:after="0" w:line="240" w:lineRule="auto"/>
        <w:jc w:val="both"/>
        <w:rPr>
          <w:rFonts w:eastAsia="Arial" w:cs="Arial"/>
          <w:lang w:val="es-ES" w:eastAsia="en-GB"/>
        </w:rPr>
      </w:pPr>
    </w:p>
    <w:p w14:paraId="606FEC14"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En el Pacífico Tropical Oriental (PTO), los datos a largo plazo de encuentros con buceadores sugieren una reducción del 50 % en avistamientos de tiburón martillo común en la Reserva Marina de </w:t>
      </w:r>
      <w:proofErr w:type="gramStart"/>
      <w:r w:rsidRPr="001A65DF">
        <w:rPr>
          <w:rFonts w:eastAsia="Arial" w:cs="Arial"/>
          <w:lang w:val="es-ES" w:eastAsia="en-GB"/>
        </w:rPr>
        <w:t>Galápagos</w:t>
      </w:r>
      <w:proofErr w:type="gramEnd"/>
      <w:r w:rsidRPr="001A65DF">
        <w:rPr>
          <w:rFonts w:eastAsia="Arial" w:cs="Arial"/>
          <w:lang w:val="es-ES" w:eastAsia="en-GB"/>
        </w:rPr>
        <w:t xml:space="preserve"> (Ecuador) desde los años </w:t>
      </w:r>
      <w:proofErr w:type="spellStart"/>
      <w:r w:rsidRPr="001A65DF">
        <w:rPr>
          <w:rFonts w:eastAsia="Arial" w:cs="Arial"/>
          <w:lang w:val="es-ES" w:eastAsia="en-GB"/>
        </w:rPr>
        <w:t>occhenta</w:t>
      </w:r>
      <w:proofErr w:type="spellEnd"/>
      <w:r w:rsidRPr="001A65DF">
        <w:rPr>
          <w:rFonts w:eastAsia="Arial" w:cs="Arial"/>
          <w:lang w:val="es-ES" w:eastAsia="en-GB"/>
        </w:rPr>
        <w:t xml:space="preserve"> (Peñaherrera et al.,</w:t>
      </w:r>
      <w:r w:rsidRPr="001A65DF">
        <w:rPr>
          <w:rFonts w:eastAsia="Calibri" w:cs="Arial"/>
          <w:lang w:val="es-ES" w:eastAsia="en-GB"/>
        </w:rPr>
        <w:t xml:space="preserve"> </w:t>
      </w:r>
      <w:sdt>
        <w:sdtPr>
          <w:rPr>
            <w:rFonts w:eastAsia="Calibri" w:cs="Arial"/>
            <w:lang w:val="es-ES" w:eastAsia="en-GB"/>
          </w:rPr>
          <w:tag w:val="goog_rdk_33"/>
          <w:id w:val="1957711657"/>
        </w:sdtPr>
        <w:sdtContent/>
      </w:sdt>
      <w:r w:rsidRPr="001A65DF">
        <w:rPr>
          <w:rFonts w:eastAsia="Arial" w:cs="Arial"/>
          <w:lang w:val="es-ES" w:eastAsia="en-GB"/>
        </w:rPr>
        <w:t>2018)) y una reducción del 45 % en avistamientos en el Parque Nacional Isla del Coco (Costa Rica) desde principios de la década de los noventa (White et al., 2015)).</w:t>
      </w:r>
    </w:p>
    <w:p w14:paraId="40C0AF7B" w14:textId="77777777" w:rsidR="001A65DF" w:rsidRPr="001A65DF" w:rsidRDefault="001A65DF" w:rsidP="001A65DF">
      <w:pPr>
        <w:spacing w:after="0" w:line="240" w:lineRule="auto"/>
        <w:jc w:val="both"/>
        <w:rPr>
          <w:rFonts w:eastAsia="Arial" w:cs="Arial"/>
          <w:lang w:val="es-ES" w:eastAsia="en-GB"/>
        </w:rPr>
      </w:pPr>
    </w:p>
    <w:p w14:paraId="3B18D0F5"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En todas las regiones, se estima que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ha sufrido disminuciones pronunciadas, con algunos signos de estabilización y posible recuperación únicamente en el Atlántico noroeste y el Golfo de México, en respuesta a medidas de manejo. Para estimar una tendencia poblacional global, las tendencias estimadas de tres generaciones para cada región se ponderaron según el tamaño relativo de cada región; las dos fuentes de datos del Atlántico se utilizaron para generar dos tendencias globales. Esto resultó en una reducción media de 76,9–97,3 %, con la mayor probabilidad de &gt;80 % de reducción durante tres generaciones (72,3 años; </w:t>
      </w:r>
      <w:proofErr w:type="spellStart"/>
      <w:r w:rsidRPr="001A65DF">
        <w:rPr>
          <w:rFonts w:eastAsia="Arial" w:cs="Arial"/>
          <w:lang w:val="es-ES" w:eastAsia="en-GB"/>
        </w:rPr>
        <w:t>Rigby</w:t>
      </w:r>
      <w:proofErr w:type="spellEnd"/>
      <w:r w:rsidRPr="001A65DF">
        <w:rPr>
          <w:rFonts w:eastAsia="Arial" w:cs="Arial"/>
          <w:lang w:val="es-ES" w:eastAsia="en-GB"/>
        </w:rPr>
        <w:t xml:space="preserve"> et al., 2019).</w:t>
      </w:r>
    </w:p>
    <w:p w14:paraId="42152796" w14:textId="77777777" w:rsidR="001A65DF" w:rsidRPr="001A65DF" w:rsidRDefault="001A65DF" w:rsidP="001A65DF">
      <w:pPr>
        <w:spacing w:after="0" w:line="240" w:lineRule="auto"/>
        <w:jc w:val="both"/>
        <w:rPr>
          <w:rFonts w:eastAsia="Arial" w:cs="Arial"/>
          <w:lang w:val="es-ES" w:eastAsia="en-GB"/>
        </w:rPr>
      </w:pPr>
    </w:p>
    <w:p w14:paraId="409C8480"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4.3 Hábitat (descripción breve y tendencias)</w:t>
      </w:r>
    </w:p>
    <w:p w14:paraId="4F9408A0" w14:textId="77777777" w:rsidR="001A65DF" w:rsidRPr="001A65DF" w:rsidRDefault="001A65DF" w:rsidP="001A65DF">
      <w:pPr>
        <w:spacing w:after="0" w:line="240" w:lineRule="auto"/>
        <w:jc w:val="both"/>
        <w:rPr>
          <w:rFonts w:eastAsia="Arial" w:cs="Arial"/>
          <w:iCs/>
          <w:color w:val="000000"/>
          <w:lang w:val="es-ES" w:eastAsia="en-GB"/>
        </w:rPr>
      </w:pPr>
    </w:p>
    <w:p w14:paraId="7D1BD211" w14:textId="77777777" w:rsidR="001A65DF" w:rsidRPr="001A65DF" w:rsidRDefault="001A65DF" w:rsidP="001A65DF">
      <w:pPr>
        <w:spacing w:after="0" w:line="240" w:lineRule="auto"/>
        <w:jc w:val="both"/>
        <w:rPr>
          <w:rFonts w:eastAsia="Arial" w:cs="Arial"/>
          <w:iCs/>
          <w:color w:val="000000"/>
          <w:lang w:val="es-ES" w:eastAsia="en-GB"/>
        </w:rPr>
      </w:pPr>
      <w:r w:rsidRPr="001A65DF">
        <w:rPr>
          <w:rFonts w:eastAsia="Arial" w:cs="Arial"/>
          <w:i/>
          <w:color w:val="000000"/>
          <w:lang w:val="es-ES" w:eastAsia="en-GB"/>
        </w:rPr>
        <w:t xml:space="preserve">S. </w:t>
      </w:r>
      <w:proofErr w:type="spellStart"/>
      <w:r w:rsidRPr="001A65DF">
        <w:rPr>
          <w:rFonts w:eastAsia="Arial" w:cs="Arial"/>
          <w:i/>
          <w:color w:val="000000"/>
          <w:lang w:val="es-ES" w:eastAsia="en-GB"/>
        </w:rPr>
        <w:t>lewini</w:t>
      </w:r>
      <w:proofErr w:type="spellEnd"/>
      <w:r w:rsidRPr="001A65DF">
        <w:rPr>
          <w:rFonts w:eastAsia="Arial" w:cs="Arial"/>
          <w:iCs/>
          <w:color w:val="000000"/>
          <w:lang w:val="es-ES" w:eastAsia="en-GB"/>
        </w:rPr>
        <w:t xml:space="preserve"> ocupa una amplia variedad de hábitats durante su ciclo de vida, desde zonas costeras poco profundas y estuarios de aguas salobres donde nacen las crías y pasan sus primeros años de vida, hasta ambientes pelágicos de aguas abiertas, incluyendo aguas profundas frente a plataformas continentales e insulares, islas oceánicas y alrededor de montes submarinos (</w:t>
      </w:r>
      <w:proofErr w:type="spellStart"/>
      <w:r w:rsidRPr="001A65DF">
        <w:rPr>
          <w:rFonts w:eastAsia="Arial" w:cs="Arial"/>
          <w:iCs/>
          <w:color w:val="000000"/>
          <w:lang w:val="es-ES" w:eastAsia="en-GB"/>
        </w:rPr>
        <w:t>Klimley</w:t>
      </w:r>
      <w:proofErr w:type="spellEnd"/>
      <w:r w:rsidRPr="001A65DF">
        <w:rPr>
          <w:rFonts w:eastAsia="Arial" w:cs="Arial"/>
          <w:iCs/>
          <w:color w:val="000000"/>
          <w:lang w:val="es-ES" w:eastAsia="en-GB"/>
        </w:rPr>
        <w:t xml:space="preserve"> et al., 2005). Al agregarse en montes submarinos o islas oceánicas, prefieren hábitats en el lado a favor de la corriente y por encima de la termoclina durante el día, donde pueden realizar actividades esenciales como descansar, limpiarse y </w:t>
      </w:r>
      <w:proofErr w:type="spellStart"/>
      <w:r w:rsidRPr="001A65DF">
        <w:rPr>
          <w:rFonts w:eastAsia="Arial" w:cs="Arial"/>
          <w:iCs/>
          <w:color w:val="000000"/>
          <w:lang w:val="es-ES" w:eastAsia="en-GB"/>
        </w:rPr>
        <w:t>termoregular</w:t>
      </w:r>
      <w:proofErr w:type="spellEnd"/>
      <w:r w:rsidRPr="001A65DF">
        <w:rPr>
          <w:rFonts w:eastAsia="Arial" w:cs="Arial"/>
          <w:iCs/>
          <w:color w:val="000000"/>
          <w:lang w:val="es-ES" w:eastAsia="en-GB"/>
        </w:rPr>
        <w:t xml:space="preserve"> (Ketchum et al., 2014; Estupiñán-Montaño et al., 2017). Durante la noche, realizan desplazamientos hacia aguas profundas cercanas, realizando excursiones verticales repetidas que van desde 100 hasta 1.200 m de profundidad, presumiblemente para alimentarse de calamares (Aldana et al., 2020; Bessudo et al., 2011; Hearn et al., 2010; Ketchum et al., 2014; </w:t>
      </w:r>
      <w:proofErr w:type="spellStart"/>
      <w:r w:rsidRPr="001A65DF">
        <w:rPr>
          <w:rFonts w:eastAsia="Arial" w:cs="Arial"/>
          <w:iCs/>
          <w:color w:val="000000"/>
          <w:lang w:val="es-ES" w:eastAsia="en-GB"/>
        </w:rPr>
        <w:t>Klimley</w:t>
      </w:r>
      <w:proofErr w:type="spellEnd"/>
      <w:r w:rsidRPr="001A65DF">
        <w:rPr>
          <w:rFonts w:eastAsia="Arial" w:cs="Arial"/>
          <w:iCs/>
          <w:color w:val="000000"/>
          <w:lang w:val="es-ES" w:eastAsia="en-GB"/>
        </w:rPr>
        <w:t>, 1993).</w:t>
      </w:r>
    </w:p>
    <w:p w14:paraId="2F56BE41" w14:textId="77777777" w:rsidR="001A65DF" w:rsidRPr="001A65DF" w:rsidRDefault="001A65DF" w:rsidP="001A65DF">
      <w:pPr>
        <w:spacing w:after="0" w:line="240" w:lineRule="auto"/>
        <w:jc w:val="both"/>
        <w:rPr>
          <w:rFonts w:eastAsia="Arial" w:cs="Arial"/>
          <w:iCs/>
          <w:color w:val="000000"/>
          <w:lang w:val="es-ES" w:eastAsia="en-GB"/>
        </w:rPr>
      </w:pPr>
    </w:p>
    <w:p w14:paraId="2DCD82A1" w14:textId="77777777" w:rsidR="001A65DF" w:rsidRPr="001A65DF" w:rsidRDefault="001A65DF" w:rsidP="001A65DF">
      <w:pPr>
        <w:spacing w:after="0" w:line="240" w:lineRule="auto"/>
        <w:jc w:val="both"/>
        <w:rPr>
          <w:rFonts w:eastAsia="Arial" w:cs="Arial"/>
          <w:iCs/>
          <w:color w:val="000000"/>
          <w:lang w:val="es-ES" w:eastAsia="en-GB"/>
        </w:rPr>
      </w:pPr>
      <w:r w:rsidRPr="001A65DF">
        <w:rPr>
          <w:rFonts w:eastAsia="Arial" w:cs="Arial"/>
          <w:iCs/>
          <w:color w:val="000000"/>
          <w:lang w:val="es-ES" w:eastAsia="en-GB"/>
        </w:rPr>
        <w:t xml:space="preserve">Las hembras embarazadas migran hacia hábitats costeros poco profundos de crianza, donde paren a crías vivas en estuarios y bahías resguardadas. Los recién nacidos y juveniles permanecen residentes en los criaderos durante los primeros años de vida, aunque las poblaciones de criaderos conectadas por líneas costeras continuas están altamente conectados, con grandes cardúmenes de juveniles que realizan movimientos estacionales de larga distancia a lo largo de la costa, migrando hacia latitudes más altas durante el verano y regresando a medida que la temperatura del agua disminuye (Clarke, 1971; Bass et al., 1975; Stevens y Lyle, 1989; Duncan y </w:t>
      </w:r>
      <w:proofErr w:type="spellStart"/>
      <w:r w:rsidRPr="001A65DF">
        <w:rPr>
          <w:rFonts w:eastAsia="Arial" w:cs="Arial"/>
          <w:iCs/>
          <w:color w:val="000000"/>
          <w:lang w:val="es-ES" w:eastAsia="en-GB"/>
        </w:rPr>
        <w:t>Holland</w:t>
      </w:r>
      <w:proofErr w:type="spellEnd"/>
      <w:r w:rsidRPr="001A65DF">
        <w:rPr>
          <w:rFonts w:eastAsia="Arial" w:cs="Arial"/>
          <w:iCs/>
          <w:color w:val="000000"/>
          <w:lang w:val="es-ES" w:eastAsia="en-GB"/>
        </w:rPr>
        <w:t>, 2006). A medida que maduran, los juveniles se alejan de sus criaderos costeros hacia hábitats pelágicos en mar abierto. Las áreas costeras de crianza están cada vez más amenazadas por el cambio climático, la pesca intensiva y la degradación y pérdida de hábitat debido, entre otros factores, a la contaminación y el desarrollo (</w:t>
      </w:r>
      <w:proofErr w:type="spellStart"/>
      <w:r w:rsidRPr="001A65DF">
        <w:rPr>
          <w:rFonts w:eastAsia="Arial" w:cs="Arial"/>
          <w:iCs/>
          <w:color w:val="000000"/>
          <w:lang w:val="es-ES" w:eastAsia="en-GB"/>
        </w:rPr>
        <w:t>Cerutti</w:t>
      </w:r>
      <w:proofErr w:type="spellEnd"/>
      <w:r w:rsidRPr="001A65DF">
        <w:rPr>
          <w:rFonts w:eastAsia="Arial" w:cs="Arial"/>
          <w:iCs/>
          <w:color w:val="000000"/>
          <w:lang w:val="es-ES" w:eastAsia="en-GB"/>
        </w:rPr>
        <w:t>-Pereyra et al., 2024).</w:t>
      </w:r>
    </w:p>
    <w:p w14:paraId="40192B1D" w14:textId="77777777" w:rsidR="001A65DF" w:rsidRPr="001A65DF" w:rsidRDefault="001A65DF" w:rsidP="001A65DF">
      <w:pPr>
        <w:spacing w:after="0" w:line="240" w:lineRule="auto"/>
        <w:jc w:val="both"/>
        <w:rPr>
          <w:rFonts w:eastAsia="Arial" w:cs="Arial"/>
          <w:lang w:val="es-ES" w:eastAsia="en-GB"/>
        </w:rPr>
      </w:pPr>
    </w:p>
    <w:p w14:paraId="2097BC19"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4.4 Características biológicas</w:t>
      </w:r>
    </w:p>
    <w:p w14:paraId="7817C646" w14:textId="77777777" w:rsidR="001A65DF" w:rsidRPr="001A65DF" w:rsidRDefault="001A65DF" w:rsidP="001A65DF">
      <w:pPr>
        <w:spacing w:after="0" w:line="240" w:lineRule="auto"/>
        <w:ind w:hanging="2"/>
        <w:rPr>
          <w:rFonts w:eastAsia="Arial" w:cs="Arial"/>
          <w:i/>
          <w:color w:val="7030A0"/>
          <w:lang w:val="es-ES" w:eastAsia="en-GB"/>
        </w:rPr>
      </w:pPr>
    </w:p>
    <w:p w14:paraId="431E584D" w14:textId="77777777" w:rsidR="001A65DF" w:rsidRPr="001A65DF" w:rsidRDefault="001A65DF" w:rsidP="001A65DF">
      <w:pPr>
        <w:spacing w:after="0" w:line="240" w:lineRule="auto"/>
        <w:ind w:hanging="2"/>
        <w:jc w:val="both"/>
        <w:rPr>
          <w:rFonts w:eastAsia="Arial" w:cs="Arial"/>
          <w:color w:val="000000"/>
          <w:lang w:val="es-ES" w:eastAsia="en-GB"/>
        </w:rPr>
      </w:pPr>
      <w:r w:rsidRPr="001A65DF">
        <w:rPr>
          <w:rFonts w:eastAsia="Arial" w:cs="Arial"/>
          <w:color w:val="000000"/>
          <w:lang w:val="es-ES" w:eastAsia="en-GB"/>
        </w:rPr>
        <w:t xml:space="preserve">El cuerpo de </w:t>
      </w:r>
      <w:r w:rsidRPr="001A65DF">
        <w:rPr>
          <w:rFonts w:eastAsia="Arial" w:cs="Arial"/>
          <w:i/>
          <w:iCs/>
          <w:color w:val="000000"/>
          <w:lang w:val="es-ES" w:eastAsia="en-GB"/>
        </w:rPr>
        <w:t xml:space="preserve">S. </w:t>
      </w:r>
      <w:proofErr w:type="spellStart"/>
      <w:r w:rsidRPr="001A65DF">
        <w:rPr>
          <w:rFonts w:eastAsia="Arial" w:cs="Arial"/>
          <w:i/>
          <w:iCs/>
          <w:color w:val="000000"/>
          <w:lang w:val="es-ES" w:eastAsia="en-GB"/>
        </w:rPr>
        <w:t>lewini</w:t>
      </w:r>
      <w:proofErr w:type="spellEnd"/>
      <w:r w:rsidRPr="001A65DF">
        <w:rPr>
          <w:rFonts w:eastAsia="Arial" w:cs="Arial"/>
          <w:i/>
          <w:iCs/>
          <w:color w:val="000000"/>
          <w:lang w:val="es-ES" w:eastAsia="en-GB"/>
        </w:rPr>
        <w:t xml:space="preserve"> </w:t>
      </w:r>
      <w:r w:rsidRPr="001A65DF">
        <w:rPr>
          <w:rFonts w:eastAsia="Arial" w:cs="Arial"/>
          <w:color w:val="000000"/>
          <w:lang w:val="es-ES" w:eastAsia="en-GB"/>
        </w:rPr>
        <w:t>es fusiforme, o en forma de huso, con una aleta dorsal anterior grande y aletas dorsales y pélvicas bajas. Los dientes frontales del tiburón martillo moteado son rectos, mientras que el resto tienen cúspides oblicuas (a diferencia del tiburón martillo gigante, que tiene dientes serrados). Se puede distinguir de otras especies de tiburón martillo por la presencia de una marcada hendidura en el centro del frente de la cabeza y dos hendiduras adicionales a cada lado.</w:t>
      </w:r>
    </w:p>
    <w:p w14:paraId="7E2E58F6" w14:textId="77777777" w:rsidR="001A65DF" w:rsidRPr="001A65DF" w:rsidRDefault="001A65DF" w:rsidP="001A65DF">
      <w:pPr>
        <w:spacing w:after="0" w:line="240" w:lineRule="auto"/>
        <w:ind w:hanging="2"/>
        <w:jc w:val="both"/>
        <w:rPr>
          <w:rFonts w:eastAsia="Arial" w:cs="Arial"/>
          <w:color w:val="000000"/>
          <w:lang w:val="es-ES" w:eastAsia="en-GB"/>
        </w:rPr>
      </w:pPr>
    </w:p>
    <w:p w14:paraId="5317D126" w14:textId="77777777" w:rsidR="001A65DF" w:rsidRPr="001A65DF" w:rsidRDefault="001A65DF" w:rsidP="001A65DF">
      <w:pPr>
        <w:spacing w:after="0" w:line="240" w:lineRule="auto"/>
        <w:ind w:hanging="2"/>
        <w:jc w:val="both"/>
        <w:rPr>
          <w:rFonts w:eastAsia="Arial" w:cs="Arial"/>
          <w:color w:val="000000"/>
          <w:lang w:val="es-ES" w:eastAsia="en-GB"/>
        </w:rPr>
      </w:pPr>
      <w:r w:rsidRPr="001A65DF">
        <w:rPr>
          <w:rFonts w:eastAsia="Arial" w:cs="Arial"/>
          <w:i/>
          <w:iCs/>
          <w:color w:val="000000"/>
          <w:lang w:val="es-ES" w:eastAsia="en-GB"/>
        </w:rPr>
        <w:t xml:space="preserve">S. </w:t>
      </w:r>
      <w:proofErr w:type="spellStart"/>
      <w:r w:rsidRPr="001A65DF">
        <w:rPr>
          <w:rFonts w:eastAsia="Arial" w:cs="Arial"/>
          <w:i/>
          <w:iCs/>
          <w:color w:val="000000"/>
          <w:lang w:val="es-ES" w:eastAsia="en-GB"/>
        </w:rPr>
        <w:t>lewini</w:t>
      </w:r>
      <w:proofErr w:type="spellEnd"/>
      <w:r w:rsidRPr="001A65DF">
        <w:rPr>
          <w:rFonts w:eastAsia="Arial" w:cs="Arial"/>
          <w:color w:val="000000"/>
          <w:lang w:val="es-ES" w:eastAsia="en-GB"/>
        </w:rPr>
        <w:t xml:space="preserve"> alcanza un tamaño máximo de 370–420 cm TL (</w:t>
      </w:r>
      <w:proofErr w:type="spellStart"/>
      <w:r w:rsidRPr="001A65DF">
        <w:rPr>
          <w:rFonts w:eastAsia="Arial" w:cs="Arial"/>
          <w:lang w:val="es-ES" w:eastAsia="en-GB"/>
        </w:rPr>
        <w:t>Compagno</w:t>
      </w:r>
      <w:proofErr w:type="spellEnd"/>
      <w:r w:rsidRPr="001A65DF">
        <w:rPr>
          <w:rFonts w:eastAsia="Arial" w:cs="Arial"/>
          <w:lang w:val="es-ES" w:eastAsia="en-GB"/>
        </w:rPr>
        <w:t xml:space="preserve">, </w:t>
      </w:r>
      <w:r w:rsidRPr="001A65DF">
        <w:rPr>
          <w:rFonts w:eastAsia="Arial" w:cs="Arial"/>
          <w:color w:val="000000"/>
          <w:lang w:val="es-ES" w:eastAsia="en-GB"/>
        </w:rPr>
        <w:t>1998). Los machos maduran entre 140–198 cm TL y las hembras entre 200–250 cm TL (</w:t>
      </w:r>
      <w:proofErr w:type="spellStart"/>
      <w:r w:rsidRPr="001A65DF">
        <w:rPr>
          <w:rFonts w:eastAsia="Arial" w:cs="Arial"/>
          <w:color w:val="000000"/>
          <w:lang w:val="es-ES" w:eastAsia="en-GB"/>
        </w:rPr>
        <w:t>Compagno</w:t>
      </w:r>
      <w:proofErr w:type="spellEnd"/>
      <w:r w:rsidRPr="001A65DF">
        <w:rPr>
          <w:rFonts w:eastAsia="Arial" w:cs="Arial"/>
          <w:color w:val="000000"/>
          <w:lang w:val="es-ES" w:eastAsia="en-GB"/>
        </w:rPr>
        <w:t xml:space="preserve">, 1984; </w:t>
      </w:r>
      <w:proofErr w:type="spellStart"/>
      <w:r w:rsidRPr="001A65DF">
        <w:rPr>
          <w:rFonts w:eastAsia="Arial" w:cs="Arial"/>
          <w:color w:val="000000"/>
          <w:lang w:val="es-ES" w:eastAsia="en-GB"/>
        </w:rPr>
        <w:t>Branstetter</w:t>
      </w:r>
      <w:proofErr w:type="spellEnd"/>
      <w:r w:rsidRPr="001A65DF">
        <w:rPr>
          <w:rFonts w:eastAsia="Arial" w:cs="Arial"/>
          <w:color w:val="000000"/>
          <w:lang w:val="es-ES" w:eastAsia="en-GB"/>
        </w:rPr>
        <w:t xml:space="preserve">, 1987; Harry et al., 2011; White et al., 2008). La reproducción es mediante </w:t>
      </w:r>
      <w:proofErr w:type="spellStart"/>
      <w:r w:rsidRPr="001A65DF">
        <w:rPr>
          <w:rFonts w:eastAsia="Arial" w:cs="Arial"/>
          <w:color w:val="000000"/>
          <w:lang w:val="es-ES" w:eastAsia="en-GB"/>
        </w:rPr>
        <w:t>viviparidad</w:t>
      </w:r>
      <w:proofErr w:type="spellEnd"/>
      <w:r w:rsidRPr="001A65DF">
        <w:rPr>
          <w:rFonts w:eastAsia="Arial" w:cs="Arial"/>
          <w:color w:val="000000"/>
          <w:lang w:val="es-ES" w:eastAsia="en-GB"/>
        </w:rPr>
        <w:t xml:space="preserve"> placentaria, con tamaños de camada de 15–31 individuos, un ciclo reproductivo anual o bienal, y un tamaño al nacer de 43–55 cm TL (</w:t>
      </w:r>
      <w:proofErr w:type="spellStart"/>
      <w:r w:rsidRPr="001A65DF">
        <w:rPr>
          <w:rFonts w:eastAsia="Arial" w:cs="Arial"/>
          <w:color w:val="000000"/>
          <w:lang w:val="es-ES" w:eastAsia="en-GB"/>
        </w:rPr>
        <w:t>Branstetter</w:t>
      </w:r>
      <w:proofErr w:type="spellEnd"/>
      <w:r w:rsidRPr="001A65DF">
        <w:rPr>
          <w:rFonts w:eastAsia="Arial" w:cs="Arial"/>
          <w:color w:val="000000"/>
          <w:lang w:val="es-ES" w:eastAsia="en-GB"/>
        </w:rPr>
        <w:t xml:space="preserve">, 1987; Chen et al., 1988; </w:t>
      </w:r>
      <w:proofErr w:type="spellStart"/>
      <w:r w:rsidRPr="001A65DF">
        <w:rPr>
          <w:rFonts w:eastAsia="Arial" w:cs="Arial"/>
          <w:color w:val="000000"/>
          <w:lang w:val="es-ES" w:eastAsia="en-GB"/>
        </w:rPr>
        <w:t>Amorim</w:t>
      </w:r>
      <w:proofErr w:type="spellEnd"/>
      <w:r w:rsidRPr="001A65DF">
        <w:rPr>
          <w:rFonts w:eastAsia="Arial" w:cs="Arial"/>
          <w:color w:val="000000"/>
          <w:lang w:val="es-ES" w:eastAsia="en-GB"/>
        </w:rPr>
        <w:t xml:space="preserve"> et al., 1994; Clarke et al., 2015). La edad de madurez de las hembras es de 13,2 años y la edad máxima es de 35 años; por lo tanto, la longitud de generación es de 24,1 años (Drew et al., 2015). </w:t>
      </w:r>
      <w:r w:rsidRPr="001A65DF">
        <w:rPr>
          <w:rFonts w:eastAsia="Arial" w:cs="Arial"/>
          <w:i/>
          <w:iCs/>
          <w:color w:val="000000"/>
          <w:lang w:val="es-ES" w:eastAsia="en-GB"/>
        </w:rPr>
        <w:t xml:space="preserve">S. </w:t>
      </w:r>
      <w:proofErr w:type="spellStart"/>
      <w:r w:rsidRPr="001A65DF">
        <w:rPr>
          <w:rFonts w:eastAsia="Arial" w:cs="Arial"/>
          <w:i/>
          <w:iCs/>
          <w:color w:val="000000"/>
          <w:lang w:val="es-ES" w:eastAsia="en-GB"/>
        </w:rPr>
        <w:t>lewini</w:t>
      </w:r>
      <w:proofErr w:type="spellEnd"/>
      <w:r w:rsidRPr="001A65DF">
        <w:rPr>
          <w:rFonts w:eastAsia="Arial" w:cs="Arial"/>
          <w:color w:val="000000"/>
          <w:lang w:val="es-ES" w:eastAsia="en-GB"/>
        </w:rPr>
        <w:t xml:space="preserve"> tiene bajas tasas intrínsecas de crecimiento poblacional y productividad en comparación con otros tiburones. Las estimaciones generales de la tasa intrínseca de aumento para esta especie (r ~ 0,08–0,105 año</w:t>
      </w:r>
      <w:r w:rsidRPr="001A65DF">
        <w:rPr>
          <w:rFonts w:ascii="Cambria Math" w:eastAsia="Arial" w:hAnsi="Cambria Math" w:cs="Cambria Math"/>
          <w:color w:val="000000"/>
          <w:lang w:val="es-ES" w:eastAsia="en-GB"/>
        </w:rPr>
        <w:t>⁻</w:t>
      </w:r>
      <w:r w:rsidRPr="001A65DF">
        <w:rPr>
          <w:rFonts w:eastAsia="Arial" w:cs="Arial"/>
          <w:color w:val="000000"/>
          <w:lang w:val="es-ES" w:eastAsia="en-GB"/>
        </w:rPr>
        <w:t>¹) indican que las poblaciones son vulnerables a la disminución y se recuperarán lentamente de la sobreexplotación, según la categoría de baja productividad de la FAO (&lt;0,14 año</w:t>
      </w:r>
      <w:r w:rsidRPr="001A65DF">
        <w:rPr>
          <w:rFonts w:ascii="Cambria Math" w:eastAsia="Arial" w:hAnsi="Cambria Math" w:cs="Cambria Math"/>
          <w:color w:val="000000"/>
          <w:lang w:val="es-ES" w:eastAsia="en-GB"/>
        </w:rPr>
        <w:t>⁻</w:t>
      </w:r>
      <w:r w:rsidRPr="001A65DF">
        <w:rPr>
          <w:rFonts w:eastAsia="Arial" w:cs="Arial"/>
          <w:color w:val="000000"/>
          <w:lang w:val="es-ES" w:eastAsia="en-GB"/>
        </w:rPr>
        <w:t xml:space="preserve">¹) (FAO, 2001; </w:t>
      </w:r>
      <w:proofErr w:type="spellStart"/>
      <w:r w:rsidRPr="001A65DF">
        <w:rPr>
          <w:rFonts w:eastAsia="Arial" w:cs="Arial"/>
          <w:color w:val="000000"/>
          <w:lang w:val="es-ES" w:eastAsia="en-GB"/>
        </w:rPr>
        <w:t>Musick</w:t>
      </w:r>
      <w:proofErr w:type="spellEnd"/>
      <w:r w:rsidRPr="001A65DF">
        <w:rPr>
          <w:rFonts w:eastAsia="Arial" w:cs="Arial"/>
          <w:color w:val="000000"/>
          <w:lang w:val="es-ES" w:eastAsia="en-GB"/>
        </w:rPr>
        <w:t xml:space="preserve"> et al., 2000).</w:t>
      </w:r>
    </w:p>
    <w:p w14:paraId="53BF7B57" w14:textId="77777777" w:rsidR="001A65DF" w:rsidRPr="001A65DF" w:rsidRDefault="001A65DF" w:rsidP="001A65DF">
      <w:pPr>
        <w:spacing w:after="0" w:line="240" w:lineRule="auto"/>
        <w:jc w:val="both"/>
        <w:rPr>
          <w:rFonts w:eastAsia="Arial" w:cs="Arial"/>
          <w:lang w:val="es-ES" w:eastAsia="en-GB"/>
        </w:rPr>
      </w:pPr>
    </w:p>
    <w:p w14:paraId="73EB9EF4"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4.5 Papel del taxón en su ecosistema</w:t>
      </w:r>
    </w:p>
    <w:p w14:paraId="313DFB7D" w14:textId="77777777" w:rsidR="001A65DF" w:rsidRPr="001A65DF" w:rsidRDefault="001A65DF" w:rsidP="001A65DF">
      <w:pPr>
        <w:spacing w:after="0" w:line="240" w:lineRule="auto"/>
        <w:ind w:left="540"/>
        <w:jc w:val="both"/>
        <w:rPr>
          <w:rFonts w:eastAsia="Arial" w:cs="Arial"/>
          <w:lang w:val="es-ES" w:eastAsia="en-GB"/>
        </w:rPr>
      </w:pPr>
    </w:p>
    <w:p w14:paraId="31E5C633" w14:textId="77777777" w:rsidR="001A65DF" w:rsidRPr="001A65DF" w:rsidRDefault="001A65DF" w:rsidP="001A65DF">
      <w:pPr>
        <w:spacing w:after="0" w:line="240" w:lineRule="auto"/>
        <w:jc w:val="both"/>
        <w:rPr>
          <w:rFonts w:eastAsia="Arial" w:cs="Arial"/>
          <w:lang w:val="es-ES" w:eastAsia="en-GB"/>
        </w:rPr>
      </w:pPr>
      <w:proofErr w:type="spellStart"/>
      <w:r w:rsidRPr="001A65DF">
        <w:rPr>
          <w:rFonts w:eastAsia="Arial" w:cs="Arial"/>
          <w:i/>
          <w:iCs/>
          <w:lang w:val="es-ES" w:eastAsia="en-GB"/>
        </w:rPr>
        <w:t>Sphyrna</w:t>
      </w:r>
      <w:proofErr w:type="spellEnd"/>
      <w:r w:rsidRPr="001A65DF">
        <w:rPr>
          <w:rFonts w:eastAsia="Arial" w:cs="Arial"/>
          <w:i/>
          <w:iCs/>
          <w:lang w:val="es-ES" w:eastAsia="en-GB"/>
        </w:rPr>
        <w:t xml:space="preserve">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es un depredador de nivel trófico superior en ecosistemas costeros y oceánicos. Tiene una dieta diversa, consumiendo una amplia variedad de peces, así como invertebrados, especialmente cefalópodos. El análisis del contenido estomacal reveló una alta proporción de cefalópodos </w:t>
      </w:r>
      <w:proofErr w:type="spellStart"/>
      <w:r w:rsidRPr="001A65DF">
        <w:rPr>
          <w:rFonts w:eastAsia="Arial" w:cs="Arial"/>
          <w:lang w:val="es-ES" w:eastAsia="en-GB"/>
        </w:rPr>
        <w:t>mesopelágicos</w:t>
      </w:r>
      <w:proofErr w:type="spellEnd"/>
      <w:r w:rsidRPr="001A65DF">
        <w:rPr>
          <w:rFonts w:eastAsia="Arial" w:cs="Arial"/>
          <w:lang w:val="es-ES" w:eastAsia="en-GB"/>
        </w:rPr>
        <w:t xml:space="preserve"> en la dieta de adultos, tanto en machos (42 %) como en hembras (63 %); (</w:t>
      </w:r>
      <w:proofErr w:type="spellStart"/>
      <w:r w:rsidRPr="001A65DF">
        <w:rPr>
          <w:rFonts w:eastAsia="Arial" w:cs="Arial"/>
          <w:lang w:val="es-ES" w:eastAsia="en-GB"/>
        </w:rPr>
        <w:t>Klimley</w:t>
      </w:r>
      <w:proofErr w:type="spellEnd"/>
      <w:r w:rsidRPr="001A65DF">
        <w:rPr>
          <w:rFonts w:eastAsia="Arial" w:cs="Arial"/>
          <w:lang w:val="es-ES" w:eastAsia="en-GB"/>
        </w:rPr>
        <w:t>, 1987). Entre sus presas adicionales se incluyen una gran variedad de peces teleósteos y especies de invertebrados, reflejando la diversidad de hábitats que habita (</w:t>
      </w:r>
      <w:proofErr w:type="spellStart"/>
      <w:r w:rsidRPr="001A65DF">
        <w:rPr>
          <w:rFonts w:eastAsia="Arial" w:cs="Arial"/>
          <w:lang w:val="es-ES" w:eastAsia="en-GB"/>
        </w:rPr>
        <w:t>Compagno</w:t>
      </w:r>
      <w:proofErr w:type="spellEnd"/>
      <w:r w:rsidRPr="001A65DF">
        <w:rPr>
          <w:rFonts w:eastAsia="Arial" w:cs="Arial"/>
          <w:lang w:val="es-ES" w:eastAsia="en-GB"/>
        </w:rPr>
        <w:t>, 1984; FAO, 2024).</w:t>
      </w:r>
    </w:p>
    <w:p w14:paraId="56F1598F" w14:textId="77777777" w:rsidR="001A65DF" w:rsidRPr="001A65DF" w:rsidRDefault="001A65DF" w:rsidP="001A65DF">
      <w:pPr>
        <w:spacing w:after="0" w:line="240" w:lineRule="auto"/>
        <w:jc w:val="both"/>
        <w:rPr>
          <w:rFonts w:eastAsia="Arial" w:cs="Arial"/>
          <w:lang w:val="es-ES" w:eastAsia="en-GB"/>
        </w:rPr>
      </w:pPr>
    </w:p>
    <w:p w14:paraId="0405A449"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El nivel trófico de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se calculó inicialmente en 4,1 (máximo = 5,0) según información de dieta (Cortés, 1999), y posteriormente se revisó a 4,7, lo que sugiere que se alimenta en una posición trófica más alta y a lo largo de un rango trófico más amplio (</w:t>
      </w:r>
      <w:proofErr w:type="spellStart"/>
      <w:r w:rsidRPr="001A65DF">
        <w:rPr>
          <w:rFonts w:eastAsia="Arial" w:cs="Arial"/>
          <w:lang w:val="es-ES" w:eastAsia="en-GB"/>
        </w:rPr>
        <w:t>Hussey</w:t>
      </w:r>
      <w:proofErr w:type="spellEnd"/>
      <w:r w:rsidRPr="001A65DF">
        <w:rPr>
          <w:rFonts w:eastAsia="Arial" w:cs="Arial"/>
          <w:lang w:val="es-ES" w:eastAsia="en-GB"/>
        </w:rPr>
        <w:t xml:space="preserve"> et al., 2015). Navia et al. (2010) proponen que el tiburón martillo común ocupa el segundo lugar entre las especies más importantes para mantener la estructura de la comunidad marina en la zona de pesca central del Pacífico colombiano. La pérdida de tiburones grandes puede iniciar una cascada trófica, que puede provocar un aumento de </w:t>
      </w:r>
      <w:proofErr w:type="spellStart"/>
      <w:r w:rsidRPr="001A65DF">
        <w:rPr>
          <w:rFonts w:eastAsia="Arial" w:cs="Arial"/>
          <w:lang w:val="es-ES" w:eastAsia="en-GB"/>
        </w:rPr>
        <w:t>mesopredadores</w:t>
      </w:r>
      <w:proofErr w:type="spellEnd"/>
      <w:r w:rsidRPr="001A65DF">
        <w:rPr>
          <w:rFonts w:eastAsia="Arial" w:cs="Arial"/>
          <w:lang w:val="es-ES" w:eastAsia="en-GB"/>
        </w:rPr>
        <w:t xml:space="preserve"> y, en última instancia, desestabilizar la red trófica marina, poniendo en riesgo la salud de ese ecosistema (</w:t>
      </w:r>
      <w:proofErr w:type="spellStart"/>
      <w:r w:rsidRPr="001A65DF">
        <w:rPr>
          <w:rFonts w:eastAsia="Arial" w:cs="Arial"/>
          <w:lang w:val="es-ES" w:eastAsia="en-GB"/>
        </w:rPr>
        <w:t>Daskalov</w:t>
      </w:r>
      <w:proofErr w:type="spellEnd"/>
      <w:r w:rsidRPr="001A65DF">
        <w:rPr>
          <w:rFonts w:eastAsia="Arial" w:cs="Arial"/>
          <w:lang w:val="es-ES" w:eastAsia="en-GB"/>
        </w:rPr>
        <w:t xml:space="preserve"> et al., 2007; </w:t>
      </w:r>
      <w:proofErr w:type="spellStart"/>
      <w:r w:rsidRPr="001A65DF">
        <w:rPr>
          <w:rFonts w:eastAsia="Arial" w:cs="Arial"/>
          <w:lang w:val="es-ES" w:eastAsia="en-GB"/>
        </w:rPr>
        <w:t>Dedman</w:t>
      </w:r>
      <w:proofErr w:type="spellEnd"/>
      <w:r w:rsidRPr="001A65DF">
        <w:rPr>
          <w:rFonts w:eastAsia="Arial" w:cs="Arial"/>
          <w:lang w:val="es-ES" w:eastAsia="en-GB"/>
        </w:rPr>
        <w:t xml:space="preserve"> et al., 2024; </w:t>
      </w:r>
      <w:proofErr w:type="spellStart"/>
      <w:r w:rsidRPr="001A65DF">
        <w:rPr>
          <w:rFonts w:eastAsia="Arial" w:cs="Arial"/>
          <w:lang w:val="es-ES" w:eastAsia="en-GB"/>
        </w:rPr>
        <w:t>Klinard</w:t>
      </w:r>
      <w:proofErr w:type="spellEnd"/>
      <w:r w:rsidRPr="001A65DF">
        <w:rPr>
          <w:rFonts w:eastAsia="Arial" w:cs="Arial"/>
          <w:lang w:val="es-ES" w:eastAsia="en-GB"/>
        </w:rPr>
        <w:t xml:space="preserve"> et al., 2025).</w:t>
      </w:r>
    </w:p>
    <w:p w14:paraId="2335268B" w14:textId="77777777" w:rsidR="001A65DF" w:rsidRPr="001A65DF" w:rsidRDefault="001A65DF" w:rsidP="001A65DF">
      <w:pPr>
        <w:spacing w:after="0" w:line="240" w:lineRule="auto"/>
        <w:jc w:val="both"/>
        <w:rPr>
          <w:rFonts w:eastAsia="Arial" w:cs="Arial"/>
          <w:lang w:val="es-ES" w:eastAsia="en-GB"/>
        </w:rPr>
      </w:pPr>
    </w:p>
    <w:p w14:paraId="49146FD2" w14:textId="77777777" w:rsidR="001A65DF" w:rsidRPr="001A65DF" w:rsidRDefault="001A65DF" w:rsidP="001A65DF">
      <w:pPr>
        <w:spacing w:after="0" w:line="240" w:lineRule="auto"/>
        <w:ind w:left="540" w:hanging="540"/>
        <w:jc w:val="both"/>
        <w:rPr>
          <w:rFonts w:eastAsia="Arial" w:cs="Arial"/>
          <w:b/>
          <w:u w:val="single"/>
          <w:lang w:val="es-ES" w:eastAsia="en-GB"/>
        </w:rPr>
      </w:pPr>
      <w:r w:rsidRPr="001A65DF">
        <w:rPr>
          <w:rFonts w:eastAsia="Arial" w:cs="Arial"/>
          <w:b/>
          <w:u w:val="single"/>
          <w:lang w:val="es-ES" w:eastAsia="en-GB"/>
        </w:rPr>
        <w:t>5.</w:t>
      </w:r>
      <w:r w:rsidRPr="001A65DF">
        <w:rPr>
          <w:rFonts w:eastAsia="Arial" w:cs="Arial"/>
          <w:b/>
          <w:u w:val="single"/>
          <w:lang w:val="es-ES" w:eastAsia="en-GB"/>
        </w:rPr>
        <w:tab/>
        <w:t xml:space="preserve">Estado de conservación y amenazas </w:t>
      </w:r>
    </w:p>
    <w:p w14:paraId="3012B683" w14:textId="77777777" w:rsidR="001A65DF" w:rsidRPr="001A65DF" w:rsidRDefault="001A65DF" w:rsidP="001A65DF">
      <w:pPr>
        <w:spacing w:after="0" w:line="240" w:lineRule="auto"/>
        <w:ind w:left="540" w:hanging="540"/>
        <w:jc w:val="both"/>
        <w:rPr>
          <w:rFonts w:eastAsia="Arial" w:cs="Arial"/>
          <w:b/>
          <w:u w:val="single"/>
          <w:lang w:val="es-ES" w:eastAsia="en-GB"/>
        </w:rPr>
      </w:pPr>
    </w:p>
    <w:p w14:paraId="58F096A8"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5.1 Evaluación de la Lista Roja de la UICN</w:t>
      </w:r>
      <w:r w:rsidRPr="001A65DF" w:rsidDel="00FF53FC">
        <w:rPr>
          <w:rFonts w:eastAsia="Arial" w:cs="Arial"/>
          <w:lang w:val="es-ES" w:eastAsia="en-GB"/>
        </w:rPr>
        <w:t xml:space="preserve"> </w:t>
      </w:r>
    </w:p>
    <w:p w14:paraId="20D0876C" w14:textId="77777777" w:rsidR="001A65DF" w:rsidRPr="001A65DF" w:rsidRDefault="001A65DF" w:rsidP="001A65DF">
      <w:pPr>
        <w:spacing w:after="0" w:line="240" w:lineRule="auto"/>
        <w:jc w:val="both"/>
        <w:rPr>
          <w:rFonts w:eastAsia="Arial" w:cs="Arial"/>
          <w:color w:val="000000"/>
          <w:lang w:val="es-ES" w:eastAsia="en-GB"/>
        </w:rPr>
      </w:pPr>
    </w:p>
    <w:p w14:paraId="7AE7EC49"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La evaluación actual de la Lista Roja de la UICN, realizada en 2019, clasificó a la especie como En Peligro Crítico (A2bd) a nivel global, con una tendencia poblacional decreciente, basada en reducciones medias ponderadas de la población global estimadas entre 76,9 % y 97,3 %, con la mayor probabilidad de una reducción &gt;80 % durante tres generaciones (72,3 años); (</w:t>
      </w:r>
      <w:proofErr w:type="spellStart"/>
      <w:r w:rsidRPr="001A65DF">
        <w:rPr>
          <w:rFonts w:eastAsia="Arial" w:cs="Arial"/>
          <w:color w:val="000000"/>
          <w:lang w:val="es-ES" w:eastAsia="en-GB"/>
        </w:rPr>
        <w:t>Rigby</w:t>
      </w:r>
      <w:proofErr w:type="spellEnd"/>
      <w:r w:rsidRPr="001A65DF">
        <w:rPr>
          <w:rFonts w:eastAsia="Arial" w:cs="Arial"/>
          <w:color w:val="000000"/>
          <w:lang w:val="es-ES" w:eastAsia="en-GB"/>
        </w:rPr>
        <w:t xml:space="preserve"> et al., 2019).</w:t>
      </w:r>
    </w:p>
    <w:p w14:paraId="2E60933F" w14:textId="77777777" w:rsidR="001A65DF" w:rsidRPr="001A65DF" w:rsidRDefault="001A65DF" w:rsidP="001A65DF">
      <w:pPr>
        <w:spacing w:after="0" w:line="240" w:lineRule="auto"/>
        <w:jc w:val="both"/>
        <w:rPr>
          <w:rFonts w:eastAsia="Arial" w:cs="Arial"/>
          <w:color w:val="000000"/>
          <w:lang w:val="es-ES" w:eastAsia="en-GB"/>
        </w:rPr>
      </w:pPr>
    </w:p>
    <w:p w14:paraId="49FDB2ED"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 xml:space="preserve">El ascenso en la categoría de la Lista Roja de la UICN, de En Peligro a En Peligro Crítico, se realizó después de la inclusión de esta especie en el Apéndice II de la CMS en la </w:t>
      </w:r>
      <w:proofErr w:type="spellStart"/>
      <w:r w:rsidRPr="001A65DF">
        <w:rPr>
          <w:rFonts w:eastAsia="Arial" w:cs="Arial"/>
          <w:color w:val="000000"/>
          <w:lang w:val="es-ES" w:eastAsia="en-GB"/>
        </w:rPr>
        <w:t>CoP</w:t>
      </w:r>
      <w:proofErr w:type="spellEnd"/>
      <w:r w:rsidRPr="001A65DF">
        <w:rPr>
          <w:rFonts w:eastAsia="Arial" w:cs="Arial"/>
          <w:color w:val="000000"/>
          <w:lang w:val="es-ES" w:eastAsia="en-GB"/>
        </w:rPr>
        <w:t xml:space="preserve"> 11 (2014) y su adición al Anexo del Memorando de Entendimiento sobre Tiburones Migratorios (2016). A pesar de la mejora en la colaboración internacional entre los Estados de rango bajo la CMS, las disminuciones poblacionales continúan en todas las regiones, excepto en el Atlántico noroeste y el Golfo de México, donde se observan algunos signos de estabilización y posible recuperación en respuesta a las medidas de manejo.</w:t>
      </w:r>
    </w:p>
    <w:p w14:paraId="24C5FC2D" w14:textId="467D6875" w:rsidR="00267186" w:rsidRDefault="00267186">
      <w:pPr>
        <w:rPr>
          <w:rFonts w:eastAsia="Arial" w:cs="Arial"/>
          <w:lang w:val="es-ES" w:eastAsia="en-GB"/>
        </w:rPr>
      </w:pPr>
      <w:r>
        <w:rPr>
          <w:rFonts w:eastAsia="Arial" w:cs="Arial"/>
          <w:lang w:val="es-ES" w:eastAsia="en-GB"/>
        </w:rPr>
        <w:br w:type="page"/>
      </w:r>
    </w:p>
    <w:p w14:paraId="541D39A1" w14:textId="77777777" w:rsidR="001A65DF" w:rsidRPr="001A65DF" w:rsidRDefault="001A65DF" w:rsidP="001A65DF">
      <w:pPr>
        <w:spacing w:after="0" w:line="240" w:lineRule="auto"/>
        <w:jc w:val="both"/>
        <w:rPr>
          <w:rFonts w:eastAsia="Arial" w:cs="Arial"/>
          <w:lang w:val="es-ES" w:eastAsia="en-GB"/>
        </w:rPr>
      </w:pPr>
    </w:p>
    <w:p w14:paraId="5A68082A"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5.2 Información equivalente relevante para la evaluación del estado de conservación</w:t>
      </w:r>
    </w:p>
    <w:p w14:paraId="640E077A" w14:textId="77777777" w:rsidR="001A65DF" w:rsidRPr="001A65DF" w:rsidRDefault="001A65DF" w:rsidP="001A65DF">
      <w:pPr>
        <w:spacing w:after="0" w:line="240" w:lineRule="auto"/>
        <w:jc w:val="both"/>
        <w:rPr>
          <w:rFonts w:eastAsia="Arial" w:cs="Arial"/>
          <w:lang w:val="es-ES" w:eastAsia="en-GB"/>
        </w:rPr>
      </w:pPr>
    </w:p>
    <w:p w14:paraId="0941B375"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Consulte la sección 4.2 para obtener una descripción detallada de las evaluaciones de las existencias pesqueras y otras fuentes de datos de tendencias aplicadas para desarrollar la evaluación de la Lista Roja de la UICN para el tiburón martillo común.</w:t>
      </w:r>
    </w:p>
    <w:p w14:paraId="388E44B4" w14:textId="77777777" w:rsidR="001A65DF" w:rsidRPr="001A65DF" w:rsidRDefault="001A65DF" w:rsidP="001A65DF">
      <w:pPr>
        <w:spacing w:after="0" w:line="240" w:lineRule="auto"/>
        <w:ind w:left="540"/>
        <w:jc w:val="both"/>
        <w:rPr>
          <w:rFonts w:eastAsia="Arial" w:cs="Arial"/>
          <w:lang w:val="es-ES" w:eastAsia="en-GB"/>
        </w:rPr>
      </w:pPr>
    </w:p>
    <w:p w14:paraId="44EE85E2"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5.3 Amenazas a la población (factores, intensidad)</w:t>
      </w:r>
    </w:p>
    <w:p w14:paraId="0D92F670" w14:textId="77777777" w:rsidR="001A65DF" w:rsidRPr="001A65DF" w:rsidRDefault="001A65DF" w:rsidP="001A65DF">
      <w:pPr>
        <w:spacing w:after="0" w:line="240" w:lineRule="auto"/>
        <w:jc w:val="both"/>
        <w:rPr>
          <w:rFonts w:eastAsia="Times New Roman" w:cs="Arial"/>
          <w:lang w:val="es-ES" w:eastAsia="en-GB"/>
        </w:rPr>
      </w:pPr>
    </w:p>
    <w:p w14:paraId="5A04D72A" w14:textId="77777777"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lang w:val="es-ES" w:eastAsia="en-GB"/>
        </w:rPr>
        <w:t xml:space="preserve">La principal amenaza para las poblaciones de </w:t>
      </w:r>
      <w:r w:rsidRPr="001A65DF">
        <w:rPr>
          <w:rFonts w:eastAsia="Times New Roman" w:cs="Arial"/>
          <w:i/>
          <w:iCs/>
          <w:lang w:val="es-ES" w:eastAsia="en-GB"/>
        </w:rPr>
        <w:t xml:space="preserve">S. </w:t>
      </w:r>
      <w:proofErr w:type="spellStart"/>
      <w:r w:rsidRPr="001A65DF">
        <w:rPr>
          <w:rFonts w:eastAsia="Times New Roman" w:cs="Arial"/>
          <w:i/>
          <w:iCs/>
          <w:lang w:val="es-ES" w:eastAsia="en-GB"/>
        </w:rPr>
        <w:t>lewini</w:t>
      </w:r>
      <w:proofErr w:type="spellEnd"/>
      <w:r w:rsidRPr="001A65DF">
        <w:rPr>
          <w:rFonts w:eastAsia="Times New Roman" w:cs="Arial"/>
          <w:lang w:val="es-ES" w:eastAsia="en-GB"/>
        </w:rPr>
        <w:t xml:space="preserve"> es la sobreexplotación por parte de las pesquerías de adultos y juveniles. </w:t>
      </w:r>
      <w:r w:rsidRPr="001A65DF">
        <w:rPr>
          <w:rFonts w:eastAsia="Times New Roman" w:cs="Arial"/>
          <w:i/>
          <w:iCs/>
          <w:lang w:val="es-ES" w:eastAsia="en-GB"/>
        </w:rPr>
        <w:t xml:space="preserve">S. </w:t>
      </w:r>
      <w:proofErr w:type="spellStart"/>
      <w:r w:rsidRPr="001A65DF">
        <w:rPr>
          <w:rFonts w:eastAsia="Times New Roman" w:cs="Arial"/>
          <w:i/>
          <w:iCs/>
          <w:lang w:val="es-ES" w:eastAsia="en-GB"/>
        </w:rPr>
        <w:t>lewini</w:t>
      </w:r>
      <w:proofErr w:type="spellEnd"/>
      <w:r w:rsidRPr="001A65DF">
        <w:rPr>
          <w:rFonts w:eastAsia="Times New Roman" w:cs="Arial"/>
          <w:lang w:val="es-ES" w:eastAsia="en-GB"/>
        </w:rPr>
        <w:t xml:space="preserve"> se captura a nivel mundial tanto como especie objetivo como incidental en una variedad de pesquerías, desde pesquerías artesanales de palangre de fondo y redes de enmalle a pequeña escala, hasta operaciones industriales de palangre pelágico y cerco a gran escala. Aunque la mayor parte de la captura se considera incidental en flotas pelágicas industriales en aguas oceánicas y de alta mar (</w:t>
      </w:r>
      <w:proofErr w:type="spellStart"/>
      <w:r w:rsidRPr="001A65DF">
        <w:rPr>
          <w:rFonts w:eastAsia="Times New Roman" w:cs="Arial"/>
          <w:lang w:val="es-ES" w:eastAsia="en-GB"/>
        </w:rPr>
        <w:t>Camhi</w:t>
      </w:r>
      <w:proofErr w:type="spellEnd"/>
      <w:r w:rsidRPr="001A65DF">
        <w:rPr>
          <w:rFonts w:eastAsia="Times New Roman" w:cs="Arial"/>
          <w:lang w:val="es-ES" w:eastAsia="en-GB"/>
        </w:rPr>
        <w:t xml:space="preserve"> et al., 2009), se ha demostrado que la especie se ve fuertemente afectada por pesquerías costeras con redes de enmalle y palangres (Alfaro-</w:t>
      </w:r>
      <w:proofErr w:type="spellStart"/>
      <w:r w:rsidRPr="001A65DF">
        <w:rPr>
          <w:rFonts w:eastAsia="Times New Roman" w:cs="Arial"/>
          <w:lang w:val="es-ES" w:eastAsia="en-GB"/>
        </w:rPr>
        <w:t>Shigueto</w:t>
      </w:r>
      <w:proofErr w:type="spellEnd"/>
      <w:r w:rsidRPr="001A65DF">
        <w:rPr>
          <w:rFonts w:eastAsia="Times New Roman" w:cs="Arial"/>
          <w:lang w:val="es-ES" w:eastAsia="en-GB"/>
        </w:rPr>
        <w:t xml:space="preserve"> et al., 2010; </w:t>
      </w:r>
      <w:proofErr w:type="spellStart"/>
      <w:r w:rsidRPr="001A65DF">
        <w:rPr>
          <w:rFonts w:eastAsia="Times New Roman" w:cs="Arial"/>
          <w:lang w:val="es-ES" w:eastAsia="en-GB"/>
        </w:rPr>
        <w:t>Cartamil</w:t>
      </w:r>
      <w:proofErr w:type="spellEnd"/>
      <w:r w:rsidRPr="001A65DF">
        <w:rPr>
          <w:rFonts w:eastAsia="Times New Roman" w:cs="Arial"/>
          <w:lang w:val="es-ES" w:eastAsia="en-GB"/>
        </w:rPr>
        <w:t xml:space="preserve"> et al., 2011; Martínez-Ortiz et al., 2015; Sosa-</w:t>
      </w:r>
      <w:proofErr w:type="spellStart"/>
      <w:r w:rsidRPr="001A65DF">
        <w:rPr>
          <w:rFonts w:eastAsia="Times New Roman" w:cs="Arial"/>
          <w:lang w:val="es-ES" w:eastAsia="en-GB"/>
        </w:rPr>
        <w:t>Nishizaki</w:t>
      </w:r>
      <w:proofErr w:type="spellEnd"/>
      <w:r w:rsidRPr="001A65DF">
        <w:rPr>
          <w:rFonts w:eastAsia="Times New Roman" w:cs="Arial"/>
          <w:lang w:val="es-ES" w:eastAsia="en-GB"/>
        </w:rPr>
        <w:t xml:space="preserve"> et al., 2020), que capturan estacionalmente neonatos y juveniles en sus hábitats costeros de crianza en América Central (</w:t>
      </w:r>
      <w:proofErr w:type="spellStart"/>
      <w:r w:rsidRPr="001A65DF">
        <w:rPr>
          <w:rFonts w:eastAsia="Times New Roman" w:cs="Arial"/>
          <w:lang w:val="es-ES" w:eastAsia="en-GB"/>
        </w:rPr>
        <w:t>Arriatti</w:t>
      </w:r>
      <w:proofErr w:type="spellEnd"/>
      <w:r w:rsidRPr="001A65DF">
        <w:rPr>
          <w:rFonts w:eastAsia="Times New Roman" w:cs="Arial"/>
          <w:lang w:val="es-ES" w:eastAsia="en-GB"/>
        </w:rPr>
        <w:t xml:space="preserve"> et al., 2011; Zanella &amp; López-Garro, 2015; Guzmán et al., 2019; Rodríguez-Arana et al., 2023), América del Sur (López-Angarita et al., 2021) y África (Rosa et al., 2023). La especie se retiene tanto por sus aletas como por su carne (Clarke et al., 2006a; Clarke et al., 2006b; </w:t>
      </w:r>
      <w:proofErr w:type="spellStart"/>
      <w:r w:rsidRPr="001A65DF">
        <w:rPr>
          <w:rFonts w:eastAsia="Times New Roman" w:cs="Arial"/>
          <w:lang w:val="es-ES" w:eastAsia="en-GB"/>
        </w:rPr>
        <w:t>Fields</w:t>
      </w:r>
      <w:proofErr w:type="spellEnd"/>
      <w:r w:rsidRPr="001A65DF">
        <w:rPr>
          <w:rFonts w:eastAsia="Times New Roman" w:cs="Arial"/>
          <w:lang w:val="es-ES" w:eastAsia="en-GB"/>
        </w:rPr>
        <w:t xml:space="preserve"> et al., 2018). La persistente presentación errónea o </w:t>
      </w:r>
      <w:proofErr w:type="spellStart"/>
      <w:r w:rsidRPr="001A65DF">
        <w:rPr>
          <w:rFonts w:eastAsia="Times New Roman" w:cs="Arial"/>
          <w:lang w:val="es-ES" w:eastAsia="en-GB"/>
        </w:rPr>
        <w:t>sub-declaración</w:t>
      </w:r>
      <w:proofErr w:type="spellEnd"/>
      <w:r w:rsidRPr="001A65DF">
        <w:rPr>
          <w:rFonts w:eastAsia="Times New Roman" w:cs="Arial"/>
          <w:lang w:val="es-ES" w:eastAsia="en-GB"/>
        </w:rPr>
        <w:t xml:space="preserve"> de desembarques de </w:t>
      </w:r>
      <w:r w:rsidRPr="001A65DF">
        <w:rPr>
          <w:rFonts w:eastAsia="Times New Roman" w:cs="Arial"/>
          <w:i/>
          <w:iCs/>
          <w:lang w:val="es-ES" w:eastAsia="en-GB"/>
        </w:rPr>
        <w:t xml:space="preserve">S. </w:t>
      </w:r>
      <w:proofErr w:type="spellStart"/>
      <w:r w:rsidRPr="001A65DF">
        <w:rPr>
          <w:rFonts w:eastAsia="Times New Roman" w:cs="Arial"/>
          <w:i/>
          <w:iCs/>
          <w:lang w:val="es-ES" w:eastAsia="en-GB"/>
        </w:rPr>
        <w:t>lewini</w:t>
      </w:r>
      <w:proofErr w:type="spellEnd"/>
      <w:r w:rsidRPr="001A65DF">
        <w:rPr>
          <w:rFonts w:eastAsia="Times New Roman" w:cs="Arial"/>
          <w:lang w:val="es-ES" w:eastAsia="en-GB"/>
        </w:rPr>
        <w:t xml:space="preserve"> a la FAO y a las OROP es una amenaza adicional, aunque indirecta, ya que dificulta el diseño de medidas de manejo eficientes para la especie. Además, </w:t>
      </w:r>
      <w:r w:rsidRPr="001A65DF">
        <w:rPr>
          <w:rFonts w:eastAsia="Times New Roman" w:cs="Arial"/>
          <w:i/>
          <w:iCs/>
          <w:lang w:val="es-ES" w:eastAsia="en-GB"/>
        </w:rPr>
        <w:t xml:space="preserve">S. </w:t>
      </w:r>
      <w:proofErr w:type="spellStart"/>
      <w:r w:rsidRPr="001A65DF">
        <w:rPr>
          <w:rFonts w:eastAsia="Times New Roman" w:cs="Arial"/>
          <w:i/>
          <w:iCs/>
          <w:lang w:val="es-ES" w:eastAsia="en-GB"/>
        </w:rPr>
        <w:t>lewini</w:t>
      </w:r>
      <w:proofErr w:type="spellEnd"/>
      <w:r w:rsidRPr="001A65DF">
        <w:rPr>
          <w:rFonts w:eastAsia="Times New Roman" w:cs="Arial"/>
          <w:lang w:val="es-ES" w:eastAsia="en-GB"/>
        </w:rPr>
        <w:t xml:space="preserve"> se ve afectada por la pesca ilegal, no declarada y no reglamentada (INDNR) en todo su rango de distribución, aunque la magnitud de este problema no está clara (Miller et al., 2014; UNEP-WCM, 2019; </w:t>
      </w:r>
      <w:proofErr w:type="spellStart"/>
      <w:r w:rsidRPr="001A65DF">
        <w:rPr>
          <w:rFonts w:eastAsia="Times New Roman" w:cs="Arial"/>
          <w:lang w:val="es-ES" w:eastAsia="en-GB"/>
        </w:rPr>
        <w:t>Bonaccorso</w:t>
      </w:r>
      <w:proofErr w:type="spellEnd"/>
      <w:r w:rsidRPr="001A65DF">
        <w:rPr>
          <w:rFonts w:eastAsia="Times New Roman" w:cs="Arial"/>
          <w:lang w:val="es-ES" w:eastAsia="en-GB"/>
        </w:rPr>
        <w:t xml:space="preserve"> et al., 2021).</w:t>
      </w:r>
    </w:p>
    <w:p w14:paraId="06BF541B" w14:textId="77777777" w:rsidR="001A65DF" w:rsidRPr="001A65DF" w:rsidRDefault="001A65DF" w:rsidP="001A65DF">
      <w:pPr>
        <w:spacing w:after="0" w:line="240" w:lineRule="auto"/>
        <w:jc w:val="both"/>
        <w:rPr>
          <w:rFonts w:eastAsia="Times New Roman" w:cs="Arial"/>
          <w:lang w:val="es-ES" w:eastAsia="en-GB"/>
        </w:rPr>
      </w:pPr>
    </w:p>
    <w:p w14:paraId="750A4E39" w14:textId="77777777"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lang w:val="es-ES" w:eastAsia="en-GB"/>
        </w:rPr>
        <w:t xml:space="preserve">La degradación del hábitat de zonas de parto y criaderos ha aumentado significativamente en las últimas décadas, principalmente debido a actividades antropogénicas. Los desarrollos urbanos costeros no solo han generado contaminación (por ejemplo, aguas residuales, residuos plásticos, ruido), sino también la destrucción de hábitats costeros (Chávez et al., 2024). La eliminación de manglares, la escorrentía costera y la sobrepesca se han identificado como amenazas para todos los elasmobranquios, particularmente para especies en peligro que utilizan hábitats costeros poco profundos para reproducirse, como </w:t>
      </w:r>
      <w:r w:rsidRPr="001A65DF">
        <w:rPr>
          <w:rFonts w:eastAsia="Times New Roman" w:cs="Arial"/>
          <w:i/>
          <w:iCs/>
          <w:lang w:val="es-ES" w:eastAsia="en-GB"/>
        </w:rPr>
        <w:t xml:space="preserve">S. </w:t>
      </w:r>
      <w:proofErr w:type="spellStart"/>
      <w:r w:rsidRPr="001A65DF">
        <w:rPr>
          <w:rFonts w:eastAsia="Times New Roman" w:cs="Arial"/>
          <w:i/>
          <w:iCs/>
          <w:lang w:val="es-ES" w:eastAsia="en-GB"/>
        </w:rPr>
        <w:t>lewini</w:t>
      </w:r>
      <w:proofErr w:type="spellEnd"/>
      <w:r w:rsidRPr="001A65DF">
        <w:rPr>
          <w:rFonts w:eastAsia="Times New Roman" w:cs="Arial"/>
          <w:i/>
          <w:iCs/>
          <w:lang w:val="es-ES" w:eastAsia="en-GB"/>
        </w:rPr>
        <w:t xml:space="preserve"> </w:t>
      </w:r>
      <w:r w:rsidRPr="001A65DF">
        <w:rPr>
          <w:rFonts w:eastAsia="Times New Roman" w:cs="Arial"/>
          <w:lang w:val="es-ES" w:eastAsia="en-GB"/>
        </w:rPr>
        <w:t>(</w:t>
      </w:r>
      <w:proofErr w:type="spellStart"/>
      <w:r w:rsidRPr="001A65DF">
        <w:rPr>
          <w:rFonts w:eastAsia="Times New Roman" w:cs="Arial"/>
          <w:lang w:val="es-ES" w:eastAsia="en-GB"/>
        </w:rPr>
        <w:t>Dulvy</w:t>
      </w:r>
      <w:proofErr w:type="spellEnd"/>
      <w:r w:rsidRPr="001A65DF">
        <w:rPr>
          <w:rFonts w:eastAsia="Times New Roman" w:cs="Arial"/>
          <w:lang w:val="es-ES" w:eastAsia="en-GB"/>
        </w:rPr>
        <w:t xml:space="preserve"> et al., 2014).</w:t>
      </w:r>
    </w:p>
    <w:p w14:paraId="2767C650" w14:textId="77777777" w:rsidR="001A65DF" w:rsidRPr="001A65DF" w:rsidRDefault="001A65DF" w:rsidP="001A65DF">
      <w:pPr>
        <w:spacing w:after="0" w:line="240" w:lineRule="auto"/>
        <w:jc w:val="both"/>
        <w:rPr>
          <w:rFonts w:eastAsia="Times New Roman" w:cs="Arial"/>
          <w:lang w:val="es-ES" w:eastAsia="en-GB"/>
        </w:rPr>
      </w:pPr>
    </w:p>
    <w:p w14:paraId="532FAA3A" w14:textId="77777777"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lang w:val="es-ES" w:eastAsia="en-GB"/>
        </w:rPr>
        <w:t xml:space="preserve">El cambio climático es una amenaza adicional para los criaderos costeros, los lugares de desarrollo en plataformas continentales y los puntos críticos en islas oceánicas y montes submarinos, como consecuencia principal de la redistribución de la especie en busca de condiciones fisiológica y ecológicamente favorables. Se proyectan desplazamientos hacia los polos para </w:t>
      </w:r>
      <w:r w:rsidRPr="001A65DF">
        <w:rPr>
          <w:rFonts w:eastAsia="Times New Roman" w:cs="Arial"/>
          <w:i/>
          <w:iCs/>
          <w:lang w:val="es-ES" w:eastAsia="en-GB"/>
        </w:rPr>
        <w:t xml:space="preserve">S. </w:t>
      </w:r>
      <w:proofErr w:type="spellStart"/>
      <w:r w:rsidRPr="001A65DF">
        <w:rPr>
          <w:rFonts w:eastAsia="Times New Roman" w:cs="Arial"/>
          <w:i/>
          <w:iCs/>
          <w:lang w:val="es-ES" w:eastAsia="en-GB"/>
        </w:rPr>
        <w:t>lewini</w:t>
      </w:r>
      <w:proofErr w:type="spellEnd"/>
      <w:r w:rsidRPr="001A65DF">
        <w:rPr>
          <w:rFonts w:eastAsia="Times New Roman" w:cs="Arial"/>
          <w:lang w:val="es-ES" w:eastAsia="en-GB"/>
        </w:rPr>
        <w:t>, con disminuciones considerables en la abundancia en los trópicos. Estos cambios regionales en la idoneidad del hábitat tienen el potencial de afectar la conectividad poblacional, el acceso a hábitats clave y los niveles de exposición a otras presiones antropogénicas, como la pesca, así como la efectividad de los esfuerzos de conservación y manejo implementados (</w:t>
      </w:r>
      <w:proofErr w:type="spellStart"/>
      <w:r w:rsidRPr="001A65DF">
        <w:rPr>
          <w:rFonts w:eastAsia="Times New Roman" w:cs="Arial"/>
          <w:lang w:val="es-ES" w:eastAsia="en-GB"/>
        </w:rPr>
        <w:t>Cerutti</w:t>
      </w:r>
      <w:proofErr w:type="spellEnd"/>
      <w:r w:rsidRPr="001A65DF">
        <w:rPr>
          <w:rFonts w:eastAsia="Times New Roman" w:cs="Arial"/>
          <w:lang w:val="es-ES" w:eastAsia="en-GB"/>
        </w:rPr>
        <w:t>-Pereyra et al., 2024).</w:t>
      </w:r>
    </w:p>
    <w:p w14:paraId="66A251A1" w14:textId="77777777" w:rsidR="001A65DF" w:rsidRPr="001A65DF" w:rsidRDefault="001A65DF" w:rsidP="001A65DF">
      <w:pPr>
        <w:spacing w:after="0" w:line="240" w:lineRule="auto"/>
        <w:rPr>
          <w:rFonts w:eastAsia="Times New Roman" w:cs="Arial"/>
          <w:lang w:val="es-ES" w:eastAsia="en-GB"/>
        </w:rPr>
      </w:pPr>
    </w:p>
    <w:p w14:paraId="7C22702A"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5.4 Amenazas relacionadas con las migraciones</w:t>
      </w:r>
    </w:p>
    <w:p w14:paraId="503603ED" w14:textId="77777777" w:rsidR="001A65DF" w:rsidRPr="001A65DF" w:rsidRDefault="001A65DF" w:rsidP="001A65DF">
      <w:pPr>
        <w:spacing w:after="0" w:line="240" w:lineRule="auto"/>
        <w:jc w:val="both"/>
        <w:rPr>
          <w:rFonts w:eastAsia="Arial" w:cs="Arial"/>
          <w:lang w:val="es-ES" w:eastAsia="en-GB"/>
        </w:rPr>
      </w:pPr>
    </w:p>
    <w:p w14:paraId="434180ED"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Las migraciones ontogenéticas y transfronterizas hacen que los tiburones martillo comunes sean muy susceptibles a la pesca, tanto dentro de aguas bajo jurisdicción como en aguas internacionales.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es capturado tanto como especie objetivo como incidental en pesquerías nacionales dentro de las Zonas Económicas Exclusivas a nivel mundial y en pesquerías multinacionales en alta mar. Los patrones migratorios de la especie, entre zonas costeras poco profundas y áreas pelágicas de aguas profundas, la hacen vulnerable a una variedad de artes de pesca utilizadas por diferentes pesquerías comerciales a gran escala y de pequeña escala. Debido a que S. </w:t>
      </w:r>
      <w:proofErr w:type="spellStart"/>
      <w:r w:rsidRPr="001A65DF">
        <w:rPr>
          <w:rFonts w:eastAsia="Arial" w:cs="Arial"/>
          <w:lang w:val="es-ES" w:eastAsia="en-GB"/>
        </w:rPr>
        <w:t>lewini</w:t>
      </w:r>
      <w:proofErr w:type="spellEnd"/>
      <w:r w:rsidRPr="001A65DF">
        <w:rPr>
          <w:rFonts w:eastAsia="Arial" w:cs="Arial"/>
          <w:lang w:val="es-ES" w:eastAsia="en-GB"/>
        </w:rPr>
        <w:t xml:space="preserve"> migra regularmente entre las ZEE de distintos Estados de rango y hacia alta mar, ninguna parte de un stock puede beneficiarse completamente de las medidas de manejo introducidas en sus aguas por un solo Estado de rango. Las protecciones regionales ofrecidas por algunas organizaciones regionales de ordenación pesquera (OROP ver sección 6.2) reducirán parte de la amenaza proveniente de las pesquerías con palangre y cerco dirigidas a atunes y pez espada, pero estas medidas no brindan protección completa frente a todas las pesquerías dentro de la región.</w:t>
      </w:r>
    </w:p>
    <w:p w14:paraId="42FBD82B" w14:textId="77777777" w:rsidR="001A65DF" w:rsidRPr="001A65DF" w:rsidRDefault="001A65DF" w:rsidP="001A65DF">
      <w:pPr>
        <w:spacing w:after="0" w:line="240" w:lineRule="auto"/>
        <w:jc w:val="both"/>
        <w:rPr>
          <w:rFonts w:eastAsia="Arial" w:cs="Arial"/>
          <w:lang w:val="es-ES" w:eastAsia="en-GB"/>
        </w:rPr>
      </w:pPr>
    </w:p>
    <w:p w14:paraId="52A0BBD1"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5.5 Utilización nacional e internacional</w:t>
      </w:r>
    </w:p>
    <w:p w14:paraId="7B5224BA" w14:textId="77777777" w:rsidR="001A65DF" w:rsidRPr="001A65DF" w:rsidRDefault="001A65DF" w:rsidP="001A65DF">
      <w:pPr>
        <w:spacing w:after="0" w:line="240" w:lineRule="auto"/>
        <w:jc w:val="both"/>
        <w:rPr>
          <w:rFonts w:eastAsia="Arial" w:cs="Arial"/>
          <w:lang w:val="es-ES" w:eastAsia="en-GB"/>
        </w:rPr>
      </w:pPr>
    </w:p>
    <w:p w14:paraId="1957F1AD"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La demanda global de productos de tiburón y el comercio asociado a esta demanda se han expandido a un ritmo sin precedentes en las últimas décadas. La mayor parte del comercio involucra dos productos: aletas y carne, siendo las aletas considerablemente más valiosas por unidad de peso. Las aletas de tiburón martillo son muy codiciadas en el comercio internacional (Rose, 1996). Estas características las convierten en uno de los tipos de aletas más valiosos del mercado, con un valor promedio mayorista de aletas de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sin procesar que alcanzaba los 103 USD/kg hace más de 20 años (Clarke, 2003; Abercrombie et al., 2005).</w:t>
      </w:r>
    </w:p>
    <w:p w14:paraId="5DDF484C" w14:textId="77777777" w:rsidR="001A65DF" w:rsidRPr="001A65DF" w:rsidRDefault="001A65DF" w:rsidP="001A65DF">
      <w:pPr>
        <w:spacing w:after="0" w:line="240" w:lineRule="auto"/>
        <w:jc w:val="both"/>
        <w:rPr>
          <w:rFonts w:eastAsia="Arial" w:cs="Arial"/>
          <w:lang w:val="es-ES" w:eastAsia="en-GB"/>
        </w:rPr>
      </w:pPr>
    </w:p>
    <w:p w14:paraId="59E56C44"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Análisis contemporáneos revisados por pares sobre los mercados internacionales de aletas han revelado tendencias alarmantes. Encuestas sistemáticas de mercados de aletas realizadas en Hong Kong SAR y Guangzhou, China continental, entre 2014 y 2021, encontraron que el mercado estaba dominado por un pequeño subconjunto de especies grandes y cosmopolitas, incluyendo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que representa el 5,21 % del mercado minorista, siendo la tercera especie más común (</w:t>
      </w:r>
      <w:proofErr w:type="spellStart"/>
      <w:r w:rsidRPr="001A65DF">
        <w:rPr>
          <w:rFonts w:eastAsia="Arial" w:cs="Arial"/>
          <w:lang w:val="es-ES" w:eastAsia="en-GB"/>
        </w:rPr>
        <w:t>Fields</w:t>
      </w:r>
      <w:proofErr w:type="spellEnd"/>
      <w:r w:rsidRPr="001A65DF">
        <w:rPr>
          <w:rFonts w:eastAsia="Arial" w:cs="Arial"/>
          <w:lang w:val="es-ES" w:eastAsia="en-GB"/>
        </w:rPr>
        <w:t xml:space="preserve"> et al., 2018; </w:t>
      </w:r>
      <w:proofErr w:type="spellStart"/>
      <w:r w:rsidRPr="001A65DF">
        <w:rPr>
          <w:rFonts w:eastAsia="Arial" w:cs="Arial"/>
          <w:lang w:val="es-ES" w:eastAsia="en-GB"/>
        </w:rPr>
        <w:t>Cardenosa</w:t>
      </w:r>
      <w:proofErr w:type="spellEnd"/>
      <w:r w:rsidRPr="001A65DF">
        <w:rPr>
          <w:rFonts w:eastAsia="Arial" w:cs="Arial"/>
          <w:lang w:val="es-ES" w:eastAsia="en-GB"/>
        </w:rPr>
        <w:t xml:space="preserve"> et al., 2020, 2022). El análisis del comercio de aletas de tamaño pequeño, generalmente de especies de menor tamaño corporal (cuyas aletas tienen menor valor), determinó que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era la sexta especie más común, representando en total el 5,95 % de todas las aletas (</w:t>
      </w:r>
      <w:proofErr w:type="spellStart"/>
      <w:r w:rsidRPr="001A65DF">
        <w:rPr>
          <w:rFonts w:eastAsia="Arial" w:cs="Arial"/>
          <w:lang w:val="es-ES" w:eastAsia="en-GB"/>
        </w:rPr>
        <w:t>Cardenosa</w:t>
      </w:r>
      <w:proofErr w:type="spellEnd"/>
      <w:r w:rsidRPr="001A65DF">
        <w:rPr>
          <w:rFonts w:eastAsia="Arial" w:cs="Arial"/>
          <w:lang w:val="es-ES" w:eastAsia="en-GB"/>
        </w:rPr>
        <w:t xml:space="preserve"> et al., 2024). Esto sugiere que las aletas de juveniles de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capturados en áreas costeras de crianza están ingresando al comercio internacional en grandes volúmenes.</w:t>
      </w:r>
    </w:p>
    <w:p w14:paraId="517752AE" w14:textId="77777777" w:rsidR="001A65DF" w:rsidRPr="001A65DF" w:rsidRDefault="001A65DF" w:rsidP="001A65DF">
      <w:pPr>
        <w:spacing w:after="0" w:line="240" w:lineRule="auto"/>
        <w:jc w:val="both"/>
        <w:rPr>
          <w:rFonts w:eastAsia="Arial" w:cs="Arial"/>
          <w:lang w:val="es-ES" w:eastAsia="en-GB"/>
        </w:rPr>
      </w:pPr>
    </w:p>
    <w:p w14:paraId="69ABBF37"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En la última década, el comercio global de carne de tiburón ha aumentado significativamente (</w:t>
      </w:r>
      <w:proofErr w:type="spellStart"/>
      <w:r w:rsidRPr="001A65DF">
        <w:rPr>
          <w:rFonts w:eastAsia="Arial" w:cs="Arial"/>
          <w:lang w:val="es-ES" w:eastAsia="en-GB"/>
        </w:rPr>
        <w:t>Shea</w:t>
      </w:r>
      <w:proofErr w:type="spellEnd"/>
      <w:r w:rsidRPr="001A65DF">
        <w:rPr>
          <w:rFonts w:eastAsia="Arial" w:cs="Arial"/>
          <w:lang w:val="es-ES" w:eastAsia="en-GB"/>
        </w:rPr>
        <w:t xml:space="preserve"> y Slee, 2024), con más de 200 países y territorios importando y exportando carne de tiburón entre 2012 y 2019, con un comercio global valorado en casi 2.200 millones de euros (</w:t>
      </w:r>
      <w:proofErr w:type="spellStart"/>
      <w:r w:rsidRPr="001A65DF">
        <w:rPr>
          <w:rFonts w:eastAsia="Arial" w:cs="Arial"/>
          <w:lang w:val="es-ES" w:eastAsia="en-GB"/>
        </w:rPr>
        <w:t>Niedermüller</w:t>
      </w:r>
      <w:proofErr w:type="spellEnd"/>
      <w:r w:rsidRPr="001A65DF">
        <w:rPr>
          <w:rFonts w:eastAsia="Arial" w:cs="Arial"/>
          <w:lang w:val="es-ES" w:eastAsia="en-GB"/>
        </w:rPr>
        <w:t xml:space="preserve"> et al., 2021). En algunos países, la carne de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de tamaño pequeño (neonatos y juveniles) se consume localmente o se exporta a otros países (Miller et al., 2014). Aunque la información comercial no se documentó a nivel de especie, </w:t>
      </w:r>
      <w:proofErr w:type="spellStart"/>
      <w:r w:rsidRPr="001A65DF">
        <w:rPr>
          <w:rFonts w:eastAsia="Arial" w:cs="Arial"/>
          <w:lang w:val="es-ES" w:eastAsia="en-GB"/>
        </w:rPr>
        <w:t>Vannuccini</w:t>
      </w:r>
      <w:proofErr w:type="spellEnd"/>
      <w:r w:rsidRPr="001A65DF">
        <w:rPr>
          <w:rFonts w:eastAsia="Arial" w:cs="Arial"/>
          <w:lang w:val="es-ES" w:eastAsia="en-GB"/>
        </w:rPr>
        <w:t xml:space="preserve"> (1999) indicó que la carne de tiburón martillo era una importación preferida en países como España y Japón. Uruguay reportó exportaciones de carne de tiburón martillo a Brasil, España, Alemania, Países Bajos e Israel (</w:t>
      </w:r>
      <w:proofErr w:type="spellStart"/>
      <w:r w:rsidRPr="001A65DF">
        <w:rPr>
          <w:rFonts w:eastAsia="Arial" w:cs="Arial"/>
          <w:lang w:val="es-ES" w:eastAsia="en-GB"/>
        </w:rPr>
        <w:t>Vannuccini</w:t>
      </w:r>
      <w:proofErr w:type="spellEnd"/>
      <w:r w:rsidRPr="001A65DF">
        <w:rPr>
          <w:rFonts w:eastAsia="Arial" w:cs="Arial"/>
          <w:lang w:val="es-ES" w:eastAsia="en-GB"/>
        </w:rPr>
        <w:t xml:space="preserve">, 1999). Sin embargo, el volumen actual de carne y otros productos específicos de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comercializados es desconocido. La carne generalmente se consume en mercados locales. También se pueden utilizar el aceite de hígado, la piel, el cartílago y las mandíbulas (</w:t>
      </w:r>
      <w:proofErr w:type="spellStart"/>
      <w:r w:rsidRPr="001A65DF">
        <w:rPr>
          <w:rFonts w:eastAsia="Arial" w:cs="Arial"/>
          <w:lang w:val="es-ES" w:eastAsia="en-GB"/>
        </w:rPr>
        <w:t>Almerón</w:t>
      </w:r>
      <w:proofErr w:type="spellEnd"/>
      <w:r w:rsidRPr="001A65DF">
        <w:rPr>
          <w:rFonts w:eastAsia="Arial" w:cs="Arial"/>
          <w:lang w:val="es-ES" w:eastAsia="en-GB"/>
        </w:rPr>
        <w:t>-Souza et al., 2018).</w:t>
      </w:r>
    </w:p>
    <w:p w14:paraId="5B79F529" w14:textId="77777777" w:rsidR="001A65DF" w:rsidRPr="001A65DF" w:rsidRDefault="001A65DF" w:rsidP="001A65DF">
      <w:pPr>
        <w:spacing w:after="0" w:line="240" w:lineRule="auto"/>
        <w:jc w:val="both"/>
        <w:rPr>
          <w:rFonts w:eastAsia="Arial" w:cs="Arial"/>
          <w:lang w:val="es-ES" w:eastAsia="en-GB"/>
        </w:rPr>
      </w:pPr>
    </w:p>
    <w:p w14:paraId="70BF1D1A" w14:textId="77777777" w:rsidR="001A65DF" w:rsidRPr="001A65DF" w:rsidRDefault="001A65DF" w:rsidP="001A65DF">
      <w:pPr>
        <w:spacing w:after="0" w:line="240" w:lineRule="auto"/>
        <w:jc w:val="both"/>
        <w:rPr>
          <w:rFonts w:eastAsia="Arial" w:cs="Arial"/>
          <w:lang w:val="es-ES" w:eastAsia="en-GB"/>
        </w:rPr>
      </w:pPr>
      <w:proofErr w:type="spellStart"/>
      <w:r w:rsidRPr="001A65DF">
        <w:rPr>
          <w:rFonts w:eastAsia="Arial" w:cs="Arial"/>
          <w:i/>
          <w:iCs/>
          <w:lang w:val="es-ES" w:eastAsia="en-GB"/>
        </w:rPr>
        <w:t>Sphyrna</w:t>
      </w:r>
      <w:proofErr w:type="spellEnd"/>
      <w:r w:rsidRPr="001A65DF">
        <w:rPr>
          <w:rFonts w:eastAsia="Arial" w:cs="Arial"/>
          <w:i/>
          <w:iCs/>
          <w:lang w:val="es-ES" w:eastAsia="en-GB"/>
        </w:rPr>
        <w:t xml:space="preserve">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fue incluida en el Apéndice II de CITES en la CoP16 en marzo de 2013. En el ciclo de cumplimiento más reciente de CITES, se identificó que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estaba sujeta a grandes volúmenes de comercio continuo. Este comercio fue cuestionado por su sostenibilidad dado el estado global de En Peligro Crítico de la especie y se incluyó en el proceso de Revisión de Comercio Significativo (RST). A la luz de los grandes volúmenes de carne confiscada en el comercio internacional (particularmente por funcionarios de Hong Kong SAR), se evidencia que existe un comercio ilegal en curso, que será objeto de investigación adicional bajo el mecanismo de cumplimiento del Artículo XIII de CITES.</w:t>
      </w:r>
    </w:p>
    <w:p w14:paraId="6ECC6E45" w14:textId="77777777" w:rsidR="001A65DF" w:rsidRPr="001A65DF" w:rsidRDefault="001A65DF" w:rsidP="001A65DF">
      <w:pPr>
        <w:spacing w:after="0" w:line="240" w:lineRule="auto"/>
        <w:jc w:val="both"/>
        <w:rPr>
          <w:rFonts w:eastAsia="Arial" w:cs="Arial"/>
          <w:lang w:val="es-ES" w:eastAsia="en-GB"/>
        </w:rPr>
      </w:pPr>
    </w:p>
    <w:p w14:paraId="33AF48C6"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El tiburón martillo común es la segunda especie más popular para el buceo con tiburones a nivel mundial, presente en más del 30 % de los países con industrias establecidas de buceo con tiburones (Healy et al., 2020). Los análisis de operaciones globales de buceo con tiburones martillo indican una expansión significativa de la industria en las últimas dos décadas, con un incremento del 65 % en siete años (</w:t>
      </w:r>
      <w:sdt>
        <w:sdtPr>
          <w:rPr>
            <w:rFonts w:eastAsia="Calibri" w:cs="Arial"/>
            <w:lang w:val="es-ES" w:eastAsia="en-GB"/>
          </w:rPr>
          <w:tag w:val="goog_rdk_36"/>
          <w:id w:val="916052249"/>
          <w:showingPlcHdr/>
        </w:sdtPr>
        <w:sdtContent>
          <w:r w:rsidRPr="001A65DF">
            <w:rPr>
              <w:rFonts w:eastAsia="Calibri" w:cs="Arial"/>
              <w:lang w:val="es-ES" w:eastAsia="en-GB"/>
            </w:rPr>
            <w:t xml:space="preserve">     </w:t>
          </w:r>
        </w:sdtContent>
      </w:sdt>
      <w:r w:rsidRPr="001A65DF">
        <w:rPr>
          <w:rFonts w:eastAsia="Arial" w:cs="Arial"/>
          <w:lang w:val="es-ES" w:eastAsia="en-GB"/>
        </w:rPr>
        <w:t xml:space="preserve">Gallagher and </w:t>
      </w:r>
      <w:proofErr w:type="spellStart"/>
      <w:r w:rsidRPr="001A65DF">
        <w:rPr>
          <w:rFonts w:eastAsia="Arial" w:cs="Arial"/>
          <w:lang w:val="es-ES" w:eastAsia="en-GB"/>
        </w:rPr>
        <w:t>Hammerschlag</w:t>
      </w:r>
      <w:proofErr w:type="spellEnd"/>
      <w:r w:rsidRPr="001A65DF">
        <w:rPr>
          <w:rFonts w:eastAsia="Arial" w:cs="Arial"/>
          <w:lang w:val="es-ES" w:eastAsia="en-GB"/>
        </w:rPr>
        <w:t xml:space="preserve">, 2011; </w:t>
      </w:r>
      <w:sdt>
        <w:sdtPr>
          <w:rPr>
            <w:rFonts w:eastAsia="Calibri" w:cs="Arial"/>
            <w:lang w:val="es-ES" w:eastAsia="en-GB"/>
          </w:rPr>
          <w:tag w:val="goog_rdk_37"/>
          <w:id w:val="-1903848954"/>
        </w:sdtPr>
        <w:sdtContent/>
      </w:sdt>
      <w:r w:rsidRPr="001A65DF">
        <w:rPr>
          <w:rFonts w:eastAsia="Arial" w:cs="Arial"/>
          <w:lang w:val="es-ES" w:eastAsia="en-GB"/>
        </w:rPr>
        <w:t>Healy et al. 2020).</w:t>
      </w:r>
    </w:p>
    <w:p w14:paraId="7A875F65" w14:textId="77777777" w:rsidR="00267186" w:rsidRDefault="00267186" w:rsidP="001A65DF">
      <w:pPr>
        <w:spacing w:after="0" w:line="240" w:lineRule="auto"/>
        <w:jc w:val="both"/>
        <w:rPr>
          <w:rFonts w:eastAsia="Arial" w:cs="Arial"/>
          <w:lang w:val="es-ES" w:eastAsia="en-GB"/>
        </w:rPr>
      </w:pPr>
    </w:p>
    <w:p w14:paraId="6687A992" w14:textId="02CC8141" w:rsidR="001A65DF" w:rsidRPr="001A65DF" w:rsidRDefault="001A65DF" w:rsidP="001A65DF">
      <w:pPr>
        <w:spacing w:after="0" w:line="240" w:lineRule="auto"/>
        <w:jc w:val="both"/>
        <w:rPr>
          <w:rFonts w:eastAsia="Times New Roman" w:cs="Arial"/>
          <w:color w:val="7030A0"/>
          <w:lang w:val="es-ES" w:eastAsia="en-GB"/>
        </w:rPr>
      </w:pPr>
      <w:r w:rsidRPr="001A65DF">
        <w:rPr>
          <w:rFonts w:eastAsia="Arial" w:cs="Arial"/>
          <w:lang w:val="es-ES" w:eastAsia="en-GB"/>
        </w:rPr>
        <w:t xml:space="preserve">El Pacífico Tropical Oriental es la principal región donde las industrias de buceo con tiburones se enfocan en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Varios estudios han destacado la importancia socioeconómica de la especie en esta región. Por ejemplo, en el Parque Nacional Isla del Coco, los tiburones martillo son un gran atractivo turístico, con el 56 % de los visitantes viajando principalmente para bucear con tiburones (</w:t>
      </w:r>
      <w:sdt>
        <w:sdtPr>
          <w:rPr>
            <w:rFonts w:eastAsia="Calibri" w:cs="Arial"/>
            <w:lang w:val="es-ES" w:eastAsia="en-GB"/>
          </w:rPr>
          <w:tag w:val="goog_rdk_38"/>
          <w:id w:val="-1422446243"/>
        </w:sdtPr>
        <w:sdtContent/>
      </w:sdt>
      <w:r w:rsidRPr="001A65DF">
        <w:rPr>
          <w:rFonts w:eastAsia="Arial" w:cs="Arial"/>
          <w:lang w:val="es-ES" w:eastAsia="en-GB"/>
        </w:rPr>
        <w:t xml:space="preserve">Moreno et al., 2021). En 2019, esta actividad generó 1,5 millones de USD, con ingresos que fluyeron a la economía costarricense (Moreno et al., 2021). En </w:t>
      </w:r>
      <w:proofErr w:type="gramStart"/>
      <w:r w:rsidRPr="001A65DF">
        <w:rPr>
          <w:rFonts w:eastAsia="Arial" w:cs="Arial"/>
          <w:lang w:val="es-ES" w:eastAsia="en-GB"/>
        </w:rPr>
        <w:t>Galápagos</w:t>
      </w:r>
      <w:proofErr w:type="gramEnd"/>
      <w:r w:rsidRPr="001A65DF">
        <w:rPr>
          <w:rFonts w:eastAsia="Arial" w:cs="Arial"/>
          <w:lang w:val="es-ES" w:eastAsia="en-GB"/>
        </w:rPr>
        <w:t>, el tiburón martillo común es la principal atracción de la industria de observación de tiburones, generando 11,3 millones de USD en 2023, con un impacto económico total superior a 17 millones de USD (</w:t>
      </w:r>
      <w:proofErr w:type="spellStart"/>
      <w:r w:rsidRPr="001A65DF">
        <w:rPr>
          <w:rFonts w:eastAsia="Arial" w:cs="Arial"/>
          <w:lang w:val="es-ES" w:eastAsia="en-GB"/>
        </w:rPr>
        <w:t>Vianna</w:t>
      </w:r>
      <w:proofErr w:type="spellEnd"/>
      <w:r w:rsidRPr="001A65DF">
        <w:rPr>
          <w:rFonts w:eastAsia="Arial" w:cs="Arial"/>
          <w:lang w:val="es-ES" w:eastAsia="en-GB"/>
        </w:rPr>
        <w:t xml:space="preserve"> et al., en preparación). La especie cumple un papel socioeconómico vital a través del turismo, generando empleos, apoyando el comercio local y contribuyendo con ingresos fiscales tanto al gobierno como a las autoridades de parques marinos (</w:t>
      </w:r>
      <w:proofErr w:type="spellStart"/>
      <w:sdt>
        <w:sdtPr>
          <w:rPr>
            <w:rFonts w:eastAsia="Calibri" w:cs="Arial"/>
            <w:lang w:val="es-ES" w:eastAsia="en-GB"/>
          </w:rPr>
          <w:tag w:val="goog_rdk_39"/>
          <w:id w:val="-122435904"/>
        </w:sdtPr>
        <w:sdtContent/>
      </w:sdt>
      <w:r w:rsidRPr="001A65DF">
        <w:rPr>
          <w:rFonts w:eastAsia="Arial" w:cs="Arial"/>
          <w:lang w:val="es-ES" w:eastAsia="en-GB"/>
        </w:rPr>
        <w:t>Lynham</w:t>
      </w:r>
      <w:proofErr w:type="spellEnd"/>
      <w:r w:rsidRPr="001A65DF">
        <w:rPr>
          <w:rFonts w:eastAsia="Arial" w:cs="Arial"/>
          <w:lang w:val="es-ES" w:eastAsia="en-GB"/>
        </w:rPr>
        <w:t xml:space="preserve"> et al. 2015; </w:t>
      </w:r>
      <w:sdt>
        <w:sdtPr>
          <w:rPr>
            <w:rFonts w:eastAsia="Calibri" w:cs="Arial"/>
            <w:lang w:val="es-ES" w:eastAsia="en-GB"/>
          </w:rPr>
          <w:tag w:val="goog_rdk_40"/>
          <w:id w:val="-968769577"/>
        </w:sdtPr>
        <w:sdtContent/>
      </w:sdt>
      <w:r w:rsidRPr="001A65DF">
        <w:rPr>
          <w:rFonts w:eastAsia="Arial" w:cs="Arial"/>
          <w:lang w:val="es-ES" w:eastAsia="en-GB"/>
        </w:rPr>
        <w:t xml:space="preserve">Peñaherrera, Llerena, and Keith 2012; </w:t>
      </w:r>
      <w:proofErr w:type="spellStart"/>
      <w:r w:rsidRPr="001A65DF">
        <w:rPr>
          <w:rFonts w:eastAsia="Arial" w:cs="Arial"/>
          <w:lang w:val="es-ES" w:eastAsia="en-GB"/>
        </w:rPr>
        <w:t>Vianna</w:t>
      </w:r>
      <w:proofErr w:type="spellEnd"/>
      <w:r w:rsidRPr="001A65DF">
        <w:rPr>
          <w:rFonts w:eastAsia="Arial" w:cs="Arial"/>
          <w:lang w:val="es-ES" w:eastAsia="en-GB"/>
        </w:rPr>
        <w:t xml:space="preserve"> et al., in </w:t>
      </w:r>
      <w:proofErr w:type="spellStart"/>
      <w:r w:rsidRPr="001A65DF">
        <w:rPr>
          <w:rFonts w:eastAsia="Arial" w:cs="Arial"/>
          <w:lang w:val="es-ES" w:eastAsia="en-GB"/>
        </w:rPr>
        <w:t>prep</w:t>
      </w:r>
      <w:proofErr w:type="spellEnd"/>
      <w:r w:rsidRPr="001A65DF">
        <w:rPr>
          <w:rFonts w:eastAsia="Arial" w:cs="Arial"/>
          <w:lang w:val="es-ES" w:eastAsia="en-GB"/>
        </w:rPr>
        <w:t>).</w:t>
      </w:r>
      <w:r w:rsidRPr="001A65DF">
        <w:rPr>
          <w:rFonts w:eastAsia="Times New Roman" w:cs="Arial"/>
          <w:color w:val="7030A0"/>
          <w:lang w:val="es-ES" w:eastAsia="en-GB"/>
        </w:rPr>
        <w:t xml:space="preserve"> </w:t>
      </w:r>
    </w:p>
    <w:p w14:paraId="266A7BAE" w14:textId="77777777" w:rsidR="00267186" w:rsidRDefault="00267186" w:rsidP="001A65DF">
      <w:pPr>
        <w:spacing w:after="0" w:line="240" w:lineRule="auto"/>
        <w:jc w:val="both"/>
        <w:rPr>
          <w:rFonts w:eastAsia="Arial" w:cs="Arial"/>
          <w:b/>
          <w:u w:val="single"/>
          <w:lang w:val="es-ES" w:eastAsia="en-GB"/>
        </w:rPr>
      </w:pPr>
    </w:p>
    <w:p w14:paraId="7D81377A" w14:textId="36639C28" w:rsidR="001A65DF" w:rsidRPr="001A65DF" w:rsidRDefault="001A65DF" w:rsidP="001A65DF">
      <w:pPr>
        <w:spacing w:after="0" w:line="240" w:lineRule="auto"/>
        <w:jc w:val="both"/>
        <w:rPr>
          <w:rFonts w:eastAsia="Arial" w:cs="Arial"/>
          <w:b/>
          <w:u w:val="single"/>
          <w:lang w:val="es-ES" w:eastAsia="en-GB"/>
        </w:rPr>
      </w:pPr>
      <w:r w:rsidRPr="001A65DF">
        <w:rPr>
          <w:rFonts w:eastAsia="Arial" w:cs="Arial"/>
          <w:b/>
          <w:u w:val="single"/>
          <w:lang w:val="es-ES" w:eastAsia="en-GB"/>
        </w:rPr>
        <w:t>6. Estado de protección y manejo de la especie</w:t>
      </w:r>
    </w:p>
    <w:p w14:paraId="613A43AC" w14:textId="77777777" w:rsidR="001A65DF" w:rsidRPr="001A65DF" w:rsidRDefault="001A65DF" w:rsidP="001A65DF">
      <w:pPr>
        <w:spacing w:after="0" w:line="240" w:lineRule="auto"/>
        <w:jc w:val="both"/>
        <w:rPr>
          <w:rFonts w:eastAsia="Arial" w:cs="Arial"/>
          <w:b/>
          <w:u w:val="single"/>
          <w:lang w:val="es-ES" w:eastAsia="en-GB"/>
        </w:rPr>
      </w:pPr>
    </w:p>
    <w:p w14:paraId="1342FD2C" w14:textId="3D62756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 xml:space="preserve">6.1 </w:t>
      </w:r>
      <w:r w:rsidRPr="001A65DF">
        <w:rPr>
          <w:rFonts w:eastAsia="Calibri" w:cs="Arial"/>
          <w:lang w:val="es-ES" w:eastAsia="en-GB"/>
        </w:rPr>
        <w:t>Estado de protección nacional</w:t>
      </w:r>
    </w:p>
    <w:p w14:paraId="0BF732BE" w14:textId="77777777" w:rsidR="001A65DF" w:rsidRPr="001A65DF" w:rsidRDefault="001A65DF" w:rsidP="001A65DF">
      <w:pPr>
        <w:spacing w:after="0" w:line="240" w:lineRule="auto"/>
        <w:ind w:left="720" w:hanging="180"/>
        <w:jc w:val="both"/>
        <w:rPr>
          <w:rFonts w:eastAsia="Arial" w:cs="Arial"/>
          <w:lang w:val="es-ES" w:eastAsia="en-GB"/>
        </w:rPr>
      </w:pPr>
    </w:p>
    <w:p w14:paraId="25624784"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Múltiples territorios han optado por implementar “Santuarios de Tiburones”, que prohíben la pesca comercial de tiburones y la exportación de productos de tiburón en toda su Zona Económica Exclusiva, lo que debería beneficiar a S. </w:t>
      </w:r>
      <w:proofErr w:type="spellStart"/>
      <w:r w:rsidRPr="001A65DF">
        <w:rPr>
          <w:rFonts w:eastAsia="Arial" w:cs="Arial"/>
          <w:lang w:val="es-ES" w:eastAsia="en-GB"/>
        </w:rPr>
        <w:t>lewini</w:t>
      </w:r>
      <w:proofErr w:type="spellEnd"/>
      <w:r w:rsidRPr="001A65DF">
        <w:rPr>
          <w:rFonts w:eastAsia="Arial" w:cs="Arial"/>
          <w:lang w:val="es-ES" w:eastAsia="en-GB"/>
        </w:rPr>
        <w:t>. Estos territorios incluyen Palau (2003, 2009), Maldivas (2010), Honduras (2011), Bahamas (2011), Tokelau (2011), Islas Marshall (2011), Polinesia Francesa (2012), Islas Cook (2012), Nueva Caledonia (2013), Islas Vírgenes Británicas (2014), Estados Federados de Micronesia (2015), Países Bajos del Caribe (2015) y República Dominicana (2015) (Ward-Paige 2017).</w:t>
      </w:r>
    </w:p>
    <w:p w14:paraId="465E5809" w14:textId="77777777" w:rsidR="001A65DF" w:rsidRPr="001A65DF" w:rsidRDefault="001A65DF" w:rsidP="001A65DF">
      <w:pPr>
        <w:spacing w:after="0" w:line="240" w:lineRule="auto"/>
        <w:jc w:val="both"/>
        <w:rPr>
          <w:rFonts w:eastAsia="Arial" w:cs="Arial"/>
          <w:lang w:val="es-ES" w:eastAsia="en-GB"/>
        </w:rPr>
      </w:pPr>
    </w:p>
    <w:p w14:paraId="2C643D3E"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Australia:</w:t>
      </w:r>
      <w:r w:rsidRPr="001A65DF">
        <w:rPr>
          <w:rFonts w:eastAsia="Arial" w:cs="Arial"/>
          <w:lang w:val="es-ES" w:eastAsia="en-GB"/>
        </w:rPr>
        <w:t xml:space="preserve"> El tiburón martillo común (</w:t>
      </w:r>
      <w:proofErr w:type="spellStart"/>
      <w:r w:rsidRPr="001A65DF">
        <w:rPr>
          <w:rFonts w:eastAsia="Arial" w:cs="Arial"/>
          <w:i/>
          <w:iCs/>
          <w:lang w:val="es-ES" w:eastAsia="en-GB"/>
        </w:rPr>
        <w:t>Sphyrna</w:t>
      </w:r>
      <w:proofErr w:type="spellEnd"/>
      <w:r w:rsidRPr="001A65DF">
        <w:rPr>
          <w:rFonts w:eastAsia="Arial" w:cs="Arial"/>
          <w:i/>
          <w:iCs/>
          <w:lang w:val="es-ES" w:eastAsia="en-GB"/>
        </w:rPr>
        <w:t xml:space="preserve">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ha sido evaluado por el Comité Científico de Especies Amenazadas (TSSC) para su inclusión en la Parte 13 de la Ley de Protección Ambiental y Conservación de la Biodiversidad de 1999 (Ley EPBC). La especie se evaluó por primera vez en 2018 y se determinó que cumple con los criterios para el estado de En Peligro y Dependiente de la Conservación. La categoría Dependiente de la Conservación se aplica a las especies marinas explotadas comercialmente que, de otro modo, serían elegibles para su inclusión en la lista de amenazadas (Vulnerables, En Peligro o En Peligro Crítico), siempre que exista un plan de manejo ejecutable para detener el declive de la población y promover la recuperación, asegurando así la supervivencia a largo plazo de la especie (subsección 179(6), Ley EPBC). Durante la reevaluación de 2024, se determinó nuevamente que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cumplía con los criterios biológicos para En Peligro según los estándares alineados con la UICN. A pesar de esto, la especie conserva la lista de Dependiente de la Conservación, lo que permite el uso comercial regulado bajo la condición de una gestión activa. A nivel estatal y territorial, </w:t>
      </w:r>
      <w:proofErr w:type="spellStart"/>
      <w:r w:rsidRPr="001A65DF">
        <w:rPr>
          <w:rFonts w:eastAsia="Arial" w:cs="Arial"/>
          <w:i/>
          <w:iCs/>
          <w:lang w:val="es-ES" w:eastAsia="en-GB"/>
        </w:rPr>
        <w:t>Sphyrna</w:t>
      </w:r>
      <w:proofErr w:type="spellEnd"/>
      <w:r w:rsidRPr="001A65DF">
        <w:rPr>
          <w:rFonts w:eastAsia="Arial" w:cs="Arial"/>
          <w:i/>
          <w:iCs/>
          <w:lang w:val="es-ES" w:eastAsia="en-GB"/>
        </w:rPr>
        <w:t xml:space="preserve">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goza de mayor protección legal. En Nueva Gales del Sur, está catalogada como En Peligro de Extinción según la Ley de Gestión Pesquera de 1994 y está designada como especie de veda, con liberación inmediata en caso de captura. En Queensland, la especie también está catalogada como En Peligro de Extinción según el Reglamento de Conservación de la Naturaleza (Animales) de 2020, y desde el 1 de enero de 2024, todas las especies de tiburón martillo están clasificadas como de veda, con liberación obligatoria de cualquier ejemplar capturado. En Victoria,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está catalogada como Dependiente de la Conservación según la Ley de Garantía de Flora y Fauna de 1988.</w:t>
      </w:r>
    </w:p>
    <w:p w14:paraId="1C8E438D" w14:textId="77777777" w:rsidR="001A65DF" w:rsidRPr="001A65DF" w:rsidRDefault="001A65DF" w:rsidP="001A65DF">
      <w:pPr>
        <w:spacing w:after="0" w:line="240" w:lineRule="auto"/>
        <w:jc w:val="both"/>
        <w:rPr>
          <w:rFonts w:eastAsia="Arial" w:cs="Arial"/>
          <w:b/>
          <w:bCs/>
          <w:lang w:val="es-ES" w:eastAsia="en-GB"/>
        </w:rPr>
      </w:pPr>
    </w:p>
    <w:p w14:paraId="18C22B67"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Brasil:</w:t>
      </w:r>
      <w:r w:rsidRPr="001A65DF">
        <w:rPr>
          <w:rFonts w:eastAsia="Arial" w:cs="Arial"/>
          <w:lang w:val="es-ES" w:eastAsia="en-GB"/>
        </w:rPr>
        <w:t xml:space="preserve"> Las siete especies de tiburones martillo presentes en Brasil están incluidas en la Ordenanza 445/2014 (actualizada por las Ordenanzas 148/2022 y 354/2023), que protege contra la captura, transporte, manipulación y comercialización de productos (Cruz et al., 2021). El Plan de Acción Nacional para la Conservación de Tiburones y Rayas Amenazados (PAN </w:t>
      </w:r>
      <w:proofErr w:type="spellStart"/>
      <w:r w:rsidRPr="001A65DF">
        <w:rPr>
          <w:rFonts w:eastAsia="Arial" w:cs="Arial"/>
          <w:lang w:val="es-ES" w:eastAsia="en-GB"/>
        </w:rPr>
        <w:t>Tubarões</w:t>
      </w:r>
      <w:proofErr w:type="spellEnd"/>
      <w:r w:rsidRPr="001A65DF">
        <w:rPr>
          <w:rFonts w:eastAsia="Arial" w:cs="Arial"/>
          <w:lang w:val="es-ES" w:eastAsia="en-GB"/>
        </w:rPr>
        <w:t>) está en implementación desde 2014 y actualmente se encuentra en su segundo ciclo y está incluyendo todos los tiburones martillo que se encuentran en Brasil.</w:t>
      </w:r>
    </w:p>
    <w:p w14:paraId="6C07C437" w14:textId="77777777" w:rsidR="001A65DF" w:rsidRPr="001A65DF" w:rsidRDefault="001A65DF" w:rsidP="001A65DF">
      <w:pPr>
        <w:spacing w:after="0" w:line="240" w:lineRule="auto"/>
        <w:jc w:val="both"/>
        <w:rPr>
          <w:rFonts w:eastAsia="Arial" w:cs="Arial"/>
          <w:lang w:val="es-ES" w:eastAsia="en-GB"/>
        </w:rPr>
      </w:pPr>
    </w:p>
    <w:p w14:paraId="00FF5BDC"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Colombia:</w:t>
      </w:r>
      <w:r w:rsidRPr="001A65DF">
        <w:rPr>
          <w:rFonts w:eastAsia="Arial" w:cs="Arial"/>
          <w:lang w:val="es-ES" w:eastAsia="en-GB"/>
        </w:rPr>
        <w:t xml:space="preserve"> El Comité Ejecutivo de Pesca de Colombia eliminó todos los tiburones y rayas de su Lista de Recursos Pesqueros (Resolución 0380, 5/3/2021), considerándolos ahora recursos hidrobiológicos que no deben ser extraídos con fines comerciales o deportivos. Como resultado, el Ministerio de Ambiente y Desarrollo Sostenible emitió el “Plan Ambiental para la Protección y Conservación de Tiburones, Rayas y Quimeras” (Decreto 218, diciembre de 2021, adoptado mediante Resolución 0854 del 5 de agosto de 2022), prohibiendo la exportación, reexportación e importación de todos los productos de tiburones, rayas y quimeras, así como su transporte y posesión, particularmente aletas de tiburón. La comercialización doméstica de carne sigue permitida en ciertos distritos costeros. El 23 de abril de 2024, la Autoridad Nacional de Acuicultura y Pesca emitió nuevas medidas para reducir capturas incidentales de tiburones y rayas (Resolución 0766, 23/4/2024), incluyendo la prohibición nacional de líderes de acero, la prohibición de poseer aletas de tiburón, desembarcar tiburones sin aletas y la obligación de entregar las aletas de tiburones desembarcados para satisfacer la demanda doméstica de carne a las autoridades.</w:t>
      </w:r>
    </w:p>
    <w:p w14:paraId="5F73AD5C" w14:textId="77777777" w:rsidR="001A65DF" w:rsidRPr="001A65DF" w:rsidRDefault="001A65DF" w:rsidP="001A65DF">
      <w:pPr>
        <w:spacing w:after="0" w:line="240" w:lineRule="auto"/>
        <w:jc w:val="both"/>
        <w:rPr>
          <w:rFonts w:eastAsia="Arial" w:cs="Arial"/>
          <w:lang w:val="es-ES" w:eastAsia="en-GB"/>
        </w:rPr>
      </w:pPr>
    </w:p>
    <w:p w14:paraId="73CE833A"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Costa Rica:</w:t>
      </w:r>
      <w:r w:rsidRPr="001A65DF">
        <w:rPr>
          <w:rFonts w:eastAsia="Arial" w:cs="Arial"/>
          <w:lang w:val="es-ES" w:eastAsia="en-GB"/>
        </w:rPr>
        <w:t xml:space="preserve"> El Decreto 43900 prohíbe la captura y retención de tiburones martillo (</w:t>
      </w:r>
      <w:proofErr w:type="spellStart"/>
      <w:r w:rsidRPr="001A65DF">
        <w:rPr>
          <w:rFonts w:eastAsia="Arial" w:cs="Arial"/>
          <w:lang w:val="es-ES" w:eastAsia="en-GB"/>
        </w:rPr>
        <w:t>Sphyrnidae</w:t>
      </w:r>
      <w:proofErr w:type="spellEnd"/>
      <w:r w:rsidRPr="001A65DF">
        <w:rPr>
          <w:rFonts w:eastAsia="Arial" w:cs="Arial"/>
          <w:lang w:val="es-ES" w:eastAsia="en-GB"/>
        </w:rPr>
        <w:t>), así como su comercio nacional e internacional, aunque permite la captura incidental y liberación segura de ejemplares vivos.</w:t>
      </w:r>
    </w:p>
    <w:p w14:paraId="548D4773" w14:textId="77777777" w:rsidR="001A65DF" w:rsidRPr="001A65DF" w:rsidRDefault="001A65DF" w:rsidP="001A65DF">
      <w:pPr>
        <w:spacing w:after="0" w:line="240" w:lineRule="auto"/>
        <w:jc w:val="both"/>
        <w:rPr>
          <w:rFonts w:eastAsia="Arial" w:cs="Arial"/>
          <w:lang w:val="es-ES" w:eastAsia="en-GB"/>
        </w:rPr>
      </w:pPr>
    </w:p>
    <w:p w14:paraId="4AFAD886"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 xml:space="preserve">República Dominicana: </w:t>
      </w:r>
      <w:r w:rsidRPr="001A65DF">
        <w:rPr>
          <w:rFonts w:eastAsia="Arial" w:cs="Arial"/>
          <w:lang w:val="es-ES" w:eastAsia="en-GB"/>
        </w:rPr>
        <w:t xml:space="preserve">Mediante la Resolución </w:t>
      </w:r>
      <w:proofErr w:type="spellStart"/>
      <w:r w:rsidRPr="001A65DF">
        <w:rPr>
          <w:rFonts w:eastAsia="Arial" w:cs="Arial"/>
          <w:lang w:val="es-ES" w:eastAsia="en-GB"/>
        </w:rPr>
        <w:t>N.°</w:t>
      </w:r>
      <w:proofErr w:type="spellEnd"/>
      <w:r w:rsidRPr="001A65DF">
        <w:rPr>
          <w:rFonts w:eastAsia="Arial" w:cs="Arial"/>
          <w:lang w:val="es-ES" w:eastAsia="en-GB"/>
        </w:rPr>
        <w:t xml:space="preserve"> 0023/2017, emitida por el Ministerio de Medio Ambiente y Recursos Naturales, se establece una prohibición indefinida de la captura, retención, comercialización, exportación e importación de todas las especies de tiburones y rayas, así como de sus productos, partes y derivados, en todo el territorio nacional. Esta medida brinda protección integral a especies como el tiburón martillo común (</w:t>
      </w:r>
      <w:proofErr w:type="spellStart"/>
      <w:r w:rsidRPr="001A65DF">
        <w:rPr>
          <w:rFonts w:eastAsia="Arial" w:cs="Arial"/>
          <w:i/>
          <w:iCs/>
          <w:lang w:val="es-ES" w:eastAsia="en-GB"/>
        </w:rPr>
        <w:t>Sphyrna</w:t>
      </w:r>
      <w:proofErr w:type="spellEnd"/>
      <w:r w:rsidRPr="001A65DF">
        <w:rPr>
          <w:rFonts w:eastAsia="Arial" w:cs="Arial"/>
          <w:i/>
          <w:iCs/>
          <w:lang w:val="es-ES" w:eastAsia="en-GB"/>
        </w:rPr>
        <w:t xml:space="preserve"> </w:t>
      </w:r>
      <w:proofErr w:type="spellStart"/>
      <w:r w:rsidRPr="001A65DF">
        <w:rPr>
          <w:rFonts w:eastAsia="Arial" w:cs="Arial"/>
          <w:i/>
          <w:iCs/>
          <w:lang w:val="es-ES" w:eastAsia="en-GB"/>
        </w:rPr>
        <w:t>lewini</w:t>
      </w:r>
      <w:proofErr w:type="spellEnd"/>
      <w:r w:rsidRPr="001A65DF">
        <w:rPr>
          <w:rFonts w:eastAsia="Arial" w:cs="Arial"/>
          <w:lang w:val="es-ES" w:eastAsia="en-GB"/>
        </w:rPr>
        <w:t>) y busca prevenir mayores declives poblacionales causados ​​por la sobrepesca y el comercio ilegal, a la vez que fortalece el cumplimiento nacional con los compromisos internacionales de conservación asumidos en virtud de la Convención de Washington (1940), la CITES y otros marcos regionales para la protección de la biodiversidad marina.</w:t>
      </w:r>
    </w:p>
    <w:p w14:paraId="14516D0A" w14:textId="77777777" w:rsidR="001A65DF" w:rsidRPr="001A65DF" w:rsidRDefault="001A65DF" w:rsidP="001A65DF">
      <w:pPr>
        <w:spacing w:after="0" w:line="240" w:lineRule="auto"/>
        <w:jc w:val="both"/>
        <w:rPr>
          <w:rFonts w:eastAsia="Arial" w:cs="Arial"/>
          <w:b/>
          <w:bCs/>
          <w:lang w:val="es-ES" w:eastAsia="en-GB"/>
        </w:rPr>
      </w:pPr>
    </w:p>
    <w:p w14:paraId="12D0E2BD"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Ecuador</w:t>
      </w:r>
      <w:r w:rsidRPr="001A65DF">
        <w:rPr>
          <w:rFonts w:eastAsia="Arial" w:cs="Arial"/>
          <w:lang w:val="es-ES" w:eastAsia="en-GB"/>
        </w:rPr>
        <w:t xml:space="preserve">: En agosto de 2013, Ecuador emitió el Acuerdo Ministerial N.º 116 mediante el cual la Subsecretaría de Recursos Pesqueros del Ministerio de Agricultura, Ganadería, Acuacultura y Pesca estableció medidas de manejo para tiburones martillo en el país. El acuerdo protege a las hembras gestantes y a los adultos de tiburón martillo, prohíbe el transporte y comercialización de tiburones martillo en barcos industriales y permite la captura incidental en embarcaciones artesanales de solo cinco individuos menores de 150 cm. Posteriormente, Ecuador prohibió la captura, comercio y exportación de cinco especies de tiburones, incluida S. </w:t>
      </w:r>
      <w:proofErr w:type="spellStart"/>
      <w:r w:rsidRPr="001A65DF">
        <w:rPr>
          <w:rFonts w:eastAsia="Arial" w:cs="Arial"/>
          <w:lang w:val="es-ES" w:eastAsia="en-GB"/>
        </w:rPr>
        <w:t>lewini</w:t>
      </w:r>
      <w:proofErr w:type="spellEnd"/>
      <w:r w:rsidRPr="001A65DF">
        <w:rPr>
          <w:rFonts w:eastAsia="Arial" w:cs="Arial"/>
          <w:lang w:val="es-ES" w:eastAsia="en-GB"/>
        </w:rPr>
        <w:t>, a partir del 10 de septiembre de 2020 (Registro Oficial N.º 988, ACUERDO Nro. MPCEIP-SRP-2020-0084-A).</w:t>
      </w:r>
    </w:p>
    <w:p w14:paraId="729738C9" w14:textId="77777777" w:rsidR="001A65DF" w:rsidRPr="001A65DF" w:rsidRDefault="001A65DF" w:rsidP="001A65DF">
      <w:pPr>
        <w:spacing w:after="0" w:line="240" w:lineRule="auto"/>
        <w:jc w:val="both"/>
        <w:rPr>
          <w:rFonts w:eastAsia="Arial" w:cs="Arial"/>
          <w:lang w:val="es-ES" w:eastAsia="en-GB"/>
        </w:rPr>
      </w:pPr>
    </w:p>
    <w:p w14:paraId="2E6A65D7"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España:</w:t>
      </w:r>
      <w:r w:rsidRPr="001A65DF">
        <w:rPr>
          <w:rFonts w:eastAsia="Arial" w:cs="Arial"/>
          <w:lang w:val="es-ES" w:eastAsia="en-GB"/>
        </w:rPr>
        <w:t xml:space="preserve"> El Ministerio de Medio Ambiente y Medio Rural y Marino prohibió la captura de tiburones martillo común mediante una Orden Ministerial que entró en vigor el 1 de enero de 2010. Según esta orden, los barcos pesqueros españoles no pueden capturar, transferir, desembarcar ni comercializar estos tiburones en ninguna de las zonas de pesca donde operan.</w:t>
      </w:r>
    </w:p>
    <w:p w14:paraId="42D1B575" w14:textId="77777777" w:rsidR="001A65DF" w:rsidRPr="001A65DF" w:rsidRDefault="001A65DF" w:rsidP="001A65DF">
      <w:pPr>
        <w:spacing w:after="0" w:line="240" w:lineRule="auto"/>
        <w:jc w:val="both"/>
        <w:rPr>
          <w:rFonts w:eastAsia="Arial" w:cs="Arial"/>
          <w:lang w:val="es-ES" w:eastAsia="en-GB"/>
        </w:rPr>
      </w:pPr>
    </w:p>
    <w:p w14:paraId="022B26DE"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Estados Unidos:</w:t>
      </w:r>
      <w:r w:rsidRPr="001A65DF">
        <w:rPr>
          <w:rFonts w:eastAsia="Arial" w:cs="Arial"/>
          <w:lang w:val="es-ES" w:eastAsia="en-GB"/>
        </w:rPr>
        <w:t xml:space="preserve"> En agosto de 2011, Estados Unidos publicó una normativa final para prohibir la retención de S. </w:t>
      </w:r>
      <w:proofErr w:type="spellStart"/>
      <w:r w:rsidRPr="001A65DF">
        <w:rPr>
          <w:rFonts w:eastAsia="Arial" w:cs="Arial"/>
          <w:lang w:val="es-ES" w:eastAsia="en-GB"/>
        </w:rPr>
        <w:t>lewini</w:t>
      </w:r>
      <w:proofErr w:type="spellEnd"/>
      <w:r w:rsidRPr="001A65DF">
        <w:rPr>
          <w:rFonts w:eastAsia="Arial" w:cs="Arial"/>
          <w:lang w:val="es-ES" w:eastAsia="en-GB"/>
        </w:rPr>
        <w:t xml:space="preserve"> en el contexto de las pesquerías ICCAT. Además, los segmentos de población del Pacífico Este y del Atlántico Este de S. </w:t>
      </w:r>
      <w:proofErr w:type="spellStart"/>
      <w:r w:rsidRPr="001A65DF">
        <w:rPr>
          <w:rFonts w:eastAsia="Arial" w:cs="Arial"/>
          <w:lang w:val="es-ES" w:eastAsia="en-GB"/>
        </w:rPr>
        <w:t>lewini</w:t>
      </w:r>
      <w:proofErr w:type="spellEnd"/>
      <w:r w:rsidRPr="001A65DF">
        <w:rPr>
          <w:rFonts w:eastAsia="Arial" w:cs="Arial"/>
          <w:lang w:val="es-ES" w:eastAsia="en-GB"/>
        </w:rPr>
        <w:t xml:space="preserve"> están listados como en peligro bajo la Ley de Especies en Peligro (</w:t>
      </w:r>
      <w:proofErr w:type="spellStart"/>
      <w:r w:rsidRPr="001A65DF">
        <w:rPr>
          <w:rFonts w:eastAsia="Arial" w:cs="Arial"/>
          <w:lang w:val="es-ES" w:eastAsia="en-GB"/>
        </w:rPr>
        <w:t>Endangered</w:t>
      </w:r>
      <w:proofErr w:type="spellEnd"/>
      <w:r w:rsidRPr="001A65DF">
        <w:rPr>
          <w:rFonts w:eastAsia="Arial" w:cs="Arial"/>
          <w:lang w:val="es-ES" w:eastAsia="en-GB"/>
        </w:rPr>
        <w:t xml:space="preserve"> </w:t>
      </w:r>
      <w:proofErr w:type="spellStart"/>
      <w:r w:rsidRPr="001A65DF">
        <w:rPr>
          <w:rFonts w:eastAsia="Arial" w:cs="Arial"/>
          <w:lang w:val="es-ES" w:eastAsia="en-GB"/>
        </w:rPr>
        <w:t>Species</w:t>
      </w:r>
      <w:proofErr w:type="spellEnd"/>
      <w:r w:rsidRPr="001A65DF">
        <w:rPr>
          <w:rFonts w:eastAsia="Arial" w:cs="Arial"/>
          <w:lang w:val="es-ES" w:eastAsia="en-GB"/>
        </w:rPr>
        <w:t xml:space="preserve"> </w:t>
      </w:r>
      <w:proofErr w:type="spellStart"/>
      <w:r w:rsidRPr="001A65DF">
        <w:rPr>
          <w:rFonts w:eastAsia="Arial" w:cs="Arial"/>
          <w:lang w:val="es-ES" w:eastAsia="en-GB"/>
        </w:rPr>
        <w:t>Act</w:t>
      </w:r>
      <w:proofErr w:type="spellEnd"/>
      <w:r w:rsidRPr="001A65DF">
        <w:rPr>
          <w:rFonts w:eastAsia="Arial" w:cs="Arial"/>
          <w:lang w:val="es-ES" w:eastAsia="en-GB"/>
        </w:rPr>
        <w:t xml:space="preserve">, 16 U.S.C. 1538(a)(1)), aplicándose todas las prohibiciones de la sección 9(a)(1), que incluyen importación, exportación, comercio interestatal o internacional, y “captura” de la especie. La definición de “captura” incluye hostigar, dañar, perseguir, cazar, disparar, herir, matar, atrapar, capturar o recolectar, o intentar realizar cualquiera de estas acciones. Estas prohibiciones se aplican a todas las personas, organizaciones y entidades bajo la jurisdicción de Estados Unidos, incluyendo su territorio y alta mar. Para las especies amenazadas (dos de los segmentos de población), la sección 4(d) de la ESA requiere que el </w:t>
      </w:r>
      <w:proofErr w:type="gramStart"/>
      <w:r w:rsidRPr="001A65DF">
        <w:rPr>
          <w:rFonts w:eastAsia="Arial" w:cs="Arial"/>
          <w:lang w:val="es-ES" w:eastAsia="en-GB"/>
        </w:rPr>
        <w:t>Secretario</w:t>
      </w:r>
      <w:proofErr w:type="gramEnd"/>
      <w:r w:rsidRPr="001A65DF">
        <w:rPr>
          <w:rFonts w:eastAsia="Arial" w:cs="Arial"/>
          <w:lang w:val="es-ES" w:eastAsia="en-GB"/>
        </w:rPr>
        <w:t xml:space="preserve"> emita regulaciones necesarias y apropiadas para la conservación. En la normativa de inclusión (79 FR 38213, 3 de julio de 2014), la NMFS evaluó las amenazas a los segmentos del Atlántico Central y Suroeste y del Indo-Pacífico Occidental, determinando que no eran necesarias regulaciones adicionales según la sección 4(d) para la conservación de estos segmentos (NOAA 2020).</w:t>
      </w:r>
    </w:p>
    <w:p w14:paraId="4C7ED290" w14:textId="77777777" w:rsidR="001A65DF" w:rsidRPr="001A65DF" w:rsidRDefault="001A65DF" w:rsidP="001A65DF">
      <w:pPr>
        <w:spacing w:after="0" w:line="240" w:lineRule="auto"/>
        <w:jc w:val="both"/>
        <w:rPr>
          <w:rFonts w:eastAsia="Arial" w:cs="Arial"/>
          <w:lang w:val="es-ES" w:eastAsia="en-GB"/>
        </w:rPr>
      </w:pPr>
    </w:p>
    <w:p w14:paraId="3860B5D5"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La región del Atlántico Noroeste y el Golfo de México es la única donde las medidas de manejo pesquero han permitido la recuperación de poblaciones agotadas. En otros lugares, a pesar de su estado “Críticamente Amenazada” según la UICN y su inclusión en medidas regionales e internacionales de conservación de biodiversidad y pesca, el estatus de protección nacional a lo largo de su distribución sigue siendo fragmentario. El éxito de las acciones acordadas mediante tratados internacionales de fauna y pesca depende de su implementación a nivel nacional; para los tiburones, estas acciones de seguimiento han sido, hasta la fecha, seriamente insuficientes (</w:t>
      </w:r>
      <w:proofErr w:type="spellStart"/>
      <w:r w:rsidRPr="001A65DF">
        <w:rPr>
          <w:rFonts w:eastAsia="Arial" w:cs="Arial"/>
          <w:lang w:val="es-ES" w:eastAsia="en-GB"/>
        </w:rPr>
        <w:t>Rigby</w:t>
      </w:r>
      <w:proofErr w:type="spellEnd"/>
      <w:r w:rsidRPr="001A65DF">
        <w:rPr>
          <w:rFonts w:eastAsia="Arial" w:cs="Arial"/>
          <w:lang w:val="es-ES" w:eastAsia="en-GB"/>
        </w:rPr>
        <w:t xml:space="preserve"> et al. 2019).</w:t>
      </w:r>
    </w:p>
    <w:p w14:paraId="712C7CD9" w14:textId="77777777" w:rsidR="001A65DF" w:rsidRPr="001A65DF" w:rsidRDefault="001A65DF" w:rsidP="001A65DF">
      <w:pPr>
        <w:spacing w:after="0" w:line="240" w:lineRule="auto"/>
        <w:jc w:val="both"/>
        <w:rPr>
          <w:rFonts w:eastAsia="Arial" w:cs="Arial"/>
          <w:lang w:val="es-ES" w:eastAsia="en-GB"/>
        </w:rPr>
      </w:pPr>
    </w:p>
    <w:p w14:paraId="52BE942E" w14:textId="77777777" w:rsidR="001A65DF" w:rsidRDefault="001A65DF" w:rsidP="00267186">
      <w:pPr>
        <w:spacing w:after="0" w:line="240" w:lineRule="auto"/>
        <w:jc w:val="both"/>
        <w:rPr>
          <w:rFonts w:eastAsia="Arial" w:cs="Arial"/>
          <w:lang w:val="es-ES" w:eastAsia="en-GB"/>
        </w:rPr>
      </w:pPr>
      <w:r w:rsidRPr="001A65DF">
        <w:rPr>
          <w:rFonts w:eastAsia="Arial" w:cs="Arial"/>
          <w:lang w:val="es-ES" w:eastAsia="en-GB"/>
        </w:rPr>
        <w:t>6.2 Estado de protección internacional</w:t>
      </w:r>
    </w:p>
    <w:p w14:paraId="4D4FB23B" w14:textId="77777777" w:rsidR="00267186" w:rsidRPr="001A65DF" w:rsidRDefault="00267186" w:rsidP="00267186">
      <w:pPr>
        <w:spacing w:after="0" w:line="240" w:lineRule="auto"/>
        <w:jc w:val="both"/>
        <w:rPr>
          <w:rFonts w:eastAsia="Arial" w:cs="Arial"/>
          <w:lang w:val="es-ES" w:eastAsia="en-GB"/>
        </w:rPr>
      </w:pPr>
    </w:p>
    <w:p w14:paraId="74479295" w14:textId="77777777"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UNCLOS:</w:t>
      </w:r>
      <w:r w:rsidRPr="001A65DF">
        <w:rPr>
          <w:rFonts w:eastAsia="Times New Roman" w:cs="Arial"/>
          <w:lang w:val="es-ES" w:eastAsia="en-GB"/>
        </w:rPr>
        <w:t xml:space="preserve"> </w:t>
      </w:r>
      <w:proofErr w:type="spellStart"/>
      <w:r w:rsidRPr="001A65DF">
        <w:rPr>
          <w:rFonts w:eastAsia="Times New Roman" w:cs="Arial"/>
          <w:i/>
          <w:iCs/>
          <w:lang w:val="es-ES" w:eastAsia="en-GB"/>
        </w:rPr>
        <w:t>Sphyrna</w:t>
      </w:r>
      <w:proofErr w:type="spellEnd"/>
      <w:r w:rsidRPr="001A65DF">
        <w:rPr>
          <w:rFonts w:eastAsia="Times New Roman" w:cs="Arial"/>
          <w:i/>
          <w:iCs/>
          <w:lang w:val="es-ES" w:eastAsia="en-GB"/>
        </w:rPr>
        <w:t xml:space="preserve"> </w:t>
      </w:r>
      <w:proofErr w:type="spellStart"/>
      <w:r w:rsidRPr="001A65DF">
        <w:rPr>
          <w:rFonts w:eastAsia="Times New Roman" w:cs="Arial"/>
          <w:i/>
          <w:iCs/>
          <w:lang w:val="es-ES" w:eastAsia="en-GB"/>
        </w:rPr>
        <w:t>lewini</w:t>
      </w:r>
      <w:proofErr w:type="spellEnd"/>
      <w:r w:rsidRPr="001A65DF">
        <w:rPr>
          <w:rFonts w:eastAsia="Times New Roman" w:cs="Arial"/>
          <w:lang w:val="es-ES" w:eastAsia="en-GB"/>
        </w:rPr>
        <w:t xml:space="preserve"> está incluida en el Anexo I de la Convención de las Naciones Unidas sobre el Derecho del Mar (UNCLOS) y, por lo tanto, debería estar sujeta a sus disposiciones relativas al manejo pesquero en aguas internacionales. El Anexo I lista especies marinas altamente migratorias que requieren conservación y manejo especiales debido a que recorren grandes distancias a través de diferentes zonas marítimas.</w:t>
      </w:r>
    </w:p>
    <w:p w14:paraId="01A5E4D5" w14:textId="77777777" w:rsidR="00267186" w:rsidRDefault="00267186" w:rsidP="001A65DF">
      <w:pPr>
        <w:spacing w:after="0" w:line="240" w:lineRule="auto"/>
        <w:jc w:val="both"/>
        <w:rPr>
          <w:rFonts w:eastAsia="Times New Roman" w:cs="Arial"/>
          <w:b/>
          <w:bCs/>
          <w:lang w:val="es-ES" w:eastAsia="en-GB"/>
        </w:rPr>
      </w:pPr>
    </w:p>
    <w:p w14:paraId="78CF5137" w14:textId="05755761"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FAO IPOA-Tiburones:</w:t>
      </w:r>
      <w:r w:rsidRPr="001A65DF">
        <w:rPr>
          <w:rFonts w:eastAsia="Times New Roman" w:cs="Arial"/>
          <w:lang w:val="es-ES" w:eastAsia="en-GB"/>
        </w:rPr>
        <w:t xml:space="preserve"> La especie está cubierta indirectamente por el Plan de Acción Internacional para la Conservación y Manejo de Tiburones (IPOA-</w:t>
      </w:r>
      <w:proofErr w:type="spellStart"/>
      <w:r w:rsidRPr="001A65DF">
        <w:rPr>
          <w:rFonts w:eastAsia="Times New Roman" w:cs="Arial"/>
          <w:lang w:val="es-ES" w:eastAsia="en-GB"/>
        </w:rPr>
        <w:t>Sharks</w:t>
      </w:r>
      <w:proofErr w:type="spellEnd"/>
      <w:r w:rsidRPr="001A65DF">
        <w:rPr>
          <w:rFonts w:eastAsia="Times New Roman" w:cs="Arial"/>
          <w:lang w:val="es-ES" w:eastAsia="en-GB"/>
        </w:rPr>
        <w:t>) de la FAO, adoptado en 1999. El IPOA-</w:t>
      </w:r>
      <w:proofErr w:type="spellStart"/>
      <w:r w:rsidRPr="001A65DF">
        <w:rPr>
          <w:rFonts w:eastAsia="Times New Roman" w:cs="Arial"/>
          <w:lang w:val="es-ES" w:eastAsia="en-GB"/>
        </w:rPr>
        <w:t>Sharks</w:t>
      </w:r>
      <w:proofErr w:type="spellEnd"/>
      <w:r w:rsidRPr="001A65DF">
        <w:rPr>
          <w:rFonts w:eastAsia="Times New Roman" w:cs="Arial"/>
          <w:lang w:val="es-ES" w:eastAsia="en-GB"/>
        </w:rPr>
        <w:t xml:space="preserve"> es un marco internacional voluntario que alienta a todos los países que pescan o comercian tiburones a desarrollar e implementar Planes Nacionales de Acción para la conservación y manejo sostenible de tiburones. Promueve la recopilación de datos específicos por especie para mejorar el conocimiento de las poblaciones, la reducción de capturas incidentales y prácticas desperdiciadoras, la protección de hábitats críticos como áreas de reproducción y crianza, y la aplicación de principios de precaución en las pesquerías de tiburones.</w:t>
      </w:r>
    </w:p>
    <w:p w14:paraId="77F8696C" w14:textId="77777777" w:rsidR="00267186" w:rsidRDefault="00267186" w:rsidP="001A65DF">
      <w:pPr>
        <w:spacing w:after="0" w:line="240" w:lineRule="auto"/>
        <w:jc w:val="both"/>
        <w:rPr>
          <w:rFonts w:eastAsia="Times New Roman" w:cs="Arial"/>
          <w:b/>
          <w:bCs/>
          <w:lang w:val="es-ES" w:eastAsia="en-GB"/>
        </w:rPr>
      </w:pPr>
    </w:p>
    <w:p w14:paraId="446BAB2F" w14:textId="54486285"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SPAW:</w:t>
      </w:r>
      <w:r w:rsidRPr="001A65DF">
        <w:rPr>
          <w:rFonts w:eastAsia="Times New Roman" w:cs="Arial"/>
          <w:lang w:val="es-ES" w:eastAsia="en-GB"/>
        </w:rPr>
        <w:t xml:space="preserve"> El Protocolo relativo a las Áreas y Especies Especialmente Protegidas (SPAW), adoptado en 2000, es la única herramienta vinculante para la protección transfronteriza de la fauna en la región del Gran Caribe. Es uno de los tres Protocolos de la Convención de Cartagena. El Anexo III del Protocolo SPAW lista especies marinas y costeras cuyo uso sostenible y racional está permitido, requiriendo que los países participantes implementen medidas de protección como prohibiciones de pesca durante la época de reproducción, limitación de métodos de pesca para evitar desapariciones locales y regulación de la venta y transporte de estas especies. </w:t>
      </w:r>
      <w:proofErr w:type="spellStart"/>
      <w:r w:rsidRPr="001A65DF">
        <w:rPr>
          <w:rFonts w:eastAsia="Times New Roman" w:cs="Arial"/>
          <w:i/>
          <w:iCs/>
          <w:lang w:val="es-ES" w:eastAsia="en-GB"/>
        </w:rPr>
        <w:t>Sphyrna</w:t>
      </w:r>
      <w:proofErr w:type="spellEnd"/>
      <w:r w:rsidRPr="001A65DF">
        <w:rPr>
          <w:rFonts w:eastAsia="Times New Roman" w:cs="Arial"/>
          <w:i/>
          <w:iCs/>
          <w:lang w:val="es-ES" w:eastAsia="en-GB"/>
        </w:rPr>
        <w:t xml:space="preserve"> </w:t>
      </w:r>
      <w:proofErr w:type="spellStart"/>
      <w:r w:rsidRPr="001A65DF">
        <w:rPr>
          <w:rFonts w:eastAsia="Times New Roman" w:cs="Arial"/>
          <w:i/>
          <w:iCs/>
          <w:lang w:val="es-ES" w:eastAsia="en-GB"/>
        </w:rPr>
        <w:t>lewini</w:t>
      </w:r>
      <w:proofErr w:type="spellEnd"/>
      <w:r w:rsidRPr="001A65DF">
        <w:rPr>
          <w:rFonts w:eastAsia="Times New Roman" w:cs="Arial"/>
          <w:lang w:val="es-ES" w:eastAsia="en-GB"/>
        </w:rPr>
        <w:t xml:space="preserve"> fue incluida en el Anexo III en 2019.</w:t>
      </w:r>
    </w:p>
    <w:p w14:paraId="368F11E3" w14:textId="77777777" w:rsidR="00267186" w:rsidRDefault="00267186" w:rsidP="001A65DF">
      <w:pPr>
        <w:spacing w:after="0" w:line="240" w:lineRule="auto"/>
        <w:jc w:val="both"/>
        <w:rPr>
          <w:rFonts w:eastAsia="Times New Roman" w:cs="Arial"/>
          <w:b/>
          <w:bCs/>
          <w:lang w:val="es-ES" w:eastAsia="en-GB"/>
        </w:rPr>
      </w:pPr>
    </w:p>
    <w:p w14:paraId="7192FBD1" w14:textId="0FF14920"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GFCM:</w:t>
      </w:r>
      <w:r w:rsidRPr="001A65DF">
        <w:rPr>
          <w:rFonts w:eastAsia="Times New Roman" w:cs="Arial"/>
          <w:lang w:val="es-ES" w:eastAsia="en-GB"/>
        </w:rPr>
        <w:t xml:space="preserve"> En 2012, la Comisión General de Pesca para el Mediterráneo (GFCM) prohibió la retención y ordenó la liberación cuidadosa del tiburón martillo común y 23 especies de elasmobranquios listadas en el Anexo II de la Convención de Barcelona. Sin embargo, la implementación por parte de los Estados miembros de la GFCM ha sido muy lenta.</w:t>
      </w:r>
    </w:p>
    <w:p w14:paraId="2ED387A6" w14:textId="77777777"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ICCAT:</w:t>
      </w:r>
      <w:r w:rsidRPr="001A65DF">
        <w:rPr>
          <w:rFonts w:eastAsia="Times New Roman" w:cs="Arial"/>
          <w:lang w:val="es-ES" w:eastAsia="en-GB"/>
        </w:rPr>
        <w:t xml:space="preserve"> En 2010, la Comisión Internacional para la Conservación del Atún Atlántico (ICCAT) introdujo prohibiciones de retención para las especies grandes de tiburón martillo. ICCAT adoptó la Recomendación BYC 10</w:t>
      </w:r>
      <w:r w:rsidRPr="001A65DF">
        <w:rPr>
          <w:rFonts w:ascii="Cambria Math" w:eastAsia="Times New Roman" w:hAnsi="Cambria Math" w:cs="Cambria Math"/>
          <w:lang w:val="es-ES" w:eastAsia="en-GB"/>
        </w:rPr>
        <w:t>‐</w:t>
      </w:r>
      <w:r w:rsidRPr="001A65DF">
        <w:rPr>
          <w:rFonts w:eastAsia="Times New Roman" w:cs="Arial"/>
          <w:lang w:val="es-ES" w:eastAsia="en-GB"/>
        </w:rPr>
        <w:t xml:space="preserve">08, que establece que las Partes Contratantes deben prohibir la retención a bordo, transbordo, desembarque, almacenamiento, venta u oferta de venta de cualquier parte o carcasa completa de tiburones martillo de la familia </w:t>
      </w:r>
      <w:proofErr w:type="spellStart"/>
      <w:r w:rsidRPr="001A65DF">
        <w:rPr>
          <w:rFonts w:eastAsia="Times New Roman" w:cs="Arial"/>
          <w:lang w:val="es-ES" w:eastAsia="en-GB"/>
        </w:rPr>
        <w:t>Sphyrnidae</w:t>
      </w:r>
      <w:proofErr w:type="spellEnd"/>
      <w:r w:rsidRPr="001A65DF">
        <w:rPr>
          <w:rFonts w:eastAsia="Times New Roman" w:cs="Arial"/>
          <w:lang w:val="es-ES" w:eastAsia="en-GB"/>
        </w:rPr>
        <w:t xml:space="preserve"> (excepto </w:t>
      </w:r>
      <w:proofErr w:type="spellStart"/>
      <w:r w:rsidRPr="001A65DF">
        <w:rPr>
          <w:rFonts w:eastAsia="Times New Roman" w:cs="Arial"/>
          <w:i/>
          <w:iCs/>
          <w:lang w:val="es-ES" w:eastAsia="en-GB"/>
        </w:rPr>
        <w:t>Sphyrna</w:t>
      </w:r>
      <w:proofErr w:type="spellEnd"/>
      <w:r w:rsidRPr="001A65DF">
        <w:rPr>
          <w:rFonts w:eastAsia="Times New Roman" w:cs="Arial"/>
          <w:i/>
          <w:iCs/>
          <w:lang w:val="es-ES" w:eastAsia="en-GB"/>
        </w:rPr>
        <w:t xml:space="preserve"> </w:t>
      </w:r>
      <w:proofErr w:type="spellStart"/>
      <w:r w:rsidRPr="001A65DF">
        <w:rPr>
          <w:rFonts w:eastAsia="Times New Roman" w:cs="Arial"/>
          <w:i/>
          <w:iCs/>
          <w:lang w:val="es-ES" w:eastAsia="en-GB"/>
        </w:rPr>
        <w:t>tiburo</w:t>
      </w:r>
      <w:proofErr w:type="spellEnd"/>
      <w:r w:rsidRPr="001A65DF">
        <w:rPr>
          <w:rFonts w:eastAsia="Times New Roman" w:cs="Arial"/>
          <w:lang w:val="es-ES" w:eastAsia="en-GB"/>
        </w:rPr>
        <w:t xml:space="preserve">), capturados en el área de la Convención en asociación con pesquerías ICCAT, con una excepción para países costeros en desarrollo para consumo local. No obstante, estas Partes deben procurar no aumentar sus capturas de la familia </w:t>
      </w:r>
      <w:proofErr w:type="spellStart"/>
      <w:r w:rsidRPr="001A65DF">
        <w:rPr>
          <w:rFonts w:eastAsia="Times New Roman" w:cs="Arial"/>
          <w:lang w:val="es-ES" w:eastAsia="en-GB"/>
        </w:rPr>
        <w:t>Sphyrnidae</w:t>
      </w:r>
      <w:proofErr w:type="spellEnd"/>
      <w:r w:rsidRPr="001A65DF">
        <w:rPr>
          <w:rFonts w:eastAsia="Times New Roman" w:cs="Arial"/>
          <w:lang w:val="es-ES" w:eastAsia="en-GB"/>
        </w:rPr>
        <w:t xml:space="preserve"> y tomar medidas para garantizar que las especies de tiburón martillo (excepto </w:t>
      </w:r>
      <w:r w:rsidRPr="001A65DF">
        <w:rPr>
          <w:rFonts w:eastAsia="Times New Roman" w:cs="Arial"/>
          <w:i/>
          <w:iCs/>
          <w:lang w:val="es-ES" w:eastAsia="en-GB"/>
        </w:rPr>
        <w:t xml:space="preserve">S. </w:t>
      </w:r>
      <w:proofErr w:type="spellStart"/>
      <w:r w:rsidRPr="001A65DF">
        <w:rPr>
          <w:rFonts w:eastAsia="Times New Roman" w:cs="Arial"/>
          <w:i/>
          <w:iCs/>
          <w:lang w:val="es-ES" w:eastAsia="en-GB"/>
        </w:rPr>
        <w:t>tiburo</w:t>
      </w:r>
      <w:proofErr w:type="spellEnd"/>
      <w:r w:rsidRPr="001A65DF">
        <w:rPr>
          <w:rFonts w:eastAsia="Times New Roman" w:cs="Arial"/>
          <w:lang w:val="es-ES" w:eastAsia="en-GB"/>
        </w:rPr>
        <w:t>) no entren en el comercio internacional. Varias propuestas para prohibir desembarques de tiburones martillo y/o establecer límites regionales de pesca a través de la Comisión Interamericana del Atún Tropical (IATTC) han sido rechazadas.</w:t>
      </w:r>
    </w:p>
    <w:p w14:paraId="1628132C" w14:textId="77777777" w:rsidR="00267186" w:rsidRDefault="00267186" w:rsidP="001A65DF">
      <w:pPr>
        <w:spacing w:after="0" w:line="240" w:lineRule="auto"/>
        <w:jc w:val="both"/>
        <w:rPr>
          <w:rFonts w:eastAsia="Times New Roman" w:cs="Arial"/>
          <w:b/>
          <w:bCs/>
          <w:lang w:val="es-ES" w:eastAsia="en-GB"/>
        </w:rPr>
      </w:pPr>
    </w:p>
    <w:p w14:paraId="0407B590" w14:textId="29AE1353"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WCPFC:</w:t>
      </w:r>
      <w:r w:rsidRPr="001A65DF">
        <w:rPr>
          <w:rFonts w:eastAsia="Times New Roman" w:cs="Arial"/>
          <w:lang w:val="es-ES" w:eastAsia="en-GB"/>
        </w:rPr>
        <w:t xml:space="preserve"> La Comisión de Pesca del Pacífico Occidental y Central (WCPFC) designó al tiburón martillo común como “especie clave de tiburón” en 2010, pero aún no ha adoptado límites de captura específicos para esta especie.</w:t>
      </w:r>
    </w:p>
    <w:p w14:paraId="7997E9D1" w14:textId="77777777" w:rsidR="00267186" w:rsidRDefault="00267186" w:rsidP="001A65DF">
      <w:pPr>
        <w:spacing w:after="0" w:line="240" w:lineRule="auto"/>
        <w:jc w:val="both"/>
        <w:rPr>
          <w:rFonts w:eastAsia="Times New Roman" w:cs="Arial"/>
          <w:b/>
          <w:bCs/>
          <w:lang w:val="es-ES" w:eastAsia="en-GB"/>
        </w:rPr>
      </w:pPr>
    </w:p>
    <w:p w14:paraId="36CD0904" w14:textId="1A74456B"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IOTC:</w:t>
      </w:r>
      <w:r w:rsidRPr="001A65DF">
        <w:rPr>
          <w:rFonts w:eastAsia="Times New Roman" w:cs="Arial"/>
          <w:lang w:val="es-ES" w:eastAsia="en-GB"/>
        </w:rPr>
        <w:t xml:space="preserve"> La Comisión del Atún del Océano Índico (IOTC) aún no ha actuado sobre las recomendaciones científicas de 2018 para adoptar medidas de manejo pesquero del tiburón martillo común.</w:t>
      </w:r>
    </w:p>
    <w:p w14:paraId="038BAB5C" w14:textId="77777777" w:rsidR="00267186" w:rsidRDefault="00267186" w:rsidP="001A65DF">
      <w:pPr>
        <w:spacing w:after="0" w:line="240" w:lineRule="auto"/>
        <w:jc w:val="both"/>
        <w:rPr>
          <w:rFonts w:eastAsia="Times New Roman" w:cs="Arial"/>
          <w:b/>
          <w:bCs/>
          <w:lang w:val="es-ES" w:eastAsia="en-GB"/>
        </w:rPr>
      </w:pPr>
    </w:p>
    <w:p w14:paraId="72DF9EAA" w14:textId="53F1EFDC"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CITES:</w:t>
      </w:r>
      <w:r w:rsidRPr="001A65DF">
        <w:rPr>
          <w:rFonts w:eastAsia="Times New Roman" w:cs="Arial"/>
          <w:lang w:val="es-ES" w:eastAsia="en-GB"/>
        </w:rPr>
        <w:t xml:space="preserve"> </w:t>
      </w:r>
      <w:r w:rsidRPr="001A65DF">
        <w:rPr>
          <w:rFonts w:eastAsia="Times New Roman" w:cs="Arial"/>
          <w:i/>
          <w:iCs/>
          <w:lang w:val="es-ES" w:eastAsia="en-GB"/>
        </w:rPr>
        <w:t xml:space="preserve">S. </w:t>
      </w:r>
      <w:proofErr w:type="spellStart"/>
      <w:r w:rsidRPr="001A65DF">
        <w:rPr>
          <w:rFonts w:eastAsia="Times New Roman" w:cs="Arial"/>
          <w:i/>
          <w:iCs/>
          <w:lang w:val="es-ES" w:eastAsia="en-GB"/>
        </w:rPr>
        <w:t>lewini</w:t>
      </w:r>
      <w:proofErr w:type="spellEnd"/>
      <w:r w:rsidRPr="001A65DF">
        <w:rPr>
          <w:rFonts w:eastAsia="Times New Roman" w:cs="Arial"/>
          <w:lang w:val="es-ES" w:eastAsia="en-GB"/>
        </w:rPr>
        <w:t xml:space="preserve"> fue incluida en el Apéndice II de CITES en la CoP16 en marzo de 2013, lo que requiere que las Partes aseguren que las exportaciones vayan acompañadas de permisos basados en que los productos provienen de pesquerías legales y sostenibles. Las Partes que deseen continuar el comercio internacional deben realizar una evaluación de No Perjuicio (Non-</w:t>
      </w:r>
      <w:proofErr w:type="spellStart"/>
      <w:r w:rsidRPr="001A65DF">
        <w:rPr>
          <w:rFonts w:eastAsia="Times New Roman" w:cs="Arial"/>
          <w:lang w:val="es-ES" w:eastAsia="en-GB"/>
        </w:rPr>
        <w:t>Detriment</w:t>
      </w:r>
      <w:proofErr w:type="spellEnd"/>
      <w:r w:rsidRPr="001A65DF">
        <w:rPr>
          <w:rFonts w:eastAsia="Times New Roman" w:cs="Arial"/>
          <w:lang w:val="es-ES" w:eastAsia="en-GB"/>
        </w:rPr>
        <w:t xml:space="preserve"> </w:t>
      </w:r>
      <w:proofErr w:type="spellStart"/>
      <w:r w:rsidRPr="001A65DF">
        <w:rPr>
          <w:rFonts w:eastAsia="Times New Roman" w:cs="Arial"/>
          <w:lang w:val="es-ES" w:eastAsia="en-GB"/>
        </w:rPr>
        <w:t>Finding</w:t>
      </w:r>
      <w:proofErr w:type="spellEnd"/>
      <w:r w:rsidRPr="001A65DF">
        <w:rPr>
          <w:rFonts w:eastAsia="Times New Roman" w:cs="Arial"/>
          <w:lang w:val="es-ES" w:eastAsia="en-GB"/>
        </w:rPr>
        <w:t>, NDF) que confirme que los productos destinados a exportación provienen de pesquerías legales y sostenibles. Además, deben registrar todas las exportaciones de especies listadas en la base de datos de comercio de CITES. Esta inclusión ha sido un motor importante para mejorar la gestión de la especie (Bond et al., 2025).</w:t>
      </w:r>
    </w:p>
    <w:p w14:paraId="5BCE475B" w14:textId="77777777" w:rsidR="00267186" w:rsidRDefault="00267186" w:rsidP="001A65DF">
      <w:pPr>
        <w:spacing w:after="0" w:line="240" w:lineRule="auto"/>
        <w:jc w:val="both"/>
        <w:rPr>
          <w:rFonts w:eastAsia="Times New Roman" w:cs="Arial"/>
          <w:b/>
          <w:bCs/>
          <w:lang w:val="es-ES" w:eastAsia="en-GB"/>
        </w:rPr>
      </w:pPr>
    </w:p>
    <w:p w14:paraId="07D6D327" w14:textId="20399322"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CMS:</w:t>
      </w:r>
      <w:r w:rsidRPr="001A65DF">
        <w:rPr>
          <w:rFonts w:eastAsia="Times New Roman" w:cs="Arial"/>
          <w:lang w:val="es-ES" w:eastAsia="en-GB"/>
        </w:rPr>
        <w:t xml:space="preserve"> </w:t>
      </w:r>
      <w:proofErr w:type="spellStart"/>
      <w:r w:rsidRPr="001A65DF">
        <w:rPr>
          <w:rFonts w:eastAsia="Times New Roman" w:cs="Arial"/>
          <w:i/>
          <w:iCs/>
          <w:lang w:val="es-ES" w:eastAsia="en-GB"/>
        </w:rPr>
        <w:t>Sphyrna</w:t>
      </w:r>
      <w:proofErr w:type="spellEnd"/>
      <w:r w:rsidRPr="001A65DF">
        <w:rPr>
          <w:rFonts w:eastAsia="Times New Roman" w:cs="Arial"/>
          <w:i/>
          <w:iCs/>
          <w:lang w:val="es-ES" w:eastAsia="en-GB"/>
        </w:rPr>
        <w:t xml:space="preserve"> </w:t>
      </w:r>
      <w:proofErr w:type="spellStart"/>
      <w:r w:rsidRPr="001A65DF">
        <w:rPr>
          <w:rFonts w:eastAsia="Times New Roman" w:cs="Arial"/>
          <w:i/>
          <w:iCs/>
          <w:lang w:val="es-ES" w:eastAsia="en-GB"/>
        </w:rPr>
        <w:t>lewini</w:t>
      </w:r>
      <w:proofErr w:type="spellEnd"/>
      <w:r w:rsidRPr="001A65DF">
        <w:rPr>
          <w:rFonts w:eastAsia="Times New Roman" w:cs="Arial"/>
          <w:lang w:val="es-ES" w:eastAsia="en-GB"/>
        </w:rPr>
        <w:t xml:space="preserve"> fue incluida en el Apéndice II de la CMS en la CoP11 en Quito, Ecuador, en 2014, mediante una propuesta conjunta de Ecuador y Costa Rica (UNEP/CMS/COP11/Doc.24.1.</w:t>
      </w:r>
      <w:proofErr w:type="gramStart"/>
      <w:r w:rsidRPr="001A65DF">
        <w:rPr>
          <w:rFonts w:eastAsia="Times New Roman" w:cs="Arial"/>
          <w:lang w:val="es-ES" w:eastAsia="en-GB"/>
        </w:rPr>
        <w:t>16.Rev.</w:t>
      </w:r>
      <w:proofErr w:type="gramEnd"/>
      <w:r w:rsidRPr="001A65DF">
        <w:rPr>
          <w:rFonts w:eastAsia="Times New Roman" w:cs="Arial"/>
          <w:lang w:val="es-ES" w:eastAsia="en-GB"/>
        </w:rPr>
        <w:t xml:space="preserve">1). Durante la reunión del Comité Plenario, se señaló que la especie cumpliría los criterios para su inclusión en el Apéndice I, y se invitó a las Partes a considerar enmendar la propuesta en ese sentido (Pew </w:t>
      </w:r>
      <w:proofErr w:type="spellStart"/>
      <w:r w:rsidRPr="001A65DF">
        <w:rPr>
          <w:rFonts w:eastAsia="Times New Roman" w:cs="Arial"/>
          <w:lang w:val="es-ES" w:eastAsia="en-GB"/>
        </w:rPr>
        <w:t>Charitable</w:t>
      </w:r>
      <w:proofErr w:type="spellEnd"/>
      <w:r w:rsidRPr="001A65DF">
        <w:rPr>
          <w:rFonts w:eastAsia="Times New Roman" w:cs="Arial"/>
          <w:lang w:val="es-ES" w:eastAsia="en-GB"/>
        </w:rPr>
        <w:t xml:space="preserve"> </w:t>
      </w:r>
      <w:proofErr w:type="spellStart"/>
      <w:r w:rsidRPr="001A65DF">
        <w:rPr>
          <w:rFonts w:eastAsia="Times New Roman" w:cs="Arial"/>
          <w:lang w:val="es-ES" w:eastAsia="en-GB"/>
        </w:rPr>
        <w:t>Trusts</w:t>
      </w:r>
      <w:proofErr w:type="spellEnd"/>
      <w:r w:rsidRPr="001A65DF">
        <w:rPr>
          <w:rFonts w:eastAsia="Times New Roman" w:cs="Arial"/>
          <w:lang w:val="es-ES" w:eastAsia="en-GB"/>
        </w:rPr>
        <w:t xml:space="preserve"> </w:t>
      </w:r>
      <w:proofErr w:type="spellStart"/>
      <w:r w:rsidRPr="001A65DF">
        <w:rPr>
          <w:rFonts w:eastAsia="Times New Roman" w:cs="Arial"/>
          <w:lang w:val="es-ES" w:eastAsia="en-GB"/>
        </w:rPr>
        <w:t>Policy</w:t>
      </w:r>
      <w:proofErr w:type="spellEnd"/>
      <w:r w:rsidRPr="001A65DF">
        <w:rPr>
          <w:rFonts w:eastAsia="Times New Roman" w:cs="Arial"/>
          <w:lang w:val="es-ES" w:eastAsia="en-GB"/>
        </w:rPr>
        <w:t xml:space="preserve"> </w:t>
      </w:r>
      <w:proofErr w:type="spellStart"/>
      <w:r w:rsidRPr="001A65DF">
        <w:rPr>
          <w:rFonts w:eastAsia="Times New Roman" w:cs="Arial"/>
          <w:lang w:val="es-ES" w:eastAsia="en-GB"/>
        </w:rPr>
        <w:t>Brief</w:t>
      </w:r>
      <w:proofErr w:type="spellEnd"/>
      <w:r w:rsidRPr="001A65DF">
        <w:rPr>
          <w:rFonts w:eastAsia="Times New Roman" w:cs="Arial"/>
          <w:lang w:val="es-ES" w:eastAsia="en-GB"/>
        </w:rPr>
        <w:t>, 2014).</w:t>
      </w:r>
    </w:p>
    <w:p w14:paraId="3DCA4F5E" w14:textId="77777777" w:rsidR="00267186" w:rsidRDefault="00267186" w:rsidP="001A65DF">
      <w:pPr>
        <w:spacing w:after="0" w:line="240" w:lineRule="auto"/>
        <w:jc w:val="both"/>
        <w:rPr>
          <w:rFonts w:eastAsia="Times New Roman" w:cs="Arial"/>
          <w:b/>
          <w:bCs/>
          <w:lang w:val="es-ES" w:eastAsia="en-GB"/>
        </w:rPr>
      </w:pPr>
    </w:p>
    <w:p w14:paraId="576F2827" w14:textId="13945D41" w:rsidR="001A65DF" w:rsidRPr="001A65DF" w:rsidRDefault="001A65DF" w:rsidP="001A65DF">
      <w:pPr>
        <w:spacing w:after="0" w:line="240" w:lineRule="auto"/>
        <w:jc w:val="both"/>
        <w:rPr>
          <w:rFonts w:eastAsia="Times New Roman" w:cs="Arial"/>
          <w:lang w:val="es-ES" w:eastAsia="en-GB"/>
        </w:rPr>
      </w:pPr>
      <w:proofErr w:type="spellStart"/>
      <w:r w:rsidRPr="001A65DF">
        <w:rPr>
          <w:rFonts w:eastAsia="Times New Roman" w:cs="Arial"/>
          <w:b/>
          <w:bCs/>
          <w:lang w:val="es-ES" w:eastAsia="en-GB"/>
        </w:rPr>
        <w:t>Sharks</w:t>
      </w:r>
      <w:proofErr w:type="spellEnd"/>
      <w:r w:rsidRPr="001A65DF">
        <w:rPr>
          <w:rFonts w:eastAsia="Times New Roman" w:cs="Arial"/>
          <w:b/>
          <w:bCs/>
          <w:lang w:val="es-ES" w:eastAsia="en-GB"/>
        </w:rPr>
        <w:t xml:space="preserve"> MOU:</w:t>
      </w:r>
      <w:r w:rsidRPr="001A65DF">
        <w:rPr>
          <w:rFonts w:eastAsia="Times New Roman" w:cs="Arial"/>
          <w:lang w:val="es-ES" w:eastAsia="en-GB"/>
        </w:rPr>
        <w:t xml:space="preserve"> La especie fue incluida en el Anexo I del Memorando de Entendimiento sobre la Conservación de Tiburones Migratorios (</w:t>
      </w:r>
      <w:proofErr w:type="spellStart"/>
      <w:r w:rsidRPr="001A65DF">
        <w:rPr>
          <w:rFonts w:eastAsia="Times New Roman" w:cs="Arial"/>
          <w:lang w:val="es-ES" w:eastAsia="en-GB"/>
        </w:rPr>
        <w:t>Sharks</w:t>
      </w:r>
      <w:proofErr w:type="spellEnd"/>
      <w:r w:rsidRPr="001A65DF">
        <w:rPr>
          <w:rFonts w:eastAsia="Times New Roman" w:cs="Arial"/>
          <w:lang w:val="es-ES" w:eastAsia="en-GB"/>
        </w:rPr>
        <w:t xml:space="preserve"> MOU) en 2016. El </w:t>
      </w:r>
      <w:proofErr w:type="spellStart"/>
      <w:r w:rsidRPr="001A65DF">
        <w:rPr>
          <w:rFonts w:eastAsia="Times New Roman" w:cs="Arial"/>
          <w:lang w:val="es-ES" w:eastAsia="en-GB"/>
        </w:rPr>
        <w:t>Sharks</w:t>
      </w:r>
      <w:proofErr w:type="spellEnd"/>
      <w:r w:rsidRPr="001A65DF">
        <w:rPr>
          <w:rFonts w:eastAsia="Times New Roman" w:cs="Arial"/>
          <w:lang w:val="es-ES" w:eastAsia="en-GB"/>
        </w:rPr>
        <w:t xml:space="preserve"> MOU es un instrumento internacional legalmente no vinculante que alienta a los países firmantes a implementar planes de conservación de tiburones con el objetivo de mejorar el conocimiento de las poblaciones migratorias, garantizar la sostenibilidad de la pesca dirigida y no dirigida, proteger hábitats críticos y etapas vitales de los tiburones, aumentar la concienciación pública sobre las amenazas a los tiburones y sus hábitats, fomentar la participación pública en actividades de conservación y fortalecer la cooperación nacional, regional e internacional.</w:t>
      </w:r>
    </w:p>
    <w:p w14:paraId="5E6447B8" w14:textId="77777777"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lang w:val="es-ES" w:eastAsia="en-GB"/>
        </w:rPr>
        <w:t xml:space="preserve">Las medidas mencionadas no han sido suficientes para permitir la recuperación de las poblaciones en las aguas de los Estados del ámbito de la CMS. </w:t>
      </w:r>
      <w:proofErr w:type="spellStart"/>
      <w:r w:rsidRPr="001A65DF">
        <w:rPr>
          <w:rFonts w:eastAsia="Times New Roman" w:cs="Arial"/>
          <w:lang w:val="es-ES" w:eastAsia="en-GB"/>
        </w:rPr>
        <w:t>Rigby</w:t>
      </w:r>
      <w:proofErr w:type="spellEnd"/>
      <w:r w:rsidRPr="001A65DF">
        <w:rPr>
          <w:rFonts w:eastAsia="Times New Roman" w:cs="Arial"/>
          <w:lang w:val="es-ES" w:eastAsia="en-GB"/>
        </w:rPr>
        <w:t xml:space="preserve"> et al. (2019) recomendaron prohibir toda retención y desembarque de tiburones martillo, al menos mientras la población mundial se mantenga como “Críticamente Amenazada” o “Amenazada”. También se requieren urgentemente iniciativas para prevenir la captura, minimizar la mortalidad por captura incidental, promover la liberación segura y mejorar la notificación de capturas (incluyendo descartes), así como la implementación completa de compromisos adicionales acordados en tratados internacionales. La inclusión del tiburón martillo común en el Apéndice I de la CMS resaltaría la necesidad de una estricta protección nacional de esta especie y sus hábitats.</w:t>
      </w:r>
    </w:p>
    <w:p w14:paraId="482038BB"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6.3 Medidas de manejo</w:t>
      </w:r>
    </w:p>
    <w:p w14:paraId="172D4470" w14:textId="77777777" w:rsidR="001A65DF" w:rsidRPr="001A65DF" w:rsidRDefault="001A65DF" w:rsidP="001A65DF">
      <w:pPr>
        <w:spacing w:after="0" w:line="240" w:lineRule="auto"/>
        <w:jc w:val="both"/>
        <w:rPr>
          <w:rFonts w:eastAsia="Arial" w:cs="Arial"/>
          <w:lang w:val="es-ES" w:eastAsia="en-GB"/>
        </w:rPr>
      </w:pPr>
    </w:p>
    <w:p w14:paraId="3EA742BF"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Panamá:</w:t>
      </w:r>
      <w:r w:rsidRPr="001A65DF">
        <w:rPr>
          <w:rFonts w:eastAsia="Arial" w:cs="Arial"/>
          <w:lang w:val="es-ES" w:eastAsia="en-GB"/>
        </w:rPr>
        <w:t xml:space="preserve"> El 25 de junio de 2024, Panamá anunció que había establecido una cuota cero para la exportación de todos los tiburones y rayas incluidos en los Apéndices de CITES (</w:t>
      </w:r>
      <w:proofErr w:type="spellStart"/>
      <w:r w:rsidRPr="001A65DF">
        <w:rPr>
          <w:rFonts w:eastAsia="Arial" w:cs="Arial"/>
          <w:lang w:val="es-ES" w:eastAsia="en-GB"/>
        </w:rPr>
        <w:t>Elasmobranchii</w:t>
      </w:r>
      <w:proofErr w:type="spellEnd"/>
      <w:r w:rsidRPr="001A65DF">
        <w:rPr>
          <w:rFonts w:eastAsia="Arial" w:cs="Arial"/>
          <w:lang w:val="es-ES" w:eastAsia="en-GB"/>
        </w:rPr>
        <w:t xml:space="preserve"> </w:t>
      </w:r>
      <w:proofErr w:type="spellStart"/>
      <w:r w:rsidRPr="001A65DF">
        <w:rPr>
          <w:rFonts w:eastAsia="Arial" w:cs="Arial"/>
          <w:lang w:val="es-ES" w:eastAsia="en-GB"/>
        </w:rPr>
        <w:t>spp</w:t>
      </w:r>
      <w:proofErr w:type="spellEnd"/>
      <w:r w:rsidRPr="001A65DF">
        <w:rPr>
          <w:rFonts w:eastAsia="Arial" w:cs="Arial"/>
          <w:lang w:val="es-ES" w:eastAsia="en-GB"/>
        </w:rPr>
        <w:t xml:space="preserve">.), incluyendo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(Notificación CITES: N.º 2024/073). Se permite la captura para satisfacer la demanda interna.</w:t>
      </w:r>
    </w:p>
    <w:p w14:paraId="31B86CDC" w14:textId="77777777" w:rsidR="001A65DF" w:rsidRPr="001A65DF" w:rsidRDefault="001A65DF" w:rsidP="001A65DF">
      <w:pPr>
        <w:spacing w:after="0" w:line="240" w:lineRule="auto"/>
        <w:jc w:val="both"/>
        <w:rPr>
          <w:rFonts w:eastAsia="Arial" w:cs="Arial"/>
          <w:lang w:val="es-ES" w:eastAsia="en-GB"/>
        </w:rPr>
      </w:pPr>
    </w:p>
    <w:p w14:paraId="0B34F4BD"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Estados Unidos de América:</w:t>
      </w:r>
      <w:r w:rsidRPr="001A65DF">
        <w:rPr>
          <w:rFonts w:eastAsia="Arial" w:cs="Arial"/>
          <w:lang w:val="es-ES" w:eastAsia="en-GB"/>
        </w:rPr>
        <w:t xml:space="preserve"> </w:t>
      </w:r>
      <w:proofErr w:type="spellStart"/>
      <w:r w:rsidRPr="001A65DF">
        <w:rPr>
          <w:rFonts w:eastAsia="Arial" w:cs="Arial"/>
          <w:i/>
          <w:iCs/>
          <w:lang w:val="es-ES" w:eastAsia="en-GB"/>
        </w:rPr>
        <w:t>Sphyrna</w:t>
      </w:r>
      <w:proofErr w:type="spellEnd"/>
      <w:r w:rsidRPr="001A65DF">
        <w:rPr>
          <w:rFonts w:eastAsia="Arial" w:cs="Arial"/>
          <w:i/>
          <w:iCs/>
          <w:lang w:val="es-ES" w:eastAsia="en-GB"/>
        </w:rPr>
        <w:t xml:space="preserve">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se maneja como parte del Complejo de Tiburones Costero Grande del Atlántico, con una evaluación de stock separada. Está </w:t>
      </w:r>
      <w:proofErr w:type="spellStart"/>
      <w:r w:rsidRPr="001A65DF">
        <w:rPr>
          <w:rFonts w:eastAsia="Arial" w:cs="Arial"/>
          <w:lang w:val="es-ES" w:eastAsia="en-GB"/>
        </w:rPr>
        <w:t>sobrepescado</w:t>
      </w:r>
      <w:proofErr w:type="spellEnd"/>
      <w:r w:rsidRPr="001A65DF">
        <w:rPr>
          <w:rFonts w:eastAsia="Arial" w:cs="Arial"/>
          <w:lang w:val="es-ES" w:eastAsia="en-GB"/>
        </w:rPr>
        <w:t xml:space="preserve"> y sufre sobrepesca (estado de stock NMFS, 4º trimestre 2011). Una evaluación del stock del noroeste del Atlántico publicada en abril de 2011 bajo la Ley Magnuson-Stevens estableció un plazo de dos años para implementar un plan de recuperación que ponga fin a la sobrepesca. La evaluación estimó que una captura total permisible (TAC) de 2,853 tiburones martillo común por año (o 69 % de la captura de 2005) permitiría una probabilidad del 70 % de reconstrucción hasta el rendimiento máximo sostenible (MSY) en 10 años. Las medidas de manejo incluyen cuotas, acceso limitado, cierres temporales por área, límites de captura recreativa y la obligación de desembarcar todos los tiburones con sus aletas naturalmente adheridas.</w:t>
      </w:r>
    </w:p>
    <w:p w14:paraId="099DAEB6" w14:textId="77777777" w:rsidR="001A65DF" w:rsidRPr="001A65DF" w:rsidRDefault="001A65DF" w:rsidP="001A65DF">
      <w:pPr>
        <w:spacing w:after="0" w:line="240" w:lineRule="auto"/>
        <w:jc w:val="both"/>
        <w:rPr>
          <w:rFonts w:eastAsia="Arial" w:cs="Arial"/>
          <w:lang w:val="es-ES" w:eastAsia="en-GB"/>
        </w:rPr>
      </w:pPr>
    </w:p>
    <w:p w14:paraId="01442A81" w14:textId="77777777" w:rsidR="001A65DF" w:rsidRPr="001A65DF" w:rsidRDefault="001A65DF" w:rsidP="001A65DF">
      <w:pPr>
        <w:spacing w:after="0" w:line="240" w:lineRule="auto"/>
        <w:jc w:val="both"/>
        <w:rPr>
          <w:rFonts w:eastAsia="Arial" w:cs="Arial"/>
          <w:color w:val="C00000"/>
          <w:lang w:val="es-ES" w:eastAsia="en-GB"/>
        </w:rPr>
      </w:pPr>
      <w:r w:rsidRPr="001A65DF">
        <w:rPr>
          <w:rFonts w:eastAsia="Arial" w:cs="Arial"/>
          <w:b/>
          <w:bCs/>
          <w:lang w:val="es-ES" w:eastAsia="en-GB"/>
        </w:rPr>
        <w:t>Unión Europea:</w:t>
      </w:r>
      <w:r w:rsidRPr="001A65DF">
        <w:rPr>
          <w:rFonts w:eastAsia="Arial" w:cs="Arial"/>
          <w:lang w:val="es-ES" w:eastAsia="en-GB"/>
        </w:rPr>
        <w:t xml:space="preserve"> La Unión Europea (UE) prohíbe la captura de tiburones martillo en toda el área de la convención ICCAT. Los países de la UE están implementando las medidas de manejo de ICCAT o cuentan con medidas nacionales más estrictas que prohíben la captura y el comercio de todos los tiburones en sus aguas.</w:t>
      </w:r>
    </w:p>
    <w:p w14:paraId="2F1F34B0" w14:textId="77777777" w:rsidR="001A65DF" w:rsidRPr="001A65DF" w:rsidRDefault="001A65DF" w:rsidP="001A65DF">
      <w:pPr>
        <w:spacing w:after="0" w:line="240" w:lineRule="auto"/>
        <w:ind w:left="720" w:hanging="180"/>
        <w:jc w:val="both"/>
        <w:rPr>
          <w:rFonts w:eastAsia="Arial" w:cs="Arial"/>
          <w:lang w:val="es-ES" w:eastAsia="en-GB"/>
        </w:rPr>
      </w:pPr>
    </w:p>
    <w:p w14:paraId="5B3502A7"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6.4 Conservación de hábitat</w:t>
      </w:r>
    </w:p>
    <w:p w14:paraId="1BB3A749" w14:textId="77777777" w:rsidR="001A65DF" w:rsidRPr="001A65DF" w:rsidRDefault="001A65DF" w:rsidP="001A65DF">
      <w:pPr>
        <w:spacing w:after="0" w:line="240" w:lineRule="auto"/>
        <w:jc w:val="both"/>
        <w:rPr>
          <w:rFonts w:eastAsia="Arial" w:cs="Arial"/>
          <w:lang w:val="es-ES" w:eastAsia="en-GB"/>
        </w:rPr>
      </w:pPr>
    </w:p>
    <w:p w14:paraId="562558CF"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La iniciativa de la Grupo Especialista de Tiburones de la UICN sobre Áreas Importantes para Tiburones y Rayas (ISRA, por sus siglas en inglés) ya ha identificado varias áreas de importancia para el tiburón martillo común (</w:t>
      </w:r>
      <w:proofErr w:type="spellStart"/>
      <w:r w:rsidRPr="001A65DF">
        <w:rPr>
          <w:rFonts w:eastAsia="Arial" w:cs="Arial"/>
          <w:i/>
          <w:iCs/>
          <w:color w:val="000000"/>
          <w:lang w:val="es-ES" w:eastAsia="en-GB"/>
        </w:rPr>
        <w:t>Sphyrna</w:t>
      </w:r>
      <w:proofErr w:type="spellEnd"/>
      <w:r w:rsidRPr="001A65DF">
        <w:rPr>
          <w:rFonts w:eastAsia="Arial" w:cs="Arial"/>
          <w:i/>
          <w:iCs/>
          <w:color w:val="000000"/>
          <w:lang w:val="es-ES" w:eastAsia="en-GB"/>
        </w:rPr>
        <w:t xml:space="preserve"> </w:t>
      </w:r>
      <w:proofErr w:type="spellStart"/>
      <w:r w:rsidRPr="001A65DF">
        <w:rPr>
          <w:rFonts w:eastAsia="Arial" w:cs="Arial"/>
          <w:i/>
          <w:iCs/>
          <w:color w:val="000000"/>
          <w:lang w:val="es-ES" w:eastAsia="en-GB"/>
        </w:rPr>
        <w:t>lewini</w:t>
      </w:r>
      <w:proofErr w:type="spellEnd"/>
      <w:r w:rsidRPr="001A65DF">
        <w:rPr>
          <w:rFonts w:eastAsia="Arial" w:cs="Arial"/>
          <w:color w:val="000000"/>
          <w:lang w:val="es-ES" w:eastAsia="en-GB"/>
        </w:rPr>
        <w:t xml:space="preserve">), incluyendo zonas de parto y crianza, áreas de alimentación y corredores migratorios. Las </w:t>
      </w:r>
      <w:proofErr w:type="spellStart"/>
      <w:r w:rsidRPr="001A65DF">
        <w:rPr>
          <w:rFonts w:eastAsia="Arial" w:cs="Arial"/>
          <w:color w:val="000000"/>
          <w:lang w:val="es-ES" w:eastAsia="en-GB"/>
        </w:rPr>
        <w:t>ISRAs</w:t>
      </w:r>
      <w:proofErr w:type="spellEnd"/>
      <w:r w:rsidRPr="001A65DF">
        <w:rPr>
          <w:rFonts w:eastAsia="Arial" w:cs="Arial"/>
          <w:color w:val="000000"/>
          <w:lang w:val="es-ES" w:eastAsia="en-GB"/>
        </w:rPr>
        <w:t xml:space="preserve"> de tiburón martillo que aún no cuentan con regulaciones adecuadas se beneficiarían de la implementación de medidas de conservación basadas en áreas y específicas por especie.</w:t>
      </w:r>
    </w:p>
    <w:p w14:paraId="71CCED5D" w14:textId="77777777" w:rsidR="001A65DF" w:rsidRPr="001A65DF" w:rsidRDefault="001A65DF" w:rsidP="001A65DF">
      <w:pPr>
        <w:spacing w:after="0" w:line="240" w:lineRule="auto"/>
        <w:jc w:val="both"/>
        <w:rPr>
          <w:rFonts w:eastAsia="Arial" w:cs="Arial"/>
          <w:color w:val="000000"/>
          <w:lang w:val="es-ES" w:eastAsia="en-GB"/>
        </w:rPr>
      </w:pPr>
    </w:p>
    <w:p w14:paraId="5DBB05C4"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 xml:space="preserve">Los sitios de agregación de </w:t>
      </w:r>
      <w:r w:rsidRPr="001A65DF">
        <w:rPr>
          <w:rFonts w:eastAsia="Arial" w:cs="Arial"/>
          <w:i/>
          <w:iCs/>
          <w:color w:val="000000"/>
          <w:lang w:val="es-ES" w:eastAsia="en-GB"/>
        </w:rPr>
        <w:t xml:space="preserve">S. </w:t>
      </w:r>
      <w:proofErr w:type="spellStart"/>
      <w:r w:rsidRPr="001A65DF">
        <w:rPr>
          <w:rFonts w:eastAsia="Arial" w:cs="Arial"/>
          <w:i/>
          <w:iCs/>
          <w:color w:val="000000"/>
          <w:lang w:val="es-ES" w:eastAsia="en-GB"/>
        </w:rPr>
        <w:t>lewini</w:t>
      </w:r>
      <w:proofErr w:type="spellEnd"/>
      <w:r w:rsidRPr="001A65DF">
        <w:rPr>
          <w:rFonts w:eastAsia="Arial" w:cs="Arial"/>
          <w:color w:val="000000"/>
          <w:lang w:val="es-ES" w:eastAsia="en-GB"/>
        </w:rPr>
        <w:t xml:space="preserve"> adultos en islas remotas del Pacífico Tropical Oriental, como la Isla Malpelo (Colombia), Cocos (Costa Rica), el Archipiélago de </w:t>
      </w:r>
      <w:proofErr w:type="gramStart"/>
      <w:r w:rsidRPr="001A65DF">
        <w:rPr>
          <w:rFonts w:eastAsia="Arial" w:cs="Arial"/>
          <w:color w:val="000000"/>
          <w:lang w:val="es-ES" w:eastAsia="en-GB"/>
        </w:rPr>
        <w:t>Galápagos</w:t>
      </w:r>
      <w:proofErr w:type="gramEnd"/>
      <w:r w:rsidRPr="001A65DF">
        <w:rPr>
          <w:rFonts w:eastAsia="Arial" w:cs="Arial"/>
          <w:color w:val="000000"/>
          <w:lang w:val="es-ES" w:eastAsia="en-GB"/>
        </w:rPr>
        <w:t xml:space="preserve"> (Ecuador) y Revillagigedo (México), gozan actualmente de estricta protección frente a la pesca como áreas marinas protegidas bajo regímenes de no captura.</w:t>
      </w:r>
    </w:p>
    <w:p w14:paraId="6AD90924" w14:textId="77777777" w:rsidR="001A65DF" w:rsidRPr="001A65DF" w:rsidRDefault="001A65DF" w:rsidP="001A65DF">
      <w:pPr>
        <w:spacing w:after="0" w:line="240" w:lineRule="auto"/>
        <w:jc w:val="both"/>
        <w:rPr>
          <w:rFonts w:eastAsia="Arial" w:cs="Arial"/>
          <w:color w:val="000000"/>
          <w:lang w:val="es-ES" w:eastAsia="en-GB"/>
        </w:rPr>
      </w:pPr>
    </w:p>
    <w:p w14:paraId="23409B39"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b/>
          <w:bCs/>
          <w:color w:val="000000"/>
          <w:lang w:val="es-ES" w:eastAsia="en-GB"/>
        </w:rPr>
        <w:t>Ecuador:</w:t>
      </w:r>
      <w:r w:rsidRPr="001A65DF">
        <w:rPr>
          <w:rFonts w:eastAsia="Arial" w:cs="Arial"/>
          <w:color w:val="000000"/>
          <w:lang w:val="es-ES" w:eastAsia="en-GB"/>
        </w:rPr>
        <w:t xml:space="preserve"> En marzo de 2016, Ecuador prohibió la pesca en el área norte de la Reserva Marina de </w:t>
      </w:r>
      <w:proofErr w:type="gramStart"/>
      <w:r w:rsidRPr="001A65DF">
        <w:rPr>
          <w:rFonts w:eastAsia="Arial" w:cs="Arial"/>
          <w:color w:val="000000"/>
          <w:lang w:val="es-ES" w:eastAsia="en-GB"/>
        </w:rPr>
        <w:t>Galápagos</w:t>
      </w:r>
      <w:proofErr w:type="gramEnd"/>
      <w:r w:rsidRPr="001A65DF">
        <w:rPr>
          <w:rFonts w:eastAsia="Arial" w:cs="Arial"/>
          <w:color w:val="000000"/>
          <w:lang w:val="es-ES" w:eastAsia="en-GB"/>
        </w:rPr>
        <w:t xml:space="preserve"> (GMR), abarcando 38,000 km² de aguas de no captura alrededor de las Islas Wolf y Darwin (Acuerdo Ministerial 026-A).</w:t>
      </w:r>
    </w:p>
    <w:p w14:paraId="008F97FA" w14:textId="77777777" w:rsidR="001A65DF" w:rsidRPr="001A65DF" w:rsidRDefault="001A65DF" w:rsidP="001A65DF">
      <w:pPr>
        <w:spacing w:after="0" w:line="240" w:lineRule="auto"/>
        <w:jc w:val="both"/>
        <w:rPr>
          <w:rFonts w:eastAsia="Arial" w:cs="Arial"/>
          <w:color w:val="000000"/>
          <w:lang w:val="es-ES" w:eastAsia="en-GB"/>
        </w:rPr>
      </w:pPr>
    </w:p>
    <w:p w14:paraId="1FC60320"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El Santuario de Fauna y Flora de Malpelo se amplió para cubrir actualmente 26.679,08 km2 de aguas sin captación (Ministerio de Ambiente y Desarrollo Sostenible, Colombia, Resolución N°1907, 14 de septiembre de 2017.</w:t>
      </w:r>
    </w:p>
    <w:p w14:paraId="0A72AA09" w14:textId="77777777" w:rsidR="001A65DF" w:rsidRPr="001A65DF" w:rsidRDefault="001A65DF" w:rsidP="001A65DF">
      <w:pPr>
        <w:spacing w:after="0" w:line="240" w:lineRule="auto"/>
        <w:jc w:val="both"/>
        <w:rPr>
          <w:rFonts w:eastAsia="Arial" w:cs="Arial"/>
          <w:color w:val="000000"/>
          <w:lang w:val="es-ES" w:eastAsia="en-GB"/>
        </w:rPr>
      </w:pPr>
    </w:p>
    <w:p w14:paraId="6BF1DE37"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b/>
          <w:bCs/>
          <w:color w:val="000000"/>
          <w:lang w:val="es-ES" w:eastAsia="en-GB"/>
        </w:rPr>
        <w:t>Colombia:</w:t>
      </w:r>
      <w:r w:rsidRPr="001A65DF">
        <w:rPr>
          <w:rFonts w:eastAsia="Arial" w:cs="Arial"/>
          <w:color w:val="000000"/>
          <w:lang w:val="es-ES" w:eastAsia="en-GB"/>
        </w:rPr>
        <w:t xml:space="preserve"> El Santuario de Fauna y Flora Malpelo se amplió para cubrir actualmente 26,679.08 km² de aguas de no captura (Ministerio de Ambiente y Desarrollo Sostenible, Resolución N.º 1907, 14 de septiembre de 2017).</w:t>
      </w:r>
    </w:p>
    <w:p w14:paraId="38E6DC5B" w14:textId="77777777" w:rsidR="001A65DF" w:rsidRPr="001A65DF" w:rsidRDefault="001A65DF" w:rsidP="001A65DF">
      <w:pPr>
        <w:spacing w:after="0" w:line="240" w:lineRule="auto"/>
        <w:jc w:val="both"/>
        <w:rPr>
          <w:rFonts w:eastAsia="Arial" w:cs="Arial"/>
          <w:color w:val="000000"/>
          <w:lang w:val="es-ES" w:eastAsia="en-GB"/>
        </w:rPr>
      </w:pPr>
    </w:p>
    <w:p w14:paraId="0BA04E60"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b/>
          <w:bCs/>
          <w:color w:val="000000"/>
          <w:lang w:val="es-ES" w:eastAsia="en-GB"/>
        </w:rPr>
        <w:t>Costa Rica:</w:t>
      </w:r>
      <w:r w:rsidRPr="001A65DF">
        <w:rPr>
          <w:rFonts w:eastAsia="Arial" w:cs="Arial"/>
          <w:color w:val="000000"/>
          <w:lang w:val="es-ES" w:eastAsia="en-GB"/>
        </w:rPr>
        <w:t xml:space="preserve"> La expansión del Parque Nacional Isla Cocos pasó de un radio de 12 millas náuticas que cubría 2,000 km² a un rectángulo de 54,000 km², en el que los </w:t>
      </w:r>
      <w:proofErr w:type="spellStart"/>
      <w:r w:rsidRPr="001A65DF">
        <w:rPr>
          <w:rFonts w:eastAsia="Arial" w:cs="Arial"/>
          <w:color w:val="000000"/>
          <w:lang w:val="es-ES" w:eastAsia="en-GB"/>
        </w:rPr>
        <w:t>seamounts</w:t>
      </w:r>
      <w:proofErr w:type="spellEnd"/>
      <w:r w:rsidRPr="001A65DF">
        <w:rPr>
          <w:rFonts w:eastAsia="Arial" w:cs="Arial"/>
          <w:color w:val="000000"/>
          <w:lang w:val="es-ES" w:eastAsia="en-GB"/>
        </w:rPr>
        <w:t xml:space="preserve"> Las Gemelas y West Cocos, dos de los montes submarinos con mayor diversidad de pelágicos grandes a lo largo de la SCR (Cambra et al., 2021), están ahora completamente protegidos.</w:t>
      </w:r>
    </w:p>
    <w:p w14:paraId="1FEB7F03" w14:textId="77777777" w:rsidR="001A65DF" w:rsidRPr="001A65DF" w:rsidRDefault="001A65DF" w:rsidP="001A65DF">
      <w:pPr>
        <w:spacing w:after="0" w:line="240" w:lineRule="auto"/>
        <w:jc w:val="both"/>
        <w:rPr>
          <w:rFonts w:eastAsia="Arial" w:cs="Arial"/>
          <w:color w:val="000000"/>
          <w:lang w:val="es-ES" w:eastAsia="en-GB"/>
        </w:rPr>
      </w:pPr>
    </w:p>
    <w:p w14:paraId="28744A2B"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Se estableció un Santuario de Tiburones Martillo en el Golfo Dulce, Pacífico Sur de Costa Rica (Decreto N.º 41056-MINAE, La Gaceta N.º 80, 9/5/2018), cubriendo un área de 42.1 km² donde se prohíbe toda captura, retención y comercialización de tiburones martillo. Sin embargo, se permite la captura incidental, con la obligación de liberar los ejemplares vivos de forma segura.</w:t>
      </w:r>
    </w:p>
    <w:p w14:paraId="104E1051" w14:textId="77777777" w:rsidR="001A65DF" w:rsidRPr="001A65DF" w:rsidRDefault="001A65DF" w:rsidP="001A65DF">
      <w:pPr>
        <w:spacing w:after="0" w:line="240" w:lineRule="auto"/>
        <w:jc w:val="both"/>
        <w:rPr>
          <w:rFonts w:eastAsia="Arial" w:cs="Arial"/>
          <w:color w:val="000000"/>
          <w:lang w:val="es-ES" w:eastAsia="en-GB"/>
        </w:rPr>
      </w:pPr>
    </w:p>
    <w:p w14:paraId="1DD4ABD9"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b/>
          <w:bCs/>
          <w:color w:val="000000"/>
          <w:lang w:val="es-ES" w:eastAsia="en-GB"/>
        </w:rPr>
        <w:t>México:</w:t>
      </w:r>
      <w:r w:rsidRPr="001A65DF">
        <w:rPr>
          <w:rFonts w:eastAsia="Arial" w:cs="Arial"/>
          <w:color w:val="000000"/>
          <w:lang w:val="es-ES" w:eastAsia="en-GB"/>
        </w:rPr>
        <w:t xml:space="preserve"> Se declararon áreas de no captura en el Parque Nacional Cabo </w:t>
      </w:r>
      <w:proofErr w:type="spellStart"/>
      <w:r w:rsidRPr="001A65DF">
        <w:rPr>
          <w:rFonts w:eastAsia="Arial" w:cs="Arial"/>
          <w:color w:val="000000"/>
          <w:lang w:val="es-ES" w:eastAsia="en-GB"/>
        </w:rPr>
        <w:t>Pulmo</w:t>
      </w:r>
      <w:proofErr w:type="spellEnd"/>
      <w:r w:rsidRPr="001A65DF">
        <w:rPr>
          <w:rFonts w:eastAsia="Arial" w:cs="Arial"/>
          <w:color w:val="000000"/>
          <w:lang w:val="es-ES" w:eastAsia="en-GB"/>
        </w:rPr>
        <w:t xml:space="preserve">, en la punta de la península de Baja California, y en el Parque Nacional Revillagigedo (RNP) en el Pacífico Mexicano. El Parque Nacional Revillagigedo se considera la mayor reserva marina de Norteamérica (Aldana-Moreno et al., 2019). Fue establecido en 2017 para proteger grandes agregaciones de fauna pelágica dentro de sus 148,000 km², incluyendo S. </w:t>
      </w:r>
      <w:proofErr w:type="spellStart"/>
      <w:r w:rsidRPr="001A65DF">
        <w:rPr>
          <w:rFonts w:eastAsia="Arial" w:cs="Arial"/>
          <w:color w:val="000000"/>
          <w:lang w:val="es-ES" w:eastAsia="en-GB"/>
        </w:rPr>
        <w:t>lewini</w:t>
      </w:r>
      <w:proofErr w:type="spellEnd"/>
      <w:r w:rsidRPr="001A65DF">
        <w:rPr>
          <w:rFonts w:eastAsia="Arial" w:cs="Arial"/>
          <w:color w:val="000000"/>
          <w:lang w:val="es-ES" w:eastAsia="en-GB"/>
        </w:rPr>
        <w:t xml:space="preserve"> (DOF, 2017).</w:t>
      </w:r>
    </w:p>
    <w:p w14:paraId="02D1750F" w14:textId="77777777" w:rsidR="001A65DF" w:rsidRPr="001A65DF" w:rsidRDefault="001A65DF" w:rsidP="001A65DF">
      <w:pPr>
        <w:spacing w:after="0" w:line="240" w:lineRule="auto"/>
        <w:jc w:val="both"/>
        <w:rPr>
          <w:rFonts w:eastAsia="Arial" w:cs="Arial"/>
          <w:color w:val="000000"/>
          <w:lang w:val="es-ES" w:eastAsia="en-GB"/>
        </w:rPr>
      </w:pPr>
    </w:p>
    <w:p w14:paraId="38847008"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b/>
          <w:bCs/>
          <w:color w:val="000000"/>
          <w:lang w:val="es-ES" w:eastAsia="en-GB"/>
        </w:rPr>
        <w:t>Sudáfrica:</w:t>
      </w:r>
      <w:r w:rsidRPr="001A65DF">
        <w:rPr>
          <w:rFonts w:eastAsia="Arial" w:cs="Arial"/>
          <w:color w:val="000000"/>
          <w:lang w:val="es-ES" w:eastAsia="en-GB"/>
        </w:rPr>
        <w:t xml:space="preserve"> En 2019 se declaró el Área Marina Protegida </w:t>
      </w:r>
      <w:proofErr w:type="spellStart"/>
      <w:r w:rsidRPr="001A65DF">
        <w:rPr>
          <w:rFonts w:eastAsia="Arial" w:cs="Arial"/>
          <w:color w:val="000000"/>
          <w:lang w:val="es-ES" w:eastAsia="en-GB"/>
        </w:rPr>
        <w:t>Protea</w:t>
      </w:r>
      <w:proofErr w:type="spellEnd"/>
      <w:r w:rsidRPr="001A65DF">
        <w:rPr>
          <w:rFonts w:eastAsia="Arial" w:cs="Arial"/>
          <w:color w:val="000000"/>
          <w:lang w:val="es-ES" w:eastAsia="en-GB"/>
        </w:rPr>
        <w:t xml:space="preserve"> Banks, que cubre 1,200 km² y abarca hábitats con profundidades de 40 a 1,000 m. El área protegida está zonificada para permitir a los pescadores de línea beneficiarse del efecto rebose de las zonas de no captura adyacentes. Los tiburones están completamente protegidos en toda el área, especialmente debido a los cardúmenes de </w:t>
      </w:r>
      <w:r w:rsidRPr="001A65DF">
        <w:rPr>
          <w:rFonts w:eastAsia="Arial" w:cs="Arial"/>
          <w:i/>
          <w:iCs/>
          <w:color w:val="000000"/>
          <w:lang w:val="es-ES" w:eastAsia="en-GB"/>
        </w:rPr>
        <w:t xml:space="preserve">S. </w:t>
      </w:r>
      <w:proofErr w:type="spellStart"/>
      <w:r w:rsidRPr="001A65DF">
        <w:rPr>
          <w:rFonts w:eastAsia="Arial" w:cs="Arial"/>
          <w:i/>
          <w:iCs/>
          <w:color w:val="000000"/>
          <w:lang w:val="es-ES" w:eastAsia="en-GB"/>
        </w:rPr>
        <w:t>lewini</w:t>
      </w:r>
      <w:proofErr w:type="spellEnd"/>
      <w:r w:rsidRPr="001A65DF">
        <w:rPr>
          <w:rFonts w:eastAsia="Arial" w:cs="Arial"/>
          <w:color w:val="000000"/>
          <w:lang w:val="es-ES" w:eastAsia="en-GB"/>
        </w:rPr>
        <w:t xml:space="preserve"> que residen en ella.</w:t>
      </w:r>
    </w:p>
    <w:p w14:paraId="4BCAA37F" w14:textId="77777777" w:rsidR="001A65DF" w:rsidRPr="001A65DF" w:rsidRDefault="001A65DF" w:rsidP="001A65DF">
      <w:pPr>
        <w:spacing w:after="0" w:line="240" w:lineRule="auto"/>
        <w:jc w:val="both"/>
        <w:rPr>
          <w:rFonts w:eastAsia="Arial" w:cs="Arial"/>
          <w:lang w:val="es-ES" w:eastAsia="en-GB"/>
        </w:rPr>
      </w:pPr>
    </w:p>
    <w:p w14:paraId="37EF1FA5"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6.5 Monitoreo de la población</w:t>
      </w:r>
    </w:p>
    <w:p w14:paraId="6B9DD4FB" w14:textId="77777777" w:rsidR="001A65DF" w:rsidRPr="001A65DF" w:rsidRDefault="001A65DF" w:rsidP="001A65DF">
      <w:pPr>
        <w:spacing w:after="0" w:line="240" w:lineRule="auto"/>
        <w:ind w:left="720" w:hanging="180"/>
        <w:jc w:val="both"/>
        <w:rPr>
          <w:rFonts w:eastAsia="Arial" w:cs="Arial"/>
          <w:lang w:val="es-ES" w:eastAsia="en-GB"/>
        </w:rPr>
      </w:pPr>
    </w:p>
    <w:p w14:paraId="21008B6F"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El monitoreo de la población requiere la recopilación de datos de captura y comercio a nivel de especie para poder evaluarlos a lo largo del tiempo. Los datos de desembarque específicos por especie han mejorado, pero aún son ampliamente insuficientes; con frecuencia, las capturas de tiburón martillo se agrupan como </w:t>
      </w:r>
      <w:proofErr w:type="spellStart"/>
      <w:r w:rsidRPr="001A65DF">
        <w:rPr>
          <w:rFonts w:eastAsia="Arial" w:cs="Arial"/>
          <w:lang w:val="es-ES" w:eastAsia="en-GB"/>
        </w:rPr>
        <w:t>Sphyrna</w:t>
      </w:r>
      <w:proofErr w:type="spellEnd"/>
      <w:r w:rsidRPr="001A65DF">
        <w:rPr>
          <w:rFonts w:eastAsia="Arial" w:cs="Arial"/>
          <w:lang w:val="es-ES" w:eastAsia="en-GB"/>
        </w:rPr>
        <w:t xml:space="preserve"> </w:t>
      </w:r>
      <w:proofErr w:type="spellStart"/>
      <w:r w:rsidRPr="001A65DF">
        <w:rPr>
          <w:rFonts w:eastAsia="Arial" w:cs="Arial"/>
          <w:lang w:val="es-ES" w:eastAsia="en-GB"/>
        </w:rPr>
        <w:t>spp</w:t>
      </w:r>
      <w:proofErr w:type="spellEnd"/>
      <w:r w:rsidRPr="001A65DF">
        <w:rPr>
          <w:rFonts w:eastAsia="Arial" w:cs="Arial"/>
          <w:lang w:val="es-ES" w:eastAsia="en-GB"/>
        </w:rPr>
        <w:t xml:space="preserve">. o </w:t>
      </w:r>
      <w:proofErr w:type="spellStart"/>
      <w:r w:rsidRPr="001A65DF">
        <w:rPr>
          <w:rFonts w:eastAsia="Arial" w:cs="Arial"/>
          <w:lang w:val="es-ES" w:eastAsia="en-GB"/>
        </w:rPr>
        <w:t>Sphyrnidae</w:t>
      </w:r>
      <w:proofErr w:type="spellEnd"/>
      <w:r w:rsidRPr="001A65DF">
        <w:rPr>
          <w:rFonts w:eastAsia="Arial" w:cs="Arial"/>
          <w:lang w:val="es-ES" w:eastAsia="en-GB"/>
        </w:rPr>
        <w:t xml:space="preserve">. Además, </w:t>
      </w:r>
      <w:r w:rsidRPr="001A65DF">
        <w:rPr>
          <w:rFonts w:eastAsia="Arial" w:cs="Arial"/>
          <w:i/>
          <w:iCs/>
          <w:lang w:val="es-ES" w:eastAsia="en-GB"/>
        </w:rPr>
        <w:t xml:space="preserve">S. </w:t>
      </w:r>
      <w:proofErr w:type="spellStart"/>
      <w:r w:rsidRPr="001A65DF">
        <w:rPr>
          <w:rFonts w:eastAsia="Arial" w:cs="Arial"/>
          <w:i/>
          <w:iCs/>
          <w:lang w:val="es-ES" w:eastAsia="en-GB"/>
        </w:rPr>
        <w:t>zygaena</w:t>
      </w:r>
      <w:proofErr w:type="spellEnd"/>
      <w:r w:rsidRPr="001A65DF">
        <w:rPr>
          <w:rFonts w:eastAsia="Arial" w:cs="Arial"/>
          <w:lang w:val="es-ES" w:eastAsia="en-GB"/>
        </w:rPr>
        <w:t xml:space="preserve"> (tiburón martillo liso) y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lang w:val="es-ES" w:eastAsia="en-GB"/>
        </w:rPr>
        <w:t xml:space="preserve"> son frecuentemente identificados incorrectamente, incluso a nivel de género (Maguire et al., 2006). Los datos de comercio internacional a nivel de especie están mejorando gracias a la inclusión en el Apéndice II de CITES. Con el tiempo, esto proporcionará un recurso valioso que, junto con datos dependientes e independientes de la pesca, permitirá monitorear las poblaciones de </w:t>
      </w:r>
      <w:r w:rsidRPr="001A65DF">
        <w:rPr>
          <w:rFonts w:eastAsia="Arial" w:cs="Arial"/>
          <w:i/>
          <w:iCs/>
          <w:lang w:val="es-ES" w:eastAsia="en-GB"/>
        </w:rPr>
        <w:t xml:space="preserve">S. </w:t>
      </w:r>
      <w:proofErr w:type="spellStart"/>
      <w:r w:rsidRPr="001A65DF">
        <w:rPr>
          <w:rFonts w:eastAsia="Arial" w:cs="Arial"/>
          <w:i/>
          <w:iCs/>
          <w:lang w:val="es-ES" w:eastAsia="en-GB"/>
        </w:rPr>
        <w:t>lewini</w:t>
      </w:r>
      <w:proofErr w:type="spellEnd"/>
      <w:r w:rsidRPr="001A65DF">
        <w:rPr>
          <w:rFonts w:eastAsia="Arial" w:cs="Arial"/>
          <w:i/>
          <w:iCs/>
          <w:lang w:val="es-ES" w:eastAsia="en-GB"/>
        </w:rPr>
        <w:t>.</w:t>
      </w:r>
    </w:p>
    <w:p w14:paraId="2CF1EAAE" w14:textId="77777777" w:rsidR="001A65DF" w:rsidRPr="001A65DF" w:rsidRDefault="001A65DF" w:rsidP="001A65DF">
      <w:pPr>
        <w:spacing w:after="0" w:line="240" w:lineRule="auto"/>
        <w:jc w:val="both"/>
        <w:rPr>
          <w:rFonts w:eastAsia="Arial" w:cs="Arial"/>
          <w:lang w:val="es-ES" w:eastAsia="en-GB"/>
        </w:rPr>
      </w:pPr>
    </w:p>
    <w:p w14:paraId="57C4E861" w14:textId="537A52D5" w:rsidR="001A65DF" w:rsidRPr="001A65DF" w:rsidRDefault="001A65DF" w:rsidP="001A65DF">
      <w:pPr>
        <w:spacing w:after="0" w:line="240" w:lineRule="auto"/>
        <w:rPr>
          <w:rFonts w:eastAsia="Arial" w:cs="Arial"/>
          <w:b/>
          <w:u w:val="single"/>
          <w:lang w:val="es-ES" w:eastAsia="en-GB"/>
        </w:rPr>
      </w:pPr>
      <w:r w:rsidRPr="001A65DF">
        <w:rPr>
          <w:rFonts w:eastAsia="Arial" w:cs="Arial"/>
          <w:b/>
          <w:u w:val="single"/>
          <w:lang w:val="es-ES" w:eastAsia="en-GB"/>
        </w:rPr>
        <w:t>7. Efectos de la enmienda propuesta</w:t>
      </w:r>
    </w:p>
    <w:p w14:paraId="3813C2E8" w14:textId="77777777" w:rsidR="001A65DF" w:rsidRPr="001A65DF" w:rsidRDefault="001A65DF" w:rsidP="001A65DF">
      <w:pPr>
        <w:spacing w:after="0" w:line="240" w:lineRule="auto"/>
        <w:rPr>
          <w:rFonts w:eastAsia="Arial" w:cs="Arial"/>
          <w:b/>
          <w:u w:val="single"/>
          <w:lang w:val="es-ES" w:eastAsia="en-GB"/>
        </w:rPr>
      </w:pPr>
    </w:p>
    <w:p w14:paraId="692906CF"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7.1 Beneficios anticipados de la enmienda</w:t>
      </w:r>
    </w:p>
    <w:p w14:paraId="6B202844" w14:textId="77777777" w:rsidR="00267186" w:rsidRDefault="00267186" w:rsidP="001A65DF">
      <w:pPr>
        <w:spacing w:after="0" w:line="240" w:lineRule="auto"/>
        <w:jc w:val="both"/>
        <w:rPr>
          <w:rFonts w:eastAsia="Times New Roman" w:cs="Arial"/>
          <w:lang w:val="es-ES" w:eastAsia="en-GB"/>
        </w:rPr>
      </w:pPr>
    </w:p>
    <w:p w14:paraId="65F72CCE" w14:textId="3EB97090"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lang w:val="es-ES" w:eastAsia="en-GB"/>
        </w:rPr>
        <w:t xml:space="preserve">La inclusión en acuerdos internacionales como la CMS ya está contribuyendo, en cierta medida, a impulsar mejoras sustanciales en la gestión nacional, regional e internacional, y a facilitar la colaboración entre los Estados para la conservación de </w:t>
      </w:r>
      <w:r w:rsidRPr="001A65DF">
        <w:rPr>
          <w:rFonts w:eastAsia="Times New Roman" w:cs="Arial"/>
          <w:i/>
          <w:iCs/>
          <w:lang w:val="es-ES" w:eastAsia="en-GB"/>
        </w:rPr>
        <w:t xml:space="preserve">S. </w:t>
      </w:r>
      <w:proofErr w:type="spellStart"/>
      <w:r w:rsidRPr="001A65DF">
        <w:rPr>
          <w:rFonts w:eastAsia="Times New Roman" w:cs="Arial"/>
          <w:i/>
          <w:iCs/>
          <w:lang w:val="es-ES" w:eastAsia="en-GB"/>
        </w:rPr>
        <w:t>lewini</w:t>
      </w:r>
      <w:proofErr w:type="spellEnd"/>
      <w:r w:rsidRPr="001A65DF">
        <w:rPr>
          <w:rFonts w:eastAsia="Times New Roman" w:cs="Arial"/>
          <w:lang w:val="es-ES" w:eastAsia="en-GB"/>
        </w:rPr>
        <w:t>. Se espera que la inclusión en el Apéndice I genere una mayor atención a la protección legislativa en los Estados de distribución y a otros requisitos de conservación del tiburón martillo común.</w:t>
      </w:r>
    </w:p>
    <w:p w14:paraId="567ED378" w14:textId="77777777" w:rsidR="001A65DF" w:rsidRPr="001A65DF" w:rsidRDefault="001A65DF" w:rsidP="001A65DF">
      <w:pPr>
        <w:spacing w:after="0" w:line="240" w:lineRule="auto"/>
        <w:jc w:val="both"/>
        <w:rPr>
          <w:rFonts w:eastAsia="Times New Roman" w:cs="Arial"/>
          <w:lang w:val="es-ES" w:eastAsia="en-GB"/>
        </w:rPr>
      </w:pPr>
    </w:p>
    <w:p w14:paraId="5A838D5E" w14:textId="77777777"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lang w:val="es-ES" w:eastAsia="en-GB"/>
        </w:rPr>
        <w:t>Esta propuesta para incluir al tiburón martillo común en el Apéndice I de la Convención alentará a las Partes a introducir o mejorar el estatus de protección estricta para esta especie CR y sus hábitats. Además, centrará una mayor atención en la conservación o restauración de hábitats críticos, como agregaciones de alimentación y reproducción, zonas de parto, áreas de crianza y la protección de corredores de movimiento transfronterizos.</w:t>
      </w:r>
    </w:p>
    <w:p w14:paraId="03D322C6" w14:textId="77777777" w:rsidR="001A65DF" w:rsidRPr="001A65DF" w:rsidRDefault="001A65DF" w:rsidP="001A65DF">
      <w:pPr>
        <w:spacing w:after="0" w:line="240" w:lineRule="auto"/>
        <w:jc w:val="both"/>
        <w:rPr>
          <w:rFonts w:eastAsia="Arial" w:cs="Arial"/>
          <w:lang w:val="es-ES" w:eastAsia="en-GB"/>
        </w:rPr>
      </w:pPr>
    </w:p>
    <w:p w14:paraId="55E9AE51"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7.2 Riesgos potenciales de la enmienda</w:t>
      </w:r>
    </w:p>
    <w:p w14:paraId="00D12F99" w14:textId="77777777" w:rsidR="001A65DF" w:rsidRPr="001A65DF" w:rsidRDefault="001A65DF" w:rsidP="001A65DF">
      <w:pPr>
        <w:spacing w:after="0" w:line="240" w:lineRule="auto"/>
        <w:jc w:val="both"/>
        <w:rPr>
          <w:rFonts w:eastAsia="Arial" w:cs="Arial"/>
          <w:color w:val="538135"/>
          <w:lang w:val="es-ES" w:eastAsia="en-GB"/>
        </w:rPr>
      </w:pPr>
    </w:p>
    <w:p w14:paraId="741BAFB6"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No se prevén riesgos potenciales para la conservación del tiburón martillo común como resultado de su inclusión en el Apéndice I.</w:t>
      </w:r>
    </w:p>
    <w:p w14:paraId="6530BC9F" w14:textId="77777777" w:rsidR="001A65DF" w:rsidRPr="001A65DF" w:rsidRDefault="001A65DF" w:rsidP="001A65DF">
      <w:pPr>
        <w:spacing w:after="0" w:line="240" w:lineRule="auto"/>
        <w:jc w:val="both"/>
        <w:rPr>
          <w:rFonts w:eastAsia="Arial" w:cs="Arial"/>
          <w:lang w:val="es-ES" w:eastAsia="en-GB"/>
        </w:rPr>
      </w:pPr>
    </w:p>
    <w:p w14:paraId="19C10D89" w14:textId="77777777" w:rsidR="001A65DF" w:rsidRPr="001A65DF" w:rsidRDefault="001A65DF" w:rsidP="00267186">
      <w:pPr>
        <w:spacing w:after="0" w:line="240" w:lineRule="auto"/>
        <w:jc w:val="both"/>
        <w:rPr>
          <w:rFonts w:eastAsia="Arial" w:cs="Arial"/>
          <w:color w:val="000000"/>
          <w:lang w:val="es-ES" w:eastAsia="en-GB"/>
        </w:rPr>
      </w:pPr>
      <w:r w:rsidRPr="001A65DF">
        <w:rPr>
          <w:rFonts w:eastAsia="Arial" w:cs="Arial"/>
          <w:color w:val="000000"/>
          <w:lang w:val="es-ES" w:eastAsia="en-GB"/>
        </w:rPr>
        <w:t>7.3 Intención del proponente respecto al desarrollo de un Acuerdo o Acción Concertada</w:t>
      </w:r>
    </w:p>
    <w:p w14:paraId="1E30F838" w14:textId="77777777" w:rsidR="001A65DF" w:rsidRPr="001A65DF" w:rsidRDefault="001A65DF" w:rsidP="001A65DF">
      <w:pPr>
        <w:spacing w:after="0" w:line="240" w:lineRule="auto"/>
        <w:jc w:val="both"/>
        <w:rPr>
          <w:rFonts w:eastAsia="Arial" w:cs="Arial"/>
          <w:lang w:val="es-ES" w:eastAsia="en-GB"/>
        </w:rPr>
      </w:pPr>
    </w:p>
    <w:p w14:paraId="57AF3FB4"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Esta propuesta busca mejorar la protección del tiburón martillo común mediante su inclusión en el Apéndice I. Esta especie ya está cubierta por un acuerdo derivado de la CMS, a través de su inclusión en el Anexo I del Memorando de Entendimiento sobre la Conservación de Tiburones de la CMS (</w:t>
      </w:r>
      <w:proofErr w:type="spellStart"/>
      <w:r w:rsidRPr="001A65DF">
        <w:rPr>
          <w:rFonts w:eastAsia="Arial" w:cs="Arial"/>
          <w:lang w:val="es-ES" w:eastAsia="en-GB"/>
        </w:rPr>
        <w:t>Sharks</w:t>
      </w:r>
      <w:proofErr w:type="spellEnd"/>
      <w:r w:rsidRPr="001A65DF">
        <w:rPr>
          <w:rFonts w:eastAsia="Arial" w:cs="Arial"/>
          <w:lang w:val="es-ES" w:eastAsia="en-GB"/>
        </w:rPr>
        <w:t xml:space="preserve"> MOU), pero también es necesario intensificar los esfuerzos para fortalecer su protección. </w:t>
      </w:r>
    </w:p>
    <w:p w14:paraId="792BC18A" w14:textId="77777777" w:rsidR="001A65DF" w:rsidRPr="001A65DF" w:rsidRDefault="001A65DF" w:rsidP="001A65DF">
      <w:pPr>
        <w:spacing w:after="0" w:line="240" w:lineRule="auto"/>
        <w:jc w:val="both"/>
        <w:rPr>
          <w:rFonts w:eastAsia="Arial" w:cs="Arial"/>
          <w:lang w:val="es-ES" w:eastAsia="en-GB"/>
        </w:rPr>
      </w:pPr>
    </w:p>
    <w:p w14:paraId="673DA5C3" w14:textId="77777777" w:rsidR="001A65DF" w:rsidRPr="001A65DF" w:rsidRDefault="001A65DF" w:rsidP="001A65DF">
      <w:pPr>
        <w:spacing w:after="0" w:line="240" w:lineRule="auto"/>
        <w:ind w:left="540" w:hanging="540"/>
        <w:jc w:val="both"/>
        <w:rPr>
          <w:rFonts w:eastAsia="Arial" w:cs="Arial"/>
          <w:lang w:val="es-ES" w:eastAsia="en-GB"/>
        </w:rPr>
      </w:pPr>
      <w:r w:rsidRPr="001A65DF">
        <w:rPr>
          <w:rFonts w:eastAsia="Arial" w:cs="Arial"/>
          <w:b/>
          <w:u w:val="single"/>
          <w:lang w:val="es-ES" w:eastAsia="en-GB"/>
        </w:rPr>
        <w:t>8.</w:t>
      </w:r>
      <w:r w:rsidRPr="001A65DF">
        <w:rPr>
          <w:rFonts w:eastAsia="Arial" w:cs="Arial"/>
          <w:b/>
          <w:u w:val="single"/>
          <w:lang w:val="es-ES" w:eastAsia="en-GB"/>
        </w:rPr>
        <w:tab/>
        <w:t>Estados rango</w:t>
      </w:r>
    </w:p>
    <w:p w14:paraId="430D113E" w14:textId="77777777" w:rsidR="001A65DF" w:rsidRPr="001A65DF" w:rsidRDefault="001A65DF" w:rsidP="001A65DF">
      <w:pPr>
        <w:spacing w:after="0" w:line="240" w:lineRule="auto"/>
        <w:ind w:left="540" w:hanging="540"/>
        <w:jc w:val="both"/>
        <w:rPr>
          <w:rFonts w:eastAsia="Arial" w:cs="Arial"/>
          <w:lang w:val="es-ES" w:eastAsia="en-GB"/>
        </w:rPr>
      </w:pPr>
    </w:p>
    <w:p w14:paraId="675B4479" w14:textId="77777777"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Partes de la CMS:</w:t>
      </w:r>
      <w:r w:rsidRPr="001A65DF">
        <w:rPr>
          <w:rFonts w:eastAsia="Times New Roman" w:cs="Arial"/>
          <w:lang w:val="es-ES" w:eastAsia="en-GB"/>
        </w:rPr>
        <w:t xml:space="preserve"> Angola; Antigua y Barbuda; Australia (Queensland, Australia Occidental); Benín; Brasil; Camerún; Cabo Verde; Congo; Costa Rica; Costa de Marfil; Cuba; Yibuti; Ecuador; Egipto; Guinea Ecuatorial; Eritrea; Francia (Guayana Francesa, Guadalupe, Nueva Caledonia); Gabón; Gambia; Ghana; Guinea; Guinea-Bisáu; Honduras; India; Irán; Liberia; Mauritania; Países Bajos (Aruba); Nigeria; Pakistán; Panamá; Filipinas; Santo Tomé y Príncipe; Arabia Saudita; Senegal; Sudáfrica; Togo; Reino Unido (Anguila, Islas Caimán); Uruguay; Yemen.</w:t>
      </w:r>
    </w:p>
    <w:p w14:paraId="3CB671BE" w14:textId="77777777" w:rsidR="00267186" w:rsidRDefault="00267186" w:rsidP="001A65DF">
      <w:pPr>
        <w:spacing w:after="0" w:line="240" w:lineRule="auto"/>
        <w:jc w:val="both"/>
        <w:rPr>
          <w:rFonts w:eastAsia="Times New Roman" w:cs="Arial"/>
          <w:b/>
          <w:bCs/>
          <w:lang w:val="es-ES" w:eastAsia="en-GB"/>
        </w:rPr>
      </w:pPr>
    </w:p>
    <w:p w14:paraId="335EC4B4" w14:textId="7F3C05C6"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No Partes de la CMS:</w:t>
      </w:r>
      <w:r w:rsidRPr="001A65DF">
        <w:rPr>
          <w:rFonts w:eastAsia="Times New Roman" w:cs="Arial"/>
          <w:lang w:val="es-ES" w:eastAsia="en-GB"/>
        </w:rPr>
        <w:t xml:space="preserve"> Bahamas; Baréin; Barbados; Belice; China; Colombia; Dominica; República Dominicana; El Salvador; Granada; Guyana; Haití; Indonesia; Irak; Jamaica; Japón; Kuwait; Maldivas; México; Myanmar; Namibia; Nicaragua; Omán; Catar; San Cristóbal y Nieves; Santa Lucía; San Vicente y las Granadinas; Sierra Leona; Surinam; Taiwán, Provincia de China; Tailandia; Trinidad y Tobago; Emiratos Árabes Unidos; Estados Unidos (Alabama, California, Delaware, Florida, Georgia, Islas Hawaianas, Luisiana, Maryland, Misisipi, Nueva Jersey, Carolina del Norte, Puerto Rico, Carolina del Sur, Texas, Virginia); República Bolivariana de Venezuela; Vietnam.</w:t>
      </w:r>
    </w:p>
    <w:p w14:paraId="4810E70F" w14:textId="77777777" w:rsidR="00267186" w:rsidRDefault="00267186" w:rsidP="001A65DF">
      <w:pPr>
        <w:spacing w:after="0" w:line="240" w:lineRule="auto"/>
        <w:jc w:val="both"/>
        <w:rPr>
          <w:rFonts w:eastAsia="Arial" w:cs="Arial"/>
          <w:b/>
          <w:u w:val="single"/>
          <w:lang w:val="es-ES" w:eastAsia="en-GB"/>
        </w:rPr>
      </w:pPr>
    </w:p>
    <w:p w14:paraId="55ACF2B3" w14:textId="3E3666C2" w:rsidR="001A65DF" w:rsidRPr="001A65DF" w:rsidRDefault="001A65DF" w:rsidP="00267186">
      <w:pPr>
        <w:spacing w:after="0" w:line="240" w:lineRule="auto"/>
        <w:ind w:left="540" w:hanging="540"/>
        <w:jc w:val="both"/>
        <w:rPr>
          <w:rFonts w:eastAsia="Arial" w:cs="Arial"/>
          <w:b/>
          <w:u w:val="single"/>
          <w:lang w:val="es-ES" w:eastAsia="en-GB"/>
        </w:rPr>
      </w:pPr>
      <w:r w:rsidRPr="001A65DF">
        <w:rPr>
          <w:rFonts w:eastAsia="Arial" w:cs="Arial"/>
          <w:b/>
          <w:u w:val="single"/>
          <w:lang w:val="es-ES" w:eastAsia="en-GB"/>
        </w:rPr>
        <w:t>9.</w:t>
      </w:r>
      <w:r w:rsidRPr="001A65DF">
        <w:rPr>
          <w:rFonts w:eastAsia="Arial" w:cs="Arial"/>
          <w:b/>
          <w:u w:val="single"/>
          <w:lang w:val="es-ES" w:eastAsia="en-GB"/>
        </w:rPr>
        <w:tab/>
        <w:t>Consultas</w:t>
      </w:r>
    </w:p>
    <w:p w14:paraId="66E7978A"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Las siguientes Partes de la CMS respondieron a la solicitud de consulta: Reino Unido de Gran Bretaña e Irlanda del Norte, Australia, Brasil, República Dominicana y Suiza.</w:t>
      </w:r>
    </w:p>
    <w:p w14:paraId="5DAD7328" w14:textId="77777777" w:rsidR="001A65DF" w:rsidRPr="001A65DF" w:rsidRDefault="001A65DF" w:rsidP="001A65DF">
      <w:pPr>
        <w:spacing w:after="0" w:line="240" w:lineRule="auto"/>
        <w:ind w:left="540" w:hanging="540"/>
        <w:jc w:val="both"/>
        <w:rPr>
          <w:rFonts w:eastAsia="Arial" w:cs="Arial"/>
          <w:lang w:val="es-ES" w:eastAsia="en-GB"/>
        </w:rPr>
      </w:pPr>
    </w:p>
    <w:p w14:paraId="6227A031" w14:textId="77777777" w:rsidR="001A65DF" w:rsidRPr="001A65DF" w:rsidRDefault="001A65DF" w:rsidP="001A65DF">
      <w:pPr>
        <w:spacing w:after="0" w:line="240" w:lineRule="auto"/>
        <w:ind w:left="540" w:hanging="540"/>
        <w:jc w:val="both"/>
        <w:rPr>
          <w:rFonts w:eastAsia="Arial" w:cs="Arial"/>
          <w:b/>
          <w:u w:val="single"/>
          <w:lang w:eastAsia="en-GB"/>
        </w:rPr>
      </w:pPr>
      <w:r w:rsidRPr="001A65DF">
        <w:rPr>
          <w:rFonts w:eastAsia="Arial" w:cs="Arial"/>
          <w:b/>
          <w:u w:val="single"/>
          <w:lang w:eastAsia="en-GB"/>
        </w:rPr>
        <w:t>10.</w:t>
      </w:r>
      <w:r w:rsidRPr="001A65DF">
        <w:rPr>
          <w:rFonts w:eastAsia="Arial" w:cs="Arial"/>
          <w:b/>
          <w:u w:val="single"/>
          <w:lang w:eastAsia="en-GB"/>
        </w:rPr>
        <w:tab/>
      </w:r>
      <w:proofErr w:type="spellStart"/>
      <w:r w:rsidRPr="001A65DF">
        <w:rPr>
          <w:rFonts w:eastAsia="Arial" w:cs="Arial"/>
          <w:b/>
          <w:u w:val="single"/>
          <w:lang w:eastAsia="en-GB"/>
        </w:rPr>
        <w:t>Observaciones</w:t>
      </w:r>
      <w:proofErr w:type="spellEnd"/>
      <w:r w:rsidRPr="001A65DF">
        <w:rPr>
          <w:rFonts w:eastAsia="Arial" w:cs="Arial"/>
          <w:b/>
          <w:u w:val="single"/>
          <w:lang w:eastAsia="en-GB"/>
        </w:rPr>
        <w:t xml:space="preserve"> </w:t>
      </w:r>
      <w:proofErr w:type="spellStart"/>
      <w:r w:rsidRPr="001A65DF">
        <w:rPr>
          <w:rFonts w:eastAsia="Arial" w:cs="Arial"/>
          <w:b/>
          <w:u w:val="single"/>
          <w:lang w:eastAsia="en-GB"/>
        </w:rPr>
        <w:t>adicionales</w:t>
      </w:r>
      <w:proofErr w:type="spellEnd"/>
    </w:p>
    <w:p w14:paraId="25396FC3" w14:textId="77777777" w:rsidR="001A65DF" w:rsidRPr="001A65DF" w:rsidRDefault="001A65DF" w:rsidP="001A65DF">
      <w:pPr>
        <w:spacing w:after="0" w:line="240" w:lineRule="auto"/>
        <w:ind w:left="540" w:hanging="540"/>
        <w:jc w:val="both"/>
        <w:rPr>
          <w:rFonts w:eastAsia="Arial" w:cs="Arial"/>
          <w:b/>
          <w:u w:val="single"/>
          <w:lang w:eastAsia="en-GB"/>
        </w:rPr>
      </w:pPr>
    </w:p>
    <w:p w14:paraId="27815E43" w14:textId="6C9C34EE" w:rsidR="00267186" w:rsidRDefault="001A65DF" w:rsidP="001A65DF">
      <w:pPr>
        <w:spacing w:after="0" w:line="240" w:lineRule="auto"/>
        <w:ind w:left="540" w:hanging="540"/>
        <w:jc w:val="both"/>
        <w:rPr>
          <w:rFonts w:eastAsia="Arial" w:cs="Arial"/>
          <w:lang w:eastAsia="en-GB"/>
        </w:rPr>
      </w:pPr>
      <w:r w:rsidRPr="001A65DF">
        <w:rPr>
          <w:rFonts w:eastAsia="Arial" w:cs="Arial"/>
          <w:lang w:eastAsia="en-GB"/>
        </w:rPr>
        <w:tab/>
      </w:r>
    </w:p>
    <w:p w14:paraId="3FA76E98" w14:textId="77777777" w:rsidR="00267186" w:rsidRDefault="00267186">
      <w:pPr>
        <w:rPr>
          <w:rFonts w:eastAsia="Arial" w:cs="Arial"/>
          <w:lang w:eastAsia="en-GB"/>
        </w:rPr>
      </w:pPr>
      <w:r>
        <w:rPr>
          <w:rFonts w:eastAsia="Arial" w:cs="Arial"/>
          <w:lang w:eastAsia="en-GB"/>
        </w:rPr>
        <w:br w:type="page"/>
      </w:r>
    </w:p>
    <w:p w14:paraId="56AAAC2E" w14:textId="77777777" w:rsidR="001A65DF" w:rsidRPr="001A65DF" w:rsidRDefault="001A65DF" w:rsidP="001A65DF">
      <w:pPr>
        <w:spacing w:after="0" w:line="240" w:lineRule="auto"/>
        <w:ind w:left="540" w:hanging="540"/>
        <w:jc w:val="both"/>
        <w:rPr>
          <w:rFonts w:eastAsia="Arial" w:cs="Arial"/>
          <w:lang w:eastAsia="en-GB"/>
        </w:rPr>
      </w:pPr>
    </w:p>
    <w:p w14:paraId="290A02B0" w14:textId="77777777" w:rsidR="001A65DF" w:rsidRPr="001A65DF" w:rsidRDefault="001A65DF" w:rsidP="001A65DF">
      <w:pPr>
        <w:spacing w:after="0" w:line="240" w:lineRule="auto"/>
        <w:ind w:left="540" w:hanging="540"/>
        <w:jc w:val="both"/>
        <w:rPr>
          <w:rFonts w:eastAsia="Arial" w:cs="Arial"/>
          <w:b/>
          <w:u w:val="single"/>
          <w:lang w:eastAsia="en-GB"/>
        </w:rPr>
      </w:pPr>
      <w:sdt>
        <w:sdtPr>
          <w:rPr>
            <w:rFonts w:ascii="Calibri" w:eastAsia="Calibri" w:hAnsi="Calibri" w:cs="Calibri"/>
            <w:lang w:val="es-ES" w:eastAsia="en-GB"/>
          </w:rPr>
          <w:tag w:val="goog_rdk_42"/>
          <w:id w:val="1135027771"/>
        </w:sdtPr>
        <w:sdtContent/>
      </w:sdt>
      <w:r w:rsidRPr="001A65DF">
        <w:rPr>
          <w:rFonts w:eastAsia="Arial" w:cs="Arial"/>
          <w:b/>
          <w:u w:val="single"/>
          <w:lang w:eastAsia="en-GB"/>
        </w:rPr>
        <w:t>11.</w:t>
      </w:r>
      <w:r w:rsidRPr="001A65DF">
        <w:rPr>
          <w:rFonts w:eastAsia="Arial" w:cs="Arial"/>
          <w:b/>
          <w:u w:val="single"/>
          <w:lang w:eastAsia="en-GB"/>
        </w:rPr>
        <w:tab/>
      </w:r>
      <w:proofErr w:type="spellStart"/>
      <w:r w:rsidRPr="001A65DF">
        <w:rPr>
          <w:rFonts w:eastAsia="Arial" w:cs="Arial"/>
          <w:b/>
          <w:u w:val="single"/>
          <w:lang w:eastAsia="en-GB"/>
        </w:rPr>
        <w:t>Referencias</w:t>
      </w:r>
      <w:proofErr w:type="spellEnd"/>
    </w:p>
    <w:p w14:paraId="0015E552" w14:textId="77777777" w:rsidR="001A65DF" w:rsidRPr="001A65DF" w:rsidRDefault="001A65DF" w:rsidP="001A65DF">
      <w:pPr>
        <w:spacing w:after="0" w:line="240" w:lineRule="auto"/>
        <w:jc w:val="both"/>
        <w:rPr>
          <w:rFonts w:eastAsia="Arial" w:cs="Arial"/>
          <w:lang w:eastAsia="en-GB"/>
        </w:rPr>
      </w:pPr>
    </w:p>
    <w:p w14:paraId="630B23EC"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Abercrombie DL, Clarke SC, Shivji MS (2005) Global-scale genetic identification of hammerhead sharks: application to assessment of the international fin trade and law enforcement. </w:t>
      </w:r>
      <w:proofErr w:type="spellStart"/>
      <w:r w:rsidRPr="001A65DF">
        <w:rPr>
          <w:rFonts w:eastAsia="Arial" w:cs="Arial"/>
          <w:sz w:val="20"/>
          <w:szCs w:val="20"/>
          <w:lang w:eastAsia="en-GB"/>
        </w:rPr>
        <w:t>Conserv</w:t>
      </w:r>
      <w:proofErr w:type="spellEnd"/>
      <w:r w:rsidRPr="001A65DF">
        <w:rPr>
          <w:rFonts w:eastAsia="Arial" w:cs="Arial"/>
          <w:sz w:val="20"/>
          <w:szCs w:val="20"/>
          <w:lang w:eastAsia="en-GB"/>
        </w:rPr>
        <w:t xml:space="preserve"> Genet 6:775–788.</w:t>
      </w:r>
    </w:p>
    <w:p w14:paraId="3D6E0A39"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Aldana</w:t>
      </w:r>
      <w:r w:rsidRPr="001A65DF">
        <w:rPr>
          <w:rFonts w:ascii="Cambria Math" w:eastAsia="Arial" w:hAnsi="Cambria Math" w:cs="Cambria Math"/>
          <w:sz w:val="20"/>
          <w:szCs w:val="20"/>
          <w:lang w:eastAsia="en-GB"/>
        </w:rPr>
        <w:t>‐</w:t>
      </w:r>
      <w:r w:rsidRPr="001A65DF">
        <w:rPr>
          <w:rFonts w:eastAsia="Arial" w:cs="Arial"/>
          <w:sz w:val="20"/>
          <w:szCs w:val="20"/>
          <w:lang w:eastAsia="en-GB"/>
        </w:rPr>
        <w:t>Moreno, A., Hoyos</w:t>
      </w:r>
      <w:r w:rsidRPr="001A65DF">
        <w:rPr>
          <w:rFonts w:ascii="Cambria Math" w:eastAsia="Arial" w:hAnsi="Cambria Math" w:cs="Cambria Math"/>
          <w:sz w:val="20"/>
          <w:szCs w:val="20"/>
          <w:lang w:eastAsia="en-GB"/>
        </w:rPr>
        <w:t>‐</w:t>
      </w:r>
      <w:r w:rsidRPr="001A65DF">
        <w:rPr>
          <w:rFonts w:eastAsia="Arial" w:cs="Arial"/>
          <w:sz w:val="20"/>
          <w:szCs w:val="20"/>
          <w:lang w:eastAsia="en-GB"/>
        </w:rPr>
        <w:t>Padilla, E.M., González</w:t>
      </w:r>
      <w:r w:rsidRPr="001A65DF">
        <w:rPr>
          <w:rFonts w:ascii="Cambria Math" w:eastAsia="Arial" w:hAnsi="Cambria Math" w:cs="Cambria Math"/>
          <w:sz w:val="20"/>
          <w:szCs w:val="20"/>
          <w:lang w:eastAsia="en-GB"/>
        </w:rPr>
        <w:t>‐</w:t>
      </w:r>
      <w:r w:rsidRPr="001A65DF">
        <w:rPr>
          <w:rFonts w:eastAsia="Arial" w:cs="Arial"/>
          <w:sz w:val="20"/>
          <w:szCs w:val="20"/>
          <w:lang w:eastAsia="en-GB"/>
        </w:rPr>
        <w:t>Armas, R., Galván</w:t>
      </w:r>
      <w:r w:rsidRPr="001A65DF">
        <w:rPr>
          <w:rFonts w:ascii="Cambria Math" w:eastAsia="Arial" w:hAnsi="Cambria Math" w:cs="Cambria Math"/>
          <w:sz w:val="20"/>
          <w:szCs w:val="20"/>
          <w:lang w:eastAsia="en-GB"/>
        </w:rPr>
        <w:t>‐</w:t>
      </w:r>
      <w:r w:rsidRPr="001A65DF">
        <w:rPr>
          <w:rFonts w:eastAsia="Arial" w:cs="Arial"/>
          <w:sz w:val="20"/>
          <w:szCs w:val="20"/>
          <w:lang w:eastAsia="en-GB"/>
        </w:rPr>
        <w:t xml:space="preserve">Magaña, F., Hearn, A., Klimley, A.P., </w:t>
      </w:r>
      <w:proofErr w:type="spellStart"/>
      <w:r w:rsidRPr="001A65DF">
        <w:rPr>
          <w:rFonts w:eastAsia="Arial" w:cs="Arial"/>
          <w:sz w:val="20"/>
          <w:szCs w:val="20"/>
          <w:lang w:eastAsia="en-GB"/>
        </w:rPr>
        <w:t>Winram</w:t>
      </w:r>
      <w:proofErr w:type="spellEnd"/>
      <w:r w:rsidRPr="001A65DF">
        <w:rPr>
          <w:rFonts w:eastAsia="Arial" w:cs="Arial"/>
          <w:sz w:val="20"/>
          <w:szCs w:val="20"/>
          <w:lang w:eastAsia="en-GB"/>
        </w:rPr>
        <w:t>, W., Becerril</w:t>
      </w:r>
      <w:r w:rsidRPr="001A65DF">
        <w:rPr>
          <w:rFonts w:ascii="Cambria Math" w:eastAsia="Arial" w:hAnsi="Cambria Math" w:cs="Cambria Math"/>
          <w:sz w:val="20"/>
          <w:szCs w:val="20"/>
          <w:lang w:eastAsia="en-GB"/>
        </w:rPr>
        <w:t>‐</w:t>
      </w:r>
      <w:r w:rsidRPr="001A65DF">
        <w:rPr>
          <w:rFonts w:eastAsia="Arial" w:cs="Arial"/>
          <w:sz w:val="20"/>
          <w:szCs w:val="20"/>
          <w:lang w:eastAsia="en-GB"/>
        </w:rPr>
        <w:t xml:space="preserve">García, E.E. and Ketchum, J.T., 2020. Residency and diel movement patterns of the endangered scalloped hammerhead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xml:space="preserve"> in the Revillagigedo National Park. </w:t>
      </w:r>
      <w:r w:rsidRPr="001A65DF">
        <w:rPr>
          <w:rFonts w:eastAsia="Arial" w:cs="Arial"/>
          <w:i/>
          <w:iCs/>
          <w:sz w:val="20"/>
          <w:szCs w:val="20"/>
          <w:lang w:eastAsia="en-GB"/>
        </w:rPr>
        <w:t>Journal of fish biology</w:t>
      </w:r>
      <w:r w:rsidRPr="001A65DF">
        <w:rPr>
          <w:rFonts w:eastAsia="Arial" w:cs="Arial"/>
          <w:sz w:val="20"/>
          <w:szCs w:val="20"/>
          <w:lang w:eastAsia="en-GB"/>
        </w:rPr>
        <w:t>, </w:t>
      </w:r>
      <w:r w:rsidRPr="001A65DF">
        <w:rPr>
          <w:rFonts w:eastAsia="Arial" w:cs="Arial"/>
          <w:i/>
          <w:iCs/>
          <w:sz w:val="20"/>
          <w:szCs w:val="20"/>
          <w:lang w:eastAsia="en-GB"/>
        </w:rPr>
        <w:t>96</w:t>
      </w:r>
      <w:r w:rsidRPr="001A65DF">
        <w:rPr>
          <w:rFonts w:eastAsia="Arial" w:cs="Arial"/>
          <w:sz w:val="20"/>
          <w:szCs w:val="20"/>
          <w:lang w:eastAsia="en-GB"/>
        </w:rPr>
        <w:t>(2), pp.543-548.</w:t>
      </w:r>
    </w:p>
    <w:p w14:paraId="418B0CFD"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Alfaro-</w:t>
      </w:r>
      <w:proofErr w:type="spellStart"/>
      <w:r w:rsidRPr="001A65DF">
        <w:rPr>
          <w:rFonts w:eastAsia="Arial" w:cs="Arial"/>
          <w:sz w:val="20"/>
          <w:szCs w:val="20"/>
          <w:lang w:eastAsia="en-GB"/>
        </w:rPr>
        <w:t>Shigueto</w:t>
      </w:r>
      <w:proofErr w:type="spellEnd"/>
      <w:r w:rsidRPr="001A65DF">
        <w:rPr>
          <w:rFonts w:eastAsia="Arial" w:cs="Arial"/>
          <w:sz w:val="20"/>
          <w:szCs w:val="20"/>
          <w:lang w:eastAsia="en-GB"/>
        </w:rPr>
        <w:t>, J., Mangel, J.C., Pajuelo, M., Dutton, P.H., Seminoff, J.A. and Godley, B.J., 2010. Where small can have a large impact: structure and characterization of small-scale fisheries in Peru. </w:t>
      </w:r>
      <w:r w:rsidRPr="001A65DF">
        <w:rPr>
          <w:rFonts w:eastAsia="Arial" w:cs="Arial"/>
          <w:i/>
          <w:iCs/>
          <w:sz w:val="20"/>
          <w:szCs w:val="20"/>
          <w:lang w:eastAsia="en-GB"/>
        </w:rPr>
        <w:t>Fisheries Research</w:t>
      </w:r>
      <w:r w:rsidRPr="001A65DF">
        <w:rPr>
          <w:rFonts w:eastAsia="Arial" w:cs="Arial"/>
          <w:sz w:val="20"/>
          <w:szCs w:val="20"/>
          <w:lang w:eastAsia="en-GB"/>
        </w:rPr>
        <w:t>, </w:t>
      </w:r>
      <w:r w:rsidRPr="001A65DF">
        <w:rPr>
          <w:rFonts w:eastAsia="Arial" w:cs="Arial"/>
          <w:i/>
          <w:iCs/>
          <w:sz w:val="20"/>
          <w:szCs w:val="20"/>
          <w:lang w:eastAsia="en-GB"/>
        </w:rPr>
        <w:t>106</w:t>
      </w:r>
      <w:r w:rsidRPr="001A65DF">
        <w:rPr>
          <w:rFonts w:eastAsia="Arial" w:cs="Arial"/>
          <w:sz w:val="20"/>
          <w:szCs w:val="20"/>
          <w:lang w:eastAsia="en-GB"/>
        </w:rPr>
        <w:t>(1), pp.8-17.</w:t>
      </w:r>
    </w:p>
    <w:p w14:paraId="0E7E2F6A"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Almerón-Souza, F., Sperb, C., Castilho, C.L., Figueiredo, P.I., Gonçalves, L.T., Machado, R., Oliveira, L.R., Valiati, V.H. and Fagundes, N.J., 2018. Molecular identification of shark meat from local markets in Southern Brazil based on DNA barcoding: evidence for mislabeling and trade of endangered species. </w:t>
      </w:r>
      <w:r w:rsidRPr="001A65DF">
        <w:rPr>
          <w:rFonts w:eastAsia="Arial" w:cs="Arial"/>
          <w:i/>
          <w:iCs/>
          <w:sz w:val="20"/>
          <w:szCs w:val="20"/>
          <w:lang w:eastAsia="en-GB"/>
        </w:rPr>
        <w:t>Frontiers in Genetics</w:t>
      </w:r>
      <w:r w:rsidRPr="001A65DF">
        <w:rPr>
          <w:rFonts w:eastAsia="Arial" w:cs="Arial"/>
          <w:sz w:val="20"/>
          <w:szCs w:val="20"/>
          <w:lang w:eastAsia="en-GB"/>
        </w:rPr>
        <w:t>, </w:t>
      </w:r>
      <w:r w:rsidRPr="001A65DF">
        <w:rPr>
          <w:rFonts w:eastAsia="Arial" w:cs="Arial"/>
          <w:i/>
          <w:iCs/>
          <w:sz w:val="20"/>
          <w:szCs w:val="20"/>
          <w:lang w:eastAsia="en-GB"/>
        </w:rPr>
        <w:t>9</w:t>
      </w:r>
      <w:r w:rsidRPr="001A65DF">
        <w:rPr>
          <w:rFonts w:eastAsia="Arial" w:cs="Arial"/>
          <w:sz w:val="20"/>
          <w:szCs w:val="20"/>
          <w:lang w:eastAsia="en-GB"/>
        </w:rPr>
        <w:t>, p.138.</w:t>
      </w:r>
    </w:p>
    <w:p w14:paraId="19ED9F65"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Amorim, A.D., </w:t>
      </w:r>
      <w:proofErr w:type="spellStart"/>
      <w:r w:rsidRPr="001A65DF">
        <w:rPr>
          <w:rFonts w:eastAsia="Arial" w:cs="Arial"/>
          <w:sz w:val="20"/>
          <w:szCs w:val="20"/>
          <w:lang w:eastAsia="en-GB"/>
        </w:rPr>
        <w:t>Arfelli</w:t>
      </w:r>
      <w:proofErr w:type="spellEnd"/>
      <w:r w:rsidRPr="001A65DF">
        <w:rPr>
          <w:rFonts w:eastAsia="Arial" w:cs="Arial"/>
          <w:sz w:val="20"/>
          <w:szCs w:val="20"/>
          <w:lang w:eastAsia="en-GB"/>
        </w:rPr>
        <w:t>, C.A. and Fagundes, L., 1998. Pelagic elasmobranchs caught by longliners off southern Brazil during 1974–97: an overview. </w:t>
      </w:r>
      <w:r w:rsidRPr="001A65DF">
        <w:rPr>
          <w:rFonts w:eastAsia="Arial" w:cs="Arial"/>
          <w:i/>
          <w:iCs/>
          <w:sz w:val="20"/>
          <w:szCs w:val="20"/>
          <w:lang w:eastAsia="en-GB"/>
        </w:rPr>
        <w:t>Marine and Freshwater Research</w:t>
      </w:r>
      <w:r w:rsidRPr="001A65DF">
        <w:rPr>
          <w:rFonts w:eastAsia="Arial" w:cs="Arial"/>
          <w:sz w:val="20"/>
          <w:szCs w:val="20"/>
          <w:lang w:eastAsia="en-GB"/>
        </w:rPr>
        <w:t>, </w:t>
      </w:r>
      <w:r w:rsidRPr="001A65DF">
        <w:rPr>
          <w:rFonts w:eastAsia="Arial" w:cs="Arial"/>
          <w:i/>
          <w:iCs/>
          <w:sz w:val="20"/>
          <w:szCs w:val="20"/>
          <w:lang w:eastAsia="en-GB"/>
        </w:rPr>
        <w:t>49</w:t>
      </w:r>
      <w:r w:rsidRPr="001A65DF">
        <w:rPr>
          <w:rFonts w:eastAsia="Arial" w:cs="Arial"/>
          <w:sz w:val="20"/>
          <w:szCs w:val="20"/>
          <w:lang w:eastAsia="en-GB"/>
        </w:rPr>
        <w:t>(7), pp.621-632.</w:t>
      </w:r>
    </w:p>
    <w:p w14:paraId="4C08ADC6"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Anderson JM, Rex PT, Maloney K, et al (2022) Observations of a species</w:t>
      </w:r>
      <w:r w:rsidRPr="001A65DF">
        <w:rPr>
          <w:rFonts w:ascii="Cambria Math" w:eastAsia="Arial" w:hAnsi="Cambria Math" w:cs="Cambria Math"/>
          <w:sz w:val="20"/>
          <w:szCs w:val="20"/>
          <w:lang w:eastAsia="en-GB"/>
        </w:rPr>
        <w:t>‐</w:t>
      </w:r>
      <w:r w:rsidRPr="001A65DF">
        <w:rPr>
          <w:rFonts w:eastAsia="Arial" w:cs="Arial"/>
          <w:sz w:val="20"/>
          <w:szCs w:val="20"/>
          <w:lang w:eastAsia="en-GB"/>
        </w:rPr>
        <w:t xml:space="preserve">record deep dive by a central Pacific female scalloped hammerhead shark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J Fish Biol 101:323–327. https://doi.org/10.1111/jfb.15115</w:t>
      </w:r>
    </w:p>
    <w:p w14:paraId="03FF54BB" w14:textId="77777777" w:rsidR="001A65DF" w:rsidRPr="001A65DF" w:rsidRDefault="001A65DF" w:rsidP="001A65DF">
      <w:pPr>
        <w:spacing w:before="96" w:after="0" w:line="240" w:lineRule="auto"/>
        <w:ind w:left="425" w:hanging="425"/>
        <w:jc w:val="both"/>
        <w:rPr>
          <w:rFonts w:eastAsia="Arial" w:cs="Arial"/>
          <w:sz w:val="20"/>
          <w:szCs w:val="20"/>
          <w:lang w:eastAsia="en-GB"/>
        </w:rPr>
      </w:pPr>
      <w:proofErr w:type="spellStart"/>
      <w:r w:rsidRPr="001A65DF">
        <w:rPr>
          <w:rFonts w:eastAsia="Arial" w:cs="Arial"/>
          <w:sz w:val="20"/>
          <w:szCs w:val="20"/>
          <w:lang w:eastAsia="en-GB"/>
        </w:rPr>
        <w:t>Arriatti</w:t>
      </w:r>
      <w:proofErr w:type="spellEnd"/>
      <w:r w:rsidRPr="001A65DF">
        <w:rPr>
          <w:rFonts w:eastAsia="Arial" w:cs="Arial"/>
          <w:sz w:val="20"/>
          <w:szCs w:val="20"/>
          <w:lang w:eastAsia="en-GB"/>
        </w:rPr>
        <w:t xml:space="preserve">, Y.R., Alvarado, S. and Espinosa, C., </w:t>
      </w:r>
      <w:proofErr w:type="spellStart"/>
      <w:r w:rsidRPr="001A65DF">
        <w:rPr>
          <w:rFonts w:eastAsia="Arial" w:cs="Arial"/>
          <w:sz w:val="20"/>
          <w:szCs w:val="20"/>
          <w:lang w:eastAsia="en-GB"/>
        </w:rPr>
        <w:t>Caracterización</w:t>
      </w:r>
      <w:proofErr w:type="spellEnd"/>
      <w:r w:rsidRPr="001A65DF">
        <w:rPr>
          <w:rFonts w:eastAsia="Arial" w:cs="Arial"/>
          <w:sz w:val="20"/>
          <w:szCs w:val="20"/>
          <w:lang w:eastAsia="en-GB"/>
        </w:rPr>
        <w:t xml:space="preserve"> de la Pesca de </w:t>
      </w:r>
      <w:proofErr w:type="spellStart"/>
      <w:r w:rsidRPr="001A65DF">
        <w:rPr>
          <w:rFonts w:eastAsia="Arial" w:cs="Arial"/>
          <w:sz w:val="20"/>
          <w:szCs w:val="20"/>
          <w:lang w:eastAsia="en-GB"/>
        </w:rPr>
        <w:t>Tiburones</w:t>
      </w:r>
      <w:proofErr w:type="spellEnd"/>
      <w:r w:rsidRPr="001A65DF">
        <w:rPr>
          <w:rFonts w:eastAsia="Arial" w:cs="Arial"/>
          <w:sz w:val="20"/>
          <w:szCs w:val="20"/>
          <w:lang w:eastAsia="en-GB"/>
        </w:rPr>
        <w:t xml:space="preserve"> </w:t>
      </w:r>
      <w:proofErr w:type="spellStart"/>
      <w:r w:rsidRPr="001A65DF">
        <w:rPr>
          <w:rFonts w:eastAsia="Arial" w:cs="Arial"/>
          <w:sz w:val="20"/>
          <w:szCs w:val="20"/>
          <w:lang w:eastAsia="en-GB"/>
        </w:rPr>
        <w:t>en</w:t>
      </w:r>
      <w:proofErr w:type="spellEnd"/>
      <w:r w:rsidRPr="001A65DF">
        <w:rPr>
          <w:rFonts w:eastAsia="Arial" w:cs="Arial"/>
          <w:sz w:val="20"/>
          <w:szCs w:val="20"/>
          <w:lang w:eastAsia="en-GB"/>
        </w:rPr>
        <w:t xml:space="preserve"> Panamá Characterization of Shark Fishing in Panama </w:t>
      </w:r>
      <w:proofErr w:type="spellStart"/>
      <w:r w:rsidRPr="001A65DF">
        <w:rPr>
          <w:rFonts w:eastAsia="Arial" w:cs="Arial"/>
          <w:sz w:val="20"/>
          <w:szCs w:val="20"/>
          <w:lang w:eastAsia="en-GB"/>
        </w:rPr>
        <w:t>Caractérisation</w:t>
      </w:r>
      <w:proofErr w:type="spellEnd"/>
      <w:r w:rsidRPr="001A65DF">
        <w:rPr>
          <w:rFonts w:eastAsia="Arial" w:cs="Arial"/>
          <w:sz w:val="20"/>
          <w:szCs w:val="20"/>
          <w:lang w:eastAsia="en-GB"/>
        </w:rPr>
        <w:t xml:space="preserve"> de la Pêche au Requin à Panama.</w:t>
      </w:r>
    </w:p>
    <w:p w14:paraId="75624E91"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proofErr w:type="spellStart"/>
      <w:r w:rsidRPr="001A65DF">
        <w:rPr>
          <w:rFonts w:eastAsia="Arial" w:cs="Arial"/>
          <w:sz w:val="20"/>
          <w:szCs w:val="20"/>
          <w:lang w:val="es-ES" w:eastAsia="en-GB"/>
        </w:rPr>
        <w:t>Anislado</w:t>
      </w:r>
      <w:proofErr w:type="spellEnd"/>
      <w:r w:rsidRPr="001A65DF">
        <w:rPr>
          <w:rFonts w:eastAsia="Arial" w:cs="Arial"/>
          <w:sz w:val="20"/>
          <w:szCs w:val="20"/>
          <w:lang w:val="es-ES" w:eastAsia="en-GB"/>
        </w:rPr>
        <w:t xml:space="preserve">-Tolentino, V.  and C. Robinson-Mendoza. </w:t>
      </w:r>
      <w:r w:rsidRPr="001A65DF">
        <w:rPr>
          <w:rFonts w:eastAsia="Arial" w:cs="Arial"/>
          <w:sz w:val="20"/>
          <w:szCs w:val="20"/>
          <w:lang w:eastAsia="en-GB"/>
        </w:rPr>
        <w:t xml:space="preserve">2001. Age and growth for the scalloped hammerhead shark,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xml:space="preserve"> (Griffith and Smith, 1834) along the Central Pacific coast of Mexico. </w:t>
      </w:r>
      <w:proofErr w:type="spellStart"/>
      <w:r w:rsidRPr="001A65DF">
        <w:rPr>
          <w:rFonts w:eastAsia="Arial" w:cs="Arial"/>
          <w:sz w:val="20"/>
          <w:szCs w:val="20"/>
          <w:lang w:eastAsia="en-GB"/>
        </w:rPr>
        <w:t>Ciencias</w:t>
      </w:r>
      <w:proofErr w:type="spellEnd"/>
      <w:r w:rsidRPr="001A65DF">
        <w:rPr>
          <w:rFonts w:eastAsia="Arial" w:cs="Arial"/>
          <w:sz w:val="20"/>
          <w:szCs w:val="20"/>
          <w:lang w:eastAsia="en-GB"/>
        </w:rPr>
        <w:t xml:space="preserve"> Marinas 27:501–520.</w:t>
      </w:r>
    </w:p>
    <w:p w14:paraId="576CF933" w14:textId="77777777" w:rsidR="001A65DF" w:rsidRPr="001A65DF" w:rsidRDefault="001A65DF" w:rsidP="001A65DF">
      <w:pPr>
        <w:spacing w:before="96" w:after="0" w:line="240" w:lineRule="auto"/>
        <w:ind w:left="425" w:hanging="425"/>
        <w:jc w:val="both"/>
        <w:rPr>
          <w:rFonts w:eastAsia="Times New Roman" w:cs="Arial"/>
          <w:strike/>
          <w:sz w:val="20"/>
          <w:szCs w:val="20"/>
          <w:lang w:eastAsia="en-GB"/>
        </w:rPr>
      </w:pPr>
      <w:r w:rsidRPr="001A65DF">
        <w:rPr>
          <w:rFonts w:eastAsia="Times New Roman" w:cs="Arial"/>
          <w:sz w:val="20"/>
          <w:szCs w:val="20"/>
        </w:rPr>
        <w:t xml:space="preserve">Barreto, R., </w:t>
      </w:r>
      <w:proofErr w:type="gramStart"/>
      <w:r w:rsidRPr="001A65DF">
        <w:rPr>
          <w:rFonts w:eastAsia="Times New Roman" w:cs="Arial"/>
          <w:sz w:val="20"/>
          <w:szCs w:val="20"/>
        </w:rPr>
        <w:t>Ferretti</w:t>
      </w:r>
      <w:proofErr w:type="gramEnd"/>
      <w:r w:rsidRPr="001A65DF">
        <w:rPr>
          <w:rFonts w:eastAsia="Times New Roman" w:cs="Arial"/>
          <w:sz w:val="20"/>
          <w:szCs w:val="20"/>
        </w:rPr>
        <w:t>, F., Flemming, J.M., Amorim, A., Andrade, H., Worm, B. and Lessa, R., 2016. Trends in the exploitation of South Atlantic shark populations. </w:t>
      </w:r>
      <w:r w:rsidRPr="001A65DF">
        <w:rPr>
          <w:rFonts w:eastAsia="Times New Roman" w:cs="Arial"/>
          <w:i/>
          <w:iCs/>
          <w:sz w:val="20"/>
          <w:szCs w:val="20"/>
        </w:rPr>
        <w:t>Conservation biology</w:t>
      </w:r>
      <w:r w:rsidRPr="001A65DF">
        <w:rPr>
          <w:rFonts w:eastAsia="Times New Roman" w:cs="Arial"/>
          <w:sz w:val="20"/>
          <w:szCs w:val="20"/>
        </w:rPr>
        <w:t>, </w:t>
      </w:r>
      <w:r w:rsidRPr="001A65DF">
        <w:rPr>
          <w:rFonts w:eastAsia="Times New Roman" w:cs="Arial"/>
          <w:i/>
          <w:iCs/>
          <w:sz w:val="20"/>
          <w:szCs w:val="20"/>
        </w:rPr>
        <w:t>30</w:t>
      </w:r>
      <w:r w:rsidRPr="001A65DF">
        <w:rPr>
          <w:rFonts w:eastAsia="Times New Roman" w:cs="Arial"/>
          <w:sz w:val="20"/>
          <w:szCs w:val="20"/>
        </w:rPr>
        <w:t>(4), pp.792-804.</w:t>
      </w:r>
    </w:p>
    <w:p w14:paraId="0AA1025B"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Arial" w:cs="Arial"/>
          <w:sz w:val="20"/>
          <w:szCs w:val="20"/>
          <w:lang w:eastAsia="en-GB"/>
        </w:rPr>
        <w:t xml:space="preserve">Bass, A.J., D’Aubrey, J.D. and N. Kistnasamy. 1975. Sharks of the east coast of southern Africa. III. The families </w:t>
      </w:r>
      <w:proofErr w:type="spellStart"/>
      <w:r w:rsidRPr="001A65DF">
        <w:rPr>
          <w:rFonts w:eastAsia="Arial" w:cs="Arial"/>
          <w:sz w:val="20"/>
          <w:szCs w:val="20"/>
          <w:lang w:eastAsia="en-GB"/>
        </w:rPr>
        <w:t>Carcharinidae</w:t>
      </w:r>
      <w:proofErr w:type="spellEnd"/>
      <w:r w:rsidRPr="001A65DF">
        <w:rPr>
          <w:rFonts w:eastAsia="Arial" w:cs="Arial"/>
          <w:sz w:val="20"/>
          <w:szCs w:val="20"/>
          <w:lang w:eastAsia="en-GB"/>
        </w:rPr>
        <w:t xml:space="preserve"> (excluding </w:t>
      </w:r>
      <w:proofErr w:type="spellStart"/>
      <w:r w:rsidRPr="001A65DF">
        <w:rPr>
          <w:rFonts w:eastAsia="Arial" w:cs="Arial"/>
          <w:i/>
          <w:sz w:val="20"/>
          <w:szCs w:val="20"/>
          <w:lang w:eastAsia="en-GB"/>
        </w:rPr>
        <w:t>Mustelus</w:t>
      </w:r>
      <w:proofErr w:type="spellEnd"/>
      <w:r w:rsidRPr="001A65DF">
        <w:rPr>
          <w:rFonts w:eastAsia="Arial" w:cs="Arial"/>
          <w:sz w:val="20"/>
          <w:szCs w:val="20"/>
          <w:lang w:eastAsia="en-GB"/>
        </w:rPr>
        <w:t xml:space="preserve"> and </w:t>
      </w:r>
      <w:r w:rsidRPr="001A65DF">
        <w:rPr>
          <w:rFonts w:eastAsia="Arial" w:cs="Arial"/>
          <w:i/>
          <w:sz w:val="20"/>
          <w:szCs w:val="20"/>
          <w:lang w:eastAsia="en-GB"/>
        </w:rPr>
        <w:t>Carcharhinus</w:t>
      </w:r>
      <w:r w:rsidRPr="001A65DF">
        <w:rPr>
          <w:rFonts w:eastAsia="Arial" w:cs="Arial"/>
          <w:sz w:val="20"/>
          <w:szCs w:val="20"/>
          <w:lang w:eastAsia="en-GB"/>
        </w:rPr>
        <w:t>) and Sphyrnidae. South African Association for Marine Biological Research. Oceanographic Research Institute Investigational Report 38: 1-100.</w:t>
      </w:r>
    </w:p>
    <w:p w14:paraId="5DE414F4"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Arial" w:cs="Arial"/>
          <w:sz w:val="20"/>
          <w:szCs w:val="20"/>
          <w:lang w:eastAsia="en-GB"/>
        </w:rPr>
        <w:t>Baum, J.K., Myers, R.A., Kehler, D.G., Worm, B., Harley, S.J. and Doherty, P.A. 2003. Collapse and Conservation of Shark Populations in the Northwest Atlantic. Science 299: 389-392. </w:t>
      </w:r>
    </w:p>
    <w:p w14:paraId="1204C1D0" w14:textId="77777777" w:rsidR="001A65DF" w:rsidRPr="001A65DF" w:rsidRDefault="001A65DF" w:rsidP="001A65DF">
      <w:pPr>
        <w:spacing w:before="96" w:after="0" w:line="240" w:lineRule="auto"/>
        <w:ind w:left="425" w:hanging="425"/>
        <w:jc w:val="both"/>
        <w:rPr>
          <w:rFonts w:eastAsia="Arial" w:cs="Arial"/>
          <w:sz w:val="20"/>
          <w:szCs w:val="20"/>
          <w:lang w:eastAsia="en-GB"/>
        </w:rPr>
      </w:pPr>
      <w:proofErr w:type="spellStart"/>
      <w:r w:rsidRPr="001A65DF">
        <w:rPr>
          <w:rFonts w:eastAsia="Arial" w:cs="Arial"/>
          <w:sz w:val="20"/>
          <w:szCs w:val="20"/>
          <w:lang w:eastAsia="en-GB"/>
        </w:rPr>
        <w:t>Bessudo</w:t>
      </w:r>
      <w:proofErr w:type="spellEnd"/>
      <w:r w:rsidRPr="001A65DF">
        <w:rPr>
          <w:rFonts w:eastAsia="Arial" w:cs="Arial"/>
          <w:sz w:val="20"/>
          <w:szCs w:val="20"/>
          <w:lang w:eastAsia="en-GB"/>
        </w:rPr>
        <w:t>, S. &amp; German Andres Soler &amp; A. Peter Klimley &amp; James T. Ketchum &amp; Alex Hearn &amp; Randall Arauz. 2011. Residency of the scalloped hammerhead shark (</w:t>
      </w:r>
      <w:r w:rsidRPr="001A65DF">
        <w:rPr>
          <w:rFonts w:eastAsia="Arial" w:cs="Arial"/>
          <w:i/>
          <w:sz w:val="20"/>
          <w:szCs w:val="20"/>
          <w:lang w:eastAsia="en-GB"/>
        </w:rPr>
        <w:t xml:space="preserve">Sphyrna </w:t>
      </w:r>
      <w:proofErr w:type="spellStart"/>
      <w:r w:rsidRPr="001A65DF">
        <w:rPr>
          <w:rFonts w:eastAsia="Arial" w:cs="Arial"/>
          <w:i/>
          <w:sz w:val="20"/>
          <w:szCs w:val="20"/>
          <w:lang w:eastAsia="en-GB"/>
        </w:rPr>
        <w:t>lewini</w:t>
      </w:r>
      <w:proofErr w:type="spellEnd"/>
      <w:r w:rsidRPr="001A65DF">
        <w:rPr>
          <w:rFonts w:eastAsia="Arial" w:cs="Arial"/>
          <w:sz w:val="20"/>
          <w:szCs w:val="20"/>
          <w:lang w:eastAsia="en-GB"/>
        </w:rPr>
        <w:t xml:space="preserve">) at </w:t>
      </w:r>
      <w:proofErr w:type="spellStart"/>
      <w:r w:rsidRPr="001A65DF">
        <w:rPr>
          <w:rFonts w:eastAsia="Arial" w:cs="Arial"/>
          <w:sz w:val="20"/>
          <w:szCs w:val="20"/>
          <w:lang w:eastAsia="en-GB"/>
        </w:rPr>
        <w:t>Malpelo</w:t>
      </w:r>
      <w:proofErr w:type="spellEnd"/>
      <w:r w:rsidRPr="001A65DF">
        <w:rPr>
          <w:rFonts w:eastAsia="Arial" w:cs="Arial"/>
          <w:sz w:val="20"/>
          <w:szCs w:val="20"/>
          <w:lang w:eastAsia="en-GB"/>
        </w:rPr>
        <w:t xml:space="preserve"> Island and evidence of migration to other islands in the Eastern Tropical Pacific Environ Biol Fish 91: 165–176.</w:t>
      </w:r>
    </w:p>
    <w:p w14:paraId="5B8C14FD" w14:textId="77777777" w:rsidR="001A65DF" w:rsidRPr="001A65DF" w:rsidRDefault="001A65DF" w:rsidP="001A65DF">
      <w:pPr>
        <w:spacing w:before="96" w:after="0" w:line="240" w:lineRule="auto"/>
        <w:ind w:left="425" w:hanging="425"/>
        <w:jc w:val="both"/>
        <w:rPr>
          <w:rFonts w:eastAsia="Arial" w:cs="Arial"/>
          <w:sz w:val="20"/>
          <w:szCs w:val="20"/>
          <w:lang w:eastAsia="en-GB"/>
        </w:rPr>
      </w:pPr>
      <w:proofErr w:type="spellStart"/>
      <w:r w:rsidRPr="001A65DF">
        <w:rPr>
          <w:rFonts w:eastAsia="Arial" w:cs="Arial"/>
          <w:sz w:val="20"/>
          <w:szCs w:val="20"/>
          <w:lang w:eastAsia="en-GB"/>
        </w:rPr>
        <w:t>Bessudo</w:t>
      </w:r>
      <w:proofErr w:type="spellEnd"/>
      <w:r w:rsidRPr="001A65DF">
        <w:rPr>
          <w:rFonts w:eastAsia="Arial" w:cs="Arial"/>
          <w:sz w:val="20"/>
          <w:szCs w:val="20"/>
          <w:lang w:eastAsia="en-GB"/>
        </w:rPr>
        <w:t xml:space="preserve"> S, Soler GA, </w:t>
      </w:r>
      <w:proofErr w:type="spellStart"/>
      <w:r w:rsidRPr="001A65DF">
        <w:rPr>
          <w:rFonts w:eastAsia="Arial" w:cs="Arial"/>
          <w:sz w:val="20"/>
          <w:szCs w:val="20"/>
          <w:lang w:eastAsia="en-GB"/>
        </w:rPr>
        <w:t>Klimley</w:t>
      </w:r>
      <w:proofErr w:type="spellEnd"/>
      <w:r w:rsidRPr="001A65DF">
        <w:rPr>
          <w:rFonts w:eastAsia="Arial" w:cs="Arial"/>
          <w:sz w:val="20"/>
          <w:szCs w:val="20"/>
          <w:lang w:eastAsia="en-GB"/>
        </w:rPr>
        <w:t xml:space="preserve"> PA, et al (2016) Vertical and horizontal movements of the scalloped hammerhead shark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xml:space="preserve">) around </w:t>
      </w:r>
      <w:proofErr w:type="spellStart"/>
      <w:r w:rsidRPr="001A65DF">
        <w:rPr>
          <w:rFonts w:eastAsia="Arial" w:cs="Arial"/>
          <w:sz w:val="20"/>
          <w:szCs w:val="20"/>
          <w:lang w:eastAsia="en-GB"/>
        </w:rPr>
        <w:t>Malpelo</w:t>
      </w:r>
      <w:proofErr w:type="spellEnd"/>
      <w:r w:rsidRPr="001A65DF">
        <w:rPr>
          <w:rFonts w:eastAsia="Arial" w:cs="Arial"/>
          <w:sz w:val="20"/>
          <w:szCs w:val="20"/>
          <w:lang w:eastAsia="en-GB"/>
        </w:rPr>
        <w:t xml:space="preserve"> and Cocos Islands (Tropical Eastern Pacific) using satellite telemetry. Bull Mar Coast Res </w:t>
      </w:r>
      <w:proofErr w:type="gramStart"/>
      <w:r w:rsidRPr="001A65DF">
        <w:rPr>
          <w:rFonts w:eastAsia="Arial" w:cs="Arial"/>
          <w:sz w:val="20"/>
          <w:szCs w:val="20"/>
          <w:lang w:eastAsia="en-GB"/>
        </w:rPr>
        <w:t>40:.</w:t>
      </w:r>
      <w:proofErr w:type="gramEnd"/>
      <w:r w:rsidRPr="001A65DF">
        <w:rPr>
          <w:rFonts w:eastAsia="Arial" w:cs="Arial"/>
          <w:sz w:val="20"/>
          <w:szCs w:val="20"/>
          <w:lang w:eastAsia="en-GB"/>
        </w:rPr>
        <w:t xml:space="preserve"> </w:t>
      </w:r>
      <w:hyperlink r:id="rId25" w:history="1">
        <w:r w:rsidRPr="001A65DF">
          <w:rPr>
            <w:rFonts w:eastAsia="Arial" w:cs="Arial"/>
            <w:sz w:val="20"/>
            <w:szCs w:val="20"/>
            <w:lang w:eastAsia="en-GB"/>
          </w:rPr>
          <w:t>https://doi.org/10.25268/bimc.invemar.2011.40.0.133</w:t>
        </w:r>
      </w:hyperlink>
    </w:p>
    <w:p w14:paraId="280E123E"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Bonaccorso, E., Ordóñez-Garza, N., </w:t>
      </w:r>
      <w:proofErr w:type="spellStart"/>
      <w:r w:rsidRPr="001A65DF">
        <w:rPr>
          <w:rFonts w:eastAsia="Arial" w:cs="Arial"/>
          <w:sz w:val="20"/>
          <w:szCs w:val="20"/>
          <w:lang w:eastAsia="en-GB"/>
        </w:rPr>
        <w:t>Pazmiño</w:t>
      </w:r>
      <w:proofErr w:type="spellEnd"/>
      <w:r w:rsidRPr="001A65DF">
        <w:rPr>
          <w:rFonts w:eastAsia="Arial" w:cs="Arial"/>
          <w:sz w:val="20"/>
          <w:szCs w:val="20"/>
          <w:lang w:eastAsia="en-GB"/>
        </w:rPr>
        <w:t>, D.A., Hearn, A., Páez-Rosas, D., Cruz, S., Muñoz-Pérez, J.P., Espinoza, E., Suárez, J., Muñoz-Rosado, L.D. and Vizuete, A., 2021. International</w:t>
      </w:r>
      <w:r w:rsidRPr="001A65DF">
        <w:rPr>
          <w:rFonts w:ascii="Tahoma" w:eastAsia="Arial" w:hAnsi="Tahoma" w:cs="Tahoma"/>
          <w:sz w:val="20"/>
          <w:szCs w:val="20"/>
          <w:lang w:val="es-ES" w:eastAsia="en-GB"/>
        </w:rPr>
        <w:t>﻿</w:t>
      </w:r>
      <w:r w:rsidRPr="001A65DF">
        <w:rPr>
          <w:rFonts w:eastAsia="Arial" w:cs="Arial"/>
          <w:sz w:val="20"/>
          <w:szCs w:val="20"/>
          <w:lang w:eastAsia="en-GB"/>
        </w:rPr>
        <w:t xml:space="preserve"> fisheries threaten globally endangered sharks in the Eastern Tropical Pacific Ocean: the case of the Fu Yuan Yu Leng 999 reefer vessel seized within the Galápagos Marine Reserve. Scientific Reports, 11(1), p.14959.</w:t>
      </w:r>
    </w:p>
    <w:p w14:paraId="3EDE9051"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Bond, M.E., Booth, H., Tanna, A., Fowler, S.L., Polo-Silva, C.J., Shea, K.S., </w:t>
      </w:r>
      <w:proofErr w:type="spellStart"/>
      <w:r w:rsidRPr="001A65DF">
        <w:rPr>
          <w:rFonts w:eastAsia="Arial" w:cs="Arial"/>
          <w:sz w:val="20"/>
          <w:szCs w:val="20"/>
          <w:lang w:eastAsia="en-GB"/>
        </w:rPr>
        <w:t>Cardiec</w:t>
      </w:r>
      <w:proofErr w:type="spellEnd"/>
      <w:r w:rsidRPr="001A65DF">
        <w:rPr>
          <w:rFonts w:eastAsia="Arial" w:cs="Arial"/>
          <w:sz w:val="20"/>
          <w:szCs w:val="20"/>
          <w:lang w:eastAsia="en-GB"/>
        </w:rPr>
        <w:t>, F., Mansur, E.F. and Jabado, R.W., 2025. Trade regulations drive improved global shark and ray management. Marine Policy, p.106733.</w:t>
      </w:r>
    </w:p>
    <w:p w14:paraId="7B534B50" w14:textId="77777777" w:rsidR="001A65DF" w:rsidRPr="001A65DF" w:rsidRDefault="001A65DF" w:rsidP="001A65DF">
      <w:pPr>
        <w:spacing w:before="96" w:after="0" w:line="240" w:lineRule="auto"/>
        <w:ind w:left="425" w:hanging="425"/>
        <w:jc w:val="both"/>
        <w:rPr>
          <w:rFonts w:eastAsia="Arial" w:cs="Arial"/>
          <w:sz w:val="20"/>
          <w:szCs w:val="20"/>
          <w:lang w:val="es-ES" w:eastAsia="en-GB"/>
        </w:rPr>
      </w:pPr>
      <w:r w:rsidRPr="001A65DF">
        <w:rPr>
          <w:rFonts w:eastAsia="Arial" w:cs="Arial"/>
          <w:sz w:val="20"/>
          <w:szCs w:val="20"/>
          <w:lang w:eastAsia="en-GB"/>
        </w:rPr>
        <w:t xml:space="preserve">Branstetter, S., 1987. Age, growth and reproductive biology of the silky shark, Carcharhinus </w:t>
      </w:r>
      <w:proofErr w:type="spellStart"/>
      <w:r w:rsidRPr="001A65DF">
        <w:rPr>
          <w:rFonts w:eastAsia="Arial" w:cs="Arial"/>
          <w:sz w:val="20"/>
          <w:szCs w:val="20"/>
          <w:lang w:eastAsia="en-GB"/>
        </w:rPr>
        <w:t>falciformis</w:t>
      </w:r>
      <w:proofErr w:type="spellEnd"/>
      <w:r w:rsidRPr="001A65DF">
        <w:rPr>
          <w:rFonts w:eastAsia="Arial" w:cs="Arial"/>
          <w:sz w:val="20"/>
          <w:szCs w:val="20"/>
          <w:lang w:eastAsia="en-GB"/>
        </w:rPr>
        <w:t xml:space="preserve">, and the scalloped hammerhead,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from the northwestern Gulf of Mexico. </w:t>
      </w:r>
      <w:proofErr w:type="spellStart"/>
      <w:r w:rsidRPr="001A65DF">
        <w:rPr>
          <w:rFonts w:eastAsia="Arial" w:cs="Arial"/>
          <w:sz w:val="20"/>
          <w:szCs w:val="20"/>
          <w:lang w:val="es-ES" w:eastAsia="en-GB"/>
        </w:rPr>
        <w:t>Environmental</w:t>
      </w:r>
      <w:proofErr w:type="spellEnd"/>
      <w:r w:rsidRPr="001A65DF">
        <w:rPr>
          <w:rFonts w:eastAsia="Arial" w:cs="Arial"/>
          <w:sz w:val="20"/>
          <w:szCs w:val="20"/>
          <w:lang w:val="es-ES" w:eastAsia="en-GB"/>
        </w:rPr>
        <w:t xml:space="preserve"> </w:t>
      </w:r>
      <w:proofErr w:type="spellStart"/>
      <w:r w:rsidRPr="001A65DF">
        <w:rPr>
          <w:rFonts w:eastAsia="Arial" w:cs="Arial"/>
          <w:sz w:val="20"/>
          <w:szCs w:val="20"/>
          <w:lang w:val="es-ES" w:eastAsia="en-GB"/>
        </w:rPr>
        <w:t>Biology</w:t>
      </w:r>
      <w:proofErr w:type="spellEnd"/>
      <w:r w:rsidRPr="001A65DF">
        <w:rPr>
          <w:rFonts w:eastAsia="Arial" w:cs="Arial"/>
          <w:sz w:val="20"/>
          <w:szCs w:val="20"/>
          <w:lang w:val="es-ES" w:eastAsia="en-GB"/>
        </w:rPr>
        <w:t xml:space="preserve"> of </w:t>
      </w:r>
      <w:proofErr w:type="spellStart"/>
      <w:r w:rsidRPr="001A65DF">
        <w:rPr>
          <w:rFonts w:eastAsia="Arial" w:cs="Arial"/>
          <w:sz w:val="20"/>
          <w:szCs w:val="20"/>
          <w:lang w:val="es-ES" w:eastAsia="en-GB"/>
        </w:rPr>
        <w:t>Fishes</w:t>
      </w:r>
      <w:proofErr w:type="spellEnd"/>
      <w:r w:rsidRPr="001A65DF">
        <w:rPr>
          <w:rFonts w:eastAsia="Arial" w:cs="Arial"/>
          <w:sz w:val="20"/>
          <w:szCs w:val="20"/>
          <w:lang w:val="es-ES" w:eastAsia="en-GB"/>
        </w:rPr>
        <w:t>, 19(3), pp.161-173.</w:t>
      </w:r>
    </w:p>
    <w:p w14:paraId="457D3EBD"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val="es-ES" w:eastAsia="en-GB"/>
        </w:rPr>
        <w:t xml:space="preserve">Cambra, M., Lara-Lizardi, F., Peñaherrera-Palma, C., Hearn, A., Ketchum, J.T., Zarate, P., Chacón, C., Suárez-Moncada, J., Herrera, E. and Espinoza, M., 2021. </w:t>
      </w:r>
      <w:r w:rsidRPr="001A65DF">
        <w:rPr>
          <w:rFonts w:eastAsia="Arial" w:cs="Arial"/>
          <w:sz w:val="20"/>
          <w:szCs w:val="20"/>
          <w:lang w:eastAsia="en-GB"/>
        </w:rPr>
        <w:t xml:space="preserve">A first assessment of the distribution and abundance of large pelagic species at Cocos Ridge seamounts (Eastern Tropical Pacific) using drifting pelagic baited remote cameras. </w:t>
      </w:r>
      <w:proofErr w:type="spellStart"/>
      <w:r w:rsidRPr="001A65DF">
        <w:rPr>
          <w:rFonts w:eastAsia="Arial" w:cs="Arial"/>
          <w:sz w:val="20"/>
          <w:szCs w:val="20"/>
          <w:lang w:eastAsia="en-GB"/>
        </w:rPr>
        <w:t>PLoS</w:t>
      </w:r>
      <w:proofErr w:type="spellEnd"/>
      <w:r w:rsidRPr="001A65DF">
        <w:rPr>
          <w:rFonts w:eastAsia="Arial" w:cs="Arial"/>
          <w:sz w:val="20"/>
          <w:szCs w:val="20"/>
          <w:lang w:eastAsia="en-GB"/>
        </w:rPr>
        <w:t xml:space="preserve"> One, 16(11), p.e0244343.</w:t>
      </w:r>
    </w:p>
    <w:p w14:paraId="70DCAA1B"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Camhi, M.D., S.V. Valenti, S.V. Fordham, S.L. Fowler and C. Gibson. 2009. The Conservation Status of Pelagic Sharks and Rays: Report of the IUCN Shark Specialist Group Pelagic Shark Red List Workshop. IUCN Species Survival Commission Shark Specialist Group. Newbury, UK. x + 78p.</w:t>
      </w:r>
    </w:p>
    <w:p w14:paraId="5C76B8A8" w14:textId="77777777" w:rsidR="001A65DF" w:rsidRPr="001A65DF" w:rsidRDefault="001A65DF" w:rsidP="001A65DF">
      <w:pPr>
        <w:spacing w:before="96" w:after="0" w:line="240" w:lineRule="auto"/>
        <w:ind w:left="425" w:hanging="425"/>
        <w:jc w:val="both"/>
        <w:rPr>
          <w:rFonts w:eastAsia="Arial" w:cs="Arial"/>
          <w:sz w:val="20"/>
          <w:szCs w:val="20"/>
          <w:lang w:eastAsia="en-GB"/>
        </w:rPr>
      </w:pPr>
      <w:proofErr w:type="spellStart"/>
      <w:r w:rsidRPr="001A65DF">
        <w:rPr>
          <w:rFonts w:eastAsia="Arial" w:cs="Arial"/>
          <w:sz w:val="20"/>
          <w:szCs w:val="20"/>
          <w:lang w:eastAsia="en-GB"/>
        </w:rPr>
        <w:t>Cardeñosa</w:t>
      </w:r>
      <w:proofErr w:type="spellEnd"/>
      <w:r w:rsidRPr="001A65DF">
        <w:rPr>
          <w:rFonts w:eastAsia="Arial" w:cs="Arial"/>
          <w:sz w:val="20"/>
          <w:szCs w:val="20"/>
          <w:lang w:eastAsia="en-GB"/>
        </w:rPr>
        <w:t>, D., Fields, A.T., Babcock, E.A., Shea, S.K., Feldheim, K.A. and Chapman, D.D., 2020. Species composition of the largest shark fin retail-market in mainland China. Scientific reports, 10(1), p.12914.</w:t>
      </w:r>
    </w:p>
    <w:p w14:paraId="5196DFC5" w14:textId="77777777" w:rsidR="001A65DF" w:rsidRPr="001A65DF" w:rsidRDefault="001A65DF" w:rsidP="001A65DF">
      <w:pPr>
        <w:spacing w:before="96" w:after="0" w:line="240" w:lineRule="auto"/>
        <w:ind w:left="425" w:hanging="425"/>
        <w:jc w:val="both"/>
        <w:rPr>
          <w:rFonts w:eastAsia="Arial" w:cs="Arial"/>
          <w:sz w:val="20"/>
          <w:szCs w:val="20"/>
          <w:lang w:eastAsia="en-GB"/>
        </w:rPr>
      </w:pPr>
      <w:proofErr w:type="spellStart"/>
      <w:r w:rsidRPr="001A65DF">
        <w:rPr>
          <w:rFonts w:eastAsia="Arial" w:cs="Arial"/>
          <w:sz w:val="20"/>
          <w:szCs w:val="20"/>
          <w:lang w:eastAsia="en-GB"/>
        </w:rPr>
        <w:t>Cardeñosa</w:t>
      </w:r>
      <w:proofErr w:type="spellEnd"/>
      <w:r w:rsidRPr="001A65DF">
        <w:rPr>
          <w:rFonts w:eastAsia="Arial" w:cs="Arial"/>
          <w:sz w:val="20"/>
          <w:szCs w:val="20"/>
          <w:lang w:eastAsia="en-GB"/>
        </w:rPr>
        <w:t xml:space="preserve">, D., Shea, S.K., Zhang, H., Fischer, G.A., </w:t>
      </w:r>
      <w:proofErr w:type="spellStart"/>
      <w:r w:rsidRPr="001A65DF">
        <w:rPr>
          <w:rFonts w:eastAsia="Arial" w:cs="Arial"/>
          <w:sz w:val="20"/>
          <w:szCs w:val="20"/>
          <w:lang w:eastAsia="en-GB"/>
        </w:rPr>
        <w:t>Simpfendorfer</w:t>
      </w:r>
      <w:proofErr w:type="spellEnd"/>
      <w:r w:rsidRPr="001A65DF">
        <w:rPr>
          <w:rFonts w:eastAsia="Arial" w:cs="Arial"/>
          <w:sz w:val="20"/>
          <w:szCs w:val="20"/>
          <w:lang w:eastAsia="en-GB"/>
        </w:rPr>
        <w:t>, C.A. and Chapman, D.D., 2022. Two thirds of species in a global shark fin trade hub are threatened with extinction: Conservation potential of international trade regulations for coastal sharks. Conservation Letters, 15(5), p.e12910 </w:t>
      </w:r>
    </w:p>
    <w:p w14:paraId="24136122"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proofErr w:type="spellStart"/>
      <w:r w:rsidRPr="001A65DF">
        <w:rPr>
          <w:rFonts w:eastAsia="Times New Roman" w:cs="Arial"/>
          <w:sz w:val="20"/>
          <w:szCs w:val="20"/>
          <w:lang w:eastAsia="en-GB"/>
        </w:rPr>
        <w:t>Cardeñosa</w:t>
      </w:r>
      <w:proofErr w:type="spellEnd"/>
      <w:r w:rsidRPr="001A65DF">
        <w:rPr>
          <w:rFonts w:eastAsia="Times New Roman" w:cs="Arial"/>
          <w:sz w:val="20"/>
          <w:szCs w:val="20"/>
          <w:lang w:eastAsia="en-GB"/>
        </w:rPr>
        <w:t>, D., Babcock, E.A., Shea, S.K., Zhang, H., Feldheim, K.A., Gale, S.W., Mills, D. and Chapman, D.D., 2024. Small sharks, big problems: DNA analysis of small fins reveals trade regulation gaps and burgeoning trade in juvenile sharks. </w:t>
      </w:r>
      <w:r w:rsidRPr="001A65DF">
        <w:rPr>
          <w:rFonts w:eastAsia="Times New Roman" w:cs="Arial"/>
          <w:i/>
          <w:iCs/>
          <w:sz w:val="20"/>
          <w:szCs w:val="20"/>
          <w:lang w:eastAsia="en-GB"/>
        </w:rPr>
        <w:t>Science advances</w:t>
      </w:r>
      <w:r w:rsidRPr="001A65DF">
        <w:rPr>
          <w:rFonts w:eastAsia="Times New Roman" w:cs="Arial"/>
          <w:sz w:val="20"/>
          <w:szCs w:val="20"/>
          <w:lang w:eastAsia="en-GB"/>
        </w:rPr>
        <w:t>, </w:t>
      </w:r>
      <w:r w:rsidRPr="001A65DF">
        <w:rPr>
          <w:rFonts w:eastAsia="Times New Roman" w:cs="Arial"/>
          <w:i/>
          <w:iCs/>
          <w:sz w:val="20"/>
          <w:szCs w:val="20"/>
          <w:lang w:eastAsia="en-GB"/>
        </w:rPr>
        <w:t>10</w:t>
      </w:r>
      <w:r w:rsidRPr="001A65DF">
        <w:rPr>
          <w:rFonts w:eastAsia="Times New Roman" w:cs="Arial"/>
          <w:sz w:val="20"/>
          <w:szCs w:val="20"/>
          <w:lang w:eastAsia="en-GB"/>
        </w:rPr>
        <w:t xml:space="preserve">(42), </w:t>
      </w:r>
      <w:proofErr w:type="gramStart"/>
      <w:r w:rsidRPr="001A65DF">
        <w:rPr>
          <w:rFonts w:eastAsia="Times New Roman" w:cs="Arial"/>
          <w:sz w:val="20"/>
          <w:szCs w:val="20"/>
          <w:lang w:eastAsia="en-GB"/>
        </w:rPr>
        <w:t>p.eadq</w:t>
      </w:r>
      <w:proofErr w:type="gramEnd"/>
      <w:r w:rsidRPr="001A65DF">
        <w:rPr>
          <w:rFonts w:eastAsia="Times New Roman" w:cs="Arial"/>
          <w:sz w:val="20"/>
          <w:szCs w:val="20"/>
          <w:lang w:eastAsia="en-GB"/>
        </w:rPr>
        <w:t>6214.</w:t>
      </w:r>
    </w:p>
    <w:p w14:paraId="168223A8"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Carlson, J.K., I.E. Baremore, and D.M. Bethea. 2005. The direct shark gillnet fishery, catch and bycatch 2004. National Marine Fisheries Service, Southeast Fisheries Science Center, PCB-05-01. Panama City, FL.</w:t>
      </w:r>
    </w:p>
    <w:p w14:paraId="199E9064"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proofErr w:type="spellStart"/>
      <w:r w:rsidRPr="001A65DF">
        <w:rPr>
          <w:rFonts w:eastAsia="Times New Roman" w:cs="Arial"/>
          <w:sz w:val="20"/>
          <w:szCs w:val="20"/>
          <w:lang w:val="es-ES" w:eastAsia="en-GB"/>
        </w:rPr>
        <w:t>Cartamil</w:t>
      </w:r>
      <w:proofErr w:type="spellEnd"/>
      <w:r w:rsidRPr="001A65DF">
        <w:rPr>
          <w:rFonts w:eastAsia="Times New Roman" w:cs="Arial"/>
          <w:sz w:val="20"/>
          <w:szCs w:val="20"/>
          <w:lang w:val="es-ES" w:eastAsia="en-GB"/>
        </w:rPr>
        <w:t xml:space="preserve">, D., Santana-Morales, O., Escobedo-Olvera, M., </w:t>
      </w:r>
      <w:proofErr w:type="spellStart"/>
      <w:r w:rsidRPr="001A65DF">
        <w:rPr>
          <w:rFonts w:eastAsia="Times New Roman" w:cs="Arial"/>
          <w:sz w:val="20"/>
          <w:szCs w:val="20"/>
          <w:lang w:val="es-ES" w:eastAsia="en-GB"/>
        </w:rPr>
        <w:t>Kacev</w:t>
      </w:r>
      <w:proofErr w:type="spellEnd"/>
      <w:r w:rsidRPr="001A65DF">
        <w:rPr>
          <w:rFonts w:eastAsia="Times New Roman" w:cs="Arial"/>
          <w:sz w:val="20"/>
          <w:szCs w:val="20"/>
          <w:lang w:val="es-ES" w:eastAsia="en-GB"/>
        </w:rPr>
        <w:t>, D., Castillo-</w:t>
      </w:r>
      <w:proofErr w:type="spellStart"/>
      <w:r w:rsidRPr="001A65DF">
        <w:rPr>
          <w:rFonts w:eastAsia="Times New Roman" w:cs="Arial"/>
          <w:sz w:val="20"/>
          <w:szCs w:val="20"/>
          <w:lang w:val="es-ES" w:eastAsia="en-GB"/>
        </w:rPr>
        <w:t>Geniz</w:t>
      </w:r>
      <w:proofErr w:type="spellEnd"/>
      <w:r w:rsidRPr="001A65DF">
        <w:rPr>
          <w:rFonts w:eastAsia="Times New Roman" w:cs="Arial"/>
          <w:sz w:val="20"/>
          <w:szCs w:val="20"/>
          <w:lang w:val="es-ES" w:eastAsia="en-GB"/>
        </w:rPr>
        <w:t xml:space="preserve">, L., Graham, J.B., </w:t>
      </w:r>
      <w:proofErr w:type="spellStart"/>
      <w:r w:rsidRPr="001A65DF">
        <w:rPr>
          <w:rFonts w:eastAsia="Times New Roman" w:cs="Arial"/>
          <w:sz w:val="20"/>
          <w:szCs w:val="20"/>
          <w:lang w:val="es-ES" w:eastAsia="en-GB"/>
        </w:rPr>
        <w:t>Rubin</w:t>
      </w:r>
      <w:proofErr w:type="spellEnd"/>
      <w:r w:rsidRPr="001A65DF">
        <w:rPr>
          <w:rFonts w:eastAsia="Times New Roman" w:cs="Arial"/>
          <w:sz w:val="20"/>
          <w:szCs w:val="20"/>
          <w:lang w:val="es-ES" w:eastAsia="en-GB"/>
        </w:rPr>
        <w:t>, R.D. and Sosa-</w:t>
      </w:r>
      <w:proofErr w:type="spellStart"/>
      <w:r w:rsidRPr="001A65DF">
        <w:rPr>
          <w:rFonts w:eastAsia="Times New Roman" w:cs="Arial"/>
          <w:sz w:val="20"/>
          <w:szCs w:val="20"/>
          <w:lang w:val="es-ES" w:eastAsia="en-GB"/>
        </w:rPr>
        <w:t>Nishizaki</w:t>
      </w:r>
      <w:proofErr w:type="spellEnd"/>
      <w:r w:rsidRPr="001A65DF">
        <w:rPr>
          <w:rFonts w:eastAsia="Times New Roman" w:cs="Arial"/>
          <w:sz w:val="20"/>
          <w:szCs w:val="20"/>
          <w:lang w:val="es-ES" w:eastAsia="en-GB"/>
        </w:rPr>
        <w:t xml:space="preserve">, O., 2011. </w:t>
      </w:r>
      <w:r w:rsidRPr="001A65DF">
        <w:rPr>
          <w:rFonts w:eastAsia="Times New Roman" w:cs="Arial"/>
          <w:sz w:val="20"/>
          <w:szCs w:val="20"/>
          <w:lang w:eastAsia="en-GB"/>
        </w:rPr>
        <w:t>The artisanal elasmobranch fishery of the Pacific coast of Baja California, Mexico. </w:t>
      </w:r>
      <w:r w:rsidRPr="001A65DF">
        <w:rPr>
          <w:rFonts w:eastAsia="Times New Roman" w:cs="Arial"/>
          <w:i/>
          <w:iCs/>
          <w:sz w:val="20"/>
          <w:szCs w:val="20"/>
          <w:lang w:eastAsia="en-GB"/>
        </w:rPr>
        <w:t>Fisheries Research</w:t>
      </w:r>
      <w:r w:rsidRPr="001A65DF">
        <w:rPr>
          <w:rFonts w:eastAsia="Times New Roman" w:cs="Arial"/>
          <w:sz w:val="20"/>
          <w:szCs w:val="20"/>
          <w:lang w:eastAsia="en-GB"/>
        </w:rPr>
        <w:t>, </w:t>
      </w:r>
      <w:r w:rsidRPr="001A65DF">
        <w:rPr>
          <w:rFonts w:eastAsia="Times New Roman" w:cs="Arial"/>
          <w:i/>
          <w:iCs/>
          <w:sz w:val="20"/>
          <w:szCs w:val="20"/>
          <w:lang w:eastAsia="en-GB"/>
        </w:rPr>
        <w:t>108</w:t>
      </w:r>
      <w:r w:rsidRPr="001A65DF">
        <w:rPr>
          <w:rFonts w:eastAsia="Times New Roman" w:cs="Arial"/>
          <w:sz w:val="20"/>
          <w:szCs w:val="20"/>
          <w:lang w:eastAsia="en-GB"/>
        </w:rPr>
        <w:t>(2-3), pp.393-403.</w:t>
      </w:r>
    </w:p>
    <w:p w14:paraId="7316142E" w14:textId="77777777" w:rsidR="001A65DF" w:rsidRPr="001A65DF" w:rsidRDefault="001A65DF" w:rsidP="001A65DF">
      <w:pPr>
        <w:spacing w:before="96" w:after="0" w:line="240" w:lineRule="auto"/>
        <w:ind w:left="425" w:hanging="425"/>
        <w:jc w:val="both"/>
        <w:rPr>
          <w:rFonts w:eastAsia="Times New Roman" w:cs="Arial"/>
          <w:sz w:val="20"/>
          <w:szCs w:val="20"/>
          <w:lang w:val="es-ES" w:eastAsia="en-GB"/>
        </w:rPr>
      </w:pPr>
      <w:r w:rsidRPr="001A65DF">
        <w:rPr>
          <w:rFonts w:eastAsia="Times New Roman" w:cs="Arial"/>
          <w:sz w:val="20"/>
          <w:szCs w:val="20"/>
          <w:lang w:eastAsia="en-GB"/>
        </w:rPr>
        <w:t>Cerutti</w:t>
      </w:r>
      <w:r w:rsidRPr="001A65DF">
        <w:rPr>
          <w:rFonts w:ascii="Cambria Math" w:eastAsia="Times New Roman" w:hAnsi="Cambria Math" w:cs="Cambria Math"/>
          <w:sz w:val="20"/>
          <w:szCs w:val="20"/>
          <w:lang w:eastAsia="en-GB"/>
        </w:rPr>
        <w:t>‐</w:t>
      </w:r>
      <w:r w:rsidRPr="001A65DF">
        <w:rPr>
          <w:rFonts w:eastAsia="Times New Roman" w:cs="Arial"/>
          <w:sz w:val="20"/>
          <w:szCs w:val="20"/>
          <w:lang w:eastAsia="en-GB"/>
        </w:rPr>
        <w:t xml:space="preserve">Pereyra, F., </w:t>
      </w:r>
      <w:proofErr w:type="spellStart"/>
      <w:r w:rsidRPr="001A65DF">
        <w:rPr>
          <w:rFonts w:eastAsia="Times New Roman" w:cs="Arial"/>
          <w:sz w:val="20"/>
          <w:szCs w:val="20"/>
          <w:lang w:eastAsia="en-GB"/>
        </w:rPr>
        <w:t>Drenkard</w:t>
      </w:r>
      <w:proofErr w:type="spellEnd"/>
      <w:r w:rsidRPr="001A65DF">
        <w:rPr>
          <w:rFonts w:eastAsia="Times New Roman" w:cs="Arial"/>
          <w:sz w:val="20"/>
          <w:szCs w:val="20"/>
          <w:lang w:eastAsia="en-GB"/>
        </w:rPr>
        <w:t>, E.J., Espinoza, M., Finucci, B., Galván</w:t>
      </w:r>
      <w:r w:rsidRPr="001A65DF">
        <w:rPr>
          <w:rFonts w:ascii="Cambria Math" w:eastAsia="Times New Roman" w:hAnsi="Cambria Math" w:cs="Cambria Math"/>
          <w:sz w:val="20"/>
          <w:szCs w:val="20"/>
          <w:lang w:eastAsia="en-GB"/>
        </w:rPr>
        <w:t>‐</w:t>
      </w:r>
      <w:r w:rsidRPr="001A65DF">
        <w:rPr>
          <w:rFonts w:eastAsia="Times New Roman" w:cs="Arial"/>
          <w:sz w:val="20"/>
          <w:szCs w:val="20"/>
          <w:lang w:eastAsia="en-GB"/>
        </w:rPr>
        <w:t>Magaña, F., Hacohen</w:t>
      </w:r>
      <w:r w:rsidRPr="001A65DF">
        <w:rPr>
          <w:rFonts w:ascii="Cambria Math" w:eastAsia="Times New Roman" w:hAnsi="Cambria Math" w:cs="Cambria Math"/>
          <w:sz w:val="20"/>
          <w:szCs w:val="20"/>
          <w:lang w:eastAsia="en-GB"/>
        </w:rPr>
        <w:t>‐</w:t>
      </w:r>
      <w:proofErr w:type="spellStart"/>
      <w:r w:rsidRPr="001A65DF">
        <w:rPr>
          <w:rFonts w:eastAsia="Times New Roman" w:cs="Arial"/>
          <w:sz w:val="20"/>
          <w:szCs w:val="20"/>
          <w:lang w:eastAsia="en-GB"/>
        </w:rPr>
        <w:t>Domené</w:t>
      </w:r>
      <w:proofErr w:type="spellEnd"/>
      <w:r w:rsidRPr="001A65DF">
        <w:rPr>
          <w:rFonts w:eastAsia="Times New Roman" w:cs="Arial"/>
          <w:sz w:val="20"/>
          <w:szCs w:val="20"/>
          <w:lang w:eastAsia="en-GB"/>
        </w:rPr>
        <w:t>, A., Hearn, A., Hoyos</w:t>
      </w:r>
      <w:r w:rsidRPr="001A65DF">
        <w:rPr>
          <w:rFonts w:ascii="Cambria Math" w:eastAsia="Times New Roman" w:hAnsi="Cambria Math" w:cs="Cambria Math"/>
          <w:sz w:val="20"/>
          <w:szCs w:val="20"/>
          <w:lang w:eastAsia="en-GB"/>
        </w:rPr>
        <w:t>‐</w:t>
      </w:r>
      <w:r w:rsidRPr="001A65DF">
        <w:rPr>
          <w:rFonts w:eastAsia="Times New Roman" w:cs="Arial"/>
          <w:sz w:val="20"/>
          <w:szCs w:val="20"/>
          <w:lang w:eastAsia="en-GB"/>
        </w:rPr>
        <w:t>Padilla, M.E., Ketchum, J.T., Mejía</w:t>
      </w:r>
      <w:r w:rsidRPr="001A65DF">
        <w:rPr>
          <w:rFonts w:ascii="Cambria Math" w:eastAsia="Times New Roman" w:hAnsi="Cambria Math" w:cs="Cambria Math"/>
          <w:sz w:val="20"/>
          <w:szCs w:val="20"/>
          <w:lang w:eastAsia="en-GB"/>
        </w:rPr>
        <w:t>‐</w:t>
      </w:r>
      <w:r w:rsidRPr="001A65DF">
        <w:rPr>
          <w:rFonts w:eastAsia="Times New Roman" w:cs="Arial"/>
          <w:sz w:val="20"/>
          <w:szCs w:val="20"/>
          <w:lang w:eastAsia="en-GB"/>
        </w:rPr>
        <w:t>Falla, P.A. and Moya</w:t>
      </w:r>
      <w:r w:rsidRPr="001A65DF">
        <w:rPr>
          <w:rFonts w:ascii="Cambria Math" w:eastAsia="Times New Roman" w:hAnsi="Cambria Math" w:cs="Cambria Math"/>
          <w:sz w:val="20"/>
          <w:szCs w:val="20"/>
          <w:lang w:eastAsia="en-GB"/>
        </w:rPr>
        <w:t>‐</w:t>
      </w:r>
      <w:r w:rsidRPr="001A65DF">
        <w:rPr>
          <w:rFonts w:eastAsia="Times New Roman" w:cs="Arial"/>
          <w:sz w:val="20"/>
          <w:szCs w:val="20"/>
          <w:lang w:eastAsia="en-GB"/>
        </w:rPr>
        <w:t xml:space="preserve">Serrano, A.V., 2024. Vulnerability of Eastern Tropical Pacific chondrichthyan fish to climate change. </w:t>
      </w:r>
      <w:r w:rsidRPr="001A65DF">
        <w:rPr>
          <w:rFonts w:eastAsia="Times New Roman" w:cs="Arial"/>
          <w:sz w:val="20"/>
          <w:szCs w:val="20"/>
          <w:lang w:val="es-ES" w:eastAsia="en-GB"/>
        </w:rPr>
        <w:t xml:space="preserve">Global Change </w:t>
      </w:r>
      <w:proofErr w:type="spellStart"/>
      <w:r w:rsidRPr="001A65DF">
        <w:rPr>
          <w:rFonts w:eastAsia="Times New Roman" w:cs="Arial"/>
          <w:sz w:val="20"/>
          <w:szCs w:val="20"/>
          <w:lang w:val="es-ES" w:eastAsia="en-GB"/>
        </w:rPr>
        <w:t>Biology</w:t>
      </w:r>
      <w:proofErr w:type="spellEnd"/>
      <w:r w:rsidRPr="001A65DF">
        <w:rPr>
          <w:rFonts w:eastAsia="Times New Roman" w:cs="Arial"/>
          <w:sz w:val="20"/>
          <w:szCs w:val="20"/>
          <w:lang w:val="es-ES" w:eastAsia="en-GB"/>
        </w:rPr>
        <w:t>, 30(7), p.e17373.</w:t>
      </w:r>
    </w:p>
    <w:p w14:paraId="31113055"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Times New Roman" w:cs="Arial"/>
          <w:sz w:val="20"/>
          <w:szCs w:val="20"/>
          <w:lang w:val="es-ES" w:eastAsia="en-GB"/>
        </w:rPr>
        <w:t xml:space="preserve">Centeno-Chaves, A., </w:t>
      </w:r>
      <w:proofErr w:type="spellStart"/>
      <w:r w:rsidRPr="001A65DF">
        <w:rPr>
          <w:rFonts w:eastAsia="Times New Roman" w:cs="Arial"/>
          <w:sz w:val="20"/>
          <w:szCs w:val="20"/>
          <w:lang w:val="es-ES" w:eastAsia="en-GB"/>
        </w:rPr>
        <w:t>Marrari</w:t>
      </w:r>
      <w:proofErr w:type="spellEnd"/>
      <w:r w:rsidRPr="001A65DF">
        <w:rPr>
          <w:rFonts w:eastAsia="Times New Roman" w:cs="Arial"/>
          <w:sz w:val="20"/>
          <w:szCs w:val="20"/>
          <w:lang w:val="es-ES" w:eastAsia="en-GB"/>
        </w:rPr>
        <w:t xml:space="preserve">, M., Arias-Zumbado, F., García-Rojas, A. and </w:t>
      </w:r>
      <w:proofErr w:type="spellStart"/>
      <w:r w:rsidRPr="001A65DF">
        <w:rPr>
          <w:rFonts w:eastAsia="Times New Roman" w:cs="Arial"/>
          <w:sz w:val="20"/>
          <w:szCs w:val="20"/>
          <w:lang w:val="es-ES" w:eastAsia="en-GB"/>
        </w:rPr>
        <w:t>Mug</w:t>
      </w:r>
      <w:proofErr w:type="spellEnd"/>
      <w:r w:rsidRPr="001A65DF">
        <w:rPr>
          <w:rFonts w:eastAsia="Times New Roman" w:cs="Arial"/>
          <w:sz w:val="20"/>
          <w:szCs w:val="20"/>
          <w:lang w:val="es-ES" w:eastAsia="en-GB"/>
        </w:rPr>
        <w:t xml:space="preserve">-Villanueva, M., 2025. </w:t>
      </w:r>
      <w:r w:rsidRPr="001A65DF">
        <w:rPr>
          <w:rFonts w:eastAsia="Times New Roman" w:cs="Arial"/>
          <w:sz w:val="20"/>
          <w:szCs w:val="20"/>
          <w:lang w:eastAsia="en-GB"/>
        </w:rPr>
        <w:t>Composition of pelagic fish in commercial landings of the longline fishery in the Costa Rica Pacific during 2015-2021. </w:t>
      </w:r>
      <w:r w:rsidRPr="001A65DF">
        <w:rPr>
          <w:rFonts w:eastAsia="Times New Roman" w:cs="Arial"/>
          <w:i/>
          <w:iCs/>
          <w:sz w:val="20"/>
          <w:szCs w:val="20"/>
          <w:lang w:eastAsia="en-GB"/>
        </w:rPr>
        <w:t>Frontiers in Marine Science</w:t>
      </w:r>
      <w:r w:rsidRPr="001A65DF">
        <w:rPr>
          <w:rFonts w:eastAsia="Times New Roman" w:cs="Arial"/>
          <w:sz w:val="20"/>
          <w:szCs w:val="20"/>
          <w:lang w:eastAsia="en-GB"/>
        </w:rPr>
        <w:t>, </w:t>
      </w:r>
      <w:r w:rsidRPr="001A65DF">
        <w:rPr>
          <w:rFonts w:eastAsia="Times New Roman" w:cs="Arial"/>
          <w:i/>
          <w:iCs/>
          <w:sz w:val="20"/>
          <w:szCs w:val="20"/>
          <w:lang w:eastAsia="en-GB"/>
        </w:rPr>
        <w:t>11</w:t>
      </w:r>
      <w:r w:rsidRPr="001A65DF">
        <w:rPr>
          <w:rFonts w:eastAsia="Times New Roman" w:cs="Arial"/>
          <w:sz w:val="20"/>
          <w:szCs w:val="20"/>
          <w:lang w:eastAsia="en-GB"/>
        </w:rPr>
        <w:t>, p.1490883.</w:t>
      </w:r>
    </w:p>
    <w:p w14:paraId="7B77FE06"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Chen, C. </w:t>
      </w:r>
      <w:proofErr w:type="gramStart"/>
      <w:r w:rsidRPr="001A65DF">
        <w:rPr>
          <w:rFonts w:eastAsia="Arial" w:cs="Arial"/>
          <w:sz w:val="20"/>
          <w:szCs w:val="20"/>
          <w:lang w:eastAsia="en-GB"/>
        </w:rPr>
        <w:t>T. ,</w:t>
      </w:r>
      <w:proofErr w:type="gramEnd"/>
      <w:r w:rsidRPr="001A65DF">
        <w:rPr>
          <w:rFonts w:eastAsia="Arial" w:cs="Arial"/>
          <w:sz w:val="20"/>
          <w:szCs w:val="20"/>
          <w:lang w:eastAsia="en-GB"/>
        </w:rPr>
        <w:t xml:space="preserve"> T. C. Leu, and S. J. Joung. 1988. Reproduction in the female scalloped hammerhead,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xml:space="preserve">, in northeastern Taiwan waters. U.S. Fish </w:t>
      </w:r>
      <w:proofErr w:type="spellStart"/>
      <w:r w:rsidRPr="001A65DF">
        <w:rPr>
          <w:rFonts w:eastAsia="Arial" w:cs="Arial"/>
          <w:sz w:val="20"/>
          <w:szCs w:val="20"/>
          <w:lang w:eastAsia="en-GB"/>
        </w:rPr>
        <w:t>Wildl</w:t>
      </w:r>
      <w:proofErr w:type="spellEnd"/>
      <w:r w:rsidRPr="001A65DF">
        <w:rPr>
          <w:rFonts w:eastAsia="Arial" w:cs="Arial"/>
          <w:sz w:val="20"/>
          <w:szCs w:val="20"/>
          <w:lang w:eastAsia="en-GB"/>
        </w:rPr>
        <w:t xml:space="preserve">. </w:t>
      </w:r>
      <w:proofErr w:type="spellStart"/>
      <w:r w:rsidRPr="001A65DF">
        <w:rPr>
          <w:rFonts w:eastAsia="Arial" w:cs="Arial"/>
          <w:sz w:val="20"/>
          <w:szCs w:val="20"/>
          <w:lang w:eastAsia="en-GB"/>
        </w:rPr>
        <w:t>ServoFish</w:t>
      </w:r>
      <w:proofErr w:type="spellEnd"/>
      <w:r w:rsidRPr="001A65DF">
        <w:rPr>
          <w:rFonts w:eastAsia="Arial" w:cs="Arial"/>
          <w:sz w:val="20"/>
          <w:szCs w:val="20"/>
          <w:lang w:eastAsia="en-GB"/>
        </w:rPr>
        <w:t>. Bull. 86(2): 389-393.</w:t>
      </w:r>
    </w:p>
    <w:p w14:paraId="45592184"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Chen, C.T., Leu, T.C., Joung, S.J. and Lo, N.C.H., 1990. Age and growth of the scalloped hammerhead,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in northeastern Taiwan waters.</w:t>
      </w:r>
    </w:p>
    <w:p w14:paraId="0767B02E"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Chin, A., </w:t>
      </w:r>
      <w:proofErr w:type="spellStart"/>
      <w:r w:rsidRPr="001A65DF">
        <w:rPr>
          <w:rFonts w:eastAsia="Arial" w:cs="Arial"/>
          <w:sz w:val="20"/>
          <w:szCs w:val="20"/>
          <w:lang w:eastAsia="en-GB"/>
        </w:rPr>
        <w:t>Simpfendorfer</w:t>
      </w:r>
      <w:proofErr w:type="spellEnd"/>
      <w:r w:rsidRPr="001A65DF">
        <w:rPr>
          <w:rFonts w:eastAsia="Arial" w:cs="Arial"/>
          <w:sz w:val="20"/>
          <w:szCs w:val="20"/>
          <w:lang w:eastAsia="en-GB"/>
        </w:rPr>
        <w:t>, C.A., White, W.T., Johnson, G.J., McAuley, R.B. and Heupel, M.R., 2017. Crossing lines: a multidisciplinary framework for assessing connectivity of hammerhead sharks across jurisdictional boundaries. Scientific Reports, 7(1), p.46061.</w:t>
      </w:r>
    </w:p>
    <w:p w14:paraId="2FDE856A" w14:textId="77777777" w:rsidR="001A65DF" w:rsidRPr="001A65DF" w:rsidRDefault="001A65DF" w:rsidP="001A65DF">
      <w:pPr>
        <w:spacing w:before="96" w:after="0" w:line="240" w:lineRule="auto"/>
        <w:ind w:left="425" w:hanging="426"/>
        <w:jc w:val="both"/>
        <w:rPr>
          <w:rFonts w:eastAsia="Times New Roman" w:cs="Arial"/>
          <w:sz w:val="20"/>
          <w:szCs w:val="20"/>
          <w:lang w:eastAsia="en-GB"/>
        </w:rPr>
      </w:pPr>
      <w:r w:rsidRPr="001A65DF">
        <w:rPr>
          <w:rFonts w:eastAsia="Arial" w:cs="Arial"/>
          <w:sz w:val="20"/>
          <w:szCs w:val="20"/>
          <w:lang w:eastAsia="en-GB"/>
        </w:rPr>
        <w:t xml:space="preserve">Clarke, T.A. 1971. The ecology of the scalloped hammerhead shark,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in Hawaii. Pacific Science 25: 133-144. </w:t>
      </w:r>
    </w:p>
    <w:p w14:paraId="06B10FE6" w14:textId="77777777" w:rsidR="001A65DF" w:rsidRPr="001A65DF" w:rsidRDefault="001A65DF" w:rsidP="001A65DF">
      <w:pPr>
        <w:spacing w:before="96" w:after="0" w:line="240" w:lineRule="auto"/>
        <w:ind w:left="425" w:hanging="426"/>
        <w:jc w:val="both"/>
        <w:rPr>
          <w:rFonts w:eastAsia="Times New Roman" w:cs="Arial"/>
          <w:sz w:val="20"/>
          <w:szCs w:val="20"/>
          <w:lang w:eastAsia="en-GB"/>
        </w:rPr>
      </w:pPr>
      <w:r w:rsidRPr="001A65DF">
        <w:rPr>
          <w:rFonts w:eastAsia="Arial" w:cs="Arial"/>
          <w:sz w:val="20"/>
          <w:szCs w:val="20"/>
          <w:lang w:eastAsia="en-GB"/>
        </w:rPr>
        <w:t xml:space="preserve">Clarke, S. and Rose, D.A. 2003. Regional Fisheries and Trade. In: Fowler, S. L., Cavanagh, R. D., Camhi, M., Burgess, G. H., </w:t>
      </w:r>
      <w:proofErr w:type="spellStart"/>
      <w:r w:rsidRPr="001A65DF">
        <w:rPr>
          <w:rFonts w:eastAsia="Arial" w:cs="Arial"/>
          <w:sz w:val="20"/>
          <w:szCs w:val="20"/>
          <w:lang w:eastAsia="en-GB"/>
        </w:rPr>
        <w:t>Cailliet</w:t>
      </w:r>
      <w:proofErr w:type="spellEnd"/>
      <w:r w:rsidRPr="001A65DF">
        <w:rPr>
          <w:rFonts w:eastAsia="Arial" w:cs="Arial"/>
          <w:sz w:val="20"/>
          <w:szCs w:val="20"/>
          <w:lang w:eastAsia="en-GB"/>
        </w:rPr>
        <w:t>, G. M., Fordham, S. V., Simpfendorfer, C. A. and Musick, J. A. (eds), Sharks, Rays and Chimaeras: The Status of the Chondrichthyan Fishes. Status Survey</w:t>
      </w:r>
      <w:proofErr w:type="gramStart"/>
      <w:r w:rsidRPr="001A65DF">
        <w:rPr>
          <w:rFonts w:eastAsia="Arial" w:cs="Arial"/>
          <w:sz w:val="20"/>
          <w:szCs w:val="20"/>
          <w:lang w:eastAsia="en-GB"/>
        </w:rPr>
        <w:t>. ,</w:t>
      </w:r>
      <w:proofErr w:type="gramEnd"/>
      <w:r w:rsidRPr="001A65DF">
        <w:rPr>
          <w:rFonts w:eastAsia="Arial" w:cs="Arial"/>
          <w:sz w:val="20"/>
          <w:szCs w:val="20"/>
          <w:lang w:eastAsia="en-GB"/>
        </w:rPr>
        <w:t xml:space="preserve"> pp. 24-29. IUCN/ SSC Shark Specialist Group, IUCN, Gland, Switzerland and Cambridge, UK.</w:t>
      </w:r>
    </w:p>
    <w:p w14:paraId="51BB9C9B"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val="fr-FR" w:eastAsia="en-GB"/>
        </w:rPr>
        <w:t xml:space="preserve">Clarke, S.C. et al. 2006(a). </w:t>
      </w:r>
      <w:r w:rsidRPr="001A65DF">
        <w:rPr>
          <w:rFonts w:eastAsia="Arial" w:cs="Arial"/>
          <w:sz w:val="20"/>
          <w:szCs w:val="20"/>
          <w:lang w:eastAsia="en-GB"/>
        </w:rPr>
        <w:t>Global estimates of shark catches using trade records from commercial markets. Ecology Letters 9(10):1115–1126.</w:t>
      </w:r>
    </w:p>
    <w:p w14:paraId="2573CD0A"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eastAsia="en-GB"/>
        </w:rPr>
        <w:t>Clarke, S.C. et al. 2006(b). Identification of shark species composition and proportion in the Hong Kong shark fin market based on molecular genetics and trade records. Conservation Biology 20(1): 201-211.</w:t>
      </w:r>
    </w:p>
    <w:p w14:paraId="668DAD3B"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val="fr-FR" w:eastAsia="en-GB"/>
        </w:rPr>
      </w:pPr>
      <w:proofErr w:type="spellStart"/>
      <w:r w:rsidRPr="001A65DF">
        <w:rPr>
          <w:rFonts w:eastAsia="Arial" w:cs="Arial"/>
          <w:sz w:val="20"/>
          <w:szCs w:val="20"/>
          <w:lang w:eastAsia="en-GB"/>
        </w:rPr>
        <w:t>Coiraton</w:t>
      </w:r>
      <w:proofErr w:type="spellEnd"/>
      <w:r w:rsidRPr="001A65DF">
        <w:rPr>
          <w:rFonts w:eastAsia="Arial" w:cs="Arial"/>
          <w:sz w:val="20"/>
          <w:szCs w:val="20"/>
          <w:lang w:eastAsia="en-GB"/>
        </w:rPr>
        <w:t xml:space="preserve">, C., Amezcua, F. and Ketchum, J.T., 2020. New insights into the migration patterns of the scalloped hammerhead shark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xml:space="preserve"> based on vertebral microchemistry. </w:t>
      </w:r>
      <w:r w:rsidRPr="001A65DF">
        <w:rPr>
          <w:rFonts w:eastAsia="Arial" w:cs="Arial"/>
          <w:i/>
          <w:iCs/>
          <w:sz w:val="20"/>
          <w:szCs w:val="20"/>
          <w:lang w:val="fr-FR" w:eastAsia="en-GB"/>
        </w:rPr>
        <w:t xml:space="preserve">Marine </w:t>
      </w:r>
      <w:proofErr w:type="spellStart"/>
      <w:r w:rsidRPr="001A65DF">
        <w:rPr>
          <w:rFonts w:eastAsia="Arial" w:cs="Arial"/>
          <w:i/>
          <w:iCs/>
          <w:sz w:val="20"/>
          <w:szCs w:val="20"/>
          <w:lang w:val="fr-FR" w:eastAsia="en-GB"/>
        </w:rPr>
        <w:t>Biology</w:t>
      </w:r>
      <w:proofErr w:type="spellEnd"/>
      <w:r w:rsidRPr="001A65DF">
        <w:rPr>
          <w:rFonts w:eastAsia="Arial" w:cs="Arial"/>
          <w:sz w:val="20"/>
          <w:szCs w:val="20"/>
          <w:lang w:val="fr-FR" w:eastAsia="en-GB"/>
        </w:rPr>
        <w:t>, </w:t>
      </w:r>
      <w:r w:rsidRPr="001A65DF">
        <w:rPr>
          <w:rFonts w:eastAsia="Arial" w:cs="Arial"/>
          <w:i/>
          <w:iCs/>
          <w:sz w:val="20"/>
          <w:szCs w:val="20"/>
          <w:lang w:val="fr-FR" w:eastAsia="en-GB"/>
        </w:rPr>
        <w:t>167</w:t>
      </w:r>
      <w:r w:rsidRPr="001A65DF">
        <w:rPr>
          <w:rFonts w:eastAsia="Arial" w:cs="Arial"/>
          <w:sz w:val="20"/>
          <w:szCs w:val="20"/>
          <w:lang w:val="fr-FR" w:eastAsia="en-GB"/>
        </w:rPr>
        <w:t>(5), p.58.</w:t>
      </w:r>
    </w:p>
    <w:p w14:paraId="643B9DE7"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proofErr w:type="spellStart"/>
      <w:r w:rsidRPr="001A65DF">
        <w:rPr>
          <w:rFonts w:eastAsia="Arial" w:cs="Arial"/>
          <w:sz w:val="20"/>
          <w:szCs w:val="20"/>
          <w:lang w:val="fr-FR" w:eastAsia="en-GB"/>
        </w:rPr>
        <w:t>Compagno</w:t>
      </w:r>
      <w:proofErr w:type="spellEnd"/>
      <w:r w:rsidRPr="001A65DF">
        <w:rPr>
          <w:rFonts w:eastAsia="Arial" w:cs="Arial"/>
          <w:sz w:val="20"/>
          <w:szCs w:val="20"/>
          <w:lang w:val="fr-FR" w:eastAsia="en-GB"/>
        </w:rPr>
        <w:t xml:space="preserve">, L.J.V., FAO </w:t>
      </w:r>
      <w:proofErr w:type="spellStart"/>
      <w:r w:rsidRPr="001A65DF">
        <w:rPr>
          <w:rFonts w:eastAsia="Arial" w:cs="Arial"/>
          <w:sz w:val="20"/>
          <w:szCs w:val="20"/>
          <w:lang w:val="fr-FR" w:eastAsia="en-GB"/>
        </w:rPr>
        <w:t>species</w:t>
      </w:r>
      <w:proofErr w:type="spellEnd"/>
      <w:r w:rsidRPr="001A65DF">
        <w:rPr>
          <w:rFonts w:eastAsia="Arial" w:cs="Arial"/>
          <w:sz w:val="20"/>
          <w:szCs w:val="20"/>
          <w:lang w:val="fr-FR" w:eastAsia="en-GB"/>
        </w:rPr>
        <w:t xml:space="preserve"> catalogue. Vol. 4. </w:t>
      </w:r>
      <w:r w:rsidRPr="001A65DF">
        <w:rPr>
          <w:rFonts w:eastAsia="Arial" w:cs="Arial"/>
          <w:sz w:val="20"/>
          <w:szCs w:val="20"/>
          <w:lang w:eastAsia="en-GB"/>
        </w:rPr>
        <w:t xml:space="preserve">1984 Sharks of the world. An annotated and illustrated catalogue of shark species known to date. Part 2. </w:t>
      </w:r>
      <w:proofErr w:type="spellStart"/>
      <w:r w:rsidRPr="001A65DF">
        <w:rPr>
          <w:rFonts w:eastAsia="Arial" w:cs="Arial"/>
          <w:sz w:val="20"/>
          <w:szCs w:val="20"/>
          <w:lang w:eastAsia="en-GB"/>
        </w:rPr>
        <w:t>Carcharhiniformes</w:t>
      </w:r>
      <w:proofErr w:type="spellEnd"/>
      <w:r w:rsidRPr="001A65DF">
        <w:rPr>
          <w:rFonts w:eastAsia="Arial" w:cs="Arial"/>
          <w:sz w:val="20"/>
          <w:szCs w:val="20"/>
          <w:lang w:eastAsia="en-GB"/>
        </w:rPr>
        <w:t xml:space="preserve">. FAO </w:t>
      </w:r>
      <w:proofErr w:type="spellStart"/>
      <w:r w:rsidRPr="001A65DF">
        <w:rPr>
          <w:rFonts w:eastAsia="Arial" w:cs="Arial"/>
          <w:sz w:val="20"/>
          <w:szCs w:val="20"/>
          <w:lang w:eastAsia="en-GB"/>
        </w:rPr>
        <w:t>Fish.Synop</w:t>
      </w:r>
      <w:proofErr w:type="spellEnd"/>
      <w:r w:rsidRPr="001A65DF">
        <w:rPr>
          <w:rFonts w:eastAsia="Arial" w:cs="Arial"/>
          <w:sz w:val="20"/>
          <w:szCs w:val="20"/>
          <w:lang w:eastAsia="en-GB"/>
        </w:rPr>
        <w:t>. 125 (4): 545-546.</w:t>
      </w:r>
    </w:p>
    <w:p w14:paraId="5E258F37"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eastAsia="en-GB"/>
        </w:rPr>
        <w:t xml:space="preserve">Cortés, E., Arocha, F., </w:t>
      </w:r>
      <w:proofErr w:type="spellStart"/>
      <w:r w:rsidRPr="001A65DF">
        <w:rPr>
          <w:rFonts w:eastAsia="Arial" w:cs="Arial"/>
          <w:sz w:val="20"/>
          <w:szCs w:val="20"/>
          <w:lang w:eastAsia="en-GB"/>
        </w:rPr>
        <w:t>Beerkircher</w:t>
      </w:r>
      <w:proofErr w:type="spellEnd"/>
      <w:r w:rsidRPr="001A65DF">
        <w:rPr>
          <w:rFonts w:eastAsia="Arial" w:cs="Arial"/>
          <w:sz w:val="20"/>
          <w:szCs w:val="20"/>
          <w:lang w:eastAsia="en-GB"/>
        </w:rPr>
        <w:t xml:space="preserve">, L., Carvalho, F., Domingo, A., Heupel, M., Holtzhausen, H., Santos, M.N., Ribera, M. and </w:t>
      </w:r>
      <w:proofErr w:type="spellStart"/>
      <w:r w:rsidRPr="001A65DF">
        <w:rPr>
          <w:rFonts w:eastAsia="Arial" w:cs="Arial"/>
          <w:sz w:val="20"/>
          <w:szCs w:val="20"/>
          <w:lang w:eastAsia="en-GB"/>
        </w:rPr>
        <w:t>Simpfendorfer</w:t>
      </w:r>
      <w:proofErr w:type="spellEnd"/>
      <w:r w:rsidRPr="001A65DF">
        <w:rPr>
          <w:rFonts w:eastAsia="Arial" w:cs="Arial"/>
          <w:sz w:val="20"/>
          <w:szCs w:val="20"/>
          <w:lang w:eastAsia="en-GB"/>
        </w:rPr>
        <w:t>, C., 2010. Ecological risk assessment of pelagic sharks caught in Atlantic pelagic longline fisheries. </w:t>
      </w:r>
      <w:r w:rsidRPr="001A65DF">
        <w:rPr>
          <w:rFonts w:eastAsia="Arial" w:cs="Arial"/>
          <w:i/>
          <w:iCs/>
          <w:sz w:val="20"/>
          <w:szCs w:val="20"/>
          <w:lang w:eastAsia="en-GB"/>
        </w:rPr>
        <w:t>Aquatic Living Resources</w:t>
      </w:r>
      <w:r w:rsidRPr="001A65DF">
        <w:rPr>
          <w:rFonts w:eastAsia="Arial" w:cs="Arial"/>
          <w:sz w:val="20"/>
          <w:szCs w:val="20"/>
          <w:lang w:eastAsia="en-GB"/>
        </w:rPr>
        <w:t>, </w:t>
      </w:r>
      <w:r w:rsidRPr="001A65DF">
        <w:rPr>
          <w:rFonts w:eastAsia="Arial" w:cs="Arial"/>
          <w:i/>
          <w:iCs/>
          <w:sz w:val="20"/>
          <w:szCs w:val="20"/>
          <w:lang w:eastAsia="en-GB"/>
        </w:rPr>
        <w:t>23</w:t>
      </w:r>
      <w:r w:rsidRPr="001A65DF">
        <w:rPr>
          <w:rFonts w:eastAsia="Arial" w:cs="Arial"/>
          <w:sz w:val="20"/>
          <w:szCs w:val="20"/>
          <w:lang w:eastAsia="en-GB"/>
        </w:rPr>
        <w:t>(1), pp.25-34.</w:t>
      </w:r>
    </w:p>
    <w:p w14:paraId="61F42B30"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Cortés E. 1999. Standardized diet compositions and trophic levels of sharks. ICES Journal of Marine Science 56:707–17.</w:t>
      </w:r>
    </w:p>
    <w:p w14:paraId="6F29B417"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eastAsia="en-GB"/>
        </w:rPr>
        <w:t>Cruz, M.M., Szynwelski, B.E. and De Freitas, T.O., 2021. Biodiversity on sale: the shark meat market threatens elasmobranchs in Brazil. </w:t>
      </w:r>
      <w:r w:rsidRPr="001A65DF">
        <w:rPr>
          <w:rFonts w:eastAsia="Arial" w:cs="Arial"/>
          <w:i/>
          <w:iCs/>
          <w:sz w:val="20"/>
          <w:szCs w:val="20"/>
          <w:lang w:eastAsia="en-GB"/>
        </w:rPr>
        <w:t>Aquatic Conservation: Marine and Freshwater Ecosystems</w:t>
      </w:r>
      <w:r w:rsidRPr="001A65DF">
        <w:rPr>
          <w:rFonts w:eastAsia="Arial" w:cs="Arial"/>
          <w:sz w:val="20"/>
          <w:szCs w:val="20"/>
          <w:lang w:eastAsia="en-GB"/>
        </w:rPr>
        <w:t>, </w:t>
      </w:r>
      <w:r w:rsidRPr="001A65DF">
        <w:rPr>
          <w:rFonts w:eastAsia="Arial" w:cs="Arial"/>
          <w:i/>
          <w:iCs/>
          <w:sz w:val="20"/>
          <w:szCs w:val="20"/>
          <w:lang w:eastAsia="en-GB"/>
        </w:rPr>
        <w:t>31</w:t>
      </w:r>
      <w:r w:rsidRPr="001A65DF">
        <w:rPr>
          <w:rFonts w:eastAsia="Arial" w:cs="Arial"/>
          <w:sz w:val="20"/>
          <w:szCs w:val="20"/>
          <w:lang w:eastAsia="en-GB"/>
        </w:rPr>
        <w:t>(12), pp.3437-3450.</w:t>
      </w:r>
    </w:p>
    <w:p w14:paraId="2DEEC686"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eastAsia="en-GB"/>
        </w:rPr>
        <w:t>Convention on International Trade in Endangered Species of Wild Flora and Fauna (CITES). 2013</w:t>
      </w:r>
      <w:proofErr w:type="gramStart"/>
      <w:r w:rsidRPr="001A65DF">
        <w:rPr>
          <w:rFonts w:eastAsia="Arial" w:cs="Arial"/>
          <w:sz w:val="20"/>
          <w:szCs w:val="20"/>
          <w:lang w:eastAsia="en-GB"/>
        </w:rPr>
        <w:t>.  Proposal</w:t>
      </w:r>
      <w:proofErr w:type="gramEnd"/>
      <w:r w:rsidRPr="001A65DF">
        <w:rPr>
          <w:rFonts w:eastAsia="Arial" w:cs="Arial"/>
          <w:sz w:val="20"/>
          <w:szCs w:val="20"/>
          <w:lang w:eastAsia="en-GB"/>
        </w:rPr>
        <w:t xml:space="preserve"> to include scalloped hammerhead sharks and lookalike species in Appendix II.  CoP16.  Bangkok, Thailand. </w:t>
      </w:r>
    </w:p>
    <w:p w14:paraId="3C42D95F"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Daly-Engel TS, Seraphin KD, Holland KN, Coffey JP, Nance HA, Toonen RJ, et al. (2012) Global Phylogeography with Mixed-Marker Analysis Reveals Male-Mediated Dispersal in the Endangered Scalloped Hammerhead Shark (</w:t>
      </w:r>
      <w:r w:rsidRPr="001A65DF">
        <w:rPr>
          <w:rFonts w:eastAsia="Arial" w:cs="Arial"/>
          <w:i/>
          <w:sz w:val="20"/>
          <w:szCs w:val="20"/>
          <w:lang w:eastAsia="en-GB"/>
        </w:rPr>
        <w:t xml:space="preserve">Sphyrna </w:t>
      </w:r>
      <w:proofErr w:type="spellStart"/>
      <w:r w:rsidRPr="001A65DF">
        <w:rPr>
          <w:rFonts w:eastAsia="Arial" w:cs="Arial"/>
          <w:i/>
          <w:sz w:val="20"/>
          <w:szCs w:val="20"/>
          <w:lang w:eastAsia="en-GB"/>
        </w:rPr>
        <w:t>lewini</w:t>
      </w:r>
      <w:proofErr w:type="spellEnd"/>
      <w:r w:rsidRPr="001A65DF">
        <w:rPr>
          <w:rFonts w:eastAsia="Arial" w:cs="Arial"/>
          <w:sz w:val="20"/>
          <w:szCs w:val="20"/>
          <w:lang w:eastAsia="en-GB"/>
        </w:rPr>
        <w:t xml:space="preserve">). </w:t>
      </w:r>
      <w:proofErr w:type="spellStart"/>
      <w:r w:rsidRPr="001A65DF">
        <w:rPr>
          <w:rFonts w:eastAsia="Arial" w:cs="Arial"/>
          <w:sz w:val="20"/>
          <w:szCs w:val="20"/>
          <w:lang w:eastAsia="en-GB"/>
        </w:rPr>
        <w:t>PLoS</w:t>
      </w:r>
      <w:proofErr w:type="spellEnd"/>
      <w:r w:rsidRPr="001A65DF">
        <w:rPr>
          <w:rFonts w:eastAsia="Arial" w:cs="Arial"/>
          <w:sz w:val="20"/>
          <w:szCs w:val="20"/>
          <w:lang w:eastAsia="en-GB"/>
        </w:rPr>
        <w:t xml:space="preserve"> ONE 7(1): e29986. https://doi.org/10.1371/journal.pone.0029986</w:t>
      </w:r>
    </w:p>
    <w:p w14:paraId="6B99F16B"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Daskalov, G.M., Grishin, A.N., Rodionov, S. and Mihneva, V., 2007. Trophic cascades triggered by overfishing reveal possible mechanisms of ecosystem regime shifts. </w:t>
      </w:r>
      <w:r w:rsidRPr="001A65DF">
        <w:rPr>
          <w:rFonts w:eastAsia="Arial" w:cs="Arial"/>
          <w:i/>
          <w:iCs/>
          <w:sz w:val="20"/>
          <w:szCs w:val="20"/>
          <w:lang w:eastAsia="en-GB"/>
        </w:rPr>
        <w:t>Proceedings of the National Academy of Sciences</w:t>
      </w:r>
      <w:r w:rsidRPr="001A65DF">
        <w:rPr>
          <w:rFonts w:eastAsia="Arial" w:cs="Arial"/>
          <w:sz w:val="20"/>
          <w:szCs w:val="20"/>
          <w:lang w:eastAsia="en-GB"/>
        </w:rPr>
        <w:t>, </w:t>
      </w:r>
      <w:r w:rsidRPr="001A65DF">
        <w:rPr>
          <w:rFonts w:eastAsia="Arial" w:cs="Arial"/>
          <w:i/>
          <w:iCs/>
          <w:sz w:val="20"/>
          <w:szCs w:val="20"/>
          <w:lang w:eastAsia="en-GB"/>
        </w:rPr>
        <w:t>104</w:t>
      </w:r>
      <w:r w:rsidRPr="001A65DF">
        <w:rPr>
          <w:rFonts w:eastAsia="Arial" w:cs="Arial"/>
          <w:sz w:val="20"/>
          <w:szCs w:val="20"/>
          <w:lang w:eastAsia="en-GB"/>
        </w:rPr>
        <w:t>(25), pp.10518-10523.</w:t>
      </w:r>
    </w:p>
    <w:p w14:paraId="0BCF82E5"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De Jong, S. and </w:t>
      </w:r>
      <w:proofErr w:type="spellStart"/>
      <w:r w:rsidRPr="001A65DF">
        <w:rPr>
          <w:rFonts w:eastAsia="Arial" w:cs="Arial"/>
          <w:sz w:val="20"/>
          <w:szCs w:val="20"/>
          <w:lang w:eastAsia="en-GB"/>
        </w:rPr>
        <w:t>Simpfendorfer</w:t>
      </w:r>
      <w:proofErr w:type="spellEnd"/>
      <w:r w:rsidRPr="001A65DF">
        <w:rPr>
          <w:rFonts w:eastAsia="Arial" w:cs="Arial"/>
          <w:sz w:val="20"/>
          <w:szCs w:val="20"/>
          <w:lang w:eastAsia="en-GB"/>
        </w:rPr>
        <w:t>, C., 2009, May. The Queensland Shark Control Program: a fisheries-independent assessment of shark stocks in far north Queensland. In </w:t>
      </w:r>
      <w:r w:rsidRPr="001A65DF">
        <w:rPr>
          <w:rFonts w:eastAsia="Arial" w:cs="Arial"/>
          <w:i/>
          <w:iCs/>
          <w:sz w:val="20"/>
          <w:szCs w:val="20"/>
          <w:lang w:eastAsia="en-GB"/>
        </w:rPr>
        <w:t>8th Indo Pacific Fish Conference and 2009 Australian Society for Fish Biology Workshop and Conference</w:t>
      </w:r>
      <w:r w:rsidRPr="001A65DF">
        <w:rPr>
          <w:rFonts w:eastAsia="Arial" w:cs="Arial"/>
          <w:sz w:val="20"/>
          <w:szCs w:val="20"/>
          <w:lang w:eastAsia="en-GB"/>
        </w:rPr>
        <w:t> (Vol. 31).</w:t>
      </w:r>
    </w:p>
    <w:p w14:paraId="32DD49C2"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Dedman, S., Moxley, J.H., </w:t>
      </w:r>
      <w:proofErr w:type="spellStart"/>
      <w:r w:rsidRPr="001A65DF">
        <w:rPr>
          <w:rFonts w:eastAsia="Arial" w:cs="Arial"/>
          <w:sz w:val="20"/>
          <w:szCs w:val="20"/>
          <w:lang w:eastAsia="en-GB"/>
        </w:rPr>
        <w:t>Papastamatiou</w:t>
      </w:r>
      <w:proofErr w:type="spellEnd"/>
      <w:r w:rsidRPr="001A65DF">
        <w:rPr>
          <w:rFonts w:eastAsia="Arial" w:cs="Arial"/>
          <w:sz w:val="20"/>
          <w:szCs w:val="20"/>
          <w:lang w:eastAsia="en-GB"/>
        </w:rPr>
        <w:t xml:space="preserve">, Y.P., Braccini, M., </w:t>
      </w:r>
      <w:proofErr w:type="spellStart"/>
      <w:r w:rsidRPr="001A65DF">
        <w:rPr>
          <w:rFonts w:eastAsia="Arial" w:cs="Arial"/>
          <w:sz w:val="20"/>
          <w:szCs w:val="20"/>
          <w:lang w:eastAsia="en-GB"/>
        </w:rPr>
        <w:t>Caselle</w:t>
      </w:r>
      <w:proofErr w:type="spellEnd"/>
      <w:r w:rsidRPr="001A65DF">
        <w:rPr>
          <w:rFonts w:eastAsia="Arial" w:cs="Arial"/>
          <w:sz w:val="20"/>
          <w:szCs w:val="20"/>
          <w:lang w:eastAsia="en-GB"/>
        </w:rPr>
        <w:t xml:space="preserve">, J.E., Chapman, D.D., Cinner, J.E., Dillon, E.M., </w:t>
      </w:r>
      <w:proofErr w:type="spellStart"/>
      <w:proofErr w:type="gramStart"/>
      <w:r w:rsidRPr="001A65DF">
        <w:rPr>
          <w:rFonts w:eastAsia="Arial" w:cs="Arial"/>
          <w:sz w:val="20"/>
          <w:szCs w:val="20"/>
          <w:lang w:eastAsia="en-GB"/>
        </w:rPr>
        <w:t>Dulvy</w:t>
      </w:r>
      <w:proofErr w:type="spellEnd"/>
      <w:r w:rsidRPr="001A65DF">
        <w:rPr>
          <w:rFonts w:eastAsia="Arial" w:cs="Arial"/>
          <w:sz w:val="20"/>
          <w:szCs w:val="20"/>
          <w:lang w:eastAsia="en-GB"/>
        </w:rPr>
        <w:t>, N.K.</w:t>
      </w:r>
      <w:proofErr w:type="gramEnd"/>
      <w:r w:rsidRPr="001A65DF">
        <w:rPr>
          <w:rFonts w:eastAsia="Arial" w:cs="Arial"/>
          <w:sz w:val="20"/>
          <w:szCs w:val="20"/>
          <w:lang w:eastAsia="en-GB"/>
        </w:rPr>
        <w:t xml:space="preserve">, Dunn, R.E. and Espinoza, M., 2024. Ecological roles and importance of sharks in the Anthropocene Ocean. Science, 385(6708), </w:t>
      </w:r>
      <w:proofErr w:type="gramStart"/>
      <w:r w:rsidRPr="001A65DF">
        <w:rPr>
          <w:rFonts w:eastAsia="Arial" w:cs="Arial"/>
          <w:sz w:val="20"/>
          <w:szCs w:val="20"/>
          <w:lang w:eastAsia="en-GB"/>
        </w:rPr>
        <w:t>p.adl</w:t>
      </w:r>
      <w:proofErr w:type="gramEnd"/>
      <w:r w:rsidRPr="001A65DF">
        <w:rPr>
          <w:rFonts w:eastAsia="Arial" w:cs="Arial"/>
          <w:sz w:val="20"/>
          <w:szCs w:val="20"/>
          <w:lang w:eastAsia="en-GB"/>
        </w:rPr>
        <w:t>2362.</w:t>
      </w:r>
    </w:p>
    <w:p w14:paraId="6E6364A6"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Dent, F. and Clarke, S., 2015. State of the global market for shark products. </w:t>
      </w:r>
      <w:r w:rsidRPr="001A65DF">
        <w:rPr>
          <w:rFonts w:eastAsia="Arial" w:cs="Arial"/>
          <w:i/>
          <w:iCs/>
          <w:sz w:val="20"/>
          <w:szCs w:val="20"/>
          <w:lang w:eastAsia="en-GB"/>
        </w:rPr>
        <w:t>FAO Fisheries and Aquaculture technical paper</w:t>
      </w:r>
      <w:r w:rsidRPr="001A65DF">
        <w:rPr>
          <w:rFonts w:eastAsia="Arial" w:cs="Arial"/>
          <w:sz w:val="20"/>
          <w:szCs w:val="20"/>
          <w:lang w:eastAsia="en-GB"/>
        </w:rPr>
        <w:t xml:space="preserve">, (590), </w:t>
      </w:r>
      <w:proofErr w:type="spellStart"/>
      <w:r w:rsidRPr="001A65DF">
        <w:rPr>
          <w:rFonts w:eastAsia="Arial" w:cs="Arial"/>
          <w:sz w:val="20"/>
          <w:szCs w:val="20"/>
          <w:lang w:eastAsia="en-GB"/>
        </w:rPr>
        <w:t>p.I.</w:t>
      </w:r>
      <w:proofErr w:type="spellEnd"/>
    </w:p>
    <w:p w14:paraId="761937F3"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Diemer, K.M., Mann, B.Q. and Hussey, N.E., 2011. Distribution and movement of scalloped hammerhead </w:t>
      </w:r>
      <w:proofErr w:type="spellStart"/>
      <w:r w:rsidRPr="001A65DF">
        <w:rPr>
          <w:rFonts w:eastAsia="Arial" w:cs="Arial"/>
          <w:sz w:val="20"/>
          <w:szCs w:val="20"/>
          <w:lang w:eastAsia="en-GB"/>
        </w:rPr>
        <w:t>Sphryna</w:t>
      </w:r>
      <w:proofErr w:type="spellEnd"/>
      <w:r w:rsidRPr="001A65DF">
        <w:rPr>
          <w:rFonts w:eastAsia="Arial" w:cs="Arial"/>
          <w:sz w:val="20"/>
          <w:szCs w:val="20"/>
          <w:lang w:eastAsia="en-GB"/>
        </w:rPr>
        <w:t xml:space="preserve">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xml:space="preserve"> and smooth hammerhead Sphyrna </w:t>
      </w:r>
      <w:proofErr w:type="spellStart"/>
      <w:r w:rsidRPr="001A65DF">
        <w:rPr>
          <w:rFonts w:eastAsia="Arial" w:cs="Arial"/>
          <w:sz w:val="20"/>
          <w:szCs w:val="20"/>
          <w:lang w:eastAsia="en-GB"/>
        </w:rPr>
        <w:t>zygaena</w:t>
      </w:r>
      <w:proofErr w:type="spellEnd"/>
      <w:r w:rsidRPr="001A65DF">
        <w:rPr>
          <w:rFonts w:eastAsia="Arial" w:cs="Arial"/>
          <w:sz w:val="20"/>
          <w:szCs w:val="20"/>
          <w:lang w:eastAsia="en-GB"/>
        </w:rPr>
        <w:t xml:space="preserve"> sharks along the east coast of southern Africa. African Journal of Marine Science, 33(2), pp.229-238.</w:t>
      </w:r>
    </w:p>
    <w:p w14:paraId="40846B06"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Drew, M., White, W.T., </w:t>
      </w:r>
      <w:proofErr w:type="spellStart"/>
      <w:r w:rsidRPr="001A65DF">
        <w:rPr>
          <w:rFonts w:eastAsia="Arial" w:cs="Arial"/>
          <w:sz w:val="20"/>
          <w:szCs w:val="20"/>
          <w:lang w:eastAsia="en-GB"/>
        </w:rPr>
        <w:t>Dharmadi</w:t>
      </w:r>
      <w:proofErr w:type="spellEnd"/>
      <w:r w:rsidRPr="001A65DF">
        <w:rPr>
          <w:rFonts w:eastAsia="Arial" w:cs="Arial"/>
          <w:sz w:val="20"/>
          <w:szCs w:val="20"/>
          <w:lang w:eastAsia="en-GB"/>
        </w:rPr>
        <w:t xml:space="preserve">, Harry, A.V. and </w:t>
      </w:r>
      <w:proofErr w:type="spellStart"/>
      <w:r w:rsidRPr="001A65DF">
        <w:rPr>
          <w:rFonts w:eastAsia="Arial" w:cs="Arial"/>
          <w:sz w:val="20"/>
          <w:szCs w:val="20"/>
          <w:lang w:eastAsia="en-GB"/>
        </w:rPr>
        <w:t>Huveneers</w:t>
      </w:r>
      <w:proofErr w:type="spellEnd"/>
      <w:r w:rsidRPr="001A65DF">
        <w:rPr>
          <w:rFonts w:eastAsia="Arial" w:cs="Arial"/>
          <w:sz w:val="20"/>
          <w:szCs w:val="20"/>
          <w:lang w:eastAsia="en-GB"/>
        </w:rPr>
        <w:t xml:space="preserve">, C., 2015. Age, growth and maturity of the pelagic thresher </w:t>
      </w:r>
      <w:proofErr w:type="spellStart"/>
      <w:r w:rsidRPr="001A65DF">
        <w:rPr>
          <w:rFonts w:eastAsia="Arial" w:cs="Arial"/>
          <w:sz w:val="20"/>
          <w:szCs w:val="20"/>
          <w:lang w:eastAsia="en-GB"/>
        </w:rPr>
        <w:t>Alopias</w:t>
      </w:r>
      <w:proofErr w:type="spellEnd"/>
      <w:r w:rsidRPr="001A65DF">
        <w:rPr>
          <w:rFonts w:eastAsia="Arial" w:cs="Arial"/>
          <w:sz w:val="20"/>
          <w:szCs w:val="20"/>
          <w:lang w:eastAsia="en-GB"/>
        </w:rPr>
        <w:t xml:space="preserve"> pelagicus and the scalloped hammerhead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w:t>
      </w:r>
      <w:r w:rsidRPr="001A65DF">
        <w:rPr>
          <w:rFonts w:eastAsia="Arial" w:cs="Arial"/>
          <w:i/>
          <w:iCs/>
          <w:sz w:val="20"/>
          <w:szCs w:val="20"/>
          <w:lang w:eastAsia="en-GB"/>
        </w:rPr>
        <w:t>Journal of Fish Biology</w:t>
      </w:r>
      <w:r w:rsidRPr="001A65DF">
        <w:rPr>
          <w:rFonts w:eastAsia="Arial" w:cs="Arial"/>
          <w:sz w:val="20"/>
          <w:szCs w:val="20"/>
          <w:lang w:eastAsia="en-GB"/>
        </w:rPr>
        <w:t>, </w:t>
      </w:r>
      <w:r w:rsidRPr="001A65DF">
        <w:rPr>
          <w:rFonts w:eastAsia="Arial" w:cs="Arial"/>
          <w:i/>
          <w:iCs/>
          <w:sz w:val="20"/>
          <w:szCs w:val="20"/>
          <w:lang w:eastAsia="en-GB"/>
        </w:rPr>
        <w:t>86</w:t>
      </w:r>
      <w:r w:rsidRPr="001A65DF">
        <w:rPr>
          <w:rFonts w:eastAsia="Arial" w:cs="Arial"/>
          <w:sz w:val="20"/>
          <w:szCs w:val="20"/>
          <w:lang w:eastAsia="en-GB"/>
        </w:rPr>
        <w:t>(1), pp.333-354.</w:t>
      </w:r>
    </w:p>
    <w:p w14:paraId="330AA7DD"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Dudley, S. and </w:t>
      </w:r>
      <w:proofErr w:type="spellStart"/>
      <w:r w:rsidRPr="001A65DF">
        <w:rPr>
          <w:rFonts w:eastAsia="Arial" w:cs="Arial"/>
          <w:sz w:val="20"/>
          <w:szCs w:val="20"/>
          <w:lang w:eastAsia="en-GB"/>
        </w:rPr>
        <w:t>Simpfendorfer</w:t>
      </w:r>
      <w:proofErr w:type="spellEnd"/>
      <w:r w:rsidRPr="001A65DF">
        <w:rPr>
          <w:rFonts w:eastAsia="Arial" w:cs="Arial"/>
          <w:sz w:val="20"/>
          <w:szCs w:val="20"/>
          <w:lang w:eastAsia="en-GB"/>
        </w:rPr>
        <w:t>, C. 2006. Population status of 14 shark species caught in the protective gillnets off KwaZulu-Natal beaches, South Africa, 1978-2003. Marine and Freshwater Research 57: 225-240.</w:t>
      </w:r>
    </w:p>
    <w:p w14:paraId="3AD6853A"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proofErr w:type="spellStart"/>
      <w:r w:rsidRPr="001A65DF">
        <w:rPr>
          <w:rFonts w:eastAsia="Arial" w:cs="Arial"/>
          <w:sz w:val="20"/>
          <w:szCs w:val="20"/>
          <w:lang w:eastAsia="en-GB"/>
        </w:rPr>
        <w:t>Dulvy</w:t>
      </w:r>
      <w:proofErr w:type="spellEnd"/>
      <w:r w:rsidRPr="001A65DF">
        <w:rPr>
          <w:rFonts w:eastAsia="Arial" w:cs="Arial"/>
          <w:sz w:val="20"/>
          <w:szCs w:val="20"/>
          <w:lang w:eastAsia="en-GB"/>
        </w:rPr>
        <w:t>, N.K., Fowler, S.L., Musick, J.A., Cavanagh, R.D., Kyne, P.M., Harrison, L.R., Carlson, J.K., Davidson, L.N., Fordham, S.V., Francis, M.P. and Pollock, C.M., 2014. Extinction risk and conservation of the world’s sharks and rays. </w:t>
      </w:r>
      <w:proofErr w:type="spellStart"/>
      <w:r w:rsidRPr="001A65DF">
        <w:rPr>
          <w:rFonts w:eastAsia="Arial" w:cs="Arial"/>
          <w:i/>
          <w:iCs/>
          <w:sz w:val="20"/>
          <w:szCs w:val="20"/>
          <w:lang w:eastAsia="en-GB"/>
        </w:rPr>
        <w:t>elife</w:t>
      </w:r>
      <w:proofErr w:type="spellEnd"/>
      <w:r w:rsidRPr="001A65DF">
        <w:rPr>
          <w:rFonts w:eastAsia="Arial" w:cs="Arial"/>
          <w:sz w:val="20"/>
          <w:szCs w:val="20"/>
          <w:lang w:eastAsia="en-GB"/>
        </w:rPr>
        <w:t>, </w:t>
      </w:r>
      <w:r w:rsidRPr="001A65DF">
        <w:rPr>
          <w:rFonts w:eastAsia="Arial" w:cs="Arial"/>
          <w:i/>
          <w:iCs/>
          <w:sz w:val="20"/>
          <w:szCs w:val="20"/>
          <w:lang w:eastAsia="en-GB"/>
        </w:rPr>
        <w:t>3</w:t>
      </w:r>
      <w:r w:rsidRPr="001A65DF">
        <w:rPr>
          <w:rFonts w:eastAsia="Arial" w:cs="Arial"/>
          <w:sz w:val="20"/>
          <w:szCs w:val="20"/>
          <w:lang w:eastAsia="en-GB"/>
        </w:rPr>
        <w:t>, p.e00590.</w:t>
      </w:r>
    </w:p>
    <w:p w14:paraId="52C1E7E6"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val="es-ES" w:eastAsia="en-GB"/>
        </w:rPr>
      </w:pPr>
      <w:r w:rsidRPr="001A65DF">
        <w:rPr>
          <w:rFonts w:eastAsia="Arial" w:cs="Arial"/>
          <w:sz w:val="20"/>
          <w:szCs w:val="20"/>
          <w:lang w:eastAsia="en-GB"/>
        </w:rPr>
        <w:t xml:space="preserve">Duncan KM1, Martin AP, Bowen BW, DE Couet HG. 2006. Global phylogeography of the scalloped hammerhead shark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xml:space="preserve">). </w:t>
      </w:r>
      <w:r w:rsidRPr="001A65DF">
        <w:rPr>
          <w:rFonts w:eastAsia="Arial" w:cs="Arial"/>
          <w:sz w:val="20"/>
          <w:szCs w:val="20"/>
          <w:lang w:val="es-ES" w:eastAsia="en-GB"/>
        </w:rPr>
        <w:t>Mol Ecol. 15(8): 2239-2251.</w:t>
      </w:r>
    </w:p>
    <w:p w14:paraId="73EA369F"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val="pt-PT" w:eastAsia="en-GB"/>
        </w:rPr>
      </w:pPr>
      <w:proofErr w:type="spellStart"/>
      <w:r w:rsidRPr="001A65DF">
        <w:rPr>
          <w:rFonts w:eastAsia="Arial" w:cs="Arial"/>
          <w:sz w:val="20"/>
          <w:szCs w:val="20"/>
          <w:lang w:val="es-ES" w:eastAsia="en-GB"/>
        </w:rPr>
        <w:t>Estupinan</w:t>
      </w:r>
      <w:proofErr w:type="spellEnd"/>
      <w:r w:rsidRPr="001A65DF">
        <w:rPr>
          <w:rFonts w:eastAsia="Arial" w:cs="Arial"/>
          <w:sz w:val="20"/>
          <w:szCs w:val="20"/>
          <w:lang w:val="es-ES" w:eastAsia="en-GB"/>
        </w:rPr>
        <w:t xml:space="preserve">-Montano, C., </w:t>
      </w:r>
      <w:proofErr w:type="spellStart"/>
      <w:r w:rsidRPr="001A65DF">
        <w:rPr>
          <w:rFonts w:eastAsia="Arial" w:cs="Arial"/>
          <w:sz w:val="20"/>
          <w:szCs w:val="20"/>
          <w:lang w:val="es-ES" w:eastAsia="en-GB"/>
        </w:rPr>
        <w:t>Galvan-Magana</w:t>
      </w:r>
      <w:proofErr w:type="spellEnd"/>
      <w:r w:rsidRPr="001A65DF">
        <w:rPr>
          <w:rFonts w:eastAsia="Arial" w:cs="Arial"/>
          <w:sz w:val="20"/>
          <w:szCs w:val="20"/>
          <w:lang w:val="es-ES" w:eastAsia="en-GB"/>
        </w:rPr>
        <w:t xml:space="preserve">, F., </w:t>
      </w:r>
      <w:proofErr w:type="spellStart"/>
      <w:r w:rsidRPr="001A65DF">
        <w:rPr>
          <w:rFonts w:eastAsia="Arial" w:cs="Arial"/>
          <w:sz w:val="20"/>
          <w:szCs w:val="20"/>
          <w:lang w:val="es-ES" w:eastAsia="en-GB"/>
        </w:rPr>
        <w:t>Tamburin</w:t>
      </w:r>
      <w:proofErr w:type="spellEnd"/>
      <w:r w:rsidRPr="001A65DF">
        <w:rPr>
          <w:rFonts w:eastAsia="Arial" w:cs="Arial"/>
          <w:sz w:val="20"/>
          <w:szCs w:val="20"/>
          <w:lang w:val="es-ES" w:eastAsia="en-GB"/>
        </w:rPr>
        <w:t xml:space="preserve">, E., </w:t>
      </w:r>
      <w:proofErr w:type="spellStart"/>
      <w:r w:rsidRPr="001A65DF">
        <w:rPr>
          <w:rFonts w:eastAsia="Arial" w:cs="Arial"/>
          <w:sz w:val="20"/>
          <w:szCs w:val="20"/>
          <w:lang w:val="es-ES" w:eastAsia="en-GB"/>
        </w:rPr>
        <w:t>Sanchez</w:t>
      </w:r>
      <w:proofErr w:type="spellEnd"/>
      <w:r w:rsidRPr="001A65DF">
        <w:rPr>
          <w:rFonts w:eastAsia="Arial" w:cs="Arial"/>
          <w:sz w:val="20"/>
          <w:szCs w:val="20"/>
          <w:lang w:val="es-ES" w:eastAsia="en-GB"/>
        </w:rPr>
        <w:t>-Gonzalez, A., Villalobos-Ramirez, D.J., Murillo-</w:t>
      </w:r>
      <w:proofErr w:type="spellStart"/>
      <w:r w:rsidRPr="001A65DF">
        <w:rPr>
          <w:rFonts w:eastAsia="Arial" w:cs="Arial"/>
          <w:sz w:val="20"/>
          <w:szCs w:val="20"/>
          <w:lang w:val="es-ES" w:eastAsia="en-GB"/>
        </w:rPr>
        <w:t>Bohorquez</w:t>
      </w:r>
      <w:proofErr w:type="spellEnd"/>
      <w:r w:rsidRPr="001A65DF">
        <w:rPr>
          <w:rFonts w:eastAsia="Arial" w:cs="Arial"/>
          <w:sz w:val="20"/>
          <w:szCs w:val="20"/>
          <w:lang w:val="es-ES" w:eastAsia="en-GB"/>
        </w:rPr>
        <w:t xml:space="preserve">, N., Bessudo-Lion, S. and </w:t>
      </w:r>
      <w:proofErr w:type="spellStart"/>
      <w:r w:rsidRPr="001A65DF">
        <w:rPr>
          <w:rFonts w:eastAsia="Arial" w:cs="Arial"/>
          <w:sz w:val="20"/>
          <w:szCs w:val="20"/>
          <w:lang w:val="es-ES" w:eastAsia="en-GB"/>
        </w:rPr>
        <w:t>Estupinan</w:t>
      </w:r>
      <w:proofErr w:type="spellEnd"/>
      <w:r w:rsidRPr="001A65DF">
        <w:rPr>
          <w:rFonts w:eastAsia="Arial" w:cs="Arial"/>
          <w:sz w:val="20"/>
          <w:szCs w:val="20"/>
          <w:lang w:val="es-ES" w:eastAsia="en-GB"/>
        </w:rPr>
        <w:t xml:space="preserve">-Ortiz, J.F., 2017. </w:t>
      </w:r>
      <w:r w:rsidRPr="001A65DF">
        <w:rPr>
          <w:rFonts w:eastAsia="Arial" w:cs="Arial"/>
          <w:sz w:val="20"/>
          <w:szCs w:val="20"/>
          <w:lang w:eastAsia="en-GB"/>
        </w:rPr>
        <w:t xml:space="preserve">Trophic inference in two sympatric sharks,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xml:space="preserve"> and Carcharhinus </w:t>
      </w:r>
      <w:proofErr w:type="spellStart"/>
      <w:r w:rsidRPr="001A65DF">
        <w:rPr>
          <w:rFonts w:eastAsia="Arial" w:cs="Arial"/>
          <w:sz w:val="20"/>
          <w:szCs w:val="20"/>
          <w:lang w:eastAsia="en-GB"/>
        </w:rPr>
        <w:t>falciformis</w:t>
      </w:r>
      <w:proofErr w:type="spellEnd"/>
      <w:r w:rsidRPr="001A65DF">
        <w:rPr>
          <w:rFonts w:eastAsia="Arial" w:cs="Arial"/>
          <w:sz w:val="20"/>
          <w:szCs w:val="20"/>
          <w:lang w:eastAsia="en-GB"/>
        </w:rPr>
        <w:t xml:space="preserve"> (</w:t>
      </w:r>
      <w:proofErr w:type="spellStart"/>
      <w:r w:rsidRPr="001A65DF">
        <w:rPr>
          <w:rFonts w:eastAsia="Arial" w:cs="Arial"/>
          <w:sz w:val="20"/>
          <w:szCs w:val="20"/>
          <w:lang w:eastAsia="en-GB"/>
        </w:rPr>
        <w:t>Elasmobranchii</w:t>
      </w:r>
      <w:proofErr w:type="spellEnd"/>
      <w:r w:rsidRPr="001A65DF">
        <w:rPr>
          <w:rFonts w:eastAsia="Arial" w:cs="Arial"/>
          <w:sz w:val="20"/>
          <w:szCs w:val="20"/>
          <w:lang w:eastAsia="en-GB"/>
        </w:rPr>
        <w:t xml:space="preserve">: </w:t>
      </w:r>
      <w:proofErr w:type="spellStart"/>
      <w:r w:rsidRPr="001A65DF">
        <w:rPr>
          <w:rFonts w:eastAsia="Arial" w:cs="Arial"/>
          <w:sz w:val="20"/>
          <w:szCs w:val="20"/>
          <w:lang w:eastAsia="en-GB"/>
        </w:rPr>
        <w:t>Carcharhiniformes</w:t>
      </w:r>
      <w:proofErr w:type="spellEnd"/>
      <w:r w:rsidRPr="001A65DF">
        <w:rPr>
          <w:rFonts w:eastAsia="Arial" w:cs="Arial"/>
          <w:sz w:val="20"/>
          <w:szCs w:val="20"/>
          <w:lang w:eastAsia="en-GB"/>
        </w:rPr>
        <w:t xml:space="preserve">), based on stable isotope analysis at </w:t>
      </w:r>
      <w:proofErr w:type="spellStart"/>
      <w:r w:rsidRPr="001A65DF">
        <w:rPr>
          <w:rFonts w:eastAsia="Arial" w:cs="Arial"/>
          <w:sz w:val="20"/>
          <w:szCs w:val="20"/>
          <w:lang w:eastAsia="en-GB"/>
        </w:rPr>
        <w:t>Malpelo</w:t>
      </w:r>
      <w:proofErr w:type="spellEnd"/>
      <w:r w:rsidRPr="001A65DF">
        <w:rPr>
          <w:rFonts w:eastAsia="Arial" w:cs="Arial"/>
          <w:sz w:val="20"/>
          <w:szCs w:val="20"/>
          <w:lang w:eastAsia="en-GB"/>
        </w:rPr>
        <w:t xml:space="preserve"> Island, Colombia. </w:t>
      </w:r>
      <w:r w:rsidRPr="001A65DF">
        <w:rPr>
          <w:rFonts w:eastAsia="Arial" w:cs="Arial"/>
          <w:i/>
          <w:iCs/>
          <w:sz w:val="20"/>
          <w:szCs w:val="20"/>
          <w:lang w:val="pt-PT" w:eastAsia="en-GB"/>
        </w:rPr>
        <w:t>Acta Ichthyologica et Piscatoria</w:t>
      </w:r>
      <w:r w:rsidRPr="001A65DF">
        <w:rPr>
          <w:rFonts w:eastAsia="Arial" w:cs="Arial"/>
          <w:sz w:val="20"/>
          <w:szCs w:val="20"/>
          <w:lang w:val="pt-PT" w:eastAsia="en-GB"/>
        </w:rPr>
        <w:t>, </w:t>
      </w:r>
      <w:r w:rsidRPr="001A65DF">
        <w:rPr>
          <w:rFonts w:eastAsia="Arial" w:cs="Arial"/>
          <w:i/>
          <w:iCs/>
          <w:sz w:val="20"/>
          <w:szCs w:val="20"/>
          <w:lang w:val="pt-PT" w:eastAsia="en-GB"/>
        </w:rPr>
        <w:t>47</w:t>
      </w:r>
      <w:r w:rsidRPr="001A65DF">
        <w:rPr>
          <w:rFonts w:eastAsia="Arial" w:cs="Arial"/>
          <w:sz w:val="20"/>
          <w:szCs w:val="20"/>
          <w:lang w:val="pt-PT" w:eastAsia="en-GB"/>
        </w:rPr>
        <w:t>, pp.357-364.</w:t>
      </w:r>
    </w:p>
    <w:p w14:paraId="7B3E6A51"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val="pt-PT" w:eastAsia="en-GB"/>
        </w:rPr>
        <w:t xml:space="preserve">Ebert, D.A., M. Dando &amp; S. L. Fowler. </w:t>
      </w:r>
      <w:r w:rsidRPr="001A65DF">
        <w:rPr>
          <w:rFonts w:eastAsia="Arial" w:cs="Arial"/>
          <w:sz w:val="20"/>
          <w:szCs w:val="20"/>
          <w:lang w:eastAsia="en-GB"/>
        </w:rPr>
        <w:t xml:space="preserve">2021. </w:t>
      </w:r>
      <w:r w:rsidRPr="001A65DF">
        <w:rPr>
          <w:rFonts w:eastAsia="Arial" w:cs="Arial"/>
          <w:i/>
          <w:sz w:val="20"/>
          <w:szCs w:val="20"/>
          <w:lang w:eastAsia="en-GB"/>
        </w:rPr>
        <w:t>Sharks of the World: a complete guide</w:t>
      </w:r>
      <w:r w:rsidRPr="001A65DF">
        <w:rPr>
          <w:rFonts w:eastAsia="Arial" w:cs="Arial"/>
          <w:sz w:val="20"/>
          <w:szCs w:val="20"/>
          <w:lang w:eastAsia="en-GB"/>
        </w:rPr>
        <w:t>. Princeton University Press.</w:t>
      </w:r>
    </w:p>
    <w:p w14:paraId="2481AFAC"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eastAsia="en-GB"/>
        </w:rPr>
        <w:t>Ferretti, F., R.A. Myers, F. Serena and H.K. Lotze. 2008. Loss of large predatory sharks from the         Mediterranean Sea. Conservation Biology 22:952-964.</w:t>
      </w:r>
    </w:p>
    <w:p w14:paraId="1E3D11E8"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eastAsia="en-GB"/>
        </w:rPr>
        <w:t>Fields, A.T., Fischer, G.A., Shea, S.K., Zhang, H., Abercrombie, D.L., Feldheim, K.A., Babcock, E.A. and Chapman, D.D., 2018. Species composition of the international shark fin trade assessed through a retail</w:t>
      </w:r>
      <w:r w:rsidRPr="001A65DF">
        <w:rPr>
          <w:rFonts w:ascii="Cambria Math" w:eastAsia="Arial" w:hAnsi="Cambria Math" w:cs="Cambria Math"/>
          <w:sz w:val="20"/>
          <w:szCs w:val="20"/>
          <w:lang w:eastAsia="en-GB"/>
        </w:rPr>
        <w:t>‐</w:t>
      </w:r>
      <w:r w:rsidRPr="001A65DF">
        <w:rPr>
          <w:rFonts w:eastAsia="Arial" w:cs="Arial"/>
          <w:sz w:val="20"/>
          <w:szCs w:val="20"/>
          <w:lang w:eastAsia="en-GB"/>
        </w:rPr>
        <w:t>market survey in Hong Kong. </w:t>
      </w:r>
      <w:r w:rsidRPr="001A65DF">
        <w:rPr>
          <w:rFonts w:eastAsia="Arial" w:cs="Arial"/>
          <w:i/>
          <w:iCs/>
          <w:sz w:val="20"/>
          <w:szCs w:val="20"/>
          <w:lang w:eastAsia="en-GB"/>
        </w:rPr>
        <w:t>Conservation biology</w:t>
      </w:r>
      <w:r w:rsidRPr="001A65DF">
        <w:rPr>
          <w:rFonts w:eastAsia="Arial" w:cs="Arial"/>
          <w:sz w:val="20"/>
          <w:szCs w:val="20"/>
          <w:lang w:eastAsia="en-GB"/>
        </w:rPr>
        <w:t>, </w:t>
      </w:r>
      <w:r w:rsidRPr="001A65DF">
        <w:rPr>
          <w:rFonts w:eastAsia="Arial" w:cs="Arial"/>
          <w:i/>
          <w:iCs/>
          <w:sz w:val="20"/>
          <w:szCs w:val="20"/>
          <w:lang w:eastAsia="en-GB"/>
        </w:rPr>
        <w:t>32</w:t>
      </w:r>
      <w:r w:rsidRPr="001A65DF">
        <w:rPr>
          <w:rFonts w:eastAsia="Arial" w:cs="Arial"/>
          <w:sz w:val="20"/>
          <w:szCs w:val="20"/>
          <w:lang w:eastAsia="en-GB"/>
        </w:rPr>
        <w:t>(2), pp.376-389.</w:t>
      </w:r>
    </w:p>
    <w:p w14:paraId="27E4C281"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eastAsia="en-GB"/>
        </w:rPr>
        <w:t>Fields, A.T., Fischer, G.A., Shea, S.K.H., Zhang, H., Feldheim, K.A. and Chapman, D.D., 2020. DNA Zip</w:t>
      </w:r>
      <w:r w:rsidRPr="001A65DF">
        <w:rPr>
          <w:rFonts w:ascii="Cambria Math" w:eastAsia="Arial" w:hAnsi="Cambria Math" w:cs="Cambria Math"/>
          <w:sz w:val="20"/>
          <w:szCs w:val="20"/>
          <w:lang w:eastAsia="en-GB"/>
        </w:rPr>
        <w:t>‐</w:t>
      </w:r>
      <w:r w:rsidRPr="001A65DF">
        <w:rPr>
          <w:rFonts w:eastAsia="Arial" w:cs="Arial"/>
          <w:sz w:val="20"/>
          <w:szCs w:val="20"/>
          <w:lang w:eastAsia="en-GB"/>
        </w:rPr>
        <w:t>coding: identifying the source populations supplying the international trade of a critically endangered coastal shark. </w:t>
      </w:r>
      <w:r w:rsidRPr="001A65DF">
        <w:rPr>
          <w:rFonts w:eastAsia="Arial" w:cs="Arial"/>
          <w:i/>
          <w:iCs/>
          <w:sz w:val="20"/>
          <w:szCs w:val="20"/>
          <w:lang w:eastAsia="en-GB"/>
        </w:rPr>
        <w:t>Animal Conservation</w:t>
      </w:r>
      <w:r w:rsidRPr="001A65DF">
        <w:rPr>
          <w:rFonts w:eastAsia="Arial" w:cs="Arial"/>
          <w:sz w:val="20"/>
          <w:szCs w:val="20"/>
          <w:lang w:eastAsia="en-GB"/>
        </w:rPr>
        <w:t>, </w:t>
      </w:r>
      <w:r w:rsidRPr="001A65DF">
        <w:rPr>
          <w:rFonts w:eastAsia="Arial" w:cs="Arial"/>
          <w:i/>
          <w:iCs/>
          <w:sz w:val="20"/>
          <w:szCs w:val="20"/>
          <w:lang w:eastAsia="en-GB"/>
        </w:rPr>
        <w:t>23</w:t>
      </w:r>
      <w:r w:rsidRPr="001A65DF">
        <w:rPr>
          <w:rFonts w:eastAsia="Arial" w:cs="Arial"/>
          <w:sz w:val="20"/>
          <w:szCs w:val="20"/>
          <w:lang w:eastAsia="en-GB"/>
        </w:rPr>
        <w:t>(6), pp.670-678.</w:t>
      </w:r>
    </w:p>
    <w:p w14:paraId="0E06A4CF"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eastAsia="en-GB"/>
        </w:rPr>
        <w:t xml:space="preserve">Friedlander, A.M., Zgliczynski, B.J., Ballesteros, E., Aburto-Oropeza, O., Bolaños, A. and Sala, E., 2012. The shallow-water fish assemblage of Isla del Coco National Park, Costa Rica: structure and patterns in an isolated, predator-dominated ecosystem. Revista de </w:t>
      </w:r>
      <w:proofErr w:type="spellStart"/>
      <w:r w:rsidRPr="001A65DF">
        <w:rPr>
          <w:rFonts w:eastAsia="Arial" w:cs="Arial"/>
          <w:sz w:val="20"/>
          <w:szCs w:val="20"/>
          <w:lang w:eastAsia="en-GB"/>
        </w:rPr>
        <w:t>Biología</w:t>
      </w:r>
      <w:proofErr w:type="spellEnd"/>
      <w:r w:rsidRPr="001A65DF">
        <w:rPr>
          <w:rFonts w:eastAsia="Arial" w:cs="Arial"/>
          <w:sz w:val="20"/>
          <w:szCs w:val="20"/>
          <w:lang w:eastAsia="en-GB"/>
        </w:rPr>
        <w:t xml:space="preserve"> Tropical, 60, pp.321-338.</w:t>
      </w:r>
    </w:p>
    <w:p w14:paraId="2FED59CA"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Food and Agriculture Organization of the United Nations (FAO). 2010. Report of the third FAO Expert Advisory Panel for the Assessment of Proposals to Amend Appendices I and II of CITES Concerning </w:t>
      </w:r>
      <w:proofErr w:type="gramStart"/>
      <w:r w:rsidRPr="001A65DF">
        <w:rPr>
          <w:rFonts w:eastAsia="Arial" w:cs="Arial"/>
          <w:sz w:val="20"/>
          <w:szCs w:val="20"/>
          <w:lang w:eastAsia="en-GB"/>
        </w:rPr>
        <w:t>Commercially-exploited</w:t>
      </w:r>
      <w:proofErr w:type="gramEnd"/>
      <w:r w:rsidRPr="001A65DF">
        <w:rPr>
          <w:rFonts w:eastAsia="Arial" w:cs="Arial"/>
          <w:sz w:val="20"/>
          <w:szCs w:val="20"/>
          <w:lang w:eastAsia="en-GB"/>
        </w:rPr>
        <w:t xml:space="preserve"> Aquatic Species. Rome, 7–12 December 2009.  FAO Fisheries Report. No. 925. Rome, FAO. 144 p</w:t>
      </w:r>
    </w:p>
    <w:p w14:paraId="3F9A63E3"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Calibri" w:cs="Arial"/>
          <w:sz w:val="20"/>
          <w:szCs w:val="20"/>
          <w:lang w:eastAsia="en-GB"/>
        </w:rPr>
      </w:pPr>
      <w:r w:rsidRPr="001A65DF">
        <w:rPr>
          <w:rFonts w:eastAsia="Arial" w:cs="Arial"/>
          <w:sz w:val="20"/>
          <w:szCs w:val="20"/>
          <w:lang w:eastAsia="en-GB"/>
        </w:rPr>
        <w:t xml:space="preserve">Food and Agriculture Organization of the United Nations (FAO). 2014. Major fishing areas. May 13, 2014. </w:t>
      </w:r>
      <w:hyperlink r:id="rId26">
        <w:r w:rsidRPr="001A65DF">
          <w:rPr>
            <w:rFonts w:eastAsia="Arial" w:cs="Arial"/>
            <w:sz w:val="20"/>
            <w:szCs w:val="20"/>
            <w:u w:val="single"/>
            <w:lang w:eastAsia="en-GB"/>
          </w:rPr>
          <w:t>http://www.fao.org/fishery/area/search/en</w:t>
        </w:r>
      </w:hyperlink>
    </w:p>
    <w:p w14:paraId="20F6DC93"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val="de-DE" w:eastAsia="en-GB"/>
        </w:rPr>
        <w:t xml:space="preserve">Gallagher, A. J., &amp; Hammerschlag, N. (2011). </w:t>
      </w:r>
      <w:r w:rsidRPr="001A65DF">
        <w:rPr>
          <w:rFonts w:eastAsia="Arial" w:cs="Arial"/>
          <w:sz w:val="20"/>
          <w:szCs w:val="20"/>
          <w:lang w:eastAsia="en-GB"/>
        </w:rPr>
        <w:t>Global Shark Currency: The Distribution, Frequency, and Economic Value of Shark Ecotourism. Current Issues in Tourism, 14(8), 797–812.</w:t>
      </w:r>
    </w:p>
    <w:p w14:paraId="3978B677"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Gallagher, A.J. and Klimley, A.P., 2018. The biology and conservation status of the large hammerhead shark complex: the great, scalloped, and smooth hammerheads. Reviews in Fish Biology and Fisheries, 28(4), pp.777-794.</w:t>
      </w:r>
    </w:p>
    <w:p w14:paraId="66FCBC82"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Gore M, Kohler J, Ormond R, Gallagher A, Fernandes T, Austin T and </w:t>
      </w:r>
      <w:proofErr w:type="spellStart"/>
      <w:r w:rsidRPr="001A65DF">
        <w:rPr>
          <w:rFonts w:eastAsia="Arial" w:cs="Arial"/>
          <w:sz w:val="20"/>
          <w:szCs w:val="20"/>
          <w:lang w:eastAsia="en-GB"/>
        </w:rPr>
        <w:t>Pattengill</w:t>
      </w:r>
      <w:proofErr w:type="spellEnd"/>
      <w:r w:rsidRPr="001A65DF">
        <w:rPr>
          <w:rFonts w:eastAsia="Arial" w:cs="Arial"/>
          <w:sz w:val="20"/>
          <w:szCs w:val="20"/>
          <w:lang w:eastAsia="en-GB"/>
        </w:rPr>
        <w:t>-Semmens C. Renewed</w:t>
      </w:r>
    </w:p>
    <w:p w14:paraId="08D8B9CC" w14:textId="77777777" w:rsidR="001A65DF" w:rsidRPr="001A65DF" w:rsidRDefault="001A65DF" w:rsidP="001A65DF">
      <w:pPr>
        <w:pBdr>
          <w:top w:val="nil"/>
          <w:left w:val="nil"/>
          <w:bottom w:val="nil"/>
          <w:right w:val="nil"/>
          <w:between w:val="nil"/>
        </w:pBdr>
        <w:spacing w:before="96" w:after="0" w:line="240" w:lineRule="auto"/>
        <w:ind w:left="425"/>
        <w:jc w:val="both"/>
        <w:rPr>
          <w:rFonts w:eastAsia="Arial" w:cs="Arial"/>
          <w:sz w:val="20"/>
          <w:szCs w:val="20"/>
          <w:lang w:eastAsia="en-GB"/>
        </w:rPr>
      </w:pPr>
      <w:r w:rsidRPr="001A65DF">
        <w:rPr>
          <w:rFonts w:eastAsia="Arial" w:cs="Arial"/>
          <w:sz w:val="20"/>
          <w:szCs w:val="20"/>
          <w:lang w:eastAsia="en-GB"/>
        </w:rPr>
        <w:t xml:space="preserve">occurrence of schooling scalloped hammerhead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and of great hammerhead (S.</w:t>
      </w:r>
    </w:p>
    <w:p w14:paraId="7D5C702B" w14:textId="77777777" w:rsidR="001A65DF" w:rsidRPr="001A65DF" w:rsidRDefault="001A65DF" w:rsidP="001A65DF">
      <w:pPr>
        <w:pBdr>
          <w:top w:val="nil"/>
          <w:left w:val="nil"/>
          <w:bottom w:val="nil"/>
          <w:right w:val="nil"/>
          <w:between w:val="nil"/>
        </w:pBdr>
        <w:spacing w:before="96" w:after="0" w:line="240" w:lineRule="auto"/>
        <w:ind w:left="425"/>
        <w:jc w:val="both"/>
        <w:rPr>
          <w:rFonts w:eastAsia="Arial" w:cs="Arial"/>
          <w:sz w:val="20"/>
          <w:szCs w:val="20"/>
          <w:lang w:val="fr-FR" w:eastAsia="en-GB"/>
        </w:rPr>
      </w:pPr>
      <w:proofErr w:type="spellStart"/>
      <w:r w:rsidRPr="001A65DF">
        <w:rPr>
          <w:rFonts w:eastAsia="Arial" w:cs="Arial"/>
          <w:sz w:val="20"/>
          <w:szCs w:val="20"/>
          <w:lang w:eastAsia="en-GB"/>
        </w:rPr>
        <w:t>mokarran</w:t>
      </w:r>
      <w:proofErr w:type="spellEnd"/>
      <w:r w:rsidRPr="001A65DF">
        <w:rPr>
          <w:rFonts w:eastAsia="Arial" w:cs="Arial"/>
          <w:sz w:val="20"/>
          <w:szCs w:val="20"/>
          <w:lang w:eastAsia="en-GB"/>
        </w:rPr>
        <w:t xml:space="preserve">) sharks in the Cayman Islands. </w:t>
      </w:r>
      <w:r w:rsidRPr="001A65DF">
        <w:rPr>
          <w:rFonts w:eastAsia="Arial" w:cs="Arial"/>
          <w:sz w:val="20"/>
          <w:szCs w:val="20"/>
          <w:lang w:val="fr-FR" w:eastAsia="en-GB"/>
        </w:rPr>
        <w:t xml:space="preserve">2024. Front. Mar. </w:t>
      </w:r>
      <w:proofErr w:type="spellStart"/>
      <w:r w:rsidRPr="001A65DF">
        <w:rPr>
          <w:rFonts w:eastAsia="Arial" w:cs="Arial"/>
          <w:sz w:val="20"/>
          <w:szCs w:val="20"/>
          <w:lang w:val="fr-FR" w:eastAsia="en-GB"/>
        </w:rPr>
        <w:t>Sci</w:t>
      </w:r>
      <w:proofErr w:type="spellEnd"/>
      <w:r w:rsidRPr="001A65DF">
        <w:rPr>
          <w:rFonts w:eastAsia="Arial" w:cs="Arial"/>
          <w:sz w:val="20"/>
          <w:szCs w:val="20"/>
          <w:lang w:val="fr-FR" w:eastAsia="en-GB"/>
        </w:rPr>
        <w:t xml:space="preserve">. </w:t>
      </w:r>
      <w:proofErr w:type="gramStart"/>
      <w:r w:rsidRPr="001A65DF">
        <w:rPr>
          <w:rFonts w:eastAsia="Arial" w:cs="Arial"/>
          <w:sz w:val="20"/>
          <w:szCs w:val="20"/>
          <w:lang w:val="fr-FR" w:eastAsia="en-GB"/>
        </w:rPr>
        <w:t>11:</w:t>
      </w:r>
      <w:proofErr w:type="gramEnd"/>
      <w:r w:rsidRPr="001A65DF">
        <w:rPr>
          <w:rFonts w:eastAsia="Arial" w:cs="Arial"/>
          <w:sz w:val="20"/>
          <w:szCs w:val="20"/>
          <w:lang w:val="fr-FR" w:eastAsia="en-GB"/>
        </w:rPr>
        <w:t xml:space="preserve">1347285. </w:t>
      </w:r>
      <w:proofErr w:type="gramStart"/>
      <w:r w:rsidRPr="001A65DF">
        <w:rPr>
          <w:rFonts w:eastAsia="Arial" w:cs="Arial"/>
          <w:sz w:val="20"/>
          <w:szCs w:val="20"/>
          <w:lang w:val="fr-FR" w:eastAsia="en-GB"/>
        </w:rPr>
        <w:t>doi:</w:t>
      </w:r>
      <w:proofErr w:type="gramEnd"/>
      <w:r w:rsidRPr="001A65DF">
        <w:rPr>
          <w:rFonts w:eastAsia="Arial" w:cs="Arial"/>
          <w:sz w:val="20"/>
          <w:szCs w:val="20"/>
          <w:lang w:val="fr-FR" w:eastAsia="en-GB"/>
        </w:rPr>
        <w:t xml:space="preserve">10.3389/fmars.2024.1347285 </w:t>
      </w:r>
    </w:p>
    <w:p w14:paraId="5E481024"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Grace, M. and Henwood, T., 1996. and Eastern Seaboard, 1995 and 1996. </w:t>
      </w:r>
      <w:r w:rsidRPr="001A65DF">
        <w:rPr>
          <w:rFonts w:eastAsia="Arial" w:cs="Arial"/>
          <w:i/>
          <w:iCs/>
          <w:sz w:val="20"/>
          <w:szCs w:val="20"/>
          <w:lang w:eastAsia="en-GB"/>
        </w:rPr>
        <w:t>Marine Fisheries Review</w:t>
      </w:r>
      <w:r w:rsidRPr="001A65DF">
        <w:rPr>
          <w:rFonts w:eastAsia="Arial" w:cs="Arial"/>
          <w:sz w:val="20"/>
          <w:szCs w:val="20"/>
          <w:lang w:eastAsia="en-GB"/>
        </w:rPr>
        <w:t>, </w:t>
      </w:r>
      <w:r w:rsidRPr="001A65DF">
        <w:rPr>
          <w:rFonts w:eastAsia="Arial" w:cs="Arial"/>
          <w:i/>
          <w:iCs/>
          <w:sz w:val="20"/>
          <w:szCs w:val="20"/>
          <w:lang w:eastAsia="en-GB"/>
        </w:rPr>
        <w:t>58</w:t>
      </w:r>
      <w:r w:rsidRPr="001A65DF">
        <w:rPr>
          <w:rFonts w:eastAsia="Arial" w:cs="Arial"/>
          <w:sz w:val="20"/>
          <w:szCs w:val="20"/>
          <w:lang w:eastAsia="en-GB"/>
        </w:rPr>
        <w:t>(3).</w:t>
      </w:r>
    </w:p>
    <w:p w14:paraId="0DA00BEC"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Green, M.E., Appleyard, S.A., White, W.T., Tracey, S.R., Heupel, M.R. and Ovenden, J.R., 2022. Updated connectivity assessment for the scalloped hammerhead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in Pacific and Indian Oceans using a multi-marker genetic approach. Fisheries Research, 251, p.106305.</w:t>
      </w:r>
    </w:p>
    <w:p w14:paraId="4FF62437"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Guzman, H.M., Cipriani, R., Vega, A.J. and Morales</w:t>
      </w:r>
      <w:r w:rsidRPr="001A65DF">
        <w:rPr>
          <w:rFonts w:ascii="Cambria Math" w:eastAsia="Arial" w:hAnsi="Cambria Math" w:cs="Cambria Math"/>
          <w:sz w:val="20"/>
          <w:szCs w:val="20"/>
          <w:lang w:eastAsia="en-GB"/>
        </w:rPr>
        <w:t>‐</w:t>
      </w:r>
      <w:r w:rsidRPr="001A65DF">
        <w:rPr>
          <w:rFonts w:eastAsia="Arial" w:cs="Arial"/>
          <w:sz w:val="20"/>
          <w:szCs w:val="20"/>
          <w:lang w:eastAsia="en-GB"/>
        </w:rPr>
        <w:t>Saldaña, J.M., 2020. Fisheries and conservation assessment of sharks in Pacific Panama. </w:t>
      </w:r>
      <w:r w:rsidRPr="001A65DF">
        <w:rPr>
          <w:rFonts w:eastAsia="Arial" w:cs="Arial"/>
          <w:i/>
          <w:iCs/>
          <w:sz w:val="20"/>
          <w:szCs w:val="20"/>
          <w:lang w:eastAsia="en-GB"/>
        </w:rPr>
        <w:t>Aquatic Conservation: Marine and Freshwater Ecosystems</w:t>
      </w:r>
      <w:r w:rsidRPr="001A65DF">
        <w:rPr>
          <w:rFonts w:eastAsia="Arial" w:cs="Arial"/>
          <w:sz w:val="20"/>
          <w:szCs w:val="20"/>
          <w:lang w:eastAsia="en-GB"/>
        </w:rPr>
        <w:t>, </w:t>
      </w:r>
      <w:r w:rsidRPr="001A65DF">
        <w:rPr>
          <w:rFonts w:eastAsia="Arial" w:cs="Arial"/>
          <w:i/>
          <w:iCs/>
          <w:sz w:val="20"/>
          <w:szCs w:val="20"/>
          <w:lang w:eastAsia="en-GB"/>
        </w:rPr>
        <w:t>30</w:t>
      </w:r>
      <w:r w:rsidRPr="001A65DF">
        <w:rPr>
          <w:rFonts w:eastAsia="Arial" w:cs="Arial"/>
          <w:sz w:val="20"/>
          <w:szCs w:val="20"/>
          <w:lang w:eastAsia="en-GB"/>
        </w:rPr>
        <w:t>(2), pp.315-330.</w:t>
      </w:r>
    </w:p>
    <w:p w14:paraId="30D836C3"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Harned, S.P., Bernard, A.M., Salinas</w:t>
      </w:r>
      <w:r w:rsidRPr="001A65DF">
        <w:rPr>
          <w:rFonts w:ascii="Cambria Math" w:eastAsia="Arial" w:hAnsi="Cambria Math" w:cs="Cambria Math"/>
          <w:sz w:val="20"/>
          <w:szCs w:val="20"/>
          <w:lang w:eastAsia="en-GB"/>
        </w:rPr>
        <w:t>‐</w:t>
      </w:r>
      <w:r w:rsidRPr="001A65DF">
        <w:rPr>
          <w:rFonts w:eastAsia="Arial" w:cs="Arial"/>
          <w:sz w:val="20"/>
          <w:szCs w:val="20"/>
          <w:lang w:eastAsia="en-GB"/>
        </w:rPr>
        <w:t>de</w:t>
      </w:r>
      <w:r w:rsidRPr="001A65DF">
        <w:rPr>
          <w:rFonts w:ascii="Cambria Math" w:eastAsia="Arial" w:hAnsi="Cambria Math" w:cs="Cambria Math"/>
          <w:sz w:val="20"/>
          <w:szCs w:val="20"/>
          <w:lang w:eastAsia="en-GB"/>
        </w:rPr>
        <w:t>‐</w:t>
      </w:r>
      <w:r w:rsidRPr="001A65DF">
        <w:rPr>
          <w:rFonts w:eastAsia="Arial" w:cs="Arial"/>
          <w:sz w:val="20"/>
          <w:szCs w:val="20"/>
          <w:lang w:eastAsia="en-GB"/>
        </w:rPr>
        <w:t xml:space="preserve">León, P., </w:t>
      </w:r>
      <w:proofErr w:type="spellStart"/>
      <w:r w:rsidRPr="001A65DF">
        <w:rPr>
          <w:rFonts w:eastAsia="Arial" w:cs="Arial"/>
          <w:sz w:val="20"/>
          <w:szCs w:val="20"/>
          <w:lang w:eastAsia="en-GB"/>
        </w:rPr>
        <w:t>Mehlrose</w:t>
      </w:r>
      <w:proofErr w:type="spellEnd"/>
      <w:r w:rsidRPr="001A65DF">
        <w:rPr>
          <w:rFonts w:eastAsia="Arial" w:cs="Arial"/>
          <w:sz w:val="20"/>
          <w:szCs w:val="20"/>
          <w:lang w:eastAsia="en-GB"/>
        </w:rPr>
        <w:t xml:space="preserve">, M.R., Suarez, J., Robles, Y., </w:t>
      </w:r>
      <w:proofErr w:type="spellStart"/>
      <w:r w:rsidRPr="001A65DF">
        <w:rPr>
          <w:rFonts w:eastAsia="Arial" w:cs="Arial"/>
          <w:sz w:val="20"/>
          <w:szCs w:val="20"/>
          <w:lang w:eastAsia="en-GB"/>
        </w:rPr>
        <w:t>Bessudo</w:t>
      </w:r>
      <w:proofErr w:type="spellEnd"/>
      <w:r w:rsidRPr="001A65DF">
        <w:rPr>
          <w:rFonts w:eastAsia="Arial" w:cs="Arial"/>
          <w:sz w:val="20"/>
          <w:szCs w:val="20"/>
          <w:lang w:eastAsia="en-GB"/>
        </w:rPr>
        <w:t xml:space="preserve">, S., Ladino, F., López Garo, A., Zanella, I. and Feldheim, K.A., 2022. Genetic population dynamics of the critically endangered scalloped hammerhead shark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in the Eastern Tropical Pacific. </w:t>
      </w:r>
      <w:r w:rsidRPr="001A65DF">
        <w:rPr>
          <w:rFonts w:eastAsia="Arial" w:cs="Arial"/>
          <w:i/>
          <w:iCs/>
          <w:sz w:val="20"/>
          <w:szCs w:val="20"/>
          <w:lang w:eastAsia="en-GB"/>
        </w:rPr>
        <w:t>Ecology and Evolution</w:t>
      </w:r>
      <w:r w:rsidRPr="001A65DF">
        <w:rPr>
          <w:rFonts w:eastAsia="Arial" w:cs="Arial"/>
          <w:sz w:val="20"/>
          <w:szCs w:val="20"/>
          <w:lang w:eastAsia="en-GB"/>
        </w:rPr>
        <w:t>, </w:t>
      </w:r>
      <w:r w:rsidRPr="001A65DF">
        <w:rPr>
          <w:rFonts w:eastAsia="Arial" w:cs="Arial"/>
          <w:i/>
          <w:iCs/>
          <w:sz w:val="20"/>
          <w:szCs w:val="20"/>
          <w:lang w:eastAsia="en-GB"/>
        </w:rPr>
        <w:t>12</w:t>
      </w:r>
      <w:r w:rsidRPr="001A65DF">
        <w:rPr>
          <w:rFonts w:eastAsia="Arial" w:cs="Arial"/>
          <w:sz w:val="20"/>
          <w:szCs w:val="20"/>
          <w:lang w:eastAsia="en-GB"/>
        </w:rPr>
        <w:t>(12), p.e9642.</w:t>
      </w:r>
    </w:p>
    <w:p w14:paraId="71B99614"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Harry, A.V., Macbeth, W.G., Gutteridge, A.N. and </w:t>
      </w:r>
      <w:proofErr w:type="spellStart"/>
      <w:r w:rsidRPr="001A65DF">
        <w:rPr>
          <w:rFonts w:eastAsia="Arial" w:cs="Arial"/>
          <w:sz w:val="20"/>
          <w:szCs w:val="20"/>
          <w:lang w:eastAsia="en-GB"/>
        </w:rPr>
        <w:t>Simpfendorfer</w:t>
      </w:r>
      <w:proofErr w:type="spellEnd"/>
      <w:r w:rsidRPr="001A65DF">
        <w:rPr>
          <w:rFonts w:eastAsia="Arial" w:cs="Arial"/>
          <w:sz w:val="20"/>
          <w:szCs w:val="20"/>
          <w:lang w:eastAsia="en-GB"/>
        </w:rPr>
        <w:t>, C.A., 2011. The life histories of endangered hammerhead sharks (</w:t>
      </w:r>
      <w:proofErr w:type="spellStart"/>
      <w:r w:rsidRPr="001A65DF">
        <w:rPr>
          <w:rFonts w:eastAsia="Arial" w:cs="Arial"/>
          <w:sz w:val="20"/>
          <w:szCs w:val="20"/>
          <w:lang w:eastAsia="en-GB"/>
        </w:rPr>
        <w:t>Carcharhiniformes</w:t>
      </w:r>
      <w:proofErr w:type="spellEnd"/>
      <w:r w:rsidRPr="001A65DF">
        <w:rPr>
          <w:rFonts w:eastAsia="Arial" w:cs="Arial"/>
          <w:sz w:val="20"/>
          <w:szCs w:val="20"/>
          <w:lang w:eastAsia="en-GB"/>
        </w:rPr>
        <w:t>, Sphyrnidae) from the east coast of Australia. </w:t>
      </w:r>
      <w:r w:rsidRPr="001A65DF">
        <w:rPr>
          <w:rFonts w:eastAsia="Arial" w:cs="Arial"/>
          <w:i/>
          <w:iCs/>
          <w:sz w:val="20"/>
          <w:szCs w:val="20"/>
          <w:lang w:eastAsia="en-GB"/>
        </w:rPr>
        <w:t>Journal of Fish Biology</w:t>
      </w:r>
      <w:r w:rsidRPr="001A65DF">
        <w:rPr>
          <w:rFonts w:eastAsia="Arial" w:cs="Arial"/>
          <w:sz w:val="20"/>
          <w:szCs w:val="20"/>
          <w:lang w:eastAsia="en-GB"/>
        </w:rPr>
        <w:t>, </w:t>
      </w:r>
      <w:r w:rsidRPr="001A65DF">
        <w:rPr>
          <w:rFonts w:eastAsia="Arial" w:cs="Arial"/>
          <w:i/>
          <w:iCs/>
          <w:sz w:val="20"/>
          <w:szCs w:val="20"/>
          <w:lang w:eastAsia="en-GB"/>
        </w:rPr>
        <w:t>78</w:t>
      </w:r>
      <w:r w:rsidRPr="001A65DF">
        <w:rPr>
          <w:rFonts w:eastAsia="Arial" w:cs="Arial"/>
          <w:sz w:val="20"/>
          <w:szCs w:val="20"/>
          <w:lang w:eastAsia="en-GB"/>
        </w:rPr>
        <w:t>(7), pp.2026-2051.</w:t>
      </w:r>
    </w:p>
    <w:p w14:paraId="77BF62CA"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Hayes, C.G., Y. Jiao &amp; E. Cortes. 2009. Stock assessment of scalloped hammerhead sharks in the Western North Atlantic Ocean and Gulf of Mexico. North American Journal of Fisheries Management.</w:t>
      </w:r>
    </w:p>
    <w:p w14:paraId="043DE462"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Hazin, F., Fischer, A. and Broadhurst, M., 2001. Aspects of reproductive biology of the scalloped hammerhead shark,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off northeastern Brazil. Environmental Biology of Fishes, 61(2), pp.151-159.</w:t>
      </w:r>
    </w:p>
    <w:p w14:paraId="556F46F6"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Healy, T. J., Hill, N. J., Barnett, A., &amp; Chin. A. (2020). A Global Review of Elasmobranch Tourism Activities, Management and Risk. Marine Policy, 118, 103964.</w:t>
      </w:r>
    </w:p>
    <w:p w14:paraId="29023086"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Hearn, A., J. Ketchum, A.P. Klimley, E. Espinoza &amp; C.  </w:t>
      </w:r>
      <w:proofErr w:type="spellStart"/>
      <w:r w:rsidRPr="001A65DF">
        <w:rPr>
          <w:rFonts w:eastAsia="Arial" w:cs="Arial"/>
          <w:sz w:val="20"/>
          <w:szCs w:val="20"/>
          <w:lang w:eastAsia="en-GB"/>
        </w:rPr>
        <w:t>Peñaherrera</w:t>
      </w:r>
      <w:proofErr w:type="spellEnd"/>
      <w:r w:rsidRPr="001A65DF">
        <w:rPr>
          <w:rFonts w:eastAsia="Arial" w:cs="Arial"/>
          <w:sz w:val="20"/>
          <w:szCs w:val="20"/>
          <w:lang w:eastAsia="en-GB"/>
        </w:rPr>
        <w:t>. 2010. Hotspots within hotspots? Hammerhead shark movements around Wolf Island, Galapagos Marine Reserve. Marine Biology. Vol 157(9):1899-1915.</w:t>
      </w:r>
    </w:p>
    <w:p w14:paraId="540C4066"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val="en" w:eastAsia="en-GB"/>
        </w:rPr>
      </w:pPr>
      <w:r w:rsidRPr="001A65DF">
        <w:rPr>
          <w:rFonts w:eastAsia="Calibri" w:cs="Arial"/>
          <w:color w:val="222222"/>
          <w:sz w:val="20"/>
          <w:szCs w:val="20"/>
          <w:shd w:val="clear" w:color="auto" w:fill="FFFFFF"/>
          <w:lang w:val="en" w:eastAsia="en-GB"/>
        </w:rPr>
        <w:t>Hearn, A.R., Green, J., Román, M.H., Acuña-Marrero, D., Espinoza, E. and Klimley, A.P., 2016. Adult female whale sharks make long-distance movements past Darwin Island (Galapagos, Ecuador) in the Eastern Tropical Pacific. </w:t>
      </w:r>
      <w:r w:rsidRPr="001A65DF">
        <w:rPr>
          <w:rFonts w:eastAsia="Calibri" w:cs="Arial"/>
          <w:i/>
          <w:iCs/>
          <w:color w:val="222222"/>
          <w:sz w:val="20"/>
          <w:szCs w:val="20"/>
          <w:lang w:val="en" w:eastAsia="en-GB"/>
        </w:rPr>
        <w:t>Marine biology</w:t>
      </w:r>
      <w:r w:rsidRPr="001A65DF">
        <w:rPr>
          <w:rFonts w:eastAsia="Calibri" w:cs="Arial"/>
          <w:color w:val="222222"/>
          <w:sz w:val="20"/>
          <w:szCs w:val="20"/>
          <w:shd w:val="clear" w:color="auto" w:fill="FFFFFF"/>
          <w:lang w:val="en" w:eastAsia="en-GB"/>
        </w:rPr>
        <w:t>, </w:t>
      </w:r>
      <w:r w:rsidRPr="001A65DF">
        <w:rPr>
          <w:rFonts w:eastAsia="Calibri" w:cs="Arial"/>
          <w:i/>
          <w:iCs/>
          <w:color w:val="222222"/>
          <w:sz w:val="20"/>
          <w:szCs w:val="20"/>
          <w:lang w:val="en" w:eastAsia="en-GB"/>
        </w:rPr>
        <w:t>163</w:t>
      </w:r>
      <w:r w:rsidRPr="001A65DF">
        <w:rPr>
          <w:rFonts w:eastAsia="Calibri" w:cs="Arial"/>
          <w:color w:val="222222"/>
          <w:sz w:val="20"/>
          <w:szCs w:val="20"/>
          <w:shd w:val="clear" w:color="auto" w:fill="FFFFFF"/>
          <w:lang w:val="en" w:eastAsia="en-GB"/>
        </w:rPr>
        <w:t>(10), p.214.</w:t>
      </w:r>
    </w:p>
    <w:p w14:paraId="750F59F9"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Heupel, M. R. and McAuley, R. B. 2007. Sharks and Rays (Chondrichthyans) in the North-west Marine Region. Report to Department of the Environment and Water Resources, National Oceans Office Branch. Hobart, Tasmania.</w:t>
      </w:r>
    </w:p>
    <w:p w14:paraId="68FBAC40"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Calibri" w:cs="Arial"/>
          <w:sz w:val="20"/>
          <w:szCs w:val="20"/>
          <w:lang w:eastAsia="en-GB"/>
        </w:rPr>
      </w:pPr>
      <w:r w:rsidRPr="001A65DF">
        <w:rPr>
          <w:rFonts w:eastAsia="Arial" w:cs="Arial"/>
          <w:sz w:val="20"/>
          <w:szCs w:val="20"/>
          <w:lang w:eastAsia="en-GB"/>
        </w:rPr>
        <w:t xml:space="preserve">International Union for the Conservation of Nature (IUCN). 2014. IUCN Red List of Threatened Species. Version 3.1. April 21, 2014. </w:t>
      </w:r>
      <w:hyperlink r:id="rId27">
        <w:r w:rsidRPr="001A65DF">
          <w:rPr>
            <w:rFonts w:eastAsia="Arial" w:cs="Arial"/>
            <w:sz w:val="20"/>
            <w:szCs w:val="20"/>
            <w:u w:val="single"/>
            <w:lang w:eastAsia="en-GB"/>
          </w:rPr>
          <w:t>http://www.iucnredlist.org/</w:t>
        </w:r>
      </w:hyperlink>
    </w:p>
    <w:p w14:paraId="1A0C0AC3"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Calibri" w:cs="Arial"/>
          <w:sz w:val="20"/>
          <w:szCs w:val="20"/>
          <w:lang w:eastAsia="en-GB"/>
        </w:rPr>
      </w:pPr>
      <w:r w:rsidRPr="001A65DF">
        <w:rPr>
          <w:rFonts w:eastAsia="Calibri" w:cs="Arial"/>
          <w:sz w:val="20"/>
          <w:szCs w:val="20"/>
          <w:lang w:eastAsia="en-GB"/>
        </w:rPr>
        <w:t>Holland, K., Lowe, C., Peterson, J., &amp; Gill, A. (1992). Tracking Coastal Sharks with small boats: Hammerhead Shark Pups as a case study. Marine and Freshwater Research, 43, 61.</w:t>
      </w:r>
    </w:p>
    <w:p w14:paraId="5B05A9D0"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Calibri" w:cs="Arial"/>
          <w:sz w:val="20"/>
          <w:szCs w:val="20"/>
          <w:lang w:eastAsia="en-GB"/>
        </w:rPr>
      </w:pPr>
      <w:r w:rsidRPr="001A65DF">
        <w:rPr>
          <w:rFonts w:eastAsia="Calibri" w:cs="Arial"/>
          <w:sz w:val="20"/>
          <w:szCs w:val="20"/>
          <w:lang w:eastAsia="en-GB"/>
        </w:rPr>
        <w:t xml:space="preserve">Hoyos-Padilla EM, Ketchum JT, </w:t>
      </w:r>
      <w:proofErr w:type="spellStart"/>
      <w:r w:rsidRPr="001A65DF">
        <w:rPr>
          <w:rFonts w:eastAsia="Calibri" w:cs="Arial"/>
          <w:sz w:val="20"/>
          <w:szCs w:val="20"/>
          <w:lang w:eastAsia="en-GB"/>
        </w:rPr>
        <w:t>Klimley</w:t>
      </w:r>
      <w:proofErr w:type="spellEnd"/>
      <w:r w:rsidRPr="001A65DF">
        <w:rPr>
          <w:rFonts w:eastAsia="Calibri" w:cs="Arial"/>
          <w:sz w:val="20"/>
          <w:szCs w:val="20"/>
          <w:lang w:eastAsia="en-GB"/>
        </w:rPr>
        <w:t xml:space="preserve"> AP, Galván-Magaña F (2014) Ontogenetic migration of a female scalloped hammerhead shark Sphyrna </w:t>
      </w:r>
      <w:proofErr w:type="spellStart"/>
      <w:r w:rsidRPr="001A65DF">
        <w:rPr>
          <w:rFonts w:eastAsia="Calibri" w:cs="Arial"/>
          <w:sz w:val="20"/>
          <w:szCs w:val="20"/>
          <w:lang w:eastAsia="en-GB"/>
        </w:rPr>
        <w:t>lewini</w:t>
      </w:r>
      <w:proofErr w:type="spellEnd"/>
      <w:r w:rsidRPr="001A65DF">
        <w:rPr>
          <w:rFonts w:eastAsia="Calibri" w:cs="Arial"/>
          <w:sz w:val="20"/>
          <w:szCs w:val="20"/>
          <w:lang w:eastAsia="en-GB"/>
        </w:rPr>
        <w:t xml:space="preserve"> in the Gulf of California. Anim Biotelemetry 2:17. https://doi.org/10.1186/2050-3385-2-17</w:t>
      </w:r>
    </w:p>
    <w:p w14:paraId="03507BA4"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Calibri" w:cs="Arial"/>
          <w:sz w:val="20"/>
          <w:szCs w:val="20"/>
          <w:lang w:eastAsia="en-GB"/>
        </w:rPr>
      </w:pPr>
      <w:r w:rsidRPr="001A65DF">
        <w:rPr>
          <w:rFonts w:eastAsia="Calibri" w:cs="Arial"/>
          <w:sz w:val="20"/>
          <w:szCs w:val="20"/>
          <w:lang w:eastAsia="en-GB"/>
        </w:rPr>
        <w:t>Hussey, N.E., MacNeil, M.A., Siple, M.C., Popp, B.N., Dudley, S.F. and Fisk, A.T., 2015. Expanded trophic complexity among large sharks. </w:t>
      </w:r>
      <w:r w:rsidRPr="001A65DF">
        <w:rPr>
          <w:rFonts w:eastAsia="Calibri" w:cs="Arial"/>
          <w:i/>
          <w:iCs/>
          <w:sz w:val="20"/>
          <w:szCs w:val="20"/>
          <w:lang w:eastAsia="en-GB"/>
        </w:rPr>
        <w:t>Food webs</w:t>
      </w:r>
      <w:r w:rsidRPr="001A65DF">
        <w:rPr>
          <w:rFonts w:eastAsia="Calibri" w:cs="Arial"/>
          <w:sz w:val="20"/>
          <w:szCs w:val="20"/>
          <w:lang w:eastAsia="en-GB"/>
        </w:rPr>
        <w:t>, </w:t>
      </w:r>
      <w:r w:rsidRPr="001A65DF">
        <w:rPr>
          <w:rFonts w:eastAsia="Calibri" w:cs="Arial"/>
          <w:i/>
          <w:iCs/>
          <w:sz w:val="20"/>
          <w:szCs w:val="20"/>
          <w:lang w:eastAsia="en-GB"/>
        </w:rPr>
        <w:t>4</w:t>
      </w:r>
      <w:r w:rsidRPr="001A65DF">
        <w:rPr>
          <w:rFonts w:eastAsia="Calibri" w:cs="Arial"/>
          <w:sz w:val="20"/>
          <w:szCs w:val="20"/>
          <w:lang w:eastAsia="en-GB"/>
        </w:rPr>
        <w:t>, pp.1-7.</w:t>
      </w:r>
    </w:p>
    <w:p w14:paraId="41A3E558"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Calibri" w:cs="Arial"/>
          <w:sz w:val="20"/>
          <w:szCs w:val="20"/>
          <w:lang w:eastAsia="en-GB"/>
        </w:rPr>
        <w:t>Ingram, W., Henwood, T., Grace, M., Jones, L., Driggers, W. and Mitchell, K., 2005. Catch rates, distribution and size composition of large coastal sharks collected during NOAA Fisheries Bottom Longline Surveys from the US Gulf of Mexico and US Atlantic Ocean. </w:t>
      </w:r>
      <w:r w:rsidRPr="001A65DF">
        <w:rPr>
          <w:rFonts w:eastAsia="Calibri" w:cs="Arial"/>
          <w:i/>
          <w:iCs/>
          <w:sz w:val="20"/>
          <w:szCs w:val="20"/>
          <w:lang w:eastAsia="en-GB"/>
        </w:rPr>
        <w:t>MS− SEDAR</w:t>
      </w:r>
      <w:r w:rsidRPr="001A65DF">
        <w:rPr>
          <w:rFonts w:eastAsia="Calibri" w:cs="Arial"/>
          <w:sz w:val="20"/>
          <w:szCs w:val="20"/>
          <w:lang w:eastAsia="en-GB"/>
        </w:rPr>
        <w:t>, </w:t>
      </w:r>
      <w:r w:rsidRPr="001A65DF">
        <w:rPr>
          <w:rFonts w:eastAsia="Calibri" w:cs="Arial"/>
          <w:i/>
          <w:iCs/>
          <w:sz w:val="20"/>
          <w:szCs w:val="20"/>
          <w:lang w:eastAsia="en-GB"/>
        </w:rPr>
        <w:t>11</w:t>
      </w:r>
      <w:r w:rsidRPr="001A65DF">
        <w:rPr>
          <w:rFonts w:eastAsia="Calibri" w:cs="Arial"/>
          <w:sz w:val="20"/>
          <w:szCs w:val="20"/>
          <w:lang w:eastAsia="en-GB"/>
        </w:rPr>
        <w:t>.</w:t>
      </w:r>
    </w:p>
    <w:p w14:paraId="47A2459A"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Jiao, Y., C. Hayes, and E. Cortés. 2008. Hierarchical Bayesian approach for population dynamics modelling of fish complexes without species-specific data. ICES Journal of Marine Science 66: 367 - 377. </w:t>
      </w:r>
    </w:p>
    <w:p w14:paraId="3754ED41"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Jiao, Y., Cortés, E., Andrews, K. and Guo, F., 2011. Poor</w:t>
      </w:r>
      <w:r w:rsidRPr="001A65DF">
        <w:rPr>
          <w:rFonts w:ascii="Cambria Math" w:eastAsia="Arial" w:hAnsi="Cambria Math" w:cs="Cambria Math"/>
          <w:sz w:val="20"/>
          <w:szCs w:val="20"/>
          <w:lang w:eastAsia="en-GB"/>
        </w:rPr>
        <w:t>‐</w:t>
      </w:r>
      <w:r w:rsidRPr="001A65DF">
        <w:rPr>
          <w:rFonts w:eastAsia="Arial" w:cs="Arial"/>
          <w:sz w:val="20"/>
          <w:szCs w:val="20"/>
          <w:lang w:eastAsia="en-GB"/>
        </w:rPr>
        <w:t>data and data</w:t>
      </w:r>
      <w:r w:rsidRPr="001A65DF">
        <w:rPr>
          <w:rFonts w:ascii="Cambria Math" w:eastAsia="Arial" w:hAnsi="Cambria Math" w:cs="Cambria Math"/>
          <w:sz w:val="20"/>
          <w:szCs w:val="20"/>
          <w:lang w:eastAsia="en-GB"/>
        </w:rPr>
        <w:t>‐</w:t>
      </w:r>
      <w:r w:rsidRPr="001A65DF">
        <w:rPr>
          <w:rFonts w:eastAsia="Arial" w:cs="Arial"/>
          <w:sz w:val="20"/>
          <w:szCs w:val="20"/>
          <w:lang w:eastAsia="en-GB"/>
        </w:rPr>
        <w:t>poor species stock assessment using a Bayesian hierarchical approach. </w:t>
      </w:r>
      <w:r w:rsidRPr="001A65DF">
        <w:rPr>
          <w:rFonts w:eastAsia="Arial" w:cs="Arial"/>
          <w:i/>
          <w:iCs/>
          <w:sz w:val="20"/>
          <w:szCs w:val="20"/>
          <w:lang w:eastAsia="en-GB"/>
        </w:rPr>
        <w:t>Ecological Applications</w:t>
      </w:r>
      <w:r w:rsidRPr="001A65DF">
        <w:rPr>
          <w:rFonts w:eastAsia="Arial" w:cs="Arial"/>
          <w:sz w:val="20"/>
          <w:szCs w:val="20"/>
          <w:lang w:eastAsia="en-GB"/>
        </w:rPr>
        <w:t>, </w:t>
      </w:r>
      <w:r w:rsidRPr="001A65DF">
        <w:rPr>
          <w:rFonts w:eastAsia="Arial" w:cs="Arial"/>
          <w:i/>
          <w:iCs/>
          <w:sz w:val="20"/>
          <w:szCs w:val="20"/>
          <w:lang w:eastAsia="en-GB"/>
        </w:rPr>
        <w:t>21</w:t>
      </w:r>
      <w:r w:rsidRPr="001A65DF">
        <w:rPr>
          <w:rFonts w:eastAsia="Arial" w:cs="Arial"/>
          <w:sz w:val="20"/>
          <w:szCs w:val="20"/>
          <w:lang w:eastAsia="en-GB"/>
        </w:rPr>
        <w:t>(7), pp.2691-2708.</w:t>
      </w:r>
    </w:p>
    <w:p w14:paraId="501E94F4" w14:textId="77777777" w:rsidR="001A65DF" w:rsidRPr="001A65DF" w:rsidRDefault="001A65DF" w:rsidP="001A65DF">
      <w:pPr>
        <w:spacing w:before="96" w:after="0" w:line="240" w:lineRule="auto"/>
        <w:ind w:left="426" w:hanging="426"/>
        <w:jc w:val="both"/>
        <w:rPr>
          <w:rFonts w:eastAsia="Arial" w:cs="Arial"/>
          <w:sz w:val="20"/>
          <w:szCs w:val="20"/>
          <w:lang w:eastAsia="en-GB"/>
        </w:rPr>
      </w:pPr>
      <w:r w:rsidRPr="001A65DF">
        <w:rPr>
          <w:rFonts w:eastAsia="Arial" w:cs="Arial"/>
          <w:sz w:val="20"/>
          <w:szCs w:val="20"/>
          <w:lang w:eastAsia="en-GB"/>
        </w:rPr>
        <w:t xml:space="preserve">Ketchum, J. T., A. Hearn, A. P. Klimley, C. </w:t>
      </w:r>
      <w:proofErr w:type="spellStart"/>
      <w:r w:rsidRPr="001A65DF">
        <w:rPr>
          <w:rFonts w:eastAsia="Arial" w:cs="Arial"/>
          <w:sz w:val="20"/>
          <w:szCs w:val="20"/>
          <w:lang w:eastAsia="en-GB"/>
        </w:rPr>
        <w:t>Peñaherrera</w:t>
      </w:r>
      <w:proofErr w:type="spellEnd"/>
      <w:r w:rsidRPr="001A65DF">
        <w:rPr>
          <w:rFonts w:eastAsia="Arial" w:cs="Arial"/>
          <w:sz w:val="20"/>
          <w:szCs w:val="20"/>
          <w:lang w:eastAsia="en-GB"/>
        </w:rPr>
        <w:t xml:space="preserve">, E. Espinoza, S. </w:t>
      </w:r>
      <w:proofErr w:type="spellStart"/>
      <w:r w:rsidRPr="001A65DF">
        <w:rPr>
          <w:rFonts w:eastAsia="Arial" w:cs="Arial"/>
          <w:sz w:val="20"/>
          <w:szCs w:val="20"/>
          <w:lang w:eastAsia="en-GB"/>
        </w:rPr>
        <w:t>Bessudo</w:t>
      </w:r>
      <w:proofErr w:type="spellEnd"/>
      <w:r w:rsidRPr="001A65DF">
        <w:rPr>
          <w:rFonts w:eastAsia="Arial" w:cs="Arial"/>
          <w:sz w:val="20"/>
          <w:szCs w:val="20"/>
          <w:lang w:eastAsia="en-GB"/>
        </w:rPr>
        <w:t xml:space="preserve">, G. Soler, and R. Arauz. 2014. </w:t>
      </w:r>
      <w:proofErr w:type="spellStart"/>
      <w:r w:rsidRPr="001A65DF">
        <w:rPr>
          <w:rFonts w:eastAsia="Arial" w:cs="Arial"/>
          <w:sz w:val="20"/>
          <w:szCs w:val="20"/>
          <w:lang w:eastAsia="en-GB"/>
        </w:rPr>
        <w:t>Inter island</w:t>
      </w:r>
      <w:proofErr w:type="spellEnd"/>
      <w:r w:rsidRPr="001A65DF">
        <w:rPr>
          <w:rFonts w:eastAsia="Arial" w:cs="Arial"/>
          <w:sz w:val="20"/>
          <w:szCs w:val="20"/>
          <w:lang w:eastAsia="en-GB"/>
        </w:rPr>
        <w:t xml:space="preserve"> movements of scalloped hammerhead sharks (</w:t>
      </w:r>
      <w:r w:rsidRPr="001A65DF">
        <w:rPr>
          <w:rFonts w:eastAsia="Arial" w:cs="Arial"/>
          <w:i/>
          <w:sz w:val="20"/>
          <w:szCs w:val="20"/>
          <w:lang w:eastAsia="en-GB"/>
        </w:rPr>
        <w:t xml:space="preserve">Sphyrna </w:t>
      </w:r>
      <w:proofErr w:type="spellStart"/>
      <w:r w:rsidRPr="001A65DF">
        <w:rPr>
          <w:rFonts w:eastAsia="Arial" w:cs="Arial"/>
          <w:i/>
          <w:sz w:val="20"/>
          <w:szCs w:val="20"/>
          <w:lang w:eastAsia="en-GB"/>
        </w:rPr>
        <w:t>lewini</w:t>
      </w:r>
      <w:proofErr w:type="spellEnd"/>
      <w:r w:rsidRPr="001A65DF">
        <w:rPr>
          <w:rFonts w:eastAsia="Arial" w:cs="Arial"/>
          <w:sz w:val="20"/>
          <w:szCs w:val="20"/>
          <w:lang w:eastAsia="en-GB"/>
        </w:rPr>
        <w:t xml:space="preserve">) and seasonal connectivity in a marine protected area of the eastern tropical </w:t>
      </w:r>
      <w:proofErr w:type="spellStart"/>
      <w:r w:rsidRPr="001A65DF">
        <w:rPr>
          <w:rFonts w:eastAsia="Arial" w:cs="Arial"/>
          <w:sz w:val="20"/>
          <w:szCs w:val="20"/>
          <w:lang w:eastAsia="en-GB"/>
        </w:rPr>
        <w:t>Pacific.Mar</w:t>
      </w:r>
      <w:proofErr w:type="spellEnd"/>
      <w:r w:rsidRPr="001A65DF">
        <w:rPr>
          <w:rFonts w:eastAsia="Arial" w:cs="Arial"/>
          <w:sz w:val="20"/>
          <w:szCs w:val="20"/>
          <w:lang w:eastAsia="en-GB"/>
        </w:rPr>
        <w:t xml:space="preserve"> Bio. International Journal on Life in Oceans and Coastal Waters. DOI 10.1007/s00227-014-2393-y</w:t>
      </w:r>
    </w:p>
    <w:p w14:paraId="40453346" w14:textId="77777777" w:rsidR="001A65DF" w:rsidRPr="001A65DF" w:rsidRDefault="001A65DF" w:rsidP="001A65DF">
      <w:pPr>
        <w:spacing w:before="96" w:after="0" w:line="240" w:lineRule="auto"/>
        <w:ind w:left="426" w:hanging="426"/>
        <w:jc w:val="both"/>
        <w:rPr>
          <w:rFonts w:eastAsia="Times New Roman" w:cs="Arial"/>
          <w:sz w:val="20"/>
          <w:szCs w:val="20"/>
        </w:rPr>
      </w:pPr>
      <w:r w:rsidRPr="001A65DF">
        <w:rPr>
          <w:rFonts w:eastAsia="Times New Roman" w:cs="Arial"/>
          <w:sz w:val="20"/>
          <w:szCs w:val="20"/>
        </w:rPr>
        <w:t xml:space="preserve">Ketchum, J.T., Hearn, A., Klimley, A.P., Espinoza, E., </w:t>
      </w:r>
      <w:proofErr w:type="spellStart"/>
      <w:r w:rsidRPr="001A65DF">
        <w:rPr>
          <w:rFonts w:eastAsia="Times New Roman" w:cs="Arial"/>
          <w:sz w:val="20"/>
          <w:szCs w:val="20"/>
        </w:rPr>
        <w:t>Peñaherrera</w:t>
      </w:r>
      <w:proofErr w:type="spellEnd"/>
      <w:r w:rsidRPr="001A65DF">
        <w:rPr>
          <w:rFonts w:eastAsia="Times New Roman" w:cs="Arial"/>
          <w:sz w:val="20"/>
          <w:szCs w:val="20"/>
        </w:rPr>
        <w:t xml:space="preserve">, C. and </w:t>
      </w:r>
      <w:proofErr w:type="spellStart"/>
      <w:r w:rsidRPr="001A65DF">
        <w:rPr>
          <w:rFonts w:eastAsia="Times New Roman" w:cs="Arial"/>
          <w:sz w:val="20"/>
          <w:szCs w:val="20"/>
        </w:rPr>
        <w:t>Largier</w:t>
      </w:r>
      <w:proofErr w:type="spellEnd"/>
      <w:r w:rsidRPr="001A65DF">
        <w:rPr>
          <w:rFonts w:eastAsia="Times New Roman" w:cs="Arial"/>
          <w:sz w:val="20"/>
          <w:szCs w:val="20"/>
        </w:rPr>
        <w:t xml:space="preserve">, J.L., 2014. Seasonal changes in movements and habitat preferences of the scalloped hammerhead shark (Sphyrna </w:t>
      </w:r>
      <w:proofErr w:type="spellStart"/>
      <w:r w:rsidRPr="001A65DF">
        <w:rPr>
          <w:rFonts w:eastAsia="Times New Roman" w:cs="Arial"/>
          <w:sz w:val="20"/>
          <w:szCs w:val="20"/>
        </w:rPr>
        <w:t>lewini</w:t>
      </w:r>
      <w:proofErr w:type="spellEnd"/>
      <w:r w:rsidRPr="001A65DF">
        <w:rPr>
          <w:rFonts w:eastAsia="Times New Roman" w:cs="Arial"/>
          <w:sz w:val="20"/>
          <w:szCs w:val="20"/>
        </w:rPr>
        <w:t>) while refuging near an oceanic island. </w:t>
      </w:r>
      <w:r w:rsidRPr="001A65DF">
        <w:rPr>
          <w:rFonts w:eastAsia="Times New Roman" w:cs="Arial"/>
          <w:i/>
          <w:iCs/>
          <w:sz w:val="20"/>
          <w:szCs w:val="20"/>
        </w:rPr>
        <w:t>Marine Biology</w:t>
      </w:r>
      <w:r w:rsidRPr="001A65DF">
        <w:rPr>
          <w:rFonts w:eastAsia="Times New Roman" w:cs="Arial"/>
          <w:sz w:val="20"/>
          <w:szCs w:val="20"/>
        </w:rPr>
        <w:t>, </w:t>
      </w:r>
      <w:r w:rsidRPr="001A65DF">
        <w:rPr>
          <w:rFonts w:eastAsia="Times New Roman" w:cs="Arial"/>
          <w:i/>
          <w:iCs/>
          <w:sz w:val="20"/>
          <w:szCs w:val="20"/>
        </w:rPr>
        <w:t>161</w:t>
      </w:r>
      <w:r w:rsidRPr="001A65DF">
        <w:rPr>
          <w:rFonts w:eastAsia="Times New Roman" w:cs="Arial"/>
          <w:sz w:val="20"/>
          <w:szCs w:val="20"/>
        </w:rPr>
        <w:t>(4), pp.755-767.</w:t>
      </w:r>
    </w:p>
    <w:p w14:paraId="39CCEE14" w14:textId="77777777" w:rsidR="001A65DF" w:rsidRPr="001A65DF" w:rsidRDefault="001A65DF" w:rsidP="001A65DF">
      <w:pPr>
        <w:spacing w:before="96" w:after="0" w:line="240" w:lineRule="auto"/>
        <w:ind w:left="426" w:hanging="426"/>
        <w:jc w:val="both"/>
        <w:rPr>
          <w:rFonts w:eastAsia="Times New Roman" w:cs="Arial"/>
          <w:sz w:val="20"/>
          <w:szCs w:val="20"/>
          <w:lang w:eastAsia="en-GB"/>
        </w:rPr>
      </w:pPr>
      <w:r w:rsidRPr="001A65DF">
        <w:rPr>
          <w:rFonts w:eastAsia="Times New Roman" w:cs="Arial"/>
          <w:sz w:val="20"/>
          <w:szCs w:val="20"/>
          <w:lang w:eastAsia="en-GB"/>
        </w:rPr>
        <w:t>Ketchum, J.T., Hoyos-Padilla, M., Aldana-Moreno, A., Ayres, K., Galván-Magaña, F., Hearn, A., Lara-Lizardi, F., Muntaner-López, G., Grau, M., Trejo-Ramírez, A. and Whitehead, D.A., 2020. Shark movement patterns in the Mexican Pacific: a conservation and management perspective. In </w:t>
      </w:r>
      <w:r w:rsidRPr="001A65DF">
        <w:rPr>
          <w:rFonts w:eastAsia="Times New Roman" w:cs="Arial"/>
          <w:i/>
          <w:iCs/>
          <w:sz w:val="20"/>
          <w:szCs w:val="20"/>
          <w:lang w:eastAsia="en-GB"/>
        </w:rPr>
        <w:t xml:space="preserve">Advances in </w:t>
      </w:r>
      <w:proofErr w:type="gramStart"/>
      <w:r w:rsidRPr="001A65DF">
        <w:rPr>
          <w:rFonts w:eastAsia="Times New Roman" w:cs="Arial"/>
          <w:i/>
          <w:iCs/>
          <w:sz w:val="20"/>
          <w:szCs w:val="20"/>
          <w:lang w:eastAsia="en-GB"/>
        </w:rPr>
        <w:t>marine biology</w:t>
      </w:r>
      <w:proofErr w:type="gramEnd"/>
      <w:r w:rsidRPr="001A65DF">
        <w:rPr>
          <w:rFonts w:eastAsia="Times New Roman" w:cs="Arial"/>
          <w:sz w:val="20"/>
          <w:szCs w:val="20"/>
          <w:lang w:eastAsia="en-GB"/>
        </w:rPr>
        <w:t> (Vol. 85, No. 1, pp. 1-37). Academic Press.</w:t>
      </w:r>
    </w:p>
    <w:p w14:paraId="05D65374" w14:textId="77777777" w:rsidR="001A65DF" w:rsidRPr="001A65DF" w:rsidRDefault="001A65DF" w:rsidP="001A65DF">
      <w:pPr>
        <w:spacing w:before="96" w:after="0" w:line="240" w:lineRule="auto"/>
        <w:ind w:left="426" w:hanging="425"/>
        <w:jc w:val="both"/>
        <w:rPr>
          <w:rFonts w:eastAsia="Times New Roman" w:cs="Arial"/>
          <w:sz w:val="20"/>
          <w:szCs w:val="20"/>
          <w:lang w:eastAsia="en-GB"/>
        </w:rPr>
      </w:pPr>
      <w:proofErr w:type="spellStart"/>
      <w:r w:rsidRPr="001A65DF">
        <w:rPr>
          <w:rFonts w:eastAsia="Times New Roman" w:cs="Arial"/>
          <w:sz w:val="20"/>
          <w:szCs w:val="20"/>
          <w:lang w:eastAsia="en-GB"/>
        </w:rPr>
        <w:t>Klimley</w:t>
      </w:r>
      <w:proofErr w:type="spellEnd"/>
      <w:r w:rsidRPr="001A65DF">
        <w:rPr>
          <w:rFonts w:eastAsia="Times New Roman" w:cs="Arial"/>
          <w:sz w:val="20"/>
          <w:szCs w:val="20"/>
          <w:lang w:eastAsia="en-GB"/>
        </w:rPr>
        <w:t xml:space="preserve"> AP (1983) Social organization of schools of the Scalloped Hammerhead shark, Sphyrna </w:t>
      </w:r>
      <w:proofErr w:type="spellStart"/>
      <w:r w:rsidRPr="001A65DF">
        <w:rPr>
          <w:rFonts w:eastAsia="Times New Roman" w:cs="Arial"/>
          <w:sz w:val="20"/>
          <w:szCs w:val="20"/>
          <w:lang w:eastAsia="en-GB"/>
        </w:rPr>
        <w:t>lewini</w:t>
      </w:r>
      <w:proofErr w:type="spellEnd"/>
      <w:r w:rsidRPr="001A65DF">
        <w:rPr>
          <w:rFonts w:eastAsia="Times New Roman" w:cs="Arial"/>
          <w:sz w:val="20"/>
          <w:szCs w:val="20"/>
          <w:lang w:eastAsia="en-GB"/>
        </w:rPr>
        <w:t xml:space="preserve"> (Griffith and Smith, 1834), in the Gulf of California. Sch </w:t>
      </w:r>
      <w:proofErr w:type="spellStart"/>
      <w:r w:rsidRPr="001A65DF">
        <w:rPr>
          <w:rFonts w:eastAsia="Times New Roman" w:cs="Arial"/>
          <w:sz w:val="20"/>
          <w:szCs w:val="20"/>
          <w:lang w:eastAsia="en-GB"/>
        </w:rPr>
        <w:t>Publ</w:t>
      </w:r>
      <w:proofErr w:type="spellEnd"/>
      <w:r w:rsidRPr="001A65DF">
        <w:rPr>
          <w:rFonts w:eastAsia="Times New Roman" w:cs="Arial"/>
          <w:sz w:val="20"/>
          <w:szCs w:val="20"/>
          <w:lang w:eastAsia="en-GB"/>
        </w:rPr>
        <w:t xml:space="preserve"> 357</w:t>
      </w:r>
    </w:p>
    <w:p w14:paraId="0A4C48FC" w14:textId="77777777" w:rsidR="001A65DF" w:rsidRPr="001A65DF" w:rsidRDefault="001A65DF" w:rsidP="001A65DF">
      <w:pPr>
        <w:spacing w:before="96" w:after="0" w:line="240" w:lineRule="auto"/>
        <w:ind w:left="426" w:hanging="425"/>
        <w:jc w:val="both"/>
        <w:rPr>
          <w:rFonts w:eastAsia="Times New Roman" w:cs="Arial"/>
          <w:sz w:val="20"/>
          <w:szCs w:val="20"/>
          <w:lang w:eastAsia="en-GB"/>
        </w:rPr>
      </w:pPr>
      <w:r w:rsidRPr="001A65DF">
        <w:rPr>
          <w:rFonts w:eastAsia="Times New Roman" w:cs="Arial"/>
          <w:sz w:val="20"/>
          <w:szCs w:val="20"/>
          <w:lang w:eastAsia="en-GB"/>
        </w:rPr>
        <w:t xml:space="preserve">Klimley, A.P., 1987. The determinants of sexual segregation in the scalloped hammerhead shark, Sphyrna </w:t>
      </w:r>
      <w:proofErr w:type="spellStart"/>
      <w:r w:rsidRPr="001A65DF">
        <w:rPr>
          <w:rFonts w:eastAsia="Times New Roman" w:cs="Arial"/>
          <w:sz w:val="20"/>
          <w:szCs w:val="20"/>
          <w:lang w:eastAsia="en-GB"/>
        </w:rPr>
        <w:t>lewini</w:t>
      </w:r>
      <w:proofErr w:type="spellEnd"/>
      <w:r w:rsidRPr="001A65DF">
        <w:rPr>
          <w:rFonts w:eastAsia="Times New Roman" w:cs="Arial"/>
          <w:sz w:val="20"/>
          <w:szCs w:val="20"/>
          <w:lang w:eastAsia="en-GB"/>
        </w:rPr>
        <w:t>. </w:t>
      </w:r>
      <w:r w:rsidRPr="001A65DF">
        <w:rPr>
          <w:rFonts w:eastAsia="Times New Roman" w:cs="Arial"/>
          <w:i/>
          <w:iCs/>
          <w:sz w:val="20"/>
          <w:szCs w:val="20"/>
          <w:lang w:eastAsia="en-GB"/>
        </w:rPr>
        <w:t>Environmental Biology of Fishes</w:t>
      </w:r>
      <w:r w:rsidRPr="001A65DF">
        <w:rPr>
          <w:rFonts w:eastAsia="Times New Roman" w:cs="Arial"/>
          <w:sz w:val="20"/>
          <w:szCs w:val="20"/>
          <w:lang w:eastAsia="en-GB"/>
        </w:rPr>
        <w:t>, </w:t>
      </w:r>
      <w:r w:rsidRPr="001A65DF">
        <w:rPr>
          <w:rFonts w:eastAsia="Times New Roman" w:cs="Arial"/>
          <w:i/>
          <w:iCs/>
          <w:sz w:val="20"/>
          <w:szCs w:val="20"/>
          <w:lang w:eastAsia="en-GB"/>
        </w:rPr>
        <w:t>18</w:t>
      </w:r>
      <w:r w:rsidRPr="001A65DF">
        <w:rPr>
          <w:rFonts w:eastAsia="Times New Roman" w:cs="Arial"/>
          <w:sz w:val="20"/>
          <w:szCs w:val="20"/>
          <w:lang w:eastAsia="en-GB"/>
        </w:rPr>
        <w:t>(1), pp.27-40.</w:t>
      </w:r>
    </w:p>
    <w:p w14:paraId="2B9895BC" w14:textId="77777777" w:rsidR="001A65DF" w:rsidRPr="001A65DF" w:rsidRDefault="001A65DF" w:rsidP="001A65DF">
      <w:pPr>
        <w:spacing w:before="96" w:after="0" w:line="240" w:lineRule="auto"/>
        <w:ind w:left="426" w:hanging="425"/>
        <w:jc w:val="both"/>
        <w:rPr>
          <w:rFonts w:eastAsia="Times New Roman" w:cs="Arial"/>
          <w:sz w:val="20"/>
          <w:szCs w:val="20"/>
          <w:lang w:eastAsia="en-GB"/>
        </w:rPr>
      </w:pPr>
      <w:r w:rsidRPr="001A65DF">
        <w:rPr>
          <w:rFonts w:eastAsia="Times New Roman" w:cs="Arial"/>
          <w:sz w:val="20"/>
          <w:szCs w:val="20"/>
          <w:lang w:eastAsia="en-GB"/>
        </w:rPr>
        <w:t>Klimley, A.P., Cabrera-Mancillas, I. and Castillo-</w:t>
      </w:r>
      <w:proofErr w:type="spellStart"/>
      <w:r w:rsidRPr="001A65DF">
        <w:rPr>
          <w:rFonts w:eastAsia="Times New Roman" w:cs="Arial"/>
          <w:sz w:val="20"/>
          <w:szCs w:val="20"/>
          <w:lang w:eastAsia="en-GB"/>
        </w:rPr>
        <w:t>Geniz</w:t>
      </w:r>
      <w:proofErr w:type="spellEnd"/>
      <w:r w:rsidRPr="001A65DF">
        <w:rPr>
          <w:rFonts w:eastAsia="Times New Roman" w:cs="Arial"/>
          <w:sz w:val="20"/>
          <w:szCs w:val="20"/>
          <w:lang w:eastAsia="en-GB"/>
        </w:rPr>
        <w:t xml:space="preserve">, J.L., 1993. Horizontal and vertical movements of the scalloped hammerhead shark, Sphyrna </w:t>
      </w:r>
      <w:proofErr w:type="spellStart"/>
      <w:r w:rsidRPr="001A65DF">
        <w:rPr>
          <w:rFonts w:eastAsia="Times New Roman" w:cs="Arial"/>
          <w:sz w:val="20"/>
          <w:szCs w:val="20"/>
          <w:lang w:eastAsia="en-GB"/>
        </w:rPr>
        <w:t>lewini</w:t>
      </w:r>
      <w:proofErr w:type="spellEnd"/>
      <w:r w:rsidRPr="001A65DF">
        <w:rPr>
          <w:rFonts w:eastAsia="Times New Roman" w:cs="Arial"/>
          <w:sz w:val="20"/>
          <w:szCs w:val="20"/>
          <w:lang w:eastAsia="en-GB"/>
        </w:rPr>
        <w:t>, in the southern Gulf of California, Mexico. </w:t>
      </w:r>
      <w:proofErr w:type="spellStart"/>
      <w:r w:rsidRPr="001A65DF">
        <w:rPr>
          <w:rFonts w:eastAsia="Times New Roman" w:cs="Arial"/>
          <w:i/>
          <w:iCs/>
          <w:sz w:val="20"/>
          <w:szCs w:val="20"/>
          <w:lang w:eastAsia="en-GB"/>
        </w:rPr>
        <w:t>Ciencias</w:t>
      </w:r>
      <w:proofErr w:type="spellEnd"/>
      <w:r w:rsidRPr="001A65DF">
        <w:rPr>
          <w:rFonts w:eastAsia="Times New Roman" w:cs="Arial"/>
          <w:i/>
          <w:iCs/>
          <w:sz w:val="20"/>
          <w:szCs w:val="20"/>
          <w:lang w:eastAsia="en-GB"/>
        </w:rPr>
        <w:t xml:space="preserve"> Marinas</w:t>
      </w:r>
      <w:r w:rsidRPr="001A65DF">
        <w:rPr>
          <w:rFonts w:eastAsia="Times New Roman" w:cs="Arial"/>
          <w:sz w:val="20"/>
          <w:szCs w:val="20"/>
          <w:lang w:eastAsia="en-GB"/>
        </w:rPr>
        <w:t>, </w:t>
      </w:r>
      <w:r w:rsidRPr="001A65DF">
        <w:rPr>
          <w:rFonts w:eastAsia="Times New Roman" w:cs="Arial"/>
          <w:i/>
          <w:iCs/>
          <w:sz w:val="20"/>
          <w:szCs w:val="20"/>
          <w:lang w:eastAsia="en-GB"/>
        </w:rPr>
        <w:t>19</w:t>
      </w:r>
      <w:r w:rsidRPr="001A65DF">
        <w:rPr>
          <w:rFonts w:eastAsia="Times New Roman" w:cs="Arial"/>
          <w:sz w:val="20"/>
          <w:szCs w:val="20"/>
          <w:lang w:eastAsia="en-GB"/>
        </w:rPr>
        <w:t>(1), pp.95-115.</w:t>
      </w:r>
    </w:p>
    <w:p w14:paraId="17B50AE4" w14:textId="77777777" w:rsidR="001A65DF" w:rsidRPr="001A65DF" w:rsidRDefault="001A65DF" w:rsidP="001A65DF">
      <w:pPr>
        <w:spacing w:before="96" w:after="0" w:line="240" w:lineRule="auto"/>
        <w:ind w:left="426" w:hanging="425"/>
        <w:jc w:val="both"/>
        <w:rPr>
          <w:rFonts w:eastAsia="Times New Roman" w:cs="Arial"/>
          <w:sz w:val="20"/>
          <w:szCs w:val="20"/>
          <w:lang w:eastAsia="en-GB"/>
        </w:rPr>
      </w:pPr>
      <w:r w:rsidRPr="001A65DF">
        <w:rPr>
          <w:rFonts w:eastAsia="Times New Roman" w:cs="Arial"/>
          <w:sz w:val="20"/>
          <w:szCs w:val="20"/>
          <w:lang w:eastAsia="en-GB"/>
        </w:rPr>
        <w:t>Klimley, A.P., Richert, J.E. and Jorgensen, S.J., 2005. The home of blue water fish: Rather than singly inhabiting the trackless ocean, pelagic fish species travel together in groups, which migrate between hidden, productive oases. </w:t>
      </w:r>
      <w:r w:rsidRPr="001A65DF">
        <w:rPr>
          <w:rFonts w:eastAsia="Times New Roman" w:cs="Arial"/>
          <w:i/>
          <w:iCs/>
          <w:sz w:val="20"/>
          <w:szCs w:val="20"/>
          <w:lang w:eastAsia="en-GB"/>
        </w:rPr>
        <w:t>American Scientist</w:t>
      </w:r>
      <w:r w:rsidRPr="001A65DF">
        <w:rPr>
          <w:rFonts w:eastAsia="Times New Roman" w:cs="Arial"/>
          <w:sz w:val="20"/>
          <w:szCs w:val="20"/>
          <w:lang w:eastAsia="en-GB"/>
        </w:rPr>
        <w:t>, </w:t>
      </w:r>
      <w:r w:rsidRPr="001A65DF">
        <w:rPr>
          <w:rFonts w:eastAsia="Times New Roman" w:cs="Arial"/>
          <w:i/>
          <w:iCs/>
          <w:sz w:val="20"/>
          <w:szCs w:val="20"/>
          <w:lang w:eastAsia="en-GB"/>
        </w:rPr>
        <w:t>93</w:t>
      </w:r>
      <w:r w:rsidRPr="001A65DF">
        <w:rPr>
          <w:rFonts w:eastAsia="Times New Roman" w:cs="Arial"/>
          <w:sz w:val="20"/>
          <w:szCs w:val="20"/>
          <w:lang w:eastAsia="en-GB"/>
        </w:rPr>
        <w:t>(1), pp.42-49.</w:t>
      </w:r>
    </w:p>
    <w:p w14:paraId="176F8C25" w14:textId="77777777" w:rsidR="001A65DF" w:rsidRPr="001A65DF" w:rsidRDefault="001A65DF" w:rsidP="001A65DF">
      <w:pPr>
        <w:spacing w:before="96" w:after="0" w:line="240" w:lineRule="auto"/>
        <w:ind w:left="426" w:hanging="425"/>
        <w:jc w:val="both"/>
        <w:rPr>
          <w:rFonts w:eastAsia="Times New Roman" w:cs="Arial"/>
          <w:sz w:val="20"/>
          <w:szCs w:val="20"/>
          <w:lang w:eastAsia="en-GB"/>
        </w:rPr>
      </w:pPr>
      <w:proofErr w:type="spellStart"/>
      <w:r w:rsidRPr="001A65DF">
        <w:rPr>
          <w:rFonts w:eastAsia="Times New Roman" w:cs="Arial"/>
          <w:sz w:val="20"/>
          <w:szCs w:val="20"/>
          <w:lang w:eastAsia="en-GB"/>
        </w:rPr>
        <w:t>Klinard</w:t>
      </w:r>
      <w:proofErr w:type="spellEnd"/>
      <w:r w:rsidRPr="001A65DF">
        <w:rPr>
          <w:rFonts w:eastAsia="Times New Roman" w:cs="Arial"/>
          <w:sz w:val="20"/>
          <w:szCs w:val="20"/>
          <w:lang w:eastAsia="en-GB"/>
        </w:rPr>
        <w:t>, N.V., Mull, C.G., Heithaus, M.R. and MacNeil, M.A., 2025. Defining ecological roles of sharks on coral reefs. Biological Reviews.</w:t>
      </w:r>
    </w:p>
    <w:p w14:paraId="2D602D93" w14:textId="77777777" w:rsidR="001A65DF" w:rsidRPr="001A65DF" w:rsidRDefault="001A65DF" w:rsidP="001A65DF">
      <w:pPr>
        <w:spacing w:before="96" w:after="0" w:line="240" w:lineRule="auto"/>
        <w:ind w:left="1"/>
        <w:jc w:val="both"/>
        <w:rPr>
          <w:rFonts w:eastAsia="Times New Roman" w:cs="Arial"/>
          <w:sz w:val="20"/>
          <w:szCs w:val="20"/>
          <w:lang w:val="en" w:eastAsia="en-GB"/>
        </w:rPr>
      </w:pPr>
      <w:r w:rsidRPr="001A65DF">
        <w:rPr>
          <w:rFonts w:eastAsia="Times New Roman" w:cs="Arial"/>
          <w:sz w:val="20"/>
          <w:szCs w:val="20"/>
          <w:lang w:val="pt-BR" w:eastAsia="en-GB"/>
        </w:rPr>
        <w:t>Kotas, J. E., Lessa, R. P. T., &amp; Vooren, C. M. (1995). Distribuição e abundância do tubarão-martelo (</w:t>
      </w:r>
      <w:r w:rsidRPr="001A65DF">
        <w:rPr>
          <w:rFonts w:eastAsia="Times New Roman" w:cs="Arial"/>
          <w:i/>
          <w:iCs/>
          <w:sz w:val="20"/>
          <w:szCs w:val="20"/>
          <w:lang w:val="pt-BR" w:eastAsia="en-GB"/>
        </w:rPr>
        <w:t>Sphyrna lewini</w:t>
      </w:r>
      <w:r w:rsidRPr="001A65DF">
        <w:rPr>
          <w:rFonts w:eastAsia="Times New Roman" w:cs="Arial"/>
          <w:sz w:val="20"/>
          <w:szCs w:val="20"/>
          <w:lang w:val="pt-BR" w:eastAsia="en-GB"/>
        </w:rPr>
        <w:t xml:space="preserve">) no Sul do Brasil e a influência da pesca artesanal. </w:t>
      </w:r>
      <w:r w:rsidRPr="001A65DF">
        <w:rPr>
          <w:rFonts w:eastAsia="Times New Roman" w:cs="Arial"/>
          <w:sz w:val="20"/>
          <w:szCs w:val="20"/>
          <w:lang w:val="en" w:eastAsia="en-GB"/>
        </w:rPr>
        <w:t xml:space="preserve">Boletim Técnico </w:t>
      </w:r>
      <w:proofErr w:type="spellStart"/>
      <w:r w:rsidRPr="001A65DF">
        <w:rPr>
          <w:rFonts w:eastAsia="Times New Roman" w:cs="Arial"/>
          <w:sz w:val="20"/>
          <w:szCs w:val="20"/>
          <w:lang w:val="en" w:eastAsia="en-GB"/>
        </w:rPr>
        <w:t>Científico</w:t>
      </w:r>
      <w:proofErr w:type="spellEnd"/>
      <w:r w:rsidRPr="001A65DF">
        <w:rPr>
          <w:rFonts w:eastAsia="Times New Roman" w:cs="Arial"/>
          <w:sz w:val="20"/>
          <w:szCs w:val="20"/>
          <w:lang w:val="en" w:eastAsia="en-GB"/>
        </w:rPr>
        <w:t xml:space="preserve"> do CEPENE, 3(1), 101–114. (Supports: Juvenile distribution and nursery use in Southern Brazil)</w:t>
      </w:r>
    </w:p>
    <w:p w14:paraId="5DC13AD7" w14:textId="77777777" w:rsidR="001A65DF" w:rsidRPr="001A65DF" w:rsidRDefault="001A65DF" w:rsidP="001A65DF">
      <w:pPr>
        <w:spacing w:before="96" w:after="0" w:line="240" w:lineRule="auto"/>
        <w:ind w:left="426" w:hanging="425"/>
        <w:jc w:val="both"/>
        <w:rPr>
          <w:rFonts w:eastAsia="Times New Roman" w:cs="Arial"/>
          <w:sz w:val="20"/>
          <w:szCs w:val="20"/>
          <w:lang w:val="en" w:eastAsia="en-GB"/>
        </w:rPr>
      </w:pPr>
      <w:r w:rsidRPr="001A65DF">
        <w:rPr>
          <w:rFonts w:eastAsia="Times New Roman" w:cs="Arial"/>
          <w:sz w:val="20"/>
          <w:szCs w:val="20"/>
          <w:lang w:val="pt-BR" w:eastAsia="en-GB"/>
        </w:rPr>
        <w:t xml:space="preserve">Kotas, J. E., Mastrochirico, V., &amp; Petrere Junior, M. (2011). </w:t>
      </w:r>
      <w:r w:rsidRPr="001A65DF">
        <w:rPr>
          <w:rFonts w:eastAsia="Times New Roman" w:cs="Arial"/>
          <w:sz w:val="20"/>
          <w:szCs w:val="20"/>
          <w:lang w:val="en" w:eastAsia="en-GB"/>
        </w:rPr>
        <w:t xml:space="preserve">Age and growth of the </w:t>
      </w:r>
      <w:proofErr w:type="gramStart"/>
      <w:r w:rsidRPr="001A65DF">
        <w:rPr>
          <w:rFonts w:eastAsia="Times New Roman" w:cs="Arial"/>
          <w:sz w:val="20"/>
          <w:szCs w:val="20"/>
          <w:lang w:val="en" w:eastAsia="en-GB"/>
        </w:rPr>
        <w:t>Scalloped</w:t>
      </w:r>
      <w:proofErr w:type="gramEnd"/>
      <w:r w:rsidRPr="001A65DF">
        <w:rPr>
          <w:rFonts w:eastAsia="Times New Roman" w:cs="Arial"/>
          <w:sz w:val="20"/>
          <w:szCs w:val="20"/>
          <w:lang w:val="en" w:eastAsia="en-GB"/>
        </w:rPr>
        <w:t xml:space="preserve"> hammerhead shark, Sphyrna </w:t>
      </w:r>
      <w:proofErr w:type="spellStart"/>
      <w:r w:rsidRPr="001A65DF">
        <w:rPr>
          <w:rFonts w:eastAsia="Times New Roman" w:cs="Arial"/>
          <w:sz w:val="20"/>
          <w:szCs w:val="20"/>
          <w:lang w:val="en" w:eastAsia="en-GB"/>
        </w:rPr>
        <w:t>lewini</w:t>
      </w:r>
      <w:proofErr w:type="spellEnd"/>
      <w:r w:rsidRPr="001A65DF">
        <w:rPr>
          <w:rFonts w:eastAsia="Times New Roman" w:cs="Arial"/>
          <w:sz w:val="20"/>
          <w:szCs w:val="20"/>
          <w:lang w:val="en" w:eastAsia="en-GB"/>
        </w:rPr>
        <w:t xml:space="preserve"> (Griffith and Smith, 1834), from the southern Brazilian coast. Brazilian Journal of Biology, 71(3), 755–761. (Supports: Age, Growth, and Southern Brazilian Coast data) </w:t>
      </w:r>
    </w:p>
    <w:p w14:paraId="58FB2D29" w14:textId="77777777" w:rsidR="001A65DF" w:rsidRPr="001A65DF" w:rsidRDefault="001A65DF" w:rsidP="001A65DF">
      <w:pPr>
        <w:spacing w:before="96" w:after="0" w:line="240" w:lineRule="auto"/>
        <w:ind w:left="426" w:hanging="425"/>
        <w:jc w:val="both"/>
        <w:rPr>
          <w:rFonts w:eastAsia="Times New Roman" w:cs="Arial"/>
          <w:sz w:val="20"/>
          <w:szCs w:val="20"/>
          <w:lang w:val="en" w:eastAsia="en-GB"/>
        </w:rPr>
      </w:pPr>
      <w:r w:rsidRPr="001A65DF">
        <w:rPr>
          <w:rFonts w:eastAsia="Times New Roman" w:cs="Arial"/>
          <w:sz w:val="20"/>
          <w:szCs w:val="20"/>
          <w:lang w:val="pt-PT" w:eastAsia="en-GB"/>
        </w:rPr>
        <w:t xml:space="preserve">Kotas, J. E., Lessa, R. P. T., &amp; Vianna, G. C. (2014). </w:t>
      </w:r>
      <w:r w:rsidRPr="001A65DF">
        <w:rPr>
          <w:rFonts w:eastAsia="Times New Roman" w:cs="Arial"/>
          <w:sz w:val="20"/>
          <w:szCs w:val="20"/>
          <w:lang w:val="en" w:eastAsia="en-GB"/>
        </w:rPr>
        <w:t>The horizontal migration of hammerhead sharks along the southern Brazilian coast, based on their exploitation pattern and considerations about the impact of anchored gillnets activities on these species1. Revista CEPSUL, 5(1), 44–58. (Supports: Latitudinal movement, adult offshore habitat, and specific latitudinal range on the Brazilian coast)</w:t>
      </w:r>
    </w:p>
    <w:p w14:paraId="37005CAE" w14:textId="77777777" w:rsidR="001A65DF" w:rsidRPr="001A65DF" w:rsidRDefault="001A65DF" w:rsidP="001A65DF">
      <w:pPr>
        <w:spacing w:before="96" w:after="0" w:line="240" w:lineRule="auto"/>
        <w:ind w:left="426" w:hanging="425"/>
        <w:jc w:val="both"/>
        <w:rPr>
          <w:rFonts w:eastAsia="Times New Roman" w:cs="Arial"/>
          <w:sz w:val="20"/>
          <w:szCs w:val="20"/>
          <w:lang w:val="pt-BR" w:eastAsia="en-GB"/>
        </w:rPr>
      </w:pPr>
      <w:r w:rsidRPr="001A65DF">
        <w:rPr>
          <w:rFonts w:eastAsia="Times New Roman" w:cs="Arial"/>
          <w:sz w:val="20"/>
          <w:szCs w:val="20"/>
          <w:lang w:val="en" w:eastAsia="en-GB"/>
        </w:rPr>
        <w:t xml:space="preserve">Kotas, J.E.; Barreto, R.R.P.; Lessa, R.P.T.; Vooren, C.M.; Silva, F.M.S.; Santander Neto, J.; Rosa, R.S.; Scalco, A.C.S.; Schneider, F.; Dolphine, P.M.; </w:t>
      </w:r>
      <w:proofErr w:type="spellStart"/>
      <w:r w:rsidRPr="001A65DF">
        <w:rPr>
          <w:rFonts w:eastAsia="Times New Roman" w:cs="Arial"/>
          <w:sz w:val="20"/>
          <w:szCs w:val="20"/>
          <w:lang w:val="en" w:eastAsia="en-GB"/>
        </w:rPr>
        <w:t>Gadig</w:t>
      </w:r>
      <w:proofErr w:type="spellEnd"/>
      <w:r w:rsidRPr="001A65DF">
        <w:rPr>
          <w:rFonts w:eastAsia="Times New Roman" w:cs="Arial"/>
          <w:sz w:val="20"/>
          <w:szCs w:val="20"/>
          <w:lang w:val="en" w:eastAsia="en-GB"/>
        </w:rPr>
        <w:t xml:space="preserve">, O.B.F.; Santos, R.A. 2024. </w:t>
      </w:r>
      <w:r w:rsidRPr="001A65DF">
        <w:rPr>
          <w:rFonts w:eastAsia="Times New Roman" w:cs="Arial"/>
          <w:i/>
          <w:iCs/>
          <w:sz w:val="20"/>
          <w:szCs w:val="20"/>
          <w:lang w:val="pt-BR" w:eastAsia="en-GB"/>
        </w:rPr>
        <w:t>Sphyrna lewini</w:t>
      </w:r>
      <w:r w:rsidRPr="001A65DF">
        <w:rPr>
          <w:rFonts w:eastAsia="Times New Roman" w:cs="Arial"/>
          <w:sz w:val="20"/>
          <w:szCs w:val="20"/>
          <w:lang w:val="pt-BR" w:eastAsia="en-GB"/>
        </w:rPr>
        <w:t>. Sistema de Avaliação do Risco de Extinção da Biodiversidade - SALVE - Instituto Chico Mendes de Conservação da Biodiversidade - ICMBio. Disponível em: https://salve.icmbio.gov.br Digital Object Identifier (DOI): https://doi.org/10.37002/salve.ficha.9394.2</w:t>
      </w:r>
    </w:p>
    <w:p w14:paraId="23F0506F" w14:textId="77777777" w:rsidR="001A65DF" w:rsidRPr="001A65DF" w:rsidRDefault="001A65DF" w:rsidP="001A65DF">
      <w:pPr>
        <w:spacing w:before="96" w:after="0" w:line="240" w:lineRule="auto"/>
        <w:ind w:left="426" w:hanging="425"/>
        <w:jc w:val="both"/>
        <w:rPr>
          <w:rFonts w:eastAsia="Times New Roman" w:cs="Arial"/>
          <w:sz w:val="20"/>
          <w:szCs w:val="20"/>
          <w:lang w:eastAsia="en-GB"/>
        </w:rPr>
      </w:pPr>
      <w:r w:rsidRPr="001A65DF">
        <w:rPr>
          <w:rFonts w:eastAsia="Times New Roman" w:cs="Arial"/>
          <w:sz w:val="20"/>
          <w:szCs w:val="20"/>
          <w:lang w:val="es-ES" w:eastAsia="en-GB"/>
        </w:rPr>
        <w:t xml:space="preserve">López-Angarita, J., Villate-Moreno, M., Díaz, J.M., Cubillos-M, J.C. and </w:t>
      </w:r>
      <w:proofErr w:type="spellStart"/>
      <w:r w:rsidRPr="001A65DF">
        <w:rPr>
          <w:rFonts w:eastAsia="Times New Roman" w:cs="Arial"/>
          <w:sz w:val="20"/>
          <w:szCs w:val="20"/>
          <w:lang w:val="es-ES" w:eastAsia="en-GB"/>
        </w:rPr>
        <w:t>Tilley</w:t>
      </w:r>
      <w:proofErr w:type="spellEnd"/>
      <w:r w:rsidRPr="001A65DF">
        <w:rPr>
          <w:rFonts w:eastAsia="Times New Roman" w:cs="Arial"/>
          <w:sz w:val="20"/>
          <w:szCs w:val="20"/>
          <w:lang w:val="es-ES" w:eastAsia="en-GB"/>
        </w:rPr>
        <w:t xml:space="preserve">, A., 2021. </w:t>
      </w:r>
      <w:r w:rsidRPr="001A65DF">
        <w:rPr>
          <w:rFonts w:eastAsia="Times New Roman" w:cs="Arial"/>
          <w:sz w:val="20"/>
          <w:szCs w:val="20"/>
          <w:lang w:eastAsia="en-GB"/>
        </w:rPr>
        <w:t>Identifying nearshore nursery habitats for sharks and rays in the Eastern Tropical Pacific from fishers’ knowledge and landings. </w:t>
      </w:r>
      <w:r w:rsidRPr="001A65DF">
        <w:rPr>
          <w:rFonts w:eastAsia="Times New Roman" w:cs="Arial"/>
          <w:i/>
          <w:iCs/>
          <w:sz w:val="20"/>
          <w:szCs w:val="20"/>
          <w:lang w:eastAsia="en-GB"/>
        </w:rPr>
        <w:t>Ocean &amp; Coastal Management</w:t>
      </w:r>
      <w:r w:rsidRPr="001A65DF">
        <w:rPr>
          <w:rFonts w:eastAsia="Times New Roman" w:cs="Arial"/>
          <w:sz w:val="20"/>
          <w:szCs w:val="20"/>
          <w:lang w:eastAsia="en-GB"/>
        </w:rPr>
        <w:t>, </w:t>
      </w:r>
      <w:r w:rsidRPr="001A65DF">
        <w:rPr>
          <w:rFonts w:eastAsia="Times New Roman" w:cs="Arial"/>
          <w:i/>
          <w:iCs/>
          <w:sz w:val="20"/>
          <w:szCs w:val="20"/>
          <w:lang w:eastAsia="en-GB"/>
        </w:rPr>
        <w:t>213</w:t>
      </w:r>
      <w:r w:rsidRPr="001A65DF">
        <w:rPr>
          <w:rFonts w:eastAsia="Times New Roman" w:cs="Arial"/>
          <w:sz w:val="20"/>
          <w:szCs w:val="20"/>
          <w:lang w:eastAsia="en-GB"/>
        </w:rPr>
        <w:t>, p.105825.</w:t>
      </w:r>
    </w:p>
    <w:p w14:paraId="554A8844" w14:textId="77777777" w:rsidR="001A65DF" w:rsidRPr="001A65DF" w:rsidRDefault="001A65DF" w:rsidP="001A65DF">
      <w:pPr>
        <w:spacing w:before="96" w:after="0" w:line="240" w:lineRule="auto"/>
        <w:ind w:left="426" w:hanging="425"/>
        <w:jc w:val="both"/>
        <w:rPr>
          <w:rFonts w:eastAsia="Times New Roman" w:cs="Arial"/>
          <w:sz w:val="20"/>
          <w:szCs w:val="20"/>
          <w:lang w:eastAsia="en-GB"/>
        </w:rPr>
      </w:pPr>
      <w:proofErr w:type="spellStart"/>
      <w:r w:rsidRPr="001A65DF">
        <w:rPr>
          <w:rFonts w:eastAsia="Times New Roman" w:cs="Arial"/>
          <w:sz w:val="20"/>
          <w:szCs w:val="20"/>
          <w:lang w:eastAsia="en-GB"/>
        </w:rPr>
        <w:t>Lynham</w:t>
      </w:r>
      <w:proofErr w:type="spellEnd"/>
      <w:r w:rsidRPr="001A65DF">
        <w:rPr>
          <w:rFonts w:eastAsia="Times New Roman" w:cs="Arial"/>
          <w:sz w:val="20"/>
          <w:szCs w:val="20"/>
          <w:lang w:eastAsia="en-GB"/>
        </w:rPr>
        <w:t>, J., C. Costello, S. Gaines, and E. Sala. (2015). Economic Valuation of Marine-and Shark-Based Tourism in the Galápagos Islands: Report to the Galápagos National Park. Ecuador.</w:t>
      </w:r>
    </w:p>
    <w:p w14:paraId="275A7FA8" w14:textId="77777777" w:rsidR="001A65DF" w:rsidRPr="001A65DF" w:rsidRDefault="001A65DF" w:rsidP="001A65DF">
      <w:pPr>
        <w:spacing w:before="96" w:after="0" w:line="240" w:lineRule="auto"/>
        <w:ind w:left="426" w:hanging="425"/>
        <w:jc w:val="both"/>
        <w:rPr>
          <w:rFonts w:eastAsia="Arial" w:cs="Arial"/>
          <w:strike/>
          <w:sz w:val="20"/>
          <w:szCs w:val="20"/>
          <w:lang w:val="es-ES" w:eastAsia="en-GB"/>
        </w:rPr>
      </w:pPr>
      <w:r w:rsidRPr="001A65DF">
        <w:rPr>
          <w:rFonts w:eastAsia="Times New Roman" w:cs="Arial"/>
          <w:sz w:val="20"/>
          <w:szCs w:val="20"/>
          <w:lang w:eastAsia="en-GB"/>
        </w:rPr>
        <w:t>Maguire, J.J., 2006. </w:t>
      </w:r>
      <w:r w:rsidRPr="001A65DF">
        <w:rPr>
          <w:rFonts w:eastAsia="Times New Roman" w:cs="Arial"/>
          <w:i/>
          <w:iCs/>
          <w:sz w:val="20"/>
          <w:szCs w:val="20"/>
          <w:lang w:eastAsia="en-GB"/>
        </w:rPr>
        <w:t>The state of world highly migratory, straddling and other high seas fishery resources and associated species</w:t>
      </w:r>
      <w:r w:rsidRPr="001A65DF">
        <w:rPr>
          <w:rFonts w:eastAsia="Times New Roman" w:cs="Arial"/>
          <w:sz w:val="20"/>
          <w:szCs w:val="20"/>
          <w:lang w:eastAsia="en-GB"/>
        </w:rPr>
        <w:t xml:space="preserve"> (Vol. 495). </w:t>
      </w:r>
      <w:proofErr w:type="spellStart"/>
      <w:r w:rsidRPr="001A65DF">
        <w:rPr>
          <w:rFonts w:eastAsia="Times New Roman" w:cs="Arial"/>
          <w:sz w:val="20"/>
          <w:szCs w:val="20"/>
          <w:lang w:val="es-ES" w:eastAsia="en-GB"/>
        </w:rPr>
        <w:t>Food</w:t>
      </w:r>
      <w:proofErr w:type="spellEnd"/>
      <w:r w:rsidRPr="001A65DF">
        <w:rPr>
          <w:rFonts w:eastAsia="Times New Roman" w:cs="Arial"/>
          <w:sz w:val="20"/>
          <w:szCs w:val="20"/>
          <w:lang w:val="es-ES" w:eastAsia="en-GB"/>
        </w:rPr>
        <w:t xml:space="preserve"> &amp; </w:t>
      </w:r>
      <w:proofErr w:type="spellStart"/>
      <w:r w:rsidRPr="001A65DF">
        <w:rPr>
          <w:rFonts w:eastAsia="Times New Roman" w:cs="Arial"/>
          <w:sz w:val="20"/>
          <w:szCs w:val="20"/>
          <w:lang w:val="es-ES" w:eastAsia="en-GB"/>
        </w:rPr>
        <w:t>Agriculture</w:t>
      </w:r>
      <w:proofErr w:type="spellEnd"/>
      <w:r w:rsidRPr="001A65DF">
        <w:rPr>
          <w:rFonts w:eastAsia="Times New Roman" w:cs="Arial"/>
          <w:sz w:val="20"/>
          <w:szCs w:val="20"/>
          <w:lang w:val="es-ES" w:eastAsia="en-GB"/>
        </w:rPr>
        <w:t xml:space="preserve"> </w:t>
      </w:r>
      <w:proofErr w:type="spellStart"/>
      <w:r w:rsidRPr="001A65DF">
        <w:rPr>
          <w:rFonts w:eastAsia="Times New Roman" w:cs="Arial"/>
          <w:sz w:val="20"/>
          <w:szCs w:val="20"/>
          <w:lang w:val="es-ES" w:eastAsia="en-GB"/>
        </w:rPr>
        <w:t>Org</w:t>
      </w:r>
      <w:proofErr w:type="spellEnd"/>
      <w:r w:rsidRPr="001A65DF">
        <w:rPr>
          <w:rFonts w:eastAsia="Times New Roman" w:cs="Arial"/>
          <w:sz w:val="20"/>
          <w:szCs w:val="20"/>
          <w:lang w:val="es-ES" w:eastAsia="en-GB"/>
        </w:rPr>
        <w:t>.</w:t>
      </w:r>
    </w:p>
    <w:p w14:paraId="55E01989" w14:textId="77777777" w:rsidR="001A65DF" w:rsidRPr="001A65DF" w:rsidRDefault="001A65DF" w:rsidP="001A65DF">
      <w:pPr>
        <w:spacing w:before="96" w:after="0" w:line="240" w:lineRule="auto"/>
        <w:ind w:left="426" w:hanging="425"/>
        <w:jc w:val="both"/>
        <w:rPr>
          <w:rFonts w:eastAsia="Times New Roman" w:cs="Arial"/>
          <w:sz w:val="20"/>
          <w:szCs w:val="20"/>
          <w:lang w:val="es-ES" w:eastAsia="en-GB"/>
        </w:rPr>
      </w:pPr>
      <w:r w:rsidRPr="001A65DF">
        <w:rPr>
          <w:rFonts w:eastAsia="Arial" w:cs="Arial"/>
          <w:sz w:val="20"/>
          <w:szCs w:val="20"/>
          <w:lang w:val="es-ES" w:eastAsia="en-GB"/>
        </w:rPr>
        <w:t>Martínez-</w:t>
      </w:r>
      <w:proofErr w:type="spellStart"/>
      <w:r w:rsidRPr="001A65DF">
        <w:rPr>
          <w:rFonts w:eastAsia="Arial" w:cs="Arial"/>
          <w:sz w:val="20"/>
          <w:szCs w:val="20"/>
          <w:lang w:val="es-ES" w:eastAsia="en-GB"/>
        </w:rPr>
        <w:t>Ortíz</w:t>
      </w:r>
      <w:proofErr w:type="spellEnd"/>
      <w:r w:rsidRPr="001A65DF">
        <w:rPr>
          <w:rFonts w:eastAsia="Arial" w:cs="Arial"/>
          <w:sz w:val="20"/>
          <w:szCs w:val="20"/>
          <w:lang w:val="es-ES" w:eastAsia="en-GB"/>
        </w:rPr>
        <w:t xml:space="preserve"> J, F Galván-Magaña, M Carrera-Fernández, D Mendoza-Intriago, C Estupiñán-Montaño &amp; L Cedeño-Figueroa. 2007. Abundancia estacional de Tiburones desembarcados en Manta - Ecuador / </w:t>
      </w:r>
      <w:proofErr w:type="spellStart"/>
      <w:r w:rsidRPr="001A65DF">
        <w:rPr>
          <w:rFonts w:eastAsia="Arial" w:cs="Arial"/>
          <w:sz w:val="20"/>
          <w:szCs w:val="20"/>
          <w:lang w:val="es-ES" w:eastAsia="en-GB"/>
        </w:rPr>
        <w:t>Seasonal</w:t>
      </w:r>
      <w:proofErr w:type="spellEnd"/>
      <w:r w:rsidRPr="001A65DF">
        <w:rPr>
          <w:rFonts w:eastAsia="Arial" w:cs="Arial"/>
          <w:sz w:val="20"/>
          <w:szCs w:val="20"/>
          <w:lang w:val="es-ES" w:eastAsia="en-GB"/>
        </w:rPr>
        <w:t xml:space="preserve"> </w:t>
      </w:r>
      <w:proofErr w:type="spellStart"/>
      <w:r w:rsidRPr="001A65DF">
        <w:rPr>
          <w:rFonts w:eastAsia="Arial" w:cs="Arial"/>
          <w:sz w:val="20"/>
          <w:szCs w:val="20"/>
          <w:lang w:val="es-ES" w:eastAsia="en-GB"/>
        </w:rPr>
        <w:t>abundance</w:t>
      </w:r>
      <w:proofErr w:type="spellEnd"/>
      <w:r w:rsidRPr="001A65DF">
        <w:rPr>
          <w:rFonts w:eastAsia="Arial" w:cs="Arial"/>
          <w:sz w:val="20"/>
          <w:szCs w:val="20"/>
          <w:lang w:val="es-ES" w:eastAsia="en-GB"/>
        </w:rPr>
        <w:t xml:space="preserve"> of </w:t>
      </w:r>
      <w:proofErr w:type="spellStart"/>
      <w:r w:rsidRPr="001A65DF">
        <w:rPr>
          <w:rFonts w:eastAsia="Arial" w:cs="Arial"/>
          <w:sz w:val="20"/>
          <w:szCs w:val="20"/>
          <w:lang w:val="es-ES" w:eastAsia="en-GB"/>
        </w:rPr>
        <w:t>Sharks</w:t>
      </w:r>
      <w:proofErr w:type="spellEnd"/>
      <w:r w:rsidRPr="001A65DF">
        <w:rPr>
          <w:rFonts w:eastAsia="Arial" w:cs="Arial"/>
          <w:sz w:val="20"/>
          <w:szCs w:val="20"/>
          <w:lang w:val="es-ES" w:eastAsia="en-GB"/>
        </w:rPr>
        <w:t xml:space="preserve"> </w:t>
      </w:r>
      <w:proofErr w:type="spellStart"/>
      <w:r w:rsidRPr="001A65DF">
        <w:rPr>
          <w:rFonts w:eastAsia="Arial" w:cs="Arial"/>
          <w:sz w:val="20"/>
          <w:szCs w:val="20"/>
          <w:lang w:val="es-ES" w:eastAsia="en-GB"/>
        </w:rPr>
        <w:t>landings</w:t>
      </w:r>
      <w:proofErr w:type="spellEnd"/>
      <w:r w:rsidRPr="001A65DF">
        <w:rPr>
          <w:rFonts w:eastAsia="Arial" w:cs="Arial"/>
          <w:sz w:val="20"/>
          <w:szCs w:val="20"/>
          <w:lang w:val="es-ES" w:eastAsia="en-GB"/>
        </w:rPr>
        <w:t xml:space="preserve"> in Manta - Ecuador. En: Martínez-</w:t>
      </w:r>
      <w:proofErr w:type="spellStart"/>
      <w:r w:rsidRPr="001A65DF">
        <w:rPr>
          <w:rFonts w:eastAsia="Arial" w:cs="Arial"/>
          <w:sz w:val="20"/>
          <w:szCs w:val="20"/>
          <w:lang w:val="es-ES" w:eastAsia="en-GB"/>
        </w:rPr>
        <w:t>Ortíz</w:t>
      </w:r>
      <w:proofErr w:type="spellEnd"/>
      <w:r w:rsidRPr="001A65DF">
        <w:rPr>
          <w:rFonts w:eastAsia="Arial" w:cs="Arial"/>
          <w:sz w:val="20"/>
          <w:szCs w:val="20"/>
          <w:lang w:val="es-ES" w:eastAsia="en-GB"/>
        </w:rPr>
        <w:t xml:space="preserve"> J. &amp; F. Galván-Magaña (</w:t>
      </w:r>
      <w:proofErr w:type="spellStart"/>
      <w:r w:rsidRPr="001A65DF">
        <w:rPr>
          <w:rFonts w:eastAsia="Arial" w:cs="Arial"/>
          <w:sz w:val="20"/>
          <w:szCs w:val="20"/>
          <w:lang w:val="es-ES" w:eastAsia="en-GB"/>
        </w:rPr>
        <w:t>eds</w:t>
      </w:r>
      <w:proofErr w:type="spellEnd"/>
      <w:r w:rsidRPr="001A65DF">
        <w:rPr>
          <w:rFonts w:eastAsia="Arial" w:cs="Arial"/>
          <w:sz w:val="20"/>
          <w:szCs w:val="20"/>
          <w:lang w:val="es-ES" w:eastAsia="en-GB"/>
        </w:rPr>
        <w:t xml:space="preserve">). Tiburones en el Ecuador: Casos de estudio / </w:t>
      </w:r>
      <w:proofErr w:type="spellStart"/>
      <w:r w:rsidRPr="001A65DF">
        <w:rPr>
          <w:rFonts w:eastAsia="Arial" w:cs="Arial"/>
          <w:sz w:val="20"/>
          <w:szCs w:val="20"/>
          <w:lang w:val="es-ES" w:eastAsia="en-GB"/>
        </w:rPr>
        <w:t>Sharks</w:t>
      </w:r>
      <w:proofErr w:type="spellEnd"/>
      <w:r w:rsidRPr="001A65DF">
        <w:rPr>
          <w:rFonts w:eastAsia="Arial" w:cs="Arial"/>
          <w:sz w:val="20"/>
          <w:szCs w:val="20"/>
          <w:lang w:val="es-ES" w:eastAsia="en-GB"/>
        </w:rPr>
        <w:t xml:space="preserve"> in Ecuador: Case </w:t>
      </w:r>
      <w:proofErr w:type="spellStart"/>
      <w:r w:rsidRPr="001A65DF">
        <w:rPr>
          <w:rFonts w:eastAsia="Arial" w:cs="Arial"/>
          <w:sz w:val="20"/>
          <w:szCs w:val="20"/>
          <w:lang w:val="es-ES" w:eastAsia="en-GB"/>
        </w:rPr>
        <w:t>studies</w:t>
      </w:r>
      <w:proofErr w:type="spellEnd"/>
      <w:r w:rsidRPr="001A65DF">
        <w:rPr>
          <w:rFonts w:eastAsia="Arial" w:cs="Arial"/>
          <w:sz w:val="20"/>
          <w:szCs w:val="20"/>
          <w:lang w:val="es-ES" w:eastAsia="en-GB"/>
        </w:rPr>
        <w:t>. EPESPO - PMRC. Manta - Ecuador. 9 - 27.</w:t>
      </w:r>
    </w:p>
    <w:p w14:paraId="11407DE1" w14:textId="77777777" w:rsidR="001A65DF" w:rsidRPr="001A65DF" w:rsidRDefault="001A65DF" w:rsidP="001A65DF">
      <w:pPr>
        <w:spacing w:before="96" w:after="0" w:line="240" w:lineRule="auto"/>
        <w:ind w:left="426" w:hanging="425"/>
        <w:jc w:val="both"/>
        <w:rPr>
          <w:rFonts w:eastAsia="Arial" w:cs="Arial"/>
          <w:sz w:val="20"/>
          <w:szCs w:val="20"/>
          <w:lang w:eastAsia="en-GB"/>
        </w:rPr>
      </w:pPr>
      <w:r w:rsidRPr="001A65DF">
        <w:rPr>
          <w:rFonts w:eastAsia="Arial" w:cs="Arial"/>
          <w:sz w:val="20"/>
          <w:szCs w:val="20"/>
          <w:lang w:val="es-ES" w:eastAsia="en-GB"/>
        </w:rPr>
        <w:t xml:space="preserve">Martínez-Ortiz, J., Aires-da-Silva, A.M., </w:t>
      </w:r>
      <w:proofErr w:type="spellStart"/>
      <w:r w:rsidRPr="001A65DF">
        <w:rPr>
          <w:rFonts w:eastAsia="Arial" w:cs="Arial"/>
          <w:sz w:val="20"/>
          <w:szCs w:val="20"/>
          <w:lang w:val="es-ES" w:eastAsia="en-GB"/>
        </w:rPr>
        <w:t>Lennert</w:t>
      </w:r>
      <w:proofErr w:type="spellEnd"/>
      <w:r w:rsidRPr="001A65DF">
        <w:rPr>
          <w:rFonts w:eastAsia="Arial" w:cs="Arial"/>
          <w:sz w:val="20"/>
          <w:szCs w:val="20"/>
          <w:lang w:val="es-ES" w:eastAsia="en-GB"/>
        </w:rPr>
        <w:t xml:space="preserve">-Cody, C.E. and </w:t>
      </w:r>
      <w:proofErr w:type="spellStart"/>
      <w:r w:rsidRPr="001A65DF">
        <w:rPr>
          <w:rFonts w:eastAsia="Arial" w:cs="Arial"/>
          <w:sz w:val="20"/>
          <w:szCs w:val="20"/>
          <w:lang w:val="es-ES" w:eastAsia="en-GB"/>
        </w:rPr>
        <w:t>Maunder</w:t>
      </w:r>
      <w:proofErr w:type="spellEnd"/>
      <w:r w:rsidRPr="001A65DF">
        <w:rPr>
          <w:rFonts w:eastAsia="Arial" w:cs="Arial"/>
          <w:sz w:val="20"/>
          <w:szCs w:val="20"/>
          <w:lang w:val="es-ES" w:eastAsia="en-GB"/>
        </w:rPr>
        <w:t xml:space="preserve">, M.N., 2015. </w:t>
      </w:r>
      <w:r w:rsidRPr="001A65DF">
        <w:rPr>
          <w:rFonts w:eastAsia="Arial" w:cs="Arial"/>
          <w:sz w:val="20"/>
          <w:szCs w:val="20"/>
          <w:lang w:eastAsia="en-GB"/>
        </w:rPr>
        <w:t xml:space="preserve">The Ecuadorian artisanal fishery for large </w:t>
      </w:r>
      <w:proofErr w:type="spellStart"/>
      <w:r w:rsidRPr="001A65DF">
        <w:rPr>
          <w:rFonts w:eastAsia="Arial" w:cs="Arial"/>
          <w:sz w:val="20"/>
          <w:szCs w:val="20"/>
          <w:lang w:eastAsia="en-GB"/>
        </w:rPr>
        <w:t>pelagics</w:t>
      </w:r>
      <w:proofErr w:type="spellEnd"/>
      <w:r w:rsidRPr="001A65DF">
        <w:rPr>
          <w:rFonts w:eastAsia="Arial" w:cs="Arial"/>
          <w:sz w:val="20"/>
          <w:szCs w:val="20"/>
          <w:lang w:eastAsia="en-GB"/>
        </w:rPr>
        <w:t xml:space="preserve">: species composition and </w:t>
      </w:r>
      <w:proofErr w:type="spellStart"/>
      <w:r w:rsidRPr="001A65DF">
        <w:rPr>
          <w:rFonts w:eastAsia="Arial" w:cs="Arial"/>
          <w:sz w:val="20"/>
          <w:szCs w:val="20"/>
          <w:lang w:eastAsia="en-GB"/>
        </w:rPr>
        <w:t>spatio</w:t>
      </w:r>
      <w:proofErr w:type="spellEnd"/>
      <w:r w:rsidRPr="001A65DF">
        <w:rPr>
          <w:rFonts w:eastAsia="Arial" w:cs="Arial"/>
          <w:sz w:val="20"/>
          <w:szCs w:val="20"/>
          <w:lang w:eastAsia="en-GB"/>
        </w:rPr>
        <w:t>-temporal dynamics. </w:t>
      </w:r>
      <w:proofErr w:type="spellStart"/>
      <w:r w:rsidRPr="001A65DF">
        <w:rPr>
          <w:rFonts w:eastAsia="Arial" w:cs="Arial"/>
          <w:i/>
          <w:iCs/>
          <w:sz w:val="20"/>
          <w:szCs w:val="20"/>
          <w:lang w:eastAsia="en-GB"/>
        </w:rPr>
        <w:t>PloS</w:t>
      </w:r>
      <w:proofErr w:type="spellEnd"/>
      <w:r w:rsidRPr="001A65DF">
        <w:rPr>
          <w:rFonts w:eastAsia="Arial" w:cs="Arial"/>
          <w:i/>
          <w:iCs/>
          <w:sz w:val="20"/>
          <w:szCs w:val="20"/>
          <w:lang w:eastAsia="en-GB"/>
        </w:rPr>
        <w:t xml:space="preserve"> one</w:t>
      </w:r>
      <w:r w:rsidRPr="001A65DF">
        <w:rPr>
          <w:rFonts w:eastAsia="Arial" w:cs="Arial"/>
          <w:sz w:val="20"/>
          <w:szCs w:val="20"/>
          <w:lang w:eastAsia="en-GB"/>
        </w:rPr>
        <w:t>, </w:t>
      </w:r>
      <w:r w:rsidRPr="001A65DF">
        <w:rPr>
          <w:rFonts w:eastAsia="Arial" w:cs="Arial"/>
          <w:i/>
          <w:iCs/>
          <w:sz w:val="20"/>
          <w:szCs w:val="20"/>
          <w:lang w:eastAsia="en-GB"/>
        </w:rPr>
        <w:t>10</w:t>
      </w:r>
      <w:r w:rsidRPr="001A65DF">
        <w:rPr>
          <w:rFonts w:eastAsia="Arial" w:cs="Arial"/>
          <w:sz w:val="20"/>
          <w:szCs w:val="20"/>
          <w:lang w:eastAsia="en-GB"/>
        </w:rPr>
        <w:t>(8), p.e0135136.</w:t>
      </w:r>
    </w:p>
    <w:p w14:paraId="7229E3CC" w14:textId="77777777" w:rsidR="001A65DF" w:rsidRPr="001A65DF" w:rsidRDefault="001A65DF" w:rsidP="001A65DF">
      <w:pPr>
        <w:spacing w:before="96" w:after="0" w:line="240" w:lineRule="auto"/>
        <w:ind w:left="426" w:hanging="425"/>
        <w:jc w:val="both"/>
        <w:rPr>
          <w:rFonts w:eastAsia="Arial" w:cs="Arial"/>
          <w:sz w:val="20"/>
          <w:szCs w:val="20"/>
          <w:lang w:eastAsia="en-GB"/>
        </w:rPr>
      </w:pPr>
      <w:r w:rsidRPr="001A65DF">
        <w:rPr>
          <w:rFonts w:eastAsia="Arial" w:cs="Arial"/>
          <w:sz w:val="20"/>
          <w:szCs w:val="20"/>
          <w:lang w:eastAsia="en-GB"/>
        </w:rPr>
        <w:t xml:space="preserve">Miller M.H., J. Carlson, P. Cooper, D. Kobayashi, M. </w:t>
      </w:r>
      <w:proofErr w:type="spellStart"/>
      <w:r w:rsidRPr="001A65DF">
        <w:rPr>
          <w:rFonts w:eastAsia="Arial" w:cs="Arial"/>
          <w:sz w:val="20"/>
          <w:szCs w:val="20"/>
          <w:lang w:eastAsia="en-GB"/>
        </w:rPr>
        <w:t>Namack</w:t>
      </w:r>
      <w:proofErr w:type="spellEnd"/>
      <w:r w:rsidRPr="001A65DF">
        <w:rPr>
          <w:rFonts w:eastAsia="Arial" w:cs="Arial"/>
          <w:sz w:val="20"/>
          <w:szCs w:val="20"/>
          <w:lang w:eastAsia="en-GB"/>
        </w:rPr>
        <w:t xml:space="preserve"> and J. Wilson. 2013. Status Review Report: Scalloped Hammerhead Shark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xml:space="preserve">). National Marine Fisheries Service, National Oceanic and Atmospheric </w:t>
      </w:r>
      <w:proofErr w:type="spellStart"/>
      <w:r w:rsidRPr="001A65DF">
        <w:rPr>
          <w:rFonts w:eastAsia="Arial" w:cs="Arial"/>
          <w:sz w:val="20"/>
          <w:szCs w:val="20"/>
          <w:lang w:eastAsia="en-GB"/>
        </w:rPr>
        <w:t>Admnistration</w:t>
      </w:r>
      <w:proofErr w:type="spellEnd"/>
      <w:r w:rsidRPr="001A65DF">
        <w:rPr>
          <w:rFonts w:eastAsia="Arial" w:cs="Arial"/>
          <w:sz w:val="20"/>
          <w:szCs w:val="20"/>
          <w:lang w:eastAsia="en-GB"/>
        </w:rPr>
        <w:t>, 125p</w:t>
      </w:r>
    </w:p>
    <w:p w14:paraId="4C14F8C1" w14:textId="77777777" w:rsidR="001A65DF" w:rsidRPr="001A65DF" w:rsidRDefault="001A65DF" w:rsidP="001A65DF">
      <w:pPr>
        <w:spacing w:before="96" w:after="0" w:line="240" w:lineRule="auto"/>
        <w:ind w:left="426" w:hanging="425"/>
        <w:jc w:val="both"/>
        <w:rPr>
          <w:rFonts w:eastAsia="Arial" w:cs="Arial"/>
          <w:sz w:val="20"/>
          <w:szCs w:val="20"/>
          <w:lang w:eastAsia="en-GB"/>
        </w:rPr>
      </w:pPr>
      <w:r w:rsidRPr="001A65DF">
        <w:rPr>
          <w:rFonts w:eastAsia="Arial" w:cs="Arial"/>
          <w:sz w:val="20"/>
          <w:szCs w:val="20"/>
          <w:lang w:val="fr-FR" w:eastAsia="en-GB"/>
        </w:rPr>
        <w:t xml:space="preserve">Moreno, M. L., Jiménez, K., &amp; </w:t>
      </w:r>
      <w:proofErr w:type="spellStart"/>
      <w:r w:rsidRPr="001A65DF">
        <w:rPr>
          <w:rFonts w:eastAsia="Arial" w:cs="Arial"/>
          <w:sz w:val="20"/>
          <w:szCs w:val="20"/>
          <w:lang w:val="fr-FR" w:eastAsia="en-GB"/>
        </w:rPr>
        <w:t>Villalobos</w:t>
      </w:r>
      <w:proofErr w:type="spellEnd"/>
      <w:r w:rsidRPr="001A65DF">
        <w:rPr>
          <w:rFonts w:eastAsia="Arial" w:cs="Arial"/>
          <w:sz w:val="20"/>
          <w:szCs w:val="20"/>
          <w:lang w:val="fr-FR" w:eastAsia="en-GB"/>
        </w:rPr>
        <w:t xml:space="preserve">, C. (2021). </w:t>
      </w:r>
      <w:r w:rsidRPr="001A65DF">
        <w:rPr>
          <w:rFonts w:eastAsia="Arial" w:cs="Arial"/>
          <w:sz w:val="20"/>
          <w:szCs w:val="20"/>
          <w:lang w:eastAsia="en-GB"/>
        </w:rPr>
        <w:t>Approximation of the Benefits of Socioeconomic Activities in Cocos Island National Park and the Effects of Climate Change. RIAT, 17(1), 14–26.</w:t>
      </w:r>
    </w:p>
    <w:p w14:paraId="5B97D077" w14:textId="77777777" w:rsidR="001A65DF" w:rsidRPr="001A65DF" w:rsidRDefault="001A65DF" w:rsidP="001A65DF">
      <w:pPr>
        <w:spacing w:before="96" w:after="0" w:line="240" w:lineRule="auto"/>
        <w:ind w:left="426" w:hanging="425"/>
        <w:jc w:val="both"/>
        <w:rPr>
          <w:rFonts w:eastAsia="Arial" w:cs="Arial"/>
          <w:sz w:val="20"/>
          <w:szCs w:val="20"/>
          <w:lang w:eastAsia="en-GB"/>
        </w:rPr>
      </w:pPr>
      <w:r w:rsidRPr="001A65DF">
        <w:rPr>
          <w:rFonts w:eastAsia="Arial" w:cs="Arial"/>
          <w:sz w:val="20"/>
          <w:szCs w:val="20"/>
          <w:lang w:eastAsia="en-GB"/>
        </w:rPr>
        <w:t>Morgan A. and G.H. Burgess. 2007.  At-vessel fishing mortality for six species of sharks caught in the northwest Atlantic and Gulf of Mexico.  Gulf and Caribbean Research 19(2):1-7.</w:t>
      </w:r>
    </w:p>
    <w:p w14:paraId="6A254297" w14:textId="77777777" w:rsidR="001A65DF" w:rsidRPr="001A65DF" w:rsidRDefault="001A65DF" w:rsidP="001A65DF">
      <w:pPr>
        <w:spacing w:before="96" w:after="0" w:line="240" w:lineRule="auto"/>
        <w:ind w:left="426" w:hanging="425"/>
        <w:jc w:val="both"/>
        <w:rPr>
          <w:rFonts w:eastAsia="Arial" w:cs="Arial"/>
          <w:sz w:val="20"/>
          <w:szCs w:val="20"/>
          <w:lang w:eastAsia="en-GB"/>
        </w:rPr>
      </w:pPr>
      <w:r w:rsidRPr="001A65DF">
        <w:rPr>
          <w:rFonts w:eastAsia="Arial" w:cs="Arial"/>
          <w:sz w:val="20"/>
          <w:szCs w:val="20"/>
          <w:lang w:eastAsia="en-GB"/>
        </w:rPr>
        <w:t>Musick, J.A., Burgess, G., Cailliet, G., Camhi, M. and Fordham, S., 2000. Management of sharks and their relatives (</w:t>
      </w:r>
      <w:proofErr w:type="spellStart"/>
      <w:r w:rsidRPr="001A65DF">
        <w:rPr>
          <w:rFonts w:eastAsia="Arial" w:cs="Arial"/>
          <w:sz w:val="20"/>
          <w:szCs w:val="20"/>
          <w:lang w:eastAsia="en-GB"/>
        </w:rPr>
        <w:t>Elasmobranchii</w:t>
      </w:r>
      <w:proofErr w:type="spellEnd"/>
      <w:r w:rsidRPr="001A65DF">
        <w:rPr>
          <w:rFonts w:eastAsia="Arial" w:cs="Arial"/>
          <w:sz w:val="20"/>
          <w:szCs w:val="20"/>
          <w:lang w:eastAsia="en-GB"/>
        </w:rPr>
        <w:t>). </w:t>
      </w:r>
      <w:r w:rsidRPr="001A65DF">
        <w:rPr>
          <w:rFonts w:eastAsia="Arial" w:cs="Arial"/>
          <w:i/>
          <w:iCs/>
          <w:sz w:val="20"/>
          <w:szCs w:val="20"/>
          <w:lang w:eastAsia="en-GB"/>
        </w:rPr>
        <w:t>Fisheries</w:t>
      </w:r>
      <w:r w:rsidRPr="001A65DF">
        <w:rPr>
          <w:rFonts w:eastAsia="Arial" w:cs="Arial"/>
          <w:sz w:val="20"/>
          <w:szCs w:val="20"/>
          <w:lang w:eastAsia="en-GB"/>
        </w:rPr>
        <w:t>, </w:t>
      </w:r>
      <w:r w:rsidRPr="001A65DF">
        <w:rPr>
          <w:rFonts w:eastAsia="Arial" w:cs="Arial"/>
          <w:i/>
          <w:iCs/>
          <w:sz w:val="20"/>
          <w:szCs w:val="20"/>
          <w:lang w:eastAsia="en-GB"/>
        </w:rPr>
        <w:t>25</w:t>
      </w:r>
      <w:r w:rsidRPr="001A65DF">
        <w:rPr>
          <w:rFonts w:eastAsia="Arial" w:cs="Arial"/>
          <w:sz w:val="20"/>
          <w:szCs w:val="20"/>
          <w:lang w:eastAsia="en-GB"/>
        </w:rPr>
        <w:t>(3), pp.9-13.</w:t>
      </w:r>
    </w:p>
    <w:p w14:paraId="32788122"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Myers, R.A., J.K. Baum, T.D. Shepherd, S.P. Powers, and C.H. Peterson. 2007. Cascading effects of the loss of apex predatory sharks from a coastal ocean. Science, 30 March 007, 315: 1846-1850.</w:t>
      </w:r>
    </w:p>
    <w:p w14:paraId="53FECCDE" w14:textId="77777777" w:rsidR="001A65DF" w:rsidRPr="001A65DF" w:rsidRDefault="001A65DF" w:rsidP="001A65DF">
      <w:pPr>
        <w:spacing w:before="96" w:after="0" w:line="240" w:lineRule="auto"/>
        <w:ind w:left="425" w:hanging="425"/>
        <w:jc w:val="both"/>
        <w:rPr>
          <w:rFonts w:eastAsia="Arial" w:cs="Arial"/>
          <w:sz w:val="20"/>
          <w:szCs w:val="20"/>
          <w:lang w:eastAsia="en-GB"/>
        </w:rPr>
      </w:pPr>
      <w:proofErr w:type="spellStart"/>
      <w:r w:rsidRPr="001A65DF">
        <w:rPr>
          <w:rFonts w:eastAsia="Arial" w:cs="Arial"/>
          <w:sz w:val="20"/>
          <w:szCs w:val="20"/>
          <w:lang w:eastAsia="en-GB"/>
        </w:rPr>
        <w:t>Nalesso</w:t>
      </w:r>
      <w:proofErr w:type="spellEnd"/>
      <w:r w:rsidRPr="001A65DF">
        <w:rPr>
          <w:rFonts w:eastAsia="Arial" w:cs="Arial"/>
          <w:sz w:val="20"/>
          <w:szCs w:val="20"/>
          <w:lang w:eastAsia="en-GB"/>
        </w:rPr>
        <w:t xml:space="preserve">, E., Hearn, A., Sosa-Nishizaki, O., Steiner, T., Antoniou, A., Reid, A., </w:t>
      </w:r>
      <w:proofErr w:type="spellStart"/>
      <w:r w:rsidRPr="001A65DF">
        <w:rPr>
          <w:rFonts w:eastAsia="Arial" w:cs="Arial"/>
          <w:sz w:val="20"/>
          <w:szCs w:val="20"/>
          <w:lang w:eastAsia="en-GB"/>
        </w:rPr>
        <w:t>Bessudo</w:t>
      </w:r>
      <w:proofErr w:type="spellEnd"/>
      <w:r w:rsidRPr="001A65DF">
        <w:rPr>
          <w:rFonts w:eastAsia="Arial" w:cs="Arial"/>
          <w:sz w:val="20"/>
          <w:szCs w:val="20"/>
          <w:lang w:eastAsia="en-GB"/>
        </w:rPr>
        <w:t xml:space="preserve">, S., Soler, G., Klimley, A.P., Lara, F. and Ketchum, J.T., 2019. Movements of scalloped hammerhead sharks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at Cocos Island, Costa Rica and between oceanic islands in the Eastern Tropical Pacific. </w:t>
      </w:r>
      <w:proofErr w:type="spellStart"/>
      <w:r w:rsidRPr="001A65DF">
        <w:rPr>
          <w:rFonts w:eastAsia="Arial" w:cs="Arial"/>
          <w:i/>
          <w:iCs/>
          <w:sz w:val="20"/>
          <w:szCs w:val="20"/>
          <w:lang w:eastAsia="en-GB"/>
        </w:rPr>
        <w:t>PloS</w:t>
      </w:r>
      <w:proofErr w:type="spellEnd"/>
      <w:r w:rsidRPr="001A65DF">
        <w:rPr>
          <w:rFonts w:eastAsia="Arial" w:cs="Arial"/>
          <w:i/>
          <w:iCs/>
          <w:sz w:val="20"/>
          <w:szCs w:val="20"/>
          <w:lang w:eastAsia="en-GB"/>
        </w:rPr>
        <w:t xml:space="preserve"> one</w:t>
      </w:r>
      <w:r w:rsidRPr="001A65DF">
        <w:rPr>
          <w:rFonts w:eastAsia="Arial" w:cs="Arial"/>
          <w:sz w:val="20"/>
          <w:szCs w:val="20"/>
          <w:lang w:eastAsia="en-GB"/>
        </w:rPr>
        <w:t>, </w:t>
      </w:r>
      <w:r w:rsidRPr="001A65DF">
        <w:rPr>
          <w:rFonts w:eastAsia="Arial" w:cs="Arial"/>
          <w:i/>
          <w:iCs/>
          <w:sz w:val="20"/>
          <w:szCs w:val="20"/>
          <w:lang w:eastAsia="en-GB"/>
        </w:rPr>
        <w:t>14</w:t>
      </w:r>
      <w:r w:rsidRPr="001A65DF">
        <w:rPr>
          <w:rFonts w:eastAsia="Arial" w:cs="Arial"/>
          <w:sz w:val="20"/>
          <w:szCs w:val="20"/>
          <w:lang w:eastAsia="en-GB"/>
        </w:rPr>
        <w:t>(3), p.e0213741.</w:t>
      </w:r>
    </w:p>
    <w:p w14:paraId="7106407B"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Navia, A.F., Cortés, E. and Mejía-Falla, P.A., 2010. Topological analysis of the ecological importance of elasmobranch fishes: a food web study on the Gulf of Tortugas, Colombia. </w:t>
      </w:r>
      <w:r w:rsidRPr="001A65DF">
        <w:rPr>
          <w:rFonts w:eastAsia="Arial" w:cs="Arial"/>
          <w:i/>
          <w:iCs/>
          <w:sz w:val="20"/>
          <w:szCs w:val="20"/>
          <w:lang w:eastAsia="en-GB"/>
        </w:rPr>
        <w:t>Ecological modelling</w:t>
      </w:r>
      <w:r w:rsidRPr="001A65DF">
        <w:rPr>
          <w:rFonts w:eastAsia="Arial" w:cs="Arial"/>
          <w:sz w:val="20"/>
          <w:szCs w:val="20"/>
          <w:lang w:eastAsia="en-GB"/>
        </w:rPr>
        <w:t>, </w:t>
      </w:r>
      <w:r w:rsidRPr="001A65DF">
        <w:rPr>
          <w:rFonts w:eastAsia="Arial" w:cs="Arial"/>
          <w:i/>
          <w:iCs/>
          <w:sz w:val="20"/>
          <w:szCs w:val="20"/>
          <w:lang w:eastAsia="en-GB"/>
        </w:rPr>
        <w:t>221</w:t>
      </w:r>
      <w:r w:rsidRPr="001A65DF">
        <w:rPr>
          <w:rFonts w:eastAsia="Arial" w:cs="Arial"/>
          <w:sz w:val="20"/>
          <w:szCs w:val="20"/>
          <w:lang w:eastAsia="en-GB"/>
        </w:rPr>
        <w:t>(24), pp.2918-2926.</w:t>
      </w:r>
    </w:p>
    <w:p w14:paraId="17E494BD" w14:textId="77777777" w:rsidR="001A65DF" w:rsidRPr="001A65DF" w:rsidRDefault="001A65DF" w:rsidP="001A65DF">
      <w:pPr>
        <w:spacing w:before="96" w:after="0" w:line="240" w:lineRule="auto"/>
        <w:ind w:left="425" w:hanging="425"/>
        <w:jc w:val="both"/>
        <w:rPr>
          <w:rFonts w:eastAsia="Arial" w:cs="Arial"/>
          <w:sz w:val="20"/>
          <w:szCs w:val="20"/>
          <w:lang w:eastAsia="en-GB"/>
        </w:rPr>
      </w:pPr>
      <w:proofErr w:type="spellStart"/>
      <w:r w:rsidRPr="001A65DF">
        <w:rPr>
          <w:rFonts w:eastAsia="Arial" w:cs="Arial"/>
          <w:sz w:val="20"/>
          <w:szCs w:val="20"/>
          <w:lang w:eastAsia="en-GB"/>
        </w:rPr>
        <w:t>Pacoureau</w:t>
      </w:r>
      <w:proofErr w:type="spellEnd"/>
      <w:r w:rsidRPr="001A65DF">
        <w:rPr>
          <w:rFonts w:eastAsia="Arial" w:cs="Arial"/>
          <w:sz w:val="20"/>
          <w:szCs w:val="20"/>
          <w:lang w:eastAsia="en-GB"/>
        </w:rPr>
        <w:t>, N., Rigby, C.L., Kyne, P.M., Sherley, R.B., Winker, H., Carlson, J.K., Fordham, S.V., Barreto, R., Fernando, D., Francis, M.P. and Jabado, R.W., 2021. Half a century of global decline in oceanic sharks and rays. </w:t>
      </w:r>
      <w:r w:rsidRPr="001A65DF">
        <w:rPr>
          <w:rFonts w:eastAsia="Arial" w:cs="Arial"/>
          <w:i/>
          <w:iCs/>
          <w:sz w:val="20"/>
          <w:szCs w:val="20"/>
          <w:lang w:eastAsia="en-GB"/>
        </w:rPr>
        <w:t>Nature</w:t>
      </w:r>
      <w:r w:rsidRPr="001A65DF">
        <w:rPr>
          <w:rFonts w:eastAsia="Arial" w:cs="Arial"/>
          <w:sz w:val="20"/>
          <w:szCs w:val="20"/>
          <w:lang w:eastAsia="en-GB"/>
        </w:rPr>
        <w:t>, </w:t>
      </w:r>
      <w:r w:rsidRPr="001A65DF">
        <w:rPr>
          <w:rFonts w:eastAsia="Arial" w:cs="Arial"/>
          <w:i/>
          <w:iCs/>
          <w:sz w:val="20"/>
          <w:szCs w:val="20"/>
          <w:lang w:eastAsia="en-GB"/>
        </w:rPr>
        <w:t>589</w:t>
      </w:r>
      <w:r w:rsidRPr="001A65DF">
        <w:rPr>
          <w:rFonts w:eastAsia="Arial" w:cs="Arial"/>
          <w:sz w:val="20"/>
          <w:szCs w:val="20"/>
          <w:lang w:eastAsia="en-GB"/>
        </w:rPr>
        <w:t>(7843), pp.567-571.</w:t>
      </w:r>
    </w:p>
    <w:p w14:paraId="372AD96C" w14:textId="77777777" w:rsidR="001A65DF" w:rsidRPr="001A65DF" w:rsidRDefault="001A65DF" w:rsidP="001A65DF">
      <w:pPr>
        <w:spacing w:before="96" w:after="0" w:line="240" w:lineRule="auto"/>
        <w:ind w:left="425" w:hanging="425"/>
        <w:jc w:val="both"/>
        <w:rPr>
          <w:rFonts w:eastAsia="Arial" w:cs="Arial"/>
          <w:sz w:val="20"/>
          <w:szCs w:val="20"/>
          <w:lang w:eastAsia="en-GB"/>
        </w:rPr>
      </w:pPr>
      <w:proofErr w:type="spellStart"/>
      <w:r w:rsidRPr="001A65DF">
        <w:rPr>
          <w:rFonts w:eastAsia="Arial" w:cs="Arial"/>
          <w:sz w:val="20"/>
          <w:szCs w:val="20"/>
          <w:lang w:eastAsia="en-GB"/>
        </w:rPr>
        <w:t>Peñaherrera</w:t>
      </w:r>
      <w:proofErr w:type="spellEnd"/>
      <w:r w:rsidRPr="001A65DF">
        <w:rPr>
          <w:rFonts w:eastAsia="Arial" w:cs="Arial"/>
          <w:sz w:val="20"/>
          <w:szCs w:val="20"/>
          <w:lang w:eastAsia="en-GB"/>
        </w:rPr>
        <w:t>, C., Llerena, Y., &amp; Keith, I. (2012). Perceptions on the Economic Value of Sharks for the Daily Diving Tourism Industry and the Souvenir Commerce in Santa Cruz Island. Report, The Galapagos Island, Ecuador.</w:t>
      </w:r>
    </w:p>
    <w:p w14:paraId="01E3D802" w14:textId="77777777" w:rsidR="001A65DF" w:rsidRPr="001A65DF" w:rsidRDefault="001A65DF" w:rsidP="001A65DF">
      <w:pPr>
        <w:spacing w:before="96" w:after="0" w:line="240" w:lineRule="auto"/>
        <w:ind w:left="425" w:hanging="425"/>
        <w:jc w:val="both"/>
        <w:rPr>
          <w:rFonts w:eastAsia="Arial" w:cs="Arial"/>
          <w:sz w:val="20"/>
          <w:szCs w:val="20"/>
          <w:lang w:eastAsia="en-GB"/>
        </w:rPr>
      </w:pPr>
      <w:proofErr w:type="spellStart"/>
      <w:r w:rsidRPr="001A65DF">
        <w:rPr>
          <w:rFonts w:eastAsia="Arial" w:cs="Arial"/>
          <w:sz w:val="20"/>
          <w:szCs w:val="20"/>
          <w:lang w:eastAsia="en-GB"/>
        </w:rPr>
        <w:t>Peñaherrera</w:t>
      </w:r>
      <w:proofErr w:type="spellEnd"/>
      <w:r w:rsidRPr="001A65DF">
        <w:rPr>
          <w:rFonts w:eastAsia="Arial" w:cs="Arial"/>
          <w:sz w:val="20"/>
          <w:szCs w:val="20"/>
          <w:lang w:eastAsia="en-GB"/>
        </w:rPr>
        <w:t xml:space="preserve">-Palma, C., van Putten, I., </w:t>
      </w:r>
      <w:proofErr w:type="spellStart"/>
      <w:r w:rsidRPr="001A65DF">
        <w:rPr>
          <w:rFonts w:eastAsia="Arial" w:cs="Arial"/>
          <w:sz w:val="20"/>
          <w:szCs w:val="20"/>
          <w:lang w:eastAsia="en-GB"/>
        </w:rPr>
        <w:t>Karpievitch</w:t>
      </w:r>
      <w:proofErr w:type="spellEnd"/>
      <w:r w:rsidRPr="001A65DF">
        <w:rPr>
          <w:rFonts w:eastAsia="Arial" w:cs="Arial"/>
          <w:sz w:val="20"/>
          <w:szCs w:val="20"/>
          <w:lang w:eastAsia="en-GB"/>
        </w:rPr>
        <w:t>, Y.V., Frusher, S., Llerena-Martillo, Y., Hearn, A.R. and Semmens, J.M., 2018. Evaluating abundance trends of iconic species using local ecological knowledge. Biological Conservation, 225, pp.197-207.</w:t>
      </w:r>
    </w:p>
    <w:p w14:paraId="1CE27B0D"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Piercy, A.N., Carlson, J.K., Sulikowski, J.A. and Burgess, G. 2007. Age and growth of the scalloped hammerhead shark,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in the north-west Atlantic Ocean and Gulf of Mexico. Marine and Freshwater Research 58: 34-40.</w:t>
      </w:r>
    </w:p>
    <w:p w14:paraId="37976FA7"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i/>
          <w:sz w:val="20"/>
          <w:szCs w:val="20"/>
          <w:lang w:eastAsia="en-GB"/>
        </w:rPr>
        <w:t>Policy Brief on</w:t>
      </w:r>
      <w:r w:rsidRPr="001A65DF">
        <w:rPr>
          <w:rFonts w:eastAsia="Arial" w:cs="Arial"/>
          <w:sz w:val="20"/>
          <w:szCs w:val="20"/>
          <w:lang w:eastAsia="en-GB"/>
        </w:rPr>
        <w:t xml:space="preserve"> </w:t>
      </w:r>
      <w:r w:rsidRPr="001A65DF">
        <w:rPr>
          <w:rFonts w:eastAsia="Arial" w:cs="Arial"/>
          <w:i/>
          <w:sz w:val="20"/>
          <w:szCs w:val="20"/>
          <w:lang w:eastAsia="en-GB"/>
        </w:rPr>
        <w:t>the 11th Meeting of the Conference of the Parties to the Convention on the Conservation of Migratory Species of Wild Animals Quito, Ecuador, 4–9</w:t>
      </w:r>
      <w:r w:rsidRPr="001A65DF">
        <w:rPr>
          <w:rFonts w:eastAsia="Arial" w:cs="Arial"/>
          <w:sz w:val="20"/>
          <w:szCs w:val="20"/>
          <w:lang w:eastAsia="en-GB"/>
        </w:rPr>
        <w:t xml:space="preserve"> November 2014 (Pew Charitable Trusts, 2014)</w:t>
      </w:r>
    </w:p>
    <w:p w14:paraId="47A3208D"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val="es-ES" w:eastAsia="en-GB"/>
        </w:rPr>
        <w:t xml:space="preserve">Quintanilla, S., Gómez, A., Mariño-Ramírez, C., </w:t>
      </w:r>
      <w:proofErr w:type="spellStart"/>
      <w:r w:rsidRPr="001A65DF">
        <w:rPr>
          <w:rFonts w:eastAsia="Arial" w:cs="Arial"/>
          <w:sz w:val="20"/>
          <w:szCs w:val="20"/>
          <w:lang w:val="es-ES" w:eastAsia="en-GB"/>
        </w:rPr>
        <w:t>Sorzano</w:t>
      </w:r>
      <w:proofErr w:type="spellEnd"/>
      <w:r w:rsidRPr="001A65DF">
        <w:rPr>
          <w:rFonts w:eastAsia="Arial" w:cs="Arial"/>
          <w:sz w:val="20"/>
          <w:szCs w:val="20"/>
          <w:lang w:val="es-ES" w:eastAsia="en-GB"/>
        </w:rPr>
        <w:t xml:space="preserve">, C., Bessudo, S., Soler, G., Bernal, J.E. and Caballero, S., 2015. </w:t>
      </w:r>
      <w:r w:rsidRPr="001A65DF">
        <w:rPr>
          <w:rFonts w:eastAsia="Arial" w:cs="Arial"/>
          <w:sz w:val="20"/>
          <w:szCs w:val="20"/>
          <w:lang w:eastAsia="en-GB"/>
        </w:rPr>
        <w:t>Conservation genetics of the scalloped hammerhead shark in the Pacific coast of Colombia. Journal of Heredity, 106(S1), pp.448-458.</w:t>
      </w:r>
    </w:p>
    <w:p w14:paraId="5824949E"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Times New Roman" w:cs="Arial"/>
          <w:sz w:val="20"/>
          <w:szCs w:val="20"/>
          <w:lang w:eastAsia="en-GB"/>
        </w:rPr>
        <w:t xml:space="preserve">Rangel-Morales, J.M., Rosales-López, L.P., Díaz-Jaimes, P., Amezcua-Martínez, F., Ketchum, J.T., Hoyos-Padilla, M. and </w:t>
      </w:r>
      <w:proofErr w:type="spellStart"/>
      <w:r w:rsidRPr="001A65DF">
        <w:rPr>
          <w:rFonts w:eastAsia="Times New Roman" w:cs="Arial"/>
          <w:sz w:val="20"/>
          <w:szCs w:val="20"/>
          <w:lang w:eastAsia="en-GB"/>
        </w:rPr>
        <w:t>Corgos</w:t>
      </w:r>
      <w:proofErr w:type="spellEnd"/>
      <w:r w:rsidRPr="001A65DF">
        <w:rPr>
          <w:rFonts w:eastAsia="Times New Roman" w:cs="Arial"/>
          <w:sz w:val="20"/>
          <w:szCs w:val="20"/>
          <w:lang w:eastAsia="en-GB"/>
        </w:rPr>
        <w:t xml:space="preserve">, A., 2022. Regional philopatry of scalloped hammerhead sharks (Sphyrna </w:t>
      </w:r>
      <w:proofErr w:type="spellStart"/>
      <w:r w:rsidRPr="001A65DF">
        <w:rPr>
          <w:rFonts w:eastAsia="Times New Roman" w:cs="Arial"/>
          <w:sz w:val="20"/>
          <w:szCs w:val="20"/>
          <w:lang w:eastAsia="en-GB"/>
        </w:rPr>
        <w:t>lewini</w:t>
      </w:r>
      <w:proofErr w:type="spellEnd"/>
      <w:r w:rsidRPr="001A65DF">
        <w:rPr>
          <w:rFonts w:eastAsia="Times New Roman" w:cs="Arial"/>
          <w:sz w:val="20"/>
          <w:szCs w:val="20"/>
          <w:lang w:eastAsia="en-GB"/>
        </w:rPr>
        <w:t xml:space="preserve">) to nursery areas in the Mexican Pacific. </w:t>
      </w:r>
      <w:proofErr w:type="spellStart"/>
      <w:r w:rsidRPr="001A65DF">
        <w:rPr>
          <w:rFonts w:eastAsia="Times New Roman" w:cs="Arial"/>
          <w:sz w:val="20"/>
          <w:szCs w:val="20"/>
          <w:lang w:eastAsia="en-GB"/>
        </w:rPr>
        <w:t>Hydrobiologia</w:t>
      </w:r>
      <w:proofErr w:type="spellEnd"/>
      <w:r w:rsidRPr="001A65DF">
        <w:rPr>
          <w:rFonts w:eastAsia="Times New Roman" w:cs="Arial"/>
          <w:sz w:val="20"/>
          <w:szCs w:val="20"/>
          <w:lang w:eastAsia="en-GB"/>
        </w:rPr>
        <w:t>, 849(14), pp.3083-3099.</w:t>
      </w:r>
    </w:p>
    <w:p w14:paraId="0E66519C"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Rigby, C.L., </w:t>
      </w:r>
      <w:proofErr w:type="spellStart"/>
      <w:r w:rsidRPr="001A65DF">
        <w:rPr>
          <w:rFonts w:eastAsia="Arial" w:cs="Arial"/>
          <w:sz w:val="20"/>
          <w:szCs w:val="20"/>
          <w:lang w:eastAsia="en-GB"/>
        </w:rPr>
        <w:t>Dulvy</w:t>
      </w:r>
      <w:proofErr w:type="spellEnd"/>
      <w:r w:rsidRPr="001A65DF">
        <w:rPr>
          <w:rFonts w:eastAsia="Arial" w:cs="Arial"/>
          <w:sz w:val="20"/>
          <w:szCs w:val="20"/>
          <w:lang w:eastAsia="en-GB"/>
        </w:rPr>
        <w:t xml:space="preserve">, N.K., Barreto, R., Carlson, J., Fernando, D., Fordham, S., Francis, M.P., Herman, K., Jabado, R.W., Liu, K.M., Marshall, A., </w:t>
      </w:r>
      <w:proofErr w:type="spellStart"/>
      <w:r w:rsidRPr="001A65DF">
        <w:rPr>
          <w:rFonts w:eastAsia="Arial" w:cs="Arial"/>
          <w:sz w:val="20"/>
          <w:szCs w:val="20"/>
          <w:lang w:eastAsia="en-GB"/>
        </w:rPr>
        <w:t>Pacoureau</w:t>
      </w:r>
      <w:proofErr w:type="spellEnd"/>
      <w:r w:rsidRPr="001A65DF">
        <w:rPr>
          <w:rFonts w:eastAsia="Arial" w:cs="Arial"/>
          <w:sz w:val="20"/>
          <w:szCs w:val="20"/>
          <w:lang w:eastAsia="en-GB"/>
        </w:rPr>
        <w:t>, N., Romanov, E., Sherley, R.B. &amp; Winker, H. 2019. </w:t>
      </w:r>
      <w:r w:rsidRPr="001A65DF">
        <w:rPr>
          <w:rFonts w:eastAsia="Arial" w:cs="Arial"/>
          <w:i/>
          <w:sz w:val="20"/>
          <w:szCs w:val="20"/>
          <w:lang w:eastAsia="en-GB"/>
        </w:rPr>
        <w:t xml:space="preserve">Sphyrna </w:t>
      </w:r>
      <w:proofErr w:type="spellStart"/>
      <w:r w:rsidRPr="001A65DF">
        <w:rPr>
          <w:rFonts w:eastAsia="Arial" w:cs="Arial"/>
          <w:i/>
          <w:sz w:val="20"/>
          <w:szCs w:val="20"/>
          <w:lang w:eastAsia="en-GB"/>
        </w:rPr>
        <w:t>lewini</w:t>
      </w:r>
      <w:proofErr w:type="spellEnd"/>
      <w:r w:rsidRPr="001A65DF">
        <w:rPr>
          <w:rFonts w:eastAsia="Arial" w:cs="Arial"/>
          <w:sz w:val="20"/>
          <w:szCs w:val="20"/>
          <w:lang w:eastAsia="en-GB"/>
        </w:rPr>
        <w:t>. </w:t>
      </w:r>
      <w:r w:rsidRPr="001A65DF">
        <w:rPr>
          <w:rFonts w:eastAsia="Arial" w:cs="Arial"/>
          <w:i/>
          <w:sz w:val="20"/>
          <w:szCs w:val="20"/>
          <w:lang w:eastAsia="en-GB"/>
        </w:rPr>
        <w:t>The IUCN Red List of Threatened Species</w:t>
      </w:r>
      <w:r w:rsidRPr="001A65DF">
        <w:rPr>
          <w:rFonts w:eastAsia="Arial" w:cs="Arial"/>
          <w:sz w:val="20"/>
          <w:szCs w:val="20"/>
          <w:lang w:eastAsia="en-GB"/>
        </w:rPr>
        <w:t> 2019: e.T39385A2918526. Accessed on 02 September 2025.</w:t>
      </w:r>
    </w:p>
    <w:p w14:paraId="065589D8" w14:textId="77777777" w:rsidR="001A65DF" w:rsidRPr="001A65DF" w:rsidRDefault="001A65DF" w:rsidP="001A65DF">
      <w:pPr>
        <w:spacing w:before="96" w:after="0" w:line="240" w:lineRule="auto"/>
        <w:ind w:left="425" w:hanging="425"/>
        <w:jc w:val="both"/>
        <w:rPr>
          <w:rFonts w:eastAsia="Arial" w:cs="Arial"/>
          <w:sz w:val="20"/>
          <w:szCs w:val="20"/>
          <w:lang w:val="pt-PT" w:eastAsia="en-GB"/>
        </w:rPr>
      </w:pPr>
      <w:r w:rsidRPr="001A65DF">
        <w:rPr>
          <w:rFonts w:eastAsia="Arial" w:cs="Arial"/>
          <w:sz w:val="20"/>
          <w:szCs w:val="20"/>
          <w:lang w:eastAsia="en-GB"/>
        </w:rPr>
        <w:t>Rodriguez</w:t>
      </w:r>
      <w:r w:rsidRPr="001A65DF">
        <w:rPr>
          <w:rFonts w:ascii="Cambria Math" w:eastAsia="Arial" w:hAnsi="Cambria Math" w:cs="Cambria Math"/>
          <w:sz w:val="20"/>
          <w:szCs w:val="20"/>
          <w:lang w:eastAsia="en-GB"/>
        </w:rPr>
        <w:t>‐</w:t>
      </w:r>
      <w:r w:rsidRPr="001A65DF">
        <w:rPr>
          <w:rFonts w:eastAsia="Arial" w:cs="Arial"/>
          <w:sz w:val="20"/>
          <w:szCs w:val="20"/>
          <w:lang w:eastAsia="en-GB"/>
        </w:rPr>
        <w:t>Arana Favela, J.P., Hernández, S., González</w:t>
      </w:r>
      <w:r w:rsidRPr="001A65DF">
        <w:rPr>
          <w:rFonts w:ascii="Cambria Math" w:eastAsia="Arial" w:hAnsi="Cambria Math" w:cs="Cambria Math"/>
          <w:sz w:val="20"/>
          <w:szCs w:val="20"/>
          <w:lang w:eastAsia="en-GB"/>
        </w:rPr>
        <w:t>‐</w:t>
      </w:r>
      <w:r w:rsidRPr="001A65DF">
        <w:rPr>
          <w:rFonts w:eastAsia="Arial" w:cs="Arial"/>
          <w:sz w:val="20"/>
          <w:szCs w:val="20"/>
          <w:lang w:eastAsia="en-GB"/>
        </w:rPr>
        <w:t>Armas, R., Galván</w:t>
      </w:r>
      <w:r w:rsidRPr="001A65DF">
        <w:rPr>
          <w:rFonts w:ascii="Cambria Math" w:eastAsia="Arial" w:hAnsi="Cambria Math" w:cs="Cambria Math"/>
          <w:sz w:val="20"/>
          <w:szCs w:val="20"/>
          <w:lang w:eastAsia="en-GB"/>
        </w:rPr>
        <w:t>‐</w:t>
      </w:r>
      <w:r w:rsidRPr="001A65DF">
        <w:rPr>
          <w:rFonts w:eastAsia="Arial" w:cs="Arial"/>
          <w:sz w:val="20"/>
          <w:szCs w:val="20"/>
          <w:lang w:eastAsia="en-GB"/>
        </w:rPr>
        <w:t>Magaña, F., Tripp</w:t>
      </w:r>
      <w:r w:rsidRPr="001A65DF">
        <w:rPr>
          <w:rFonts w:ascii="Cambria Math" w:eastAsia="Arial" w:hAnsi="Cambria Math" w:cs="Cambria Math"/>
          <w:sz w:val="20"/>
          <w:szCs w:val="20"/>
          <w:lang w:eastAsia="en-GB"/>
        </w:rPr>
        <w:t>‐</w:t>
      </w:r>
      <w:r w:rsidRPr="001A65DF">
        <w:rPr>
          <w:rFonts w:eastAsia="Arial" w:cs="Arial"/>
          <w:sz w:val="20"/>
          <w:szCs w:val="20"/>
          <w:lang w:eastAsia="en-GB"/>
        </w:rPr>
        <w:t>Valdez, A., Hoyos</w:t>
      </w:r>
      <w:r w:rsidRPr="001A65DF">
        <w:rPr>
          <w:rFonts w:ascii="Cambria Math" w:eastAsia="Arial" w:hAnsi="Cambria Math" w:cs="Cambria Math"/>
          <w:sz w:val="20"/>
          <w:szCs w:val="20"/>
          <w:lang w:eastAsia="en-GB"/>
        </w:rPr>
        <w:t>‐</w:t>
      </w:r>
      <w:r w:rsidRPr="001A65DF">
        <w:rPr>
          <w:rFonts w:eastAsia="Arial" w:cs="Arial"/>
          <w:sz w:val="20"/>
          <w:szCs w:val="20"/>
          <w:lang w:eastAsia="en-GB"/>
        </w:rPr>
        <w:t xml:space="preserve">Padilla, M. and Ketchum, J.T., 2022. A priority nursery area for the conservation of the scalloped hammerhead shark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xml:space="preserve"> in Mexico. </w:t>
      </w:r>
      <w:r w:rsidRPr="001A65DF">
        <w:rPr>
          <w:rFonts w:eastAsia="Arial" w:cs="Arial"/>
          <w:i/>
          <w:iCs/>
          <w:sz w:val="20"/>
          <w:szCs w:val="20"/>
          <w:lang w:val="pt-PT" w:eastAsia="en-GB"/>
        </w:rPr>
        <w:t>Journal of Fish Biology</w:t>
      </w:r>
      <w:r w:rsidRPr="001A65DF">
        <w:rPr>
          <w:rFonts w:eastAsia="Arial" w:cs="Arial"/>
          <w:sz w:val="20"/>
          <w:szCs w:val="20"/>
          <w:lang w:val="pt-PT" w:eastAsia="en-GB"/>
        </w:rPr>
        <w:t>, </w:t>
      </w:r>
      <w:r w:rsidRPr="001A65DF">
        <w:rPr>
          <w:rFonts w:eastAsia="Arial" w:cs="Arial"/>
          <w:i/>
          <w:iCs/>
          <w:sz w:val="20"/>
          <w:szCs w:val="20"/>
          <w:lang w:val="pt-PT" w:eastAsia="en-GB"/>
        </w:rPr>
        <w:t>101</w:t>
      </w:r>
      <w:r w:rsidRPr="001A65DF">
        <w:rPr>
          <w:rFonts w:eastAsia="Arial" w:cs="Arial"/>
          <w:sz w:val="20"/>
          <w:szCs w:val="20"/>
          <w:lang w:val="pt-PT" w:eastAsia="en-GB"/>
        </w:rPr>
        <w:t>(6), pp.1623-1627.</w:t>
      </w:r>
    </w:p>
    <w:p w14:paraId="1A95D17A"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Arial" w:cs="Arial"/>
          <w:sz w:val="20"/>
          <w:szCs w:val="20"/>
          <w:lang w:val="pt-PT" w:eastAsia="en-GB"/>
        </w:rPr>
        <w:t xml:space="preserve">Rosa, R., Nunes, E., Pissarra, V., Santos, C.P., Varela, J., Baptista, M., Castro, J., Paula, J.R., Repolho, T., Marques, T.A. and Freitas, R., 2023. </w:t>
      </w:r>
      <w:r w:rsidRPr="001A65DF">
        <w:rPr>
          <w:rFonts w:eastAsia="Arial" w:cs="Arial"/>
          <w:sz w:val="20"/>
          <w:szCs w:val="20"/>
          <w:lang w:eastAsia="en-GB"/>
        </w:rPr>
        <w:t>Evidence for the first multi-species shark nursery area in Atlantic Africa (Boa Vista Island, Cabo Verde). </w:t>
      </w:r>
      <w:r w:rsidRPr="001A65DF">
        <w:rPr>
          <w:rFonts w:eastAsia="Arial" w:cs="Arial"/>
          <w:i/>
          <w:iCs/>
          <w:sz w:val="20"/>
          <w:szCs w:val="20"/>
          <w:lang w:eastAsia="en-GB"/>
        </w:rPr>
        <w:t>Frontiers in Marine Science</w:t>
      </w:r>
      <w:r w:rsidRPr="001A65DF">
        <w:rPr>
          <w:rFonts w:eastAsia="Arial" w:cs="Arial"/>
          <w:sz w:val="20"/>
          <w:szCs w:val="20"/>
          <w:lang w:eastAsia="en-GB"/>
        </w:rPr>
        <w:t>, </w:t>
      </w:r>
      <w:r w:rsidRPr="001A65DF">
        <w:rPr>
          <w:rFonts w:eastAsia="Arial" w:cs="Arial"/>
          <w:i/>
          <w:iCs/>
          <w:sz w:val="20"/>
          <w:szCs w:val="20"/>
          <w:lang w:eastAsia="en-GB"/>
        </w:rPr>
        <w:t>10</w:t>
      </w:r>
      <w:r w:rsidRPr="001A65DF">
        <w:rPr>
          <w:rFonts w:eastAsia="Arial" w:cs="Arial"/>
          <w:sz w:val="20"/>
          <w:szCs w:val="20"/>
          <w:lang w:eastAsia="en-GB"/>
        </w:rPr>
        <w:t>, p.1077748.</w:t>
      </w:r>
    </w:p>
    <w:p w14:paraId="0091FD08"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Arial" w:cs="Arial"/>
          <w:sz w:val="20"/>
          <w:szCs w:val="20"/>
          <w:lang w:eastAsia="en-GB"/>
        </w:rPr>
        <w:t>Rose, D. A. 1996. Shark fisheries and trade in the Americas, Volume 1: North America. Traffic, Cambridge, U.K</w:t>
      </w:r>
    </w:p>
    <w:p w14:paraId="7BA4C8DC" w14:textId="77777777" w:rsidR="001A65DF" w:rsidRPr="001A65DF" w:rsidRDefault="001A65DF" w:rsidP="001A65DF">
      <w:pPr>
        <w:spacing w:before="96" w:after="0" w:line="240" w:lineRule="auto"/>
        <w:ind w:left="425" w:hanging="425"/>
        <w:jc w:val="both"/>
        <w:rPr>
          <w:rFonts w:eastAsia="Arial" w:cs="Arial"/>
          <w:sz w:val="20"/>
          <w:szCs w:val="20"/>
          <w:lang w:val="es-ES" w:eastAsia="en-GB"/>
        </w:rPr>
      </w:pPr>
      <w:r w:rsidRPr="001A65DF">
        <w:rPr>
          <w:rFonts w:eastAsia="Arial" w:cs="Arial"/>
          <w:sz w:val="20"/>
          <w:szCs w:val="20"/>
          <w:lang w:eastAsia="en-GB"/>
        </w:rPr>
        <w:t xml:space="preserve">Salinas-de-León, P., Acuña-Marrero, D., </w:t>
      </w:r>
      <w:proofErr w:type="spellStart"/>
      <w:r w:rsidRPr="001A65DF">
        <w:rPr>
          <w:rFonts w:eastAsia="Arial" w:cs="Arial"/>
          <w:sz w:val="20"/>
          <w:szCs w:val="20"/>
          <w:lang w:eastAsia="en-GB"/>
        </w:rPr>
        <w:t>Rastoin</w:t>
      </w:r>
      <w:proofErr w:type="spellEnd"/>
      <w:r w:rsidRPr="001A65DF">
        <w:rPr>
          <w:rFonts w:eastAsia="Arial" w:cs="Arial"/>
          <w:sz w:val="20"/>
          <w:szCs w:val="20"/>
          <w:lang w:eastAsia="en-GB"/>
        </w:rPr>
        <w:t xml:space="preserve">, E., Friedlander, A.M., Donovan, M.K. and Sala, E., 2016. Largest global shark biomass found in the northern Galápagos Islands of Darwin and Wolf. </w:t>
      </w:r>
      <w:proofErr w:type="spellStart"/>
      <w:r w:rsidRPr="001A65DF">
        <w:rPr>
          <w:rFonts w:eastAsia="Arial" w:cs="Arial"/>
          <w:sz w:val="20"/>
          <w:szCs w:val="20"/>
          <w:lang w:val="es-ES" w:eastAsia="en-GB"/>
        </w:rPr>
        <w:t>PeerJ</w:t>
      </w:r>
      <w:proofErr w:type="spellEnd"/>
      <w:r w:rsidRPr="001A65DF">
        <w:rPr>
          <w:rFonts w:eastAsia="Arial" w:cs="Arial"/>
          <w:sz w:val="20"/>
          <w:szCs w:val="20"/>
          <w:lang w:val="es-ES" w:eastAsia="en-GB"/>
        </w:rPr>
        <w:t>, 4, p.e1911.</w:t>
      </w:r>
    </w:p>
    <w:p w14:paraId="7BBA9F86" w14:textId="77777777" w:rsidR="001A65DF" w:rsidRPr="001A65DF" w:rsidRDefault="001A65DF" w:rsidP="001A65DF">
      <w:pPr>
        <w:spacing w:before="96" w:after="0" w:line="240" w:lineRule="auto"/>
        <w:ind w:left="425" w:hanging="425"/>
        <w:jc w:val="both"/>
        <w:rPr>
          <w:rFonts w:eastAsia="Arial" w:cs="Arial"/>
          <w:sz w:val="20"/>
          <w:szCs w:val="20"/>
          <w:lang w:val="es-ES" w:eastAsia="en-GB"/>
        </w:rPr>
      </w:pPr>
      <w:r w:rsidRPr="001A65DF">
        <w:rPr>
          <w:rFonts w:eastAsia="Arial" w:cs="Arial"/>
          <w:sz w:val="20"/>
          <w:szCs w:val="20"/>
          <w:lang w:val="es-ES" w:eastAsia="en-GB"/>
        </w:rPr>
        <w:t xml:space="preserve">Salinas-de-León, P., Hoyos-Padilla, E.M. and </w:t>
      </w:r>
      <w:proofErr w:type="spellStart"/>
      <w:r w:rsidRPr="001A65DF">
        <w:rPr>
          <w:rFonts w:eastAsia="Arial" w:cs="Arial"/>
          <w:sz w:val="20"/>
          <w:szCs w:val="20"/>
          <w:lang w:val="es-ES" w:eastAsia="en-GB"/>
        </w:rPr>
        <w:t>Pochet</w:t>
      </w:r>
      <w:proofErr w:type="spellEnd"/>
      <w:r w:rsidRPr="001A65DF">
        <w:rPr>
          <w:rFonts w:eastAsia="Arial" w:cs="Arial"/>
          <w:sz w:val="20"/>
          <w:szCs w:val="20"/>
          <w:lang w:val="es-ES" w:eastAsia="en-GB"/>
        </w:rPr>
        <w:t xml:space="preserve">, F., 2017. </w:t>
      </w:r>
      <w:r w:rsidRPr="001A65DF">
        <w:rPr>
          <w:rFonts w:eastAsia="Arial" w:cs="Arial"/>
          <w:sz w:val="20"/>
          <w:szCs w:val="20"/>
          <w:lang w:eastAsia="en-GB"/>
        </w:rPr>
        <w:t xml:space="preserve">First observation on the mating </w:t>
      </w:r>
      <w:proofErr w:type="spellStart"/>
      <w:r w:rsidRPr="001A65DF">
        <w:rPr>
          <w:rFonts w:eastAsia="Arial" w:cs="Arial"/>
          <w:sz w:val="20"/>
          <w:szCs w:val="20"/>
          <w:lang w:eastAsia="en-GB"/>
        </w:rPr>
        <w:t>behaviour</w:t>
      </w:r>
      <w:proofErr w:type="spellEnd"/>
      <w:r w:rsidRPr="001A65DF">
        <w:rPr>
          <w:rFonts w:eastAsia="Arial" w:cs="Arial"/>
          <w:sz w:val="20"/>
          <w:szCs w:val="20"/>
          <w:lang w:eastAsia="en-GB"/>
        </w:rPr>
        <w:t xml:space="preserve"> of the endangered scalloped hammerhead shark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xml:space="preserve"> in the Tropical Eastern Pacific. </w:t>
      </w:r>
      <w:proofErr w:type="spellStart"/>
      <w:r w:rsidRPr="001A65DF">
        <w:rPr>
          <w:rFonts w:eastAsia="Arial" w:cs="Arial"/>
          <w:sz w:val="20"/>
          <w:szCs w:val="20"/>
          <w:lang w:val="es-ES" w:eastAsia="en-GB"/>
        </w:rPr>
        <w:t>Environmental</w:t>
      </w:r>
      <w:proofErr w:type="spellEnd"/>
      <w:r w:rsidRPr="001A65DF">
        <w:rPr>
          <w:rFonts w:eastAsia="Arial" w:cs="Arial"/>
          <w:sz w:val="20"/>
          <w:szCs w:val="20"/>
          <w:lang w:val="es-ES" w:eastAsia="en-GB"/>
        </w:rPr>
        <w:t xml:space="preserve"> </w:t>
      </w:r>
      <w:proofErr w:type="spellStart"/>
      <w:r w:rsidRPr="001A65DF">
        <w:rPr>
          <w:rFonts w:eastAsia="Arial" w:cs="Arial"/>
          <w:sz w:val="20"/>
          <w:szCs w:val="20"/>
          <w:lang w:val="es-ES" w:eastAsia="en-GB"/>
        </w:rPr>
        <w:t>Biology</w:t>
      </w:r>
      <w:proofErr w:type="spellEnd"/>
      <w:r w:rsidRPr="001A65DF">
        <w:rPr>
          <w:rFonts w:eastAsia="Arial" w:cs="Arial"/>
          <w:sz w:val="20"/>
          <w:szCs w:val="20"/>
          <w:lang w:val="es-ES" w:eastAsia="en-GB"/>
        </w:rPr>
        <w:t xml:space="preserve"> of </w:t>
      </w:r>
      <w:proofErr w:type="spellStart"/>
      <w:r w:rsidRPr="001A65DF">
        <w:rPr>
          <w:rFonts w:eastAsia="Arial" w:cs="Arial"/>
          <w:sz w:val="20"/>
          <w:szCs w:val="20"/>
          <w:lang w:val="es-ES" w:eastAsia="en-GB"/>
        </w:rPr>
        <w:t>Fishes</w:t>
      </w:r>
      <w:proofErr w:type="spellEnd"/>
      <w:r w:rsidRPr="001A65DF">
        <w:rPr>
          <w:rFonts w:eastAsia="Arial" w:cs="Arial"/>
          <w:sz w:val="20"/>
          <w:szCs w:val="20"/>
          <w:lang w:val="es-ES" w:eastAsia="en-GB"/>
        </w:rPr>
        <w:t>, 100(12), pp.1603-1608.</w:t>
      </w:r>
    </w:p>
    <w:p w14:paraId="4186C9F2"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val="es-ES" w:eastAsia="en-GB"/>
        </w:rPr>
        <w:t xml:space="preserve">Salinas-de-León, P., </w:t>
      </w:r>
      <w:proofErr w:type="spellStart"/>
      <w:r w:rsidRPr="001A65DF">
        <w:rPr>
          <w:rFonts w:eastAsia="Arial" w:cs="Arial"/>
          <w:sz w:val="20"/>
          <w:szCs w:val="20"/>
          <w:lang w:val="es-ES" w:eastAsia="en-GB"/>
        </w:rPr>
        <w:t>Vaudo</w:t>
      </w:r>
      <w:proofErr w:type="spellEnd"/>
      <w:r w:rsidRPr="001A65DF">
        <w:rPr>
          <w:rFonts w:eastAsia="Arial" w:cs="Arial"/>
          <w:sz w:val="20"/>
          <w:szCs w:val="20"/>
          <w:lang w:val="es-ES" w:eastAsia="en-GB"/>
        </w:rPr>
        <w:t xml:space="preserve">, J., Suarez-Moncada, J. and </w:t>
      </w:r>
      <w:proofErr w:type="spellStart"/>
      <w:r w:rsidRPr="001A65DF">
        <w:rPr>
          <w:rFonts w:eastAsia="Arial" w:cs="Arial"/>
          <w:sz w:val="20"/>
          <w:szCs w:val="20"/>
          <w:lang w:val="es-ES" w:eastAsia="en-GB"/>
        </w:rPr>
        <w:t>Shivji</w:t>
      </w:r>
      <w:proofErr w:type="spellEnd"/>
      <w:r w:rsidRPr="001A65DF">
        <w:rPr>
          <w:rFonts w:eastAsia="Arial" w:cs="Arial"/>
          <w:sz w:val="20"/>
          <w:szCs w:val="20"/>
          <w:lang w:val="es-ES" w:eastAsia="en-GB"/>
        </w:rPr>
        <w:t xml:space="preserve">, M., 2025. </w:t>
      </w:r>
      <w:r w:rsidRPr="001A65DF">
        <w:rPr>
          <w:rFonts w:eastAsia="Arial" w:cs="Arial"/>
          <w:sz w:val="20"/>
          <w:szCs w:val="20"/>
          <w:lang w:eastAsia="en-GB"/>
        </w:rPr>
        <w:t>Long-distance movements of a scalloped hammerhead shark connect the Galapagos Islands with coastal areas and international waters of the Tropical Eastern Pacific. Environmental Biology of Fishes, pp.1-7.</w:t>
      </w:r>
    </w:p>
    <w:p w14:paraId="6AFE22E7" w14:textId="77777777" w:rsidR="001A65DF" w:rsidRPr="001A65DF" w:rsidRDefault="001A65DF" w:rsidP="001A65DF">
      <w:pPr>
        <w:spacing w:before="96" w:after="0" w:line="240" w:lineRule="auto"/>
        <w:ind w:left="425" w:hanging="425"/>
        <w:jc w:val="both"/>
        <w:rPr>
          <w:rFonts w:eastAsia="Arial" w:cs="Arial"/>
          <w:i/>
          <w:iCs/>
          <w:sz w:val="20"/>
          <w:szCs w:val="20"/>
          <w:lang w:eastAsia="en-GB"/>
        </w:rPr>
      </w:pPr>
      <w:r w:rsidRPr="001A65DF">
        <w:rPr>
          <w:rFonts w:eastAsia="Arial" w:cs="Arial"/>
          <w:sz w:val="20"/>
          <w:szCs w:val="20"/>
          <w:lang w:eastAsia="en-GB"/>
        </w:rPr>
        <w:t xml:space="preserve">Shea, S., &amp; Slee, B. (2024) </w:t>
      </w:r>
      <w:r w:rsidRPr="001A65DF">
        <w:rPr>
          <w:rFonts w:eastAsia="Arial" w:cs="Arial"/>
          <w:i/>
          <w:iCs/>
          <w:sz w:val="20"/>
          <w:szCs w:val="20"/>
          <w:lang w:eastAsia="en-GB"/>
        </w:rPr>
        <w:t xml:space="preserve">Meat on the menu and fins for export: Latin America’s shark trade with Asia. </w:t>
      </w:r>
      <w:proofErr w:type="spellStart"/>
      <w:r w:rsidRPr="001A65DF">
        <w:rPr>
          <w:rFonts w:eastAsia="Arial" w:cs="Arial"/>
          <w:sz w:val="20"/>
          <w:szCs w:val="20"/>
          <w:lang w:eastAsia="en-GB"/>
        </w:rPr>
        <w:t>Stichting</w:t>
      </w:r>
      <w:proofErr w:type="spellEnd"/>
      <w:r w:rsidRPr="001A65DF">
        <w:rPr>
          <w:rFonts w:eastAsia="Arial" w:cs="Arial"/>
          <w:sz w:val="20"/>
          <w:szCs w:val="20"/>
          <w:lang w:eastAsia="en-GB"/>
        </w:rPr>
        <w:t xml:space="preserve"> IFAW (International Fund for Animal Welfare),</w:t>
      </w:r>
      <w:r w:rsidRPr="001A65DF">
        <w:rPr>
          <w:rFonts w:eastAsia="Arial" w:cs="Arial"/>
          <w:i/>
          <w:iCs/>
          <w:sz w:val="20"/>
          <w:szCs w:val="20"/>
          <w:lang w:eastAsia="en-GB"/>
        </w:rPr>
        <w:t xml:space="preserve"> </w:t>
      </w:r>
      <w:r w:rsidRPr="001A65DF">
        <w:rPr>
          <w:rFonts w:eastAsia="Arial" w:cs="Arial"/>
          <w:sz w:val="20"/>
          <w:szCs w:val="20"/>
          <w:lang w:eastAsia="en-GB"/>
        </w:rPr>
        <w:t>The Hague, The Netherlands. 44pp.</w:t>
      </w:r>
    </w:p>
    <w:p w14:paraId="328DD787"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proofErr w:type="spellStart"/>
      <w:r w:rsidRPr="001A65DF">
        <w:rPr>
          <w:rFonts w:eastAsia="Arial" w:cs="Arial"/>
          <w:sz w:val="20"/>
          <w:szCs w:val="20"/>
          <w:lang w:eastAsia="en-GB"/>
        </w:rPr>
        <w:t>Simpfendorfer</w:t>
      </w:r>
      <w:proofErr w:type="spellEnd"/>
      <w:r w:rsidRPr="001A65DF">
        <w:rPr>
          <w:rFonts w:eastAsia="Arial" w:cs="Arial"/>
          <w:sz w:val="20"/>
          <w:szCs w:val="20"/>
          <w:lang w:eastAsia="en-GB"/>
        </w:rPr>
        <w:t xml:space="preserve">, C.A., Heupel, M.R., White, W.T. and </w:t>
      </w:r>
      <w:proofErr w:type="spellStart"/>
      <w:r w:rsidRPr="001A65DF">
        <w:rPr>
          <w:rFonts w:eastAsia="Arial" w:cs="Arial"/>
          <w:sz w:val="20"/>
          <w:szCs w:val="20"/>
          <w:lang w:eastAsia="en-GB"/>
        </w:rPr>
        <w:t>Dulvy</w:t>
      </w:r>
      <w:proofErr w:type="spellEnd"/>
      <w:r w:rsidRPr="001A65DF">
        <w:rPr>
          <w:rFonts w:eastAsia="Arial" w:cs="Arial"/>
          <w:sz w:val="20"/>
          <w:szCs w:val="20"/>
          <w:lang w:eastAsia="en-GB"/>
        </w:rPr>
        <w:t>, N.K., 2011. The importance of research and public opinion to conservation management of sharks and rays: a synthesis. </w:t>
      </w:r>
      <w:r w:rsidRPr="001A65DF">
        <w:rPr>
          <w:rFonts w:eastAsia="Arial" w:cs="Arial"/>
          <w:i/>
          <w:iCs/>
          <w:sz w:val="20"/>
          <w:szCs w:val="20"/>
          <w:lang w:eastAsia="en-GB"/>
        </w:rPr>
        <w:t>Marine and Freshwater Research</w:t>
      </w:r>
      <w:r w:rsidRPr="001A65DF">
        <w:rPr>
          <w:rFonts w:eastAsia="Arial" w:cs="Arial"/>
          <w:sz w:val="20"/>
          <w:szCs w:val="20"/>
          <w:lang w:eastAsia="en-GB"/>
        </w:rPr>
        <w:t>, </w:t>
      </w:r>
      <w:r w:rsidRPr="001A65DF">
        <w:rPr>
          <w:rFonts w:eastAsia="Arial" w:cs="Arial"/>
          <w:i/>
          <w:iCs/>
          <w:sz w:val="20"/>
          <w:szCs w:val="20"/>
          <w:lang w:eastAsia="en-GB"/>
        </w:rPr>
        <w:t>62</w:t>
      </w:r>
      <w:r w:rsidRPr="001A65DF">
        <w:rPr>
          <w:rFonts w:eastAsia="Arial" w:cs="Arial"/>
          <w:sz w:val="20"/>
          <w:szCs w:val="20"/>
          <w:lang w:eastAsia="en-GB"/>
        </w:rPr>
        <w:t>(6), pp.518-527.</w:t>
      </w:r>
    </w:p>
    <w:p w14:paraId="06922732"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Sosa-Nishizaki, O., García-Rodríguez, E., Morales-Portillo, C.D., Pérez-Jiménez, J.C., del Carmen Rodríguez-Medrano, M., Bizzarro, J.J. and Castillo-</w:t>
      </w:r>
      <w:proofErr w:type="spellStart"/>
      <w:r w:rsidRPr="001A65DF">
        <w:rPr>
          <w:rFonts w:eastAsia="Arial" w:cs="Arial"/>
          <w:sz w:val="20"/>
          <w:szCs w:val="20"/>
          <w:lang w:eastAsia="en-GB"/>
        </w:rPr>
        <w:t>Géniz</w:t>
      </w:r>
      <w:proofErr w:type="spellEnd"/>
      <w:r w:rsidRPr="001A65DF">
        <w:rPr>
          <w:rFonts w:eastAsia="Arial" w:cs="Arial"/>
          <w:sz w:val="20"/>
          <w:szCs w:val="20"/>
          <w:lang w:eastAsia="en-GB"/>
        </w:rPr>
        <w:t>, J.L., 2020. Fisheries interactions and the challenges for target and nontargeted take on shark conservation in the Mexican Pacific. In </w:t>
      </w:r>
      <w:r w:rsidRPr="001A65DF">
        <w:rPr>
          <w:rFonts w:eastAsia="Arial" w:cs="Arial"/>
          <w:i/>
          <w:iCs/>
          <w:sz w:val="20"/>
          <w:szCs w:val="20"/>
          <w:lang w:eastAsia="en-GB"/>
        </w:rPr>
        <w:t>Advances in marine biology</w:t>
      </w:r>
      <w:r w:rsidRPr="001A65DF">
        <w:rPr>
          <w:rFonts w:eastAsia="Arial" w:cs="Arial"/>
          <w:sz w:val="20"/>
          <w:szCs w:val="20"/>
          <w:lang w:eastAsia="en-GB"/>
        </w:rPr>
        <w:t> (Vol. 85, No. 1, pp. 39-69). Academic Press.</w:t>
      </w:r>
    </w:p>
    <w:p w14:paraId="2FF651C7" w14:textId="77777777" w:rsidR="001A65DF" w:rsidRPr="001A65DF" w:rsidRDefault="001A65DF" w:rsidP="001A65DF">
      <w:pPr>
        <w:spacing w:before="96" w:after="0" w:line="240" w:lineRule="auto"/>
        <w:ind w:left="425" w:hanging="425"/>
        <w:jc w:val="both"/>
        <w:rPr>
          <w:rFonts w:eastAsia="Arial" w:cs="Arial"/>
          <w:sz w:val="20"/>
          <w:szCs w:val="20"/>
          <w:lang w:eastAsia="en-GB"/>
        </w:rPr>
      </w:pPr>
      <w:proofErr w:type="spellStart"/>
      <w:r w:rsidRPr="001A65DF">
        <w:rPr>
          <w:rFonts w:eastAsia="Arial" w:cs="Arial"/>
          <w:sz w:val="20"/>
          <w:szCs w:val="20"/>
          <w:lang w:eastAsia="en-GB"/>
        </w:rPr>
        <w:t>Spaet</w:t>
      </w:r>
      <w:proofErr w:type="spellEnd"/>
      <w:r w:rsidRPr="001A65DF">
        <w:rPr>
          <w:rFonts w:eastAsia="Arial" w:cs="Arial"/>
          <w:sz w:val="20"/>
          <w:szCs w:val="20"/>
          <w:lang w:eastAsia="en-GB"/>
        </w:rPr>
        <w:t xml:space="preserve"> JLY, Lam CH, Braun CD, Berumen ML (2017) Extensive use of mesopelagic waters by a </w:t>
      </w:r>
      <w:proofErr w:type="gramStart"/>
      <w:r w:rsidRPr="001A65DF">
        <w:rPr>
          <w:rFonts w:eastAsia="Arial" w:cs="Arial"/>
          <w:sz w:val="20"/>
          <w:szCs w:val="20"/>
          <w:lang w:eastAsia="en-GB"/>
        </w:rPr>
        <w:t>Scalloped</w:t>
      </w:r>
      <w:proofErr w:type="gramEnd"/>
      <w:r w:rsidRPr="001A65DF">
        <w:rPr>
          <w:rFonts w:eastAsia="Arial" w:cs="Arial"/>
          <w:sz w:val="20"/>
          <w:szCs w:val="20"/>
          <w:lang w:eastAsia="en-GB"/>
        </w:rPr>
        <w:t xml:space="preserve"> hammerhead shark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in the Red Sea. Anim Biotelemetry 5:20. https://doi.org/10.1186/s40317-017-0135-x</w:t>
      </w:r>
    </w:p>
    <w:p w14:paraId="17AC0401"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proofErr w:type="spellStart"/>
      <w:r w:rsidRPr="001A65DF">
        <w:rPr>
          <w:rFonts w:eastAsia="Arial" w:cs="Arial"/>
          <w:sz w:val="20"/>
          <w:szCs w:val="20"/>
          <w:lang w:eastAsia="en-GB"/>
        </w:rPr>
        <w:t>Sperone</w:t>
      </w:r>
      <w:proofErr w:type="spellEnd"/>
      <w:r w:rsidRPr="001A65DF">
        <w:rPr>
          <w:rFonts w:eastAsia="Arial" w:cs="Arial"/>
          <w:sz w:val="20"/>
          <w:szCs w:val="20"/>
          <w:lang w:eastAsia="en-GB"/>
        </w:rPr>
        <w:t xml:space="preserve">, E. et al. 2012. Spatiotemporal patterns of distribution of large predatory sharks in Calabria (central Mediterranean, southern Italy). Acta </w:t>
      </w:r>
      <w:proofErr w:type="spellStart"/>
      <w:r w:rsidRPr="001A65DF">
        <w:rPr>
          <w:rFonts w:eastAsia="Arial" w:cs="Arial"/>
          <w:sz w:val="20"/>
          <w:szCs w:val="20"/>
          <w:lang w:eastAsia="en-GB"/>
        </w:rPr>
        <w:t>Adriatica</w:t>
      </w:r>
      <w:proofErr w:type="spellEnd"/>
      <w:r w:rsidRPr="001A65DF">
        <w:rPr>
          <w:rFonts w:eastAsia="Arial" w:cs="Arial"/>
          <w:sz w:val="20"/>
          <w:szCs w:val="20"/>
          <w:lang w:eastAsia="en-GB"/>
        </w:rPr>
        <w:t xml:space="preserve"> 53:13-24.</w:t>
      </w:r>
    </w:p>
    <w:p w14:paraId="3D22637E" w14:textId="77777777" w:rsidR="001A65DF" w:rsidRPr="001A65DF" w:rsidRDefault="001A65DF" w:rsidP="001A65DF">
      <w:pPr>
        <w:spacing w:before="96" w:after="0" w:line="240" w:lineRule="auto"/>
        <w:ind w:left="425" w:hanging="425"/>
        <w:jc w:val="both"/>
        <w:rPr>
          <w:rFonts w:eastAsia="Times New Roman" w:cs="Arial"/>
          <w:sz w:val="20"/>
          <w:szCs w:val="20"/>
          <w:lang w:val="es-ES" w:eastAsia="en-GB"/>
        </w:rPr>
      </w:pPr>
      <w:r w:rsidRPr="001A65DF">
        <w:rPr>
          <w:rFonts w:eastAsia="Arial" w:cs="Arial"/>
          <w:sz w:val="20"/>
          <w:szCs w:val="20"/>
          <w:lang w:eastAsia="en-GB"/>
        </w:rPr>
        <w:t>Stevens, J.D. and J.M. Lyle. 1989. The biology of three hammerhead sharks (</w:t>
      </w:r>
      <w:proofErr w:type="spellStart"/>
      <w:r w:rsidRPr="001A65DF">
        <w:rPr>
          <w:rFonts w:eastAsia="Arial" w:cs="Arial"/>
          <w:sz w:val="20"/>
          <w:szCs w:val="20"/>
          <w:lang w:eastAsia="en-GB"/>
        </w:rPr>
        <w:t>Eusphyrna</w:t>
      </w:r>
      <w:proofErr w:type="spellEnd"/>
      <w:r w:rsidRPr="001A65DF">
        <w:rPr>
          <w:rFonts w:eastAsia="Arial" w:cs="Arial"/>
          <w:sz w:val="20"/>
          <w:szCs w:val="20"/>
          <w:lang w:eastAsia="en-GB"/>
        </w:rPr>
        <w:t xml:space="preserve"> </w:t>
      </w:r>
      <w:proofErr w:type="spellStart"/>
      <w:r w:rsidRPr="001A65DF">
        <w:rPr>
          <w:rFonts w:eastAsia="Arial" w:cs="Arial"/>
          <w:sz w:val="20"/>
          <w:szCs w:val="20"/>
          <w:lang w:eastAsia="en-GB"/>
        </w:rPr>
        <w:t>blochii</w:t>
      </w:r>
      <w:proofErr w:type="spellEnd"/>
      <w:r w:rsidRPr="001A65DF">
        <w:rPr>
          <w:rFonts w:eastAsia="Arial" w:cs="Arial"/>
          <w:sz w:val="20"/>
          <w:szCs w:val="20"/>
          <w:lang w:eastAsia="en-GB"/>
        </w:rPr>
        <w:t xml:space="preserve">, Sphyrna </w:t>
      </w:r>
      <w:proofErr w:type="spellStart"/>
      <w:r w:rsidRPr="001A65DF">
        <w:rPr>
          <w:rFonts w:eastAsia="Arial" w:cs="Arial"/>
          <w:sz w:val="20"/>
          <w:szCs w:val="20"/>
          <w:lang w:eastAsia="en-GB"/>
        </w:rPr>
        <w:t>mokarran</w:t>
      </w:r>
      <w:proofErr w:type="spellEnd"/>
      <w:r w:rsidRPr="001A65DF">
        <w:rPr>
          <w:rFonts w:eastAsia="Arial" w:cs="Arial"/>
          <w:sz w:val="20"/>
          <w:szCs w:val="20"/>
          <w:lang w:eastAsia="en-GB"/>
        </w:rPr>
        <w:t xml:space="preserve"> and S.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xml:space="preserve">) from Northern Australia. </w:t>
      </w:r>
      <w:proofErr w:type="spellStart"/>
      <w:r w:rsidRPr="001A65DF">
        <w:rPr>
          <w:rFonts w:eastAsia="Arial" w:cs="Arial"/>
          <w:sz w:val="20"/>
          <w:szCs w:val="20"/>
          <w:lang w:val="es-ES" w:eastAsia="en-GB"/>
        </w:rPr>
        <w:t>Australian</w:t>
      </w:r>
      <w:proofErr w:type="spellEnd"/>
      <w:r w:rsidRPr="001A65DF">
        <w:rPr>
          <w:rFonts w:eastAsia="Arial" w:cs="Arial"/>
          <w:sz w:val="20"/>
          <w:szCs w:val="20"/>
          <w:lang w:val="es-ES" w:eastAsia="en-GB"/>
        </w:rPr>
        <w:t xml:space="preserve"> </w:t>
      </w:r>
      <w:proofErr w:type="spellStart"/>
      <w:r w:rsidRPr="001A65DF">
        <w:rPr>
          <w:rFonts w:eastAsia="Arial" w:cs="Arial"/>
          <w:sz w:val="20"/>
          <w:szCs w:val="20"/>
          <w:lang w:val="es-ES" w:eastAsia="en-GB"/>
        </w:rPr>
        <w:t>Journal</w:t>
      </w:r>
      <w:proofErr w:type="spellEnd"/>
      <w:r w:rsidRPr="001A65DF">
        <w:rPr>
          <w:rFonts w:eastAsia="Arial" w:cs="Arial"/>
          <w:sz w:val="20"/>
          <w:szCs w:val="20"/>
          <w:lang w:val="es-ES" w:eastAsia="en-GB"/>
        </w:rPr>
        <w:t xml:space="preserve"> of Marine and </w:t>
      </w:r>
      <w:proofErr w:type="spellStart"/>
      <w:r w:rsidRPr="001A65DF">
        <w:rPr>
          <w:rFonts w:eastAsia="Arial" w:cs="Arial"/>
          <w:sz w:val="20"/>
          <w:szCs w:val="20"/>
          <w:lang w:val="es-ES" w:eastAsia="en-GB"/>
        </w:rPr>
        <w:t>Freshwater</w:t>
      </w:r>
      <w:proofErr w:type="spellEnd"/>
      <w:r w:rsidRPr="001A65DF">
        <w:rPr>
          <w:rFonts w:eastAsia="Arial" w:cs="Arial"/>
          <w:sz w:val="20"/>
          <w:szCs w:val="20"/>
          <w:lang w:val="es-ES" w:eastAsia="en-GB"/>
        </w:rPr>
        <w:t xml:space="preserve"> </w:t>
      </w:r>
      <w:proofErr w:type="spellStart"/>
      <w:r w:rsidRPr="001A65DF">
        <w:rPr>
          <w:rFonts w:eastAsia="Arial" w:cs="Arial"/>
          <w:sz w:val="20"/>
          <w:szCs w:val="20"/>
          <w:lang w:val="es-ES" w:eastAsia="en-GB"/>
        </w:rPr>
        <w:t>Research</w:t>
      </w:r>
      <w:proofErr w:type="spellEnd"/>
      <w:r w:rsidRPr="001A65DF">
        <w:rPr>
          <w:rFonts w:eastAsia="Arial" w:cs="Arial"/>
          <w:sz w:val="20"/>
          <w:szCs w:val="20"/>
          <w:lang w:val="es-ES" w:eastAsia="en-GB"/>
        </w:rPr>
        <w:t xml:space="preserve"> 40: 129-146. </w:t>
      </w:r>
    </w:p>
    <w:p w14:paraId="6B4FBD66"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Arial" w:cs="Arial"/>
          <w:sz w:val="20"/>
          <w:szCs w:val="20"/>
          <w:lang w:val="es-ES" w:eastAsia="en-GB"/>
        </w:rPr>
        <w:t xml:space="preserve">Tapiero, L. 1997. Contribución al conocimiento de la biología y dinámica poblacional de </w:t>
      </w:r>
      <w:proofErr w:type="spellStart"/>
      <w:r w:rsidRPr="001A65DF">
        <w:rPr>
          <w:rFonts w:eastAsia="Arial" w:cs="Arial"/>
          <w:sz w:val="20"/>
          <w:szCs w:val="20"/>
          <w:lang w:val="es-ES" w:eastAsia="en-GB"/>
        </w:rPr>
        <w:t>Sphyrna</w:t>
      </w:r>
      <w:proofErr w:type="spellEnd"/>
      <w:r w:rsidRPr="001A65DF">
        <w:rPr>
          <w:rFonts w:eastAsia="Arial" w:cs="Arial"/>
          <w:sz w:val="20"/>
          <w:szCs w:val="20"/>
          <w:lang w:val="es-ES" w:eastAsia="en-GB"/>
        </w:rPr>
        <w:t xml:space="preserve"> </w:t>
      </w:r>
      <w:proofErr w:type="spellStart"/>
      <w:r w:rsidRPr="001A65DF">
        <w:rPr>
          <w:rFonts w:eastAsia="Arial" w:cs="Arial"/>
          <w:sz w:val="20"/>
          <w:szCs w:val="20"/>
          <w:lang w:val="es-ES" w:eastAsia="en-GB"/>
        </w:rPr>
        <w:t>lewini</w:t>
      </w:r>
      <w:proofErr w:type="spellEnd"/>
      <w:r w:rsidRPr="001A65DF">
        <w:rPr>
          <w:rFonts w:eastAsia="Arial" w:cs="Arial"/>
          <w:sz w:val="20"/>
          <w:szCs w:val="20"/>
          <w:lang w:val="es-ES" w:eastAsia="en-GB"/>
        </w:rPr>
        <w:t xml:space="preserve"> (</w:t>
      </w:r>
      <w:proofErr w:type="spellStart"/>
      <w:r w:rsidRPr="001A65DF">
        <w:rPr>
          <w:rFonts w:eastAsia="Arial" w:cs="Arial"/>
          <w:sz w:val="20"/>
          <w:szCs w:val="20"/>
          <w:lang w:val="es-ES" w:eastAsia="en-GB"/>
        </w:rPr>
        <w:t>Pisces</w:t>
      </w:r>
      <w:proofErr w:type="spellEnd"/>
      <w:r w:rsidRPr="001A65DF">
        <w:rPr>
          <w:rFonts w:eastAsia="Arial" w:cs="Arial"/>
          <w:sz w:val="20"/>
          <w:szCs w:val="20"/>
          <w:lang w:val="es-ES" w:eastAsia="en-GB"/>
        </w:rPr>
        <w:t xml:space="preserve">: </w:t>
      </w:r>
      <w:proofErr w:type="spellStart"/>
      <w:r w:rsidRPr="001A65DF">
        <w:rPr>
          <w:rFonts w:eastAsia="Arial" w:cs="Arial"/>
          <w:sz w:val="20"/>
          <w:szCs w:val="20"/>
          <w:lang w:val="es-ES" w:eastAsia="en-GB"/>
        </w:rPr>
        <w:t>Chondrichthyes</w:t>
      </w:r>
      <w:proofErr w:type="spellEnd"/>
      <w:r w:rsidRPr="001A65DF">
        <w:rPr>
          <w:rFonts w:eastAsia="Arial" w:cs="Arial"/>
          <w:sz w:val="20"/>
          <w:szCs w:val="20"/>
          <w:lang w:val="es-ES" w:eastAsia="en-GB"/>
        </w:rPr>
        <w:t xml:space="preserve">) en el Pacífico colombiano. </w:t>
      </w:r>
      <w:r w:rsidRPr="001A65DF">
        <w:rPr>
          <w:rFonts w:eastAsia="Arial" w:cs="Arial"/>
          <w:sz w:val="20"/>
          <w:szCs w:val="20"/>
          <w:lang w:eastAsia="en-GB"/>
        </w:rPr>
        <w:t>Tesis Biol., Univ. Valle, Cali. 143 pp.</w:t>
      </w:r>
    </w:p>
    <w:p w14:paraId="6D21F015"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Arial" w:cs="Arial"/>
          <w:sz w:val="20"/>
          <w:szCs w:val="20"/>
          <w:lang w:eastAsia="en-GB"/>
        </w:rPr>
        <w:t>Ulrich, G.F. 1996 “Fishery independent monitoring of large coastal sharks in South Carolina (1993-1995), final report” U.S. NOAA and Interjurisdictional Fisheries Act NA47FI0347-01.</w:t>
      </w:r>
    </w:p>
    <w:p w14:paraId="4A04438C"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Arial" w:cs="Arial"/>
          <w:sz w:val="20"/>
          <w:szCs w:val="20"/>
          <w:lang w:eastAsia="en-GB"/>
        </w:rPr>
        <w:t>United States Department of Commerce, National Oceanic and Atmospheric Administration, National Marine Fisheries Service, Office of Sustainable Fisheries, Highly Migratory Species Management Division, “Draft Environmental Assessment, Regulatory Impact Review, and Initial Regulatory Flexibility Analysis for a Proposed Rule to Implement the 2010 International Commission for the Conservation of Atlantic Tunas Recommendations on Sharks,” April 2011.</w:t>
      </w:r>
    </w:p>
    <w:p w14:paraId="20A03DAF" w14:textId="77777777" w:rsidR="001A65DF" w:rsidRPr="001A65DF" w:rsidRDefault="001A65DF" w:rsidP="001A65DF">
      <w:pPr>
        <w:spacing w:before="96" w:after="0" w:line="240" w:lineRule="auto"/>
        <w:ind w:left="425" w:hanging="425"/>
        <w:jc w:val="both"/>
        <w:rPr>
          <w:rFonts w:eastAsia="Times New Roman" w:cs="Arial"/>
          <w:sz w:val="20"/>
          <w:szCs w:val="20"/>
          <w:lang w:val="es-ES" w:eastAsia="en-GB"/>
        </w:rPr>
      </w:pPr>
      <w:proofErr w:type="spellStart"/>
      <w:r w:rsidRPr="001A65DF">
        <w:rPr>
          <w:rFonts w:eastAsia="Arial" w:cs="Arial"/>
          <w:sz w:val="20"/>
          <w:szCs w:val="20"/>
          <w:lang w:eastAsia="en-GB"/>
        </w:rPr>
        <w:t>Vannuccini</w:t>
      </w:r>
      <w:proofErr w:type="spellEnd"/>
      <w:r w:rsidRPr="001A65DF">
        <w:rPr>
          <w:rFonts w:eastAsia="Arial" w:cs="Arial"/>
          <w:sz w:val="20"/>
          <w:szCs w:val="20"/>
          <w:lang w:eastAsia="en-GB"/>
        </w:rPr>
        <w:t xml:space="preserve">, S. 1999. Shark utilization, marketing and trade. FAO Fisheries Technical Paper No. 389. </w:t>
      </w:r>
      <w:r w:rsidRPr="001A65DF">
        <w:rPr>
          <w:rFonts w:eastAsia="Arial" w:cs="Arial"/>
          <w:sz w:val="20"/>
          <w:szCs w:val="20"/>
          <w:lang w:val="es-ES" w:eastAsia="en-GB"/>
        </w:rPr>
        <w:t>FAO. Rome. 470 pp.</w:t>
      </w:r>
    </w:p>
    <w:p w14:paraId="3E6B24A9" w14:textId="77777777" w:rsidR="001A65DF" w:rsidRPr="001A65DF" w:rsidRDefault="001A65DF" w:rsidP="001A65DF">
      <w:pPr>
        <w:spacing w:before="96" w:after="0" w:line="240" w:lineRule="auto"/>
        <w:ind w:left="425" w:hanging="425"/>
        <w:jc w:val="both"/>
        <w:rPr>
          <w:rFonts w:eastAsia="Arial" w:cs="Arial"/>
          <w:sz w:val="20"/>
          <w:szCs w:val="20"/>
          <w:lang w:val="pt-PT" w:eastAsia="en-GB"/>
        </w:rPr>
      </w:pPr>
      <w:r w:rsidRPr="001A65DF">
        <w:rPr>
          <w:rFonts w:eastAsia="Arial" w:cs="Arial"/>
          <w:sz w:val="20"/>
          <w:szCs w:val="20"/>
          <w:lang w:val="es-ES" w:eastAsia="en-GB"/>
        </w:rPr>
        <w:t xml:space="preserve">Velasco D &amp; A Hearn 2025. Indicadores de uso y conectividad de tiburones en la Reserva Marina Hermandad. </w:t>
      </w:r>
      <w:r w:rsidRPr="001A65DF">
        <w:rPr>
          <w:rFonts w:eastAsia="Arial" w:cs="Arial"/>
          <w:sz w:val="20"/>
          <w:szCs w:val="20"/>
          <w:lang w:val="pt-PT" w:eastAsia="en-GB"/>
        </w:rPr>
        <w:t xml:space="preserve">USFQ-PBOL. Quito, Ecuador 30 p </w:t>
      </w:r>
    </w:p>
    <w:p w14:paraId="2F6A492D"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val="pt-PT" w:eastAsia="en-GB"/>
        </w:rPr>
        <w:t xml:space="preserve">Vooren, C.M., Klippel, S. and Galina, A.B. 2005. Biologia e status conservação dos tubarão-martelo S. lewini e S. zygaena, pp: 97-112. In: Vooren. C. M. and Klippel, S. (eds) Ações para a conservação de tubarões e raias no sul do Brasil. </w:t>
      </w:r>
      <w:r w:rsidRPr="001A65DF">
        <w:rPr>
          <w:rFonts w:eastAsia="Arial" w:cs="Arial"/>
          <w:sz w:val="20"/>
          <w:szCs w:val="20"/>
          <w:lang w:eastAsia="en-GB"/>
        </w:rPr>
        <w:t>Igaré, Porto Alegre. </w:t>
      </w:r>
    </w:p>
    <w:p w14:paraId="1B861EC3"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Ward-Paige, C.A., 2017. A global overview of shark sanctuary regulations and their impact on shark fisheries. </w:t>
      </w:r>
      <w:r w:rsidRPr="001A65DF">
        <w:rPr>
          <w:rFonts w:eastAsia="Arial" w:cs="Arial"/>
          <w:i/>
          <w:iCs/>
          <w:sz w:val="20"/>
          <w:szCs w:val="20"/>
          <w:lang w:eastAsia="en-GB"/>
        </w:rPr>
        <w:t>Marine Policy</w:t>
      </w:r>
      <w:r w:rsidRPr="001A65DF">
        <w:rPr>
          <w:rFonts w:eastAsia="Arial" w:cs="Arial"/>
          <w:sz w:val="20"/>
          <w:szCs w:val="20"/>
          <w:lang w:eastAsia="en-GB"/>
        </w:rPr>
        <w:t>, </w:t>
      </w:r>
      <w:r w:rsidRPr="001A65DF">
        <w:rPr>
          <w:rFonts w:eastAsia="Arial" w:cs="Arial"/>
          <w:i/>
          <w:iCs/>
          <w:sz w:val="20"/>
          <w:szCs w:val="20"/>
          <w:lang w:eastAsia="en-GB"/>
        </w:rPr>
        <w:t>82</w:t>
      </w:r>
      <w:r w:rsidRPr="001A65DF">
        <w:rPr>
          <w:rFonts w:eastAsia="Arial" w:cs="Arial"/>
          <w:sz w:val="20"/>
          <w:szCs w:val="20"/>
          <w:lang w:eastAsia="en-GB"/>
        </w:rPr>
        <w:t>, pp.87-97.</w:t>
      </w:r>
    </w:p>
    <w:p w14:paraId="0356E966"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Wells, R.D., </w:t>
      </w:r>
      <w:proofErr w:type="spellStart"/>
      <w:r w:rsidRPr="001A65DF">
        <w:rPr>
          <w:rFonts w:eastAsia="Arial" w:cs="Arial"/>
          <w:sz w:val="20"/>
          <w:szCs w:val="20"/>
          <w:lang w:eastAsia="en-GB"/>
        </w:rPr>
        <w:t>TinHan</w:t>
      </w:r>
      <w:proofErr w:type="spellEnd"/>
      <w:r w:rsidRPr="001A65DF">
        <w:rPr>
          <w:rFonts w:eastAsia="Arial" w:cs="Arial"/>
          <w:sz w:val="20"/>
          <w:szCs w:val="20"/>
          <w:lang w:eastAsia="en-GB"/>
        </w:rPr>
        <w:t xml:space="preserve">, T.C., Dance, M.A., Drymon, J.M., Falterman, B., Ajemian, M.J., Stunz, G.W., Mohan, J.A., </w:t>
      </w:r>
      <w:proofErr w:type="spellStart"/>
      <w:r w:rsidRPr="001A65DF">
        <w:rPr>
          <w:rFonts w:eastAsia="Arial" w:cs="Arial"/>
          <w:sz w:val="20"/>
          <w:szCs w:val="20"/>
          <w:lang w:eastAsia="en-GB"/>
        </w:rPr>
        <w:t>Hoffmayer</w:t>
      </w:r>
      <w:proofErr w:type="spellEnd"/>
      <w:r w:rsidRPr="001A65DF">
        <w:rPr>
          <w:rFonts w:eastAsia="Arial" w:cs="Arial"/>
          <w:sz w:val="20"/>
          <w:szCs w:val="20"/>
          <w:lang w:eastAsia="en-GB"/>
        </w:rPr>
        <w:t>, E.R., Driggers III, W.B. and McKinney, J.A., 2018. Movement, behavior, and habitat use of a marine apex predator, the scalloped hammerhead. Frontiers in Marine Science, 5, p.321.</w:t>
      </w:r>
    </w:p>
    <w:p w14:paraId="38449744"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White, W.T., Bartron, C. and Potter, I.C., 2008. Catch composition and reproductive biology of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xml:space="preserve"> (Griffith &amp; </w:t>
      </w:r>
      <w:proofErr w:type="gramStart"/>
      <w:r w:rsidRPr="001A65DF">
        <w:rPr>
          <w:rFonts w:eastAsia="Arial" w:cs="Arial"/>
          <w:sz w:val="20"/>
          <w:szCs w:val="20"/>
          <w:lang w:eastAsia="en-GB"/>
        </w:rPr>
        <w:t>Smith)(</w:t>
      </w:r>
      <w:proofErr w:type="spellStart"/>
      <w:proofErr w:type="gramEnd"/>
      <w:r w:rsidRPr="001A65DF">
        <w:rPr>
          <w:rFonts w:eastAsia="Arial" w:cs="Arial"/>
          <w:sz w:val="20"/>
          <w:szCs w:val="20"/>
          <w:lang w:eastAsia="en-GB"/>
        </w:rPr>
        <w:t>Carcharhiniformes</w:t>
      </w:r>
      <w:proofErr w:type="spellEnd"/>
      <w:r w:rsidRPr="001A65DF">
        <w:rPr>
          <w:rFonts w:eastAsia="Arial" w:cs="Arial"/>
          <w:sz w:val="20"/>
          <w:szCs w:val="20"/>
          <w:lang w:eastAsia="en-GB"/>
        </w:rPr>
        <w:t>, Sphyrnidae) in Indonesian waters. </w:t>
      </w:r>
      <w:r w:rsidRPr="001A65DF">
        <w:rPr>
          <w:rFonts w:eastAsia="Arial" w:cs="Arial"/>
          <w:i/>
          <w:iCs/>
          <w:sz w:val="20"/>
          <w:szCs w:val="20"/>
          <w:lang w:eastAsia="en-GB"/>
        </w:rPr>
        <w:t>Journal of fish biology</w:t>
      </w:r>
      <w:r w:rsidRPr="001A65DF">
        <w:rPr>
          <w:rFonts w:eastAsia="Arial" w:cs="Arial"/>
          <w:sz w:val="20"/>
          <w:szCs w:val="20"/>
          <w:lang w:eastAsia="en-GB"/>
        </w:rPr>
        <w:t>, </w:t>
      </w:r>
      <w:r w:rsidRPr="001A65DF">
        <w:rPr>
          <w:rFonts w:eastAsia="Arial" w:cs="Arial"/>
          <w:i/>
          <w:iCs/>
          <w:sz w:val="20"/>
          <w:szCs w:val="20"/>
          <w:lang w:eastAsia="en-GB"/>
        </w:rPr>
        <w:t>72</w:t>
      </w:r>
      <w:r w:rsidRPr="001A65DF">
        <w:rPr>
          <w:rFonts w:eastAsia="Arial" w:cs="Arial"/>
          <w:sz w:val="20"/>
          <w:szCs w:val="20"/>
          <w:lang w:eastAsia="en-GB"/>
        </w:rPr>
        <w:t>(7), pp.1675-1689.</w:t>
      </w:r>
    </w:p>
    <w:p w14:paraId="3A6BE1CC"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White, E.R., Myers, M.C., Flemming, J.M. and Baum, J.K., 2015. Shifting elasmobranch community assemblage at Cocos Island—an isolated marine protected area. Conservation Biology, 29(4), pp.1186-1197.</w:t>
      </w:r>
    </w:p>
    <w:p w14:paraId="57C21DA2"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Yates, P.M., Heupel, M.R., Tobin, A.J. and Simpfendorfer, C.A., 2015. Ecological drivers of shark distributions along a tropical coastline. </w:t>
      </w:r>
      <w:proofErr w:type="spellStart"/>
      <w:r w:rsidRPr="001A65DF">
        <w:rPr>
          <w:rFonts w:eastAsia="Arial" w:cs="Arial"/>
          <w:i/>
          <w:iCs/>
          <w:sz w:val="20"/>
          <w:szCs w:val="20"/>
          <w:lang w:eastAsia="en-GB"/>
        </w:rPr>
        <w:t>PLoS</w:t>
      </w:r>
      <w:proofErr w:type="spellEnd"/>
      <w:r w:rsidRPr="001A65DF">
        <w:rPr>
          <w:rFonts w:eastAsia="Arial" w:cs="Arial"/>
          <w:i/>
          <w:iCs/>
          <w:sz w:val="20"/>
          <w:szCs w:val="20"/>
          <w:lang w:eastAsia="en-GB"/>
        </w:rPr>
        <w:t xml:space="preserve"> One</w:t>
      </w:r>
      <w:r w:rsidRPr="001A65DF">
        <w:rPr>
          <w:rFonts w:eastAsia="Arial" w:cs="Arial"/>
          <w:sz w:val="20"/>
          <w:szCs w:val="20"/>
          <w:lang w:eastAsia="en-GB"/>
        </w:rPr>
        <w:t>, </w:t>
      </w:r>
      <w:r w:rsidRPr="001A65DF">
        <w:rPr>
          <w:rFonts w:eastAsia="Arial" w:cs="Arial"/>
          <w:i/>
          <w:iCs/>
          <w:sz w:val="20"/>
          <w:szCs w:val="20"/>
          <w:lang w:eastAsia="en-GB"/>
        </w:rPr>
        <w:t>10</w:t>
      </w:r>
      <w:r w:rsidRPr="001A65DF">
        <w:rPr>
          <w:rFonts w:eastAsia="Arial" w:cs="Arial"/>
          <w:sz w:val="20"/>
          <w:szCs w:val="20"/>
          <w:lang w:eastAsia="en-GB"/>
        </w:rPr>
        <w:t>(4), p.e0121346.</w:t>
      </w:r>
    </w:p>
    <w:p w14:paraId="4CF7B77A"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Yates, P.M., Heupel, M.R., Tobin, A.J. and Simpfendorfer, C.A., 2015. </w:t>
      </w:r>
      <w:proofErr w:type="spellStart"/>
      <w:r w:rsidRPr="001A65DF">
        <w:rPr>
          <w:rFonts w:eastAsia="Arial" w:cs="Arial"/>
          <w:sz w:val="20"/>
          <w:szCs w:val="20"/>
          <w:lang w:eastAsia="en-GB"/>
        </w:rPr>
        <w:t>Spatio</w:t>
      </w:r>
      <w:proofErr w:type="spellEnd"/>
      <w:r w:rsidRPr="001A65DF">
        <w:rPr>
          <w:rFonts w:eastAsia="Arial" w:cs="Arial"/>
          <w:sz w:val="20"/>
          <w:szCs w:val="20"/>
          <w:lang w:eastAsia="en-GB"/>
        </w:rPr>
        <w:t>-</w:t>
      </w:r>
      <w:proofErr w:type="gramStart"/>
      <w:r w:rsidRPr="001A65DF">
        <w:rPr>
          <w:rFonts w:eastAsia="Arial" w:cs="Arial"/>
          <w:sz w:val="20"/>
          <w:szCs w:val="20"/>
          <w:lang w:eastAsia="en-GB"/>
        </w:rPr>
        <w:t>temporal occurrence</w:t>
      </w:r>
      <w:proofErr w:type="gramEnd"/>
      <w:r w:rsidRPr="001A65DF">
        <w:rPr>
          <w:rFonts w:eastAsia="Arial" w:cs="Arial"/>
          <w:sz w:val="20"/>
          <w:szCs w:val="20"/>
          <w:lang w:eastAsia="en-GB"/>
        </w:rPr>
        <w:t xml:space="preserve"> patterns of young </w:t>
      </w:r>
      <w:proofErr w:type="gramStart"/>
      <w:r w:rsidRPr="001A65DF">
        <w:rPr>
          <w:rFonts w:eastAsia="Arial" w:cs="Arial"/>
          <w:sz w:val="20"/>
          <w:szCs w:val="20"/>
          <w:lang w:eastAsia="en-GB"/>
        </w:rPr>
        <w:t>sharks</w:t>
      </w:r>
      <w:proofErr w:type="gramEnd"/>
      <w:r w:rsidRPr="001A65DF">
        <w:rPr>
          <w:rFonts w:eastAsia="Arial" w:cs="Arial"/>
          <w:sz w:val="20"/>
          <w:szCs w:val="20"/>
          <w:lang w:eastAsia="en-GB"/>
        </w:rPr>
        <w:t xml:space="preserve"> in tropical coastal waters. </w:t>
      </w:r>
      <w:r w:rsidRPr="001A65DF">
        <w:rPr>
          <w:rFonts w:eastAsia="Arial" w:cs="Arial"/>
          <w:i/>
          <w:iCs/>
          <w:sz w:val="20"/>
          <w:szCs w:val="20"/>
          <w:lang w:eastAsia="en-GB"/>
        </w:rPr>
        <w:t>Estuaries and Coasts</w:t>
      </w:r>
      <w:r w:rsidRPr="001A65DF">
        <w:rPr>
          <w:rFonts w:eastAsia="Arial" w:cs="Arial"/>
          <w:sz w:val="20"/>
          <w:szCs w:val="20"/>
          <w:lang w:eastAsia="en-GB"/>
        </w:rPr>
        <w:t>, </w:t>
      </w:r>
      <w:r w:rsidRPr="001A65DF">
        <w:rPr>
          <w:rFonts w:eastAsia="Arial" w:cs="Arial"/>
          <w:i/>
          <w:iCs/>
          <w:sz w:val="20"/>
          <w:szCs w:val="20"/>
          <w:lang w:eastAsia="en-GB"/>
        </w:rPr>
        <w:t>38</w:t>
      </w:r>
      <w:r w:rsidRPr="001A65DF">
        <w:rPr>
          <w:rFonts w:eastAsia="Arial" w:cs="Arial"/>
          <w:sz w:val="20"/>
          <w:szCs w:val="20"/>
          <w:lang w:eastAsia="en-GB"/>
        </w:rPr>
        <w:t>(6), pp.2019-2030.</w:t>
      </w:r>
    </w:p>
    <w:p w14:paraId="5646A52D" w14:textId="77777777" w:rsidR="001A65DF" w:rsidRPr="001A65DF" w:rsidRDefault="001A65DF" w:rsidP="001A65DF">
      <w:pPr>
        <w:spacing w:before="96" w:after="0" w:line="240" w:lineRule="auto"/>
        <w:ind w:left="425" w:hanging="425"/>
        <w:jc w:val="both"/>
        <w:rPr>
          <w:rFonts w:eastAsia="Arial" w:cs="Arial"/>
          <w:sz w:val="20"/>
          <w:szCs w:val="20"/>
          <w:lang w:val="es-ES" w:eastAsia="en-GB"/>
        </w:rPr>
      </w:pPr>
      <w:r w:rsidRPr="001A65DF">
        <w:rPr>
          <w:rFonts w:eastAsia="Arial" w:cs="Arial"/>
          <w:sz w:val="20"/>
          <w:szCs w:val="20"/>
          <w:lang w:eastAsia="en-GB"/>
        </w:rPr>
        <w:t xml:space="preserve">Zanella, I. and López-Garro, A., 2015. Abundance, reproduction and length of scalloped hammerhead shark Sphyrna </w:t>
      </w:r>
      <w:proofErr w:type="spellStart"/>
      <w:r w:rsidRPr="001A65DF">
        <w:rPr>
          <w:rFonts w:eastAsia="Arial" w:cs="Arial"/>
          <w:sz w:val="20"/>
          <w:szCs w:val="20"/>
          <w:lang w:eastAsia="en-GB"/>
        </w:rPr>
        <w:t>lewini</w:t>
      </w:r>
      <w:proofErr w:type="spellEnd"/>
      <w:r w:rsidRPr="001A65DF">
        <w:rPr>
          <w:rFonts w:eastAsia="Arial" w:cs="Arial"/>
          <w:sz w:val="20"/>
          <w:szCs w:val="20"/>
          <w:lang w:eastAsia="en-GB"/>
        </w:rPr>
        <w:t xml:space="preserve"> (</w:t>
      </w:r>
      <w:proofErr w:type="spellStart"/>
      <w:r w:rsidRPr="001A65DF">
        <w:rPr>
          <w:rFonts w:eastAsia="Arial" w:cs="Arial"/>
          <w:sz w:val="20"/>
          <w:szCs w:val="20"/>
          <w:lang w:eastAsia="en-GB"/>
        </w:rPr>
        <w:t>Carcharhiniformes</w:t>
      </w:r>
      <w:proofErr w:type="spellEnd"/>
      <w:r w:rsidRPr="001A65DF">
        <w:rPr>
          <w:rFonts w:eastAsia="Arial" w:cs="Arial"/>
          <w:sz w:val="20"/>
          <w:szCs w:val="20"/>
          <w:lang w:eastAsia="en-GB"/>
        </w:rPr>
        <w:t>: Sphyrnidae) in the artisanal fishery in Golfo Dulce, Pacific of Costa Rica. </w:t>
      </w:r>
      <w:r w:rsidRPr="001A65DF">
        <w:rPr>
          <w:rFonts w:eastAsia="Arial" w:cs="Arial"/>
          <w:sz w:val="20"/>
          <w:szCs w:val="20"/>
          <w:lang w:val="es-ES" w:eastAsia="en-GB"/>
        </w:rPr>
        <w:t>Revista de Biología Tropical, 63, pp.307-317.</w:t>
      </w:r>
    </w:p>
    <w:p w14:paraId="5B52795D" w14:textId="77777777" w:rsidR="001A65DF" w:rsidRPr="001A65DF" w:rsidRDefault="001A65DF" w:rsidP="001A65DF">
      <w:pPr>
        <w:spacing w:after="0" w:line="240" w:lineRule="auto"/>
        <w:jc w:val="both"/>
        <w:rPr>
          <w:rFonts w:eastAsia="Arial" w:cs="Arial"/>
          <w:lang w:val="es-ES" w:eastAsia="en-GB"/>
        </w:rPr>
      </w:pPr>
    </w:p>
    <w:p w14:paraId="74B62806" w14:textId="77777777" w:rsidR="00267186" w:rsidRDefault="00267186" w:rsidP="001A65DF">
      <w:pPr>
        <w:spacing w:after="0" w:line="240" w:lineRule="auto"/>
        <w:jc w:val="both"/>
        <w:rPr>
          <w:rFonts w:eastAsia="Arial" w:cs="Arial"/>
          <w:lang w:val="es-ES" w:eastAsia="en-GB"/>
        </w:rPr>
        <w:sectPr w:rsidR="00267186" w:rsidSect="00323406">
          <w:headerReference w:type="even" r:id="rId28"/>
          <w:headerReference w:type="default" r:id="rId29"/>
          <w:footerReference w:type="even" r:id="rId30"/>
          <w:footerReference w:type="default" r:id="rId31"/>
          <w:headerReference w:type="first" r:id="rId32"/>
          <w:footerReference w:type="first" r:id="rId33"/>
          <w:pgSz w:w="11906" w:h="16838" w:code="9"/>
          <w:pgMar w:top="1440" w:right="1440" w:bottom="1440" w:left="1440" w:header="720" w:footer="720" w:gutter="0"/>
          <w:cols w:space="720"/>
          <w:titlePg/>
          <w:docGrid w:linePitch="360"/>
        </w:sectPr>
      </w:pPr>
    </w:p>
    <w:p w14:paraId="15C186F4" w14:textId="2B8F58C0" w:rsidR="001A65DF" w:rsidRPr="001A65DF" w:rsidRDefault="000437B7" w:rsidP="00267186">
      <w:pPr>
        <w:spacing w:after="0" w:line="240" w:lineRule="auto"/>
        <w:ind w:left="540" w:hanging="540"/>
        <w:jc w:val="right"/>
        <w:rPr>
          <w:rFonts w:eastAsia="Arial" w:cs="Arial"/>
          <w:b/>
          <w:u w:val="single"/>
          <w:lang w:val="es-ES" w:eastAsia="en-GB"/>
        </w:rPr>
      </w:pPr>
      <w:r>
        <w:rPr>
          <w:rFonts w:eastAsia="Arial" w:cs="Arial"/>
          <w:b/>
          <w:u w:val="single"/>
          <w:lang w:val="es-ES" w:eastAsia="en-GB"/>
        </w:rPr>
        <w:t>A</w:t>
      </w:r>
      <w:r w:rsidR="001A65DF" w:rsidRPr="001A65DF">
        <w:rPr>
          <w:rFonts w:eastAsia="Arial" w:cs="Arial"/>
          <w:b/>
          <w:u w:val="single"/>
          <w:lang w:val="es-ES" w:eastAsia="en-GB"/>
        </w:rPr>
        <w:t>n</w:t>
      </w:r>
      <w:r>
        <w:rPr>
          <w:rFonts w:eastAsia="Arial" w:cs="Arial"/>
          <w:b/>
          <w:u w:val="single"/>
          <w:lang w:val="es-ES" w:eastAsia="en-GB"/>
        </w:rPr>
        <w:t>exo</w:t>
      </w:r>
      <w:r w:rsidR="001A65DF" w:rsidRPr="001A65DF">
        <w:rPr>
          <w:rFonts w:eastAsia="Arial" w:cs="Arial"/>
          <w:b/>
          <w:u w:val="single"/>
          <w:lang w:val="es-ES" w:eastAsia="en-GB"/>
        </w:rPr>
        <w:t xml:space="preserve"> I.</w:t>
      </w:r>
    </w:p>
    <w:p w14:paraId="3C6301C7" w14:textId="77777777" w:rsidR="001A65DF" w:rsidRPr="001A65DF" w:rsidRDefault="001A65DF" w:rsidP="001A65DF">
      <w:pPr>
        <w:spacing w:before="272" w:line="240" w:lineRule="auto"/>
        <w:rPr>
          <w:rFonts w:eastAsia="Arial" w:cs="Arial"/>
          <w:i/>
          <w:lang w:val="es-ES" w:eastAsia="en-GB"/>
        </w:rPr>
      </w:pPr>
      <w:proofErr w:type="spellStart"/>
      <w:r w:rsidRPr="001A65DF">
        <w:rPr>
          <w:rFonts w:eastAsia="Arial" w:cs="Arial"/>
          <w:lang w:val="es-ES" w:eastAsia="en-GB"/>
        </w:rPr>
        <w:t>Population</w:t>
      </w:r>
      <w:proofErr w:type="spellEnd"/>
      <w:r w:rsidRPr="001A65DF">
        <w:rPr>
          <w:rFonts w:eastAsia="Arial" w:cs="Arial"/>
          <w:lang w:val="es-ES" w:eastAsia="en-GB"/>
        </w:rPr>
        <w:t xml:space="preserve"> </w:t>
      </w:r>
      <w:proofErr w:type="spellStart"/>
      <w:r w:rsidRPr="001A65DF">
        <w:rPr>
          <w:rFonts w:eastAsia="Arial" w:cs="Arial"/>
          <w:lang w:val="es-ES" w:eastAsia="en-GB"/>
        </w:rPr>
        <w:t>dynamics</w:t>
      </w:r>
      <w:proofErr w:type="spellEnd"/>
      <w:r w:rsidRPr="001A65DF">
        <w:rPr>
          <w:rFonts w:eastAsia="Arial" w:cs="Arial"/>
          <w:lang w:val="es-ES" w:eastAsia="en-GB"/>
        </w:rPr>
        <w:t xml:space="preserve"> of </w:t>
      </w:r>
      <w:r w:rsidRPr="001A65DF">
        <w:rPr>
          <w:rFonts w:eastAsia="Arial" w:cs="Arial"/>
          <w:i/>
          <w:lang w:val="es-ES" w:eastAsia="en-GB"/>
        </w:rPr>
        <w:t xml:space="preserve">S. </w:t>
      </w:r>
      <w:proofErr w:type="spellStart"/>
      <w:r w:rsidRPr="001A65DF">
        <w:rPr>
          <w:rFonts w:eastAsia="Arial" w:cs="Arial"/>
          <w:i/>
          <w:lang w:val="es-ES" w:eastAsia="en-GB"/>
        </w:rPr>
        <w:t>lewini</w:t>
      </w:r>
      <w:proofErr w:type="spellEnd"/>
    </w:p>
    <w:tbl>
      <w:tblPr>
        <w:tblpPr w:leftFromText="180" w:rightFromText="180" w:vertAnchor="text" w:tblpY="49"/>
        <w:tblW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4052"/>
        <w:gridCol w:w="2895"/>
      </w:tblGrid>
      <w:tr w:rsidR="001A65DF" w:rsidRPr="001A65DF" w14:paraId="41C6BD6D" w14:textId="77777777" w:rsidTr="00436783">
        <w:trPr>
          <w:trHeight w:val="1251"/>
        </w:trPr>
        <w:tc>
          <w:tcPr>
            <w:tcW w:w="2268" w:type="dxa"/>
            <w:tcBorders>
              <w:bottom w:val="nil"/>
            </w:tcBorders>
          </w:tcPr>
          <w:p w14:paraId="3D47FF8B" w14:textId="77777777" w:rsidR="001A65DF" w:rsidRPr="001A65DF" w:rsidRDefault="001A65DF" w:rsidP="001A65DF">
            <w:pPr>
              <w:widowControl w:val="0"/>
              <w:pBdr>
                <w:top w:val="nil"/>
                <w:left w:val="nil"/>
                <w:bottom w:val="nil"/>
                <w:right w:val="nil"/>
                <w:between w:val="nil"/>
              </w:pBdr>
              <w:spacing w:after="0" w:line="224" w:lineRule="auto"/>
              <w:ind w:left="107"/>
              <w:rPr>
                <w:rFonts w:eastAsia="Arial" w:cs="Arial"/>
                <w:lang w:eastAsia="en-GB"/>
              </w:rPr>
            </w:pPr>
            <w:r w:rsidRPr="001A65DF">
              <w:rPr>
                <w:rFonts w:eastAsia="Arial" w:cs="Arial"/>
                <w:lang w:eastAsia="en-GB"/>
              </w:rPr>
              <w:t>Growth curve</w:t>
            </w:r>
          </w:p>
          <w:p w14:paraId="0E233F95" w14:textId="77777777" w:rsidR="001A65DF" w:rsidRPr="001A65DF" w:rsidRDefault="001A65DF" w:rsidP="001A65DF">
            <w:pPr>
              <w:widowControl w:val="0"/>
              <w:pBdr>
                <w:top w:val="nil"/>
                <w:left w:val="nil"/>
                <w:bottom w:val="nil"/>
                <w:right w:val="nil"/>
                <w:between w:val="nil"/>
              </w:pBdr>
              <w:spacing w:after="0" w:line="248" w:lineRule="auto"/>
              <w:ind w:left="107"/>
              <w:rPr>
                <w:rFonts w:eastAsia="Arial" w:cs="Arial"/>
                <w:lang w:eastAsia="en-GB"/>
              </w:rPr>
            </w:pPr>
            <w:r w:rsidRPr="001A65DF">
              <w:rPr>
                <w:rFonts w:eastAsia="Arial" w:cs="Arial"/>
                <w:lang w:eastAsia="en-GB"/>
              </w:rPr>
              <w:t xml:space="preserve">(von </w:t>
            </w:r>
            <w:proofErr w:type="spellStart"/>
            <w:r w:rsidRPr="001A65DF">
              <w:rPr>
                <w:rFonts w:eastAsia="Arial" w:cs="Arial"/>
                <w:lang w:eastAsia="en-GB"/>
              </w:rPr>
              <w:t>Bertalanffy</w:t>
            </w:r>
            <w:proofErr w:type="spellEnd"/>
            <w:r w:rsidRPr="001A65DF">
              <w:rPr>
                <w:rFonts w:eastAsia="Arial" w:cs="Arial"/>
                <w:lang w:eastAsia="en-GB"/>
              </w:rPr>
              <w:t xml:space="preserve"> k)</w:t>
            </w:r>
          </w:p>
        </w:tc>
        <w:tc>
          <w:tcPr>
            <w:tcW w:w="4052" w:type="dxa"/>
            <w:tcBorders>
              <w:bottom w:val="nil"/>
            </w:tcBorders>
          </w:tcPr>
          <w:p w14:paraId="794AE090" w14:textId="77777777" w:rsidR="001A65DF" w:rsidRPr="001A65DF" w:rsidRDefault="001A65DF" w:rsidP="001A65DF">
            <w:pPr>
              <w:widowControl w:val="0"/>
              <w:pBdr>
                <w:top w:val="nil"/>
                <w:left w:val="nil"/>
                <w:bottom w:val="nil"/>
                <w:right w:val="nil"/>
                <w:between w:val="nil"/>
              </w:pBdr>
              <w:tabs>
                <w:tab w:val="left" w:pos="1164"/>
              </w:tabs>
              <w:spacing w:after="0" w:line="161" w:lineRule="auto"/>
              <w:ind w:left="107"/>
              <w:rPr>
                <w:rFonts w:eastAsia="Arial" w:cs="Arial"/>
                <w:lang w:eastAsia="en-GB"/>
              </w:rPr>
            </w:pPr>
            <w:r w:rsidRPr="001A65DF">
              <w:rPr>
                <w:rFonts w:eastAsia="Arial" w:cs="Arial"/>
                <w:lang w:eastAsia="en-GB"/>
              </w:rPr>
              <w:t>0.13 year</w:t>
            </w:r>
            <w:r w:rsidRPr="001A65DF">
              <w:rPr>
                <w:rFonts w:eastAsia="Arial" w:cs="Arial"/>
                <w:lang w:eastAsia="en-GB"/>
              </w:rPr>
              <w:tab/>
              <w:t>(M, Atlantic NW)</w:t>
            </w:r>
          </w:p>
          <w:p w14:paraId="4895DF4F" w14:textId="77777777" w:rsidR="001A65DF" w:rsidRPr="001A65DF" w:rsidRDefault="001A65DF" w:rsidP="001A65DF">
            <w:pPr>
              <w:widowControl w:val="0"/>
              <w:pBdr>
                <w:top w:val="nil"/>
                <w:left w:val="nil"/>
                <w:bottom w:val="nil"/>
                <w:right w:val="nil"/>
                <w:between w:val="nil"/>
              </w:pBdr>
              <w:spacing w:after="0" w:line="294" w:lineRule="auto"/>
              <w:ind w:left="107"/>
              <w:rPr>
                <w:rFonts w:eastAsia="Arial" w:cs="Arial"/>
                <w:lang w:eastAsia="en-GB"/>
              </w:rPr>
            </w:pPr>
            <w:r w:rsidRPr="001A65DF">
              <w:rPr>
                <w:rFonts w:eastAsia="Arial" w:cs="Arial"/>
                <w:lang w:eastAsia="en-GB"/>
              </w:rPr>
              <w:t xml:space="preserve">0.09 year </w:t>
            </w:r>
            <w:r w:rsidRPr="001A65DF">
              <w:rPr>
                <w:rFonts w:eastAsia="Arial" w:cs="Arial"/>
                <w:vertAlign w:val="superscript"/>
                <w:lang w:eastAsia="en-GB"/>
              </w:rPr>
              <w:t xml:space="preserve">-1 </w:t>
            </w:r>
            <w:r w:rsidRPr="001A65DF">
              <w:rPr>
                <w:rFonts w:eastAsia="Arial" w:cs="Arial"/>
                <w:lang w:eastAsia="en-GB"/>
              </w:rPr>
              <w:t>(F, Atlantic NW)</w:t>
            </w:r>
          </w:p>
          <w:p w14:paraId="38A4C23A" w14:textId="77777777" w:rsidR="001A65DF" w:rsidRPr="001A65DF" w:rsidRDefault="001A65DF" w:rsidP="001A65DF">
            <w:pPr>
              <w:widowControl w:val="0"/>
              <w:pBdr>
                <w:top w:val="nil"/>
                <w:left w:val="nil"/>
                <w:bottom w:val="nil"/>
                <w:right w:val="nil"/>
                <w:between w:val="nil"/>
              </w:pBdr>
              <w:spacing w:before="105" w:after="0" w:line="291" w:lineRule="auto"/>
              <w:ind w:left="107"/>
              <w:rPr>
                <w:rFonts w:eastAsia="Arial" w:cs="Arial"/>
                <w:lang w:eastAsia="en-GB"/>
              </w:rPr>
            </w:pPr>
            <w:r w:rsidRPr="001A65DF">
              <w:rPr>
                <w:rFonts w:eastAsia="Arial" w:cs="Arial"/>
                <w:lang w:eastAsia="en-GB"/>
              </w:rPr>
              <w:t xml:space="preserve">0.13 year </w:t>
            </w:r>
            <w:r w:rsidRPr="001A65DF">
              <w:rPr>
                <w:rFonts w:eastAsia="Arial" w:cs="Arial"/>
                <w:vertAlign w:val="superscript"/>
                <w:lang w:eastAsia="en-GB"/>
              </w:rPr>
              <w:t xml:space="preserve">-1 </w:t>
            </w:r>
            <w:r w:rsidRPr="001A65DF">
              <w:rPr>
                <w:rFonts w:eastAsia="Arial" w:cs="Arial"/>
                <w:lang w:eastAsia="en-GB"/>
              </w:rPr>
              <w:t>(M, Eastern Pacific)</w:t>
            </w:r>
          </w:p>
          <w:p w14:paraId="23BBED75" w14:textId="77777777" w:rsidR="001A65DF" w:rsidRPr="001A65DF" w:rsidRDefault="001A65DF" w:rsidP="001A65DF">
            <w:pPr>
              <w:widowControl w:val="0"/>
              <w:pBdr>
                <w:top w:val="nil"/>
                <w:left w:val="nil"/>
                <w:bottom w:val="nil"/>
                <w:right w:val="nil"/>
                <w:between w:val="nil"/>
              </w:pBdr>
              <w:spacing w:after="0" w:line="301" w:lineRule="auto"/>
              <w:ind w:left="107"/>
              <w:rPr>
                <w:rFonts w:eastAsia="Arial" w:cs="Arial"/>
                <w:lang w:eastAsia="en-GB"/>
              </w:rPr>
            </w:pPr>
            <w:r w:rsidRPr="001A65DF">
              <w:rPr>
                <w:rFonts w:eastAsia="Arial" w:cs="Arial"/>
                <w:lang w:eastAsia="en-GB"/>
              </w:rPr>
              <w:t xml:space="preserve">0.15 year </w:t>
            </w:r>
            <w:r w:rsidRPr="001A65DF">
              <w:rPr>
                <w:rFonts w:eastAsia="Arial" w:cs="Arial"/>
                <w:vertAlign w:val="superscript"/>
                <w:lang w:eastAsia="en-GB"/>
              </w:rPr>
              <w:t xml:space="preserve">-1 </w:t>
            </w:r>
            <w:r w:rsidRPr="001A65DF">
              <w:rPr>
                <w:rFonts w:eastAsia="Arial" w:cs="Arial"/>
                <w:lang w:eastAsia="en-GB"/>
              </w:rPr>
              <w:t>(F, Eastern Pacific)</w:t>
            </w:r>
          </w:p>
        </w:tc>
        <w:tc>
          <w:tcPr>
            <w:tcW w:w="2895" w:type="dxa"/>
            <w:tcBorders>
              <w:bottom w:val="nil"/>
            </w:tcBorders>
          </w:tcPr>
          <w:p w14:paraId="7B9178CB" w14:textId="77777777" w:rsidR="001A65DF" w:rsidRPr="001A65DF" w:rsidRDefault="001A65DF" w:rsidP="001A65DF">
            <w:pPr>
              <w:widowControl w:val="0"/>
              <w:pBdr>
                <w:top w:val="nil"/>
                <w:left w:val="nil"/>
                <w:bottom w:val="nil"/>
                <w:right w:val="nil"/>
                <w:between w:val="nil"/>
              </w:pBdr>
              <w:spacing w:after="0" w:line="224" w:lineRule="auto"/>
              <w:ind w:left="105"/>
              <w:rPr>
                <w:rFonts w:eastAsia="Arial" w:cs="Arial"/>
                <w:lang w:val="es-ES" w:eastAsia="en-GB"/>
              </w:rPr>
            </w:pPr>
            <w:proofErr w:type="spellStart"/>
            <w:r w:rsidRPr="001A65DF">
              <w:rPr>
                <w:rFonts w:eastAsia="Arial" w:cs="Arial"/>
                <w:lang w:val="es-ES" w:eastAsia="en-GB"/>
              </w:rPr>
              <w:t>Piercy</w:t>
            </w:r>
            <w:proofErr w:type="spellEnd"/>
            <w:r w:rsidRPr="001A65DF">
              <w:rPr>
                <w:rFonts w:eastAsia="Arial" w:cs="Arial"/>
                <w:lang w:val="es-ES" w:eastAsia="en-GB"/>
              </w:rPr>
              <w:t xml:space="preserve"> et al, (2007)</w:t>
            </w:r>
          </w:p>
          <w:p w14:paraId="16D3F50A" w14:textId="77777777" w:rsidR="001A65DF" w:rsidRPr="001A65DF" w:rsidRDefault="001A65DF" w:rsidP="001A65DF">
            <w:pPr>
              <w:widowControl w:val="0"/>
              <w:pBdr>
                <w:top w:val="nil"/>
                <w:left w:val="nil"/>
                <w:bottom w:val="nil"/>
                <w:right w:val="nil"/>
                <w:between w:val="nil"/>
              </w:pBdr>
              <w:spacing w:before="7" w:after="0" w:line="225" w:lineRule="auto"/>
              <w:ind w:left="105" w:right="359"/>
              <w:rPr>
                <w:rFonts w:eastAsia="Arial" w:cs="Arial"/>
                <w:lang w:val="es-ES" w:eastAsia="en-GB"/>
              </w:rPr>
            </w:pPr>
            <w:r w:rsidRPr="001A65DF">
              <w:rPr>
                <w:rFonts w:eastAsia="Arial" w:cs="Arial"/>
                <w:lang w:val="es-ES" w:eastAsia="en-GB"/>
              </w:rPr>
              <w:t>Tolentino &amp; Mendoza (2001)</w:t>
            </w:r>
          </w:p>
          <w:p w14:paraId="5C6C4CAF" w14:textId="77777777" w:rsidR="001A65DF" w:rsidRPr="001A65DF" w:rsidRDefault="001A65DF" w:rsidP="001A65DF">
            <w:pPr>
              <w:widowControl w:val="0"/>
              <w:pBdr>
                <w:top w:val="nil"/>
                <w:left w:val="nil"/>
                <w:bottom w:val="nil"/>
                <w:right w:val="nil"/>
                <w:between w:val="nil"/>
              </w:pBdr>
              <w:spacing w:after="0" w:line="246" w:lineRule="auto"/>
              <w:ind w:left="105"/>
              <w:rPr>
                <w:rFonts w:eastAsia="Arial" w:cs="Arial"/>
                <w:lang w:val="es-ES" w:eastAsia="en-GB"/>
              </w:rPr>
            </w:pPr>
            <w:r w:rsidRPr="001A65DF">
              <w:rPr>
                <w:rFonts w:eastAsia="Arial" w:cs="Arial"/>
                <w:lang w:val="es-ES" w:eastAsia="en-GB"/>
              </w:rPr>
              <w:t>Chen et al (1990)</w:t>
            </w:r>
          </w:p>
        </w:tc>
      </w:tr>
      <w:tr w:rsidR="001A65DF" w:rsidRPr="001A65DF" w14:paraId="0657E922" w14:textId="77777777" w:rsidTr="00436783">
        <w:trPr>
          <w:trHeight w:val="586"/>
        </w:trPr>
        <w:tc>
          <w:tcPr>
            <w:tcW w:w="2268" w:type="dxa"/>
            <w:tcBorders>
              <w:top w:val="nil"/>
            </w:tcBorders>
          </w:tcPr>
          <w:p w14:paraId="005DCF00" w14:textId="77777777" w:rsidR="001A65DF" w:rsidRPr="001A65DF" w:rsidRDefault="001A65DF" w:rsidP="001A65DF">
            <w:pPr>
              <w:widowControl w:val="0"/>
              <w:pBdr>
                <w:top w:val="nil"/>
                <w:left w:val="nil"/>
                <w:bottom w:val="nil"/>
                <w:right w:val="nil"/>
                <w:between w:val="nil"/>
              </w:pBdr>
              <w:spacing w:after="0" w:line="240" w:lineRule="auto"/>
              <w:rPr>
                <w:rFonts w:eastAsia="Arial" w:cs="Arial"/>
                <w:lang w:val="es-ES" w:eastAsia="en-GB"/>
              </w:rPr>
            </w:pPr>
          </w:p>
        </w:tc>
        <w:tc>
          <w:tcPr>
            <w:tcW w:w="4052" w:type="dxa"/>
            <w:tcBorders>
              <w:top w:val="nil"/>
            </w:tcBorders>
          </w:tcPr>
          <w:p w14:paraId="29DAE2A8" w14:textId="77777777" w:rsidR="001A65DF" w:rsidRPr="001A65DF" w:rsidRDefault="001A65DF" w:rsidP="001A65DF">
            <w:pPr>
              <w:widowControl w:val="0"/>
              <w:pBdr>
                <w:top w:val="nil"/>
                <w:left w:val="nil"/>
                <w:bottom w:val="nil"/>
                <w:right w:val="nil"/>
                <w:between w:val="nil"/>
              </w:pBdr>
              <w:spacing w:after="0" w:line="291" w:lineRule="auto"/>
              <w:ind w:left="107"/>
              <w:rPr>
                <w:rFonts w:eastAsia="Arial" w:cs="Arial"/>
                <w:lang w:eastAsia="en-GB"/>
              </w:rPr>
            </w:pPr>
            <w:r w:rsidRPr="001A65DF">
              <w:rPr>
                <w:rFonts w:eastAsia="Arial" w:cs="Arial"/>
                <w:lang w:eastAsia="en-GB"/>
              </w:rPr>
              <w:t xml:space="preserve">0.22 year </w:t>
            </w:r>
            <w:r w:rsidRPr="001A65DF">
              <w:rPr>
                <w:rFonts w:eastAsia="Arial" w:cs="Arial"/>
                <w:vertAlign w:val="superscript"/>
                <w:lang w:eastAsia="en-GB"/>
              </w:rPr>
              <w:t xml:space="preserve">-1 </w:t>
            </w:r>
            <w:r w:rsidRPr="001A65DF">
              <w:rPr>
                <w:rFonts w:eastAsia="Arial" w:cs="Arial"/>
                <w:lang w:eastAsia="en-GB"/>
              </w:rPr>
              <w:t>(M, Western Pacific)</w:t>
            </w:r>
          </w:p>
          <w:p w14:paraId="4D360E97" w14:textId="77777777" w:rsidR="001A65DF" w:rsidRPr="001A65DF" w:rsidRDefault="001A65DF" w:rsidP="001A65DF">
            <w:pPr>
              <w:widowControl w:val="0"/>
              <w:pBdr>
                <w:top w:val="nil"/>
                <w:left w:val="nil"/>
                <w:bottom w:val="nil"/>
                <w:right w:val="nil"/>
                <w:between w:val="nil"/>
              </w:pBdr>
              <w:spacing w:after="0" w:line="276" w:lineRule="auto"/>
              <w:ind w:left="107"/>
              <w:rPr>
                <w:rFonts w:eastAsia="Arial" w:cs="Arial"/>
                <w:lang w:eastAsia="en-GB"/>
              </w:rPr>
            </w:pPr>
            <w:r w:rsidRPr="001A65DF">
              <w:rPr>
                <w:rFonts w:eastAsia="Arial" w:cs="Arial"/>
                <w:lang w:eastAsia="en-GB"/>
              </w:rPr>
              <w:t xml:space="preserve">0.25 year </w:t>
            </w:r>
            <w:r w:rsidRPr="001A65DF">
              <w:rPr>
                <w:rFonts w:eastAsia="Arial" w:cs="Arial"/>
                <w:vertAlign w:val="superscript"/>
                <w:lang w:eastAsia="en-GB"/>
              </w:rPr>
              <w:t xml:space="preserve">-1 </w:t>
            </w:r>
            <w:r w:rsidRPr="001A65DF">
              <w:rPr>
                <w:rFonts w:eastAsia="Arial" w:cs="Arial"/>
                <w:lang w:eastAsia="en-GB"/>
              </w:rPr>
              <w:t>(F, Western Pacific)</w:t>
            </w:r>
          </w:p>
          <w:p w14:paraId="2DDA8AA0" w14:textId="77777777" w:rsidR="001A65DF" w:rsidRPr="001A65DF" w:rsidRDefault="001A65DF" w:rsidP="001A65DF">
            <w:pPr>
              <w:widowControl w:val="0"/>
              <w:pBdr>
                <w:top w:val="nil"/>
                <w:left w:val="nil"/>
                <w:bottom w:val="nil"/>
                <w:right w:val="nil"/>
                <w:between w:val="nil"/>
              </w:pBdr>
              <w:spacing w:after="0" w:line="276" w:lineRule="auto"/>
              <w:ind w:left="107"/>
              <w:rPr>
                <w:rFonts w:eastAsia="Arial" w:cs="Arial"/>
                <w:lang w:val="en" w:eastAsia="en-GB"/>
              </w:rPr>
            </w:pPr>
            <w:r w:rsidRPr="001A65DF">
              <w:rPr>
                <w:rFonts w:eastAsia="Arial" w:cs="Arial"/>
                <w:lang w:val="en" w:eastAsia="en-GB"/>
              </w:rPr>
              <w:t>0.05 year</w:t>
            </w:r>
            <w:r w:rsidRPr="001A65DF">
              <w:rPr>
                <w:rFonts w:eastAsia="Arial" w:cs="Arial"/>
                <w:vertAlign w:val="superscript"/>
                <w:lang w:val="en" w:eastAsia="en-GB"/>
              </w:rPr>
              <w:t xml:space="preserve">-1 </w:t>
            </w:r>
            <w:r w:rsidRPr="001A65DF">
              <w:rPr>
                <w:rFonts w:eastAsia="Arial" w:cs="Arial"/>
                <w:lang w:val="en" w:eastAsia="en-GB"/>
              </w:rPr>
              <w:t xml:space="preserve">(M, Atlantic SW) </w:t>
            </w:r>
          </w:p>
          <w:p w14:paraId="3404F8D0" w14:textId="77777777" w:rsidR="001A65DF" w:rsidRPr="001A65DF" w:rsidRDefault="001A65DF" w:rsidP="001A65DF">
            <w:pPr>
              <w:widowControl w:val="0"/>
              <w:pBdr>
                <w:top w:val="nil"/>
                <w:left w:val="nil"/>
                <w:bottom w:val="nil"/>
                <w:right w:val="nil"/>
                <w:between w:val="nil"/>
              </w:pBdr>
              <w:spacing w:after="0" w:line="276" w:lineRule="auto"/>
              <w:ind w:left="107"/>
              <w:rPr>
                <w:rFonts w:eastAsia="Arial" w:cs="Arial"/>
                <w:lang w:eastAsia="en-GB"/>
              </w:rPr>
            </w:pPr>
            <w:r w:rsidRPr="001A65DF">
              <w:rPr>
                <w:rFonts w:eastAsia="Arial" w:cs="Arial"/>
                <w:lang w:val="en" w:eastAsia="en-GB"/>
              </w:rPr>
              <w:t>0.05 year</w:t>
            </w:r>
            <w:r w:rsidRPr="001A65DF">
              <w:rPr>
                <w:rFonts w:eastAsia="Arial" w:cs="Arial"/>
                <w:vertAlign w:val="superscript"/>
                <w:lang w:val="en" w:eastAsia="en-GB"/>
              </w:rPr>
              <w:t xml:space="preserve">-1 </w:t>
            </w:r>
            <w:r w:rsidRPr="001A65DF">
              <w:rPr>
                <w:rFonts w:eastAsia="Arial" w:cs="Arial"/>
                <w:lang w:val="en" w:eastAsia="en-GB"/>
              </w:rPr>
              <w:t>(F, Atlantic SW)</w:t>
            </w:r>
          </w:p>
        </w:tc>
        <w:tc>
          <w:tcPr>
            <w:tcW w:w="2895" w:type="dxa"/>
            <w:tcBorders>
              <w:top w:val="nil"/>
            </w:tcBorders>
          </w:tcPr>
          <w:p w14:paraId="3DCA117D" w14:textId="77777777" w:rsidR="001A65DF" w:rsidRPr="001A65DF" w:rsidRDefault="001A65DF" w:rsidP="001A65DF">
            <w:pPr>
              <w:widowControl w:val="0"/>
              <w:pBdr>
                <w:top w:val="nil"/>
                <w:left w:val="nil"/>
                <w:bottom w:val="nil"/>
                <w:right w:val="nil"/>
                <w:between w:val="nil"/>
              </w:pBdr>
              <w:spacing w:after="0" w:line="240" w:lineRule="auto"/>
              <w:rPr>
                <w:rFonts w:eastAsia="Arial" w:cs="Arial"/>
                <w:lang w:eastAsia="en-GB"/>
              </w:rPr>
            </w:pPr>
            <w:r w:rsidRPr="001A65DF">
              <w:rPr>
                <w:rFonts w:eastAsia="Arial" w:cs="Arial"/>
                <w:lang w:val="en" w:eastAsia="en-GB"/>
              </w:rPr>
              <w:t>Kotas et al (2011)</w:t>
            </w:r>
          </w:p>
          <w:p w14:paraId="0C0DBEA8" w14:textId="77777777" w:rsidR="001A65DF" w:rsidRPr="001A65DF" w:rsidRDefault="001A65DF" w:rsidP="001A65DF">
            <w:pPr>
              <w:tabs>
                <w:tab w:val="left" w:pos="1980"/>
              </w:tabs>
              <w:spacing w:line="240" w:lineRule="auto"/>
              <w:rPr>
                <w:rFonts w:eastAsia="Arial" w:cs="Arial"/>
                <w:lang w:eastAsia="en-GB"/>
              </w:rPr>
            </w:pPr>
            <w:r w:rsidRPr="001A65DF">
              <w:rPr>
                <w:rFonts w:eastAsia="Arial" w:cs="Arial"/>
                <w:lang w:eastAsia="en-GB"/>
              </w:rPr>
              <w:tab/>
            </w:r>
          </w:p>
        </w:tc>
      </w:tr>
      <w:tr w:rsidR="001A65DF" w:rsidRPr="001A65DF" w14:paraId="0DB36760" w14:textId="77777777" w:rsidTr="00436783">
        <w:trPr>
          <w:trHeight w:val="3221"/>
        </w:trPr>
        <w:tc>
          <w:tcPr>
            <w:tcW w:w="2268" w:type="dxa"/>
          </w:tcPr>
          <w:p w14:paraId="7597765E" w14:textId="77777777" w:rsidR="001A65DF" w:rsidRPr="001A65DF" w:rsidRDefault="001A65DF" w:rsidP="001A65DF">
            <w:pPr>
              <w:widowControl w:val="0"/>
              <w:pBdr>
                <w:top w:val="nil"/>
                <w:left w:val="nil"/>
                <w:bottom w:val="nil"/>
                <w:right w:val="nil"/>
                <w:between w:val="nil"/>
              </w:pBdr>
              <w:spacing w:after="0" w:line="246" w:lineRule="auto"/>
              <w:ind w:left="107"/>
              <w:rPr>
                <w:rFonts w:eastAsia="Arial" w:cs="Arial"/>
                <w:lang w:val="es-ES" w:eastAsia="en-GB"/>
              </w:rPr>
            </w:pPr>
            <w:proofErr w:type="spellStart"/>
            <w:r w:rsidRPr="001A65DF">
              <w:rPr>
                <w:rFonts w:eastAsia="Arial" w:cs="Arial"/>
                <w:lang w:val="es-ES" w:eastAsia="en-GB"/>
              </w:rPr>
              <w:t>Length</w:t>
            </w:r>
            <w:proofErr w:type="spellEnd"/>
            <w:r w:rsidRPr="001A65DF">
              <w:rPr>
                <w:rFonts w:eastAsia="Arial" w:cs="Arial"/>
                <w:lang w:val="es-ES" w:eastAsia="en-GB"/>
              </w:rPr>
              <w:t xml:space="preserve"> as </w:t>
            </w:r>
            <w:proofErr w:type="spellStart"/>
            <w:r w:rsidRPr="001A65DF">
              <w:rPr>
                <w:rFonts w:eastAsia="Arial" w:cs="Arial"/>
                <w:lang w:val="es-ES" w:eastAsia="en-GB"/>
              </w:rPr>
              <w:t>first</w:t>
            </w:r>
            <w:proofErr w:type="spellEnd"/>
            <w:r w:rsidRPr="001A65DF">
              <w:rPr>
                <w:rFonts w:eastAsia="Arial" w:cs="Arial"/>
                <w:lang w:val="es-ES" w:eastAsia="en-GB"/>
              </w:rPr>
              <w:t xml:space="preserve"> </w:t>
            </w:r>
            <w:proofErr w:type="spellStart"/>
            <w:r w:rsidRPr="001A65DF">
              <w:rPr>
                <w:rFonts w:eastAsia="Arial" w:cs="Arial"/>
                <w:lang w:val="es-ES" w:eastAsia="en-GB"/>
              </w:rPr>
              <w:t>maturity</w:t>
            </w:r>
            <w:proofErr w:type="spellEnd"/>
          </w:p>
        </w:tc>
        <w:tc>
          <w:tcPr>
            <w:tcW w:w="4052" w:type="dxa"/>
          </w:tcPr>
          <w:p w14:paraId="4EA4FD1E" w14:textId="77777777" w:rsidR="001A65DF" w:rsidRPr="001A65DF" w:rsidRDefault="001A65DF" w:rsidP="001A65DF">
            <w:pPr>
              <w:widowControl w:val="0"/>
              <w:pBdr>
                <w:top w:val="nil"/>
                <w:left w:val="nil"/>
                <w:bottom w:val="nil"/>
                <w:right w:val="nil"/>
                <w:between w:val="nil"/>
              </w:pBdr>
              <w:spacing w:after="0" w:line="226" w:lineRule="auto"/>
              <w:ind w:left="107"/>
              <w:rPr>
                <w:rFonts w:eastAsia="Arial" w:cs="Arial"/>
                <w:lang w:eastAsia="en-GB"/>
              </w:rPr>
            </w:pPr>
            <w:r w:rsidRPr="001A65DF">
              <w:rPr>
                <w:rFonts w:eastAsia="Arial" w:cs="Arial"/>
                <w:lang w:eastAsia="en-GB"/>
              </w:rPr>
              <w:t>131 cm FL (M, Atlantic NW)</w:t>
            </w:r>
          </w:p>
          <w:p w14:paraId="2A8F433D" w14:textId="77777777" w:rsidR="001A65DF" w:rsidRPr="001A65DF" w:rsidRDefault="001A65DF" w:rsidP="001A65DF">
            <w:pPr>
              <w:widowControl w:val="0"/>
              <w:pBdr>
                <w:top w:val="nil"/>
                <w:left w:val="nil"/>
                <w:bottom w:val="nil"/>
                <w:right w:val="nil"/>
                <w:between w:val="nil"/>
              </w:pBdr>
              <w:spacing w:after="0" w:line="249" w:lineRule="auto"/>
              <w:ind w:left="107"/>
              <w:rPr>
                <w:rFonts w:eastAsia="Arial" w:cs="Arial"/>
                <w:lang w:eastAsia="en-GB"/>
              </w:rPr>
            </w:pPr>
            <w:r w:rsidRPr="001A65DF">
              <w:rPr>
                <w:rFonts w:eastAsia="Arial" w:cs="Arial"/>
                <w:lang w:eastAsia="en-GB"/>
              </w:rPr>
              <w:t>180-200 cm FL (F, Atlantic NW)</w:t>
            </w:r>
          </w:p>
          <w:p w14:paraId="55133EBF" w14:textId="77777777" w:rsidR="001A65DF" w:rsidRPr="001A65DF" w:rsidRDefault="001A65DF" w:rsidP="001A65DF">
            <w:pPr>
              <w:widowControl w:val="0"/>
              <w:pBdr>
                <w:top w:val="nil"/>
                <w:left w:val="nil"/>
                <w:bottom w:val="nil"/>
                <w:right w:val="nil"/>
                <w:between w:val="nil"/>
              </w:pBdr>
              <w:spacing w:before="229" w:after="0" w:line="240" w:lineRule="auto"/>
              <w:ind w:left="107" w:right="1059"/>
              <w:rPr>
                <w:rFonts w:eastAsia="Arial" w:cs="Arial"/>
                <w:lang w:eastAsia="en-GB"/>
              </w:rPr>
            </w:pPr>
            <w:r w:rsidRPr="001A65DF">
              <w:rPr>
                <w:rFonts w:eastAsia="Arial" w:cs="Arial"/>
                <w:lang w:eastAsia="en-GB"/>
              </w:rPr>
              <w:t>152 cm FL (M, Western Pacific) 161 cm FL (F, Western Pacific)</w:t>
            </w:r>
          </w:p>
          <w:p w14:paraId="5E5AF915" w14:textId="77777777" w:rsidR="001A65DF" w:rsidRPr="001A65DF" w:rsidRDefault="001A65DF" w:rsidP="001A65DF">
            <w:pPr>
              <w:widowControl w:val="0"/>
              <w:pBdr>
                <w:top w:val="nil"/>
                <w:left w:val="nil"/>
                <w:bottom w:val="nil"/>
                <w:right w:val="nil"/>
                <w:between w:val="nil"/>
              </w:pBdr>
              <w:spacing w:before="231" w:after="0" w:line="240" w:lineRule="auto"/>
              <w:ind w:left="107" w:right="983"/>
              <w:rPr>
                <w:rFonts w:eastAsia="Arial" w:cs="Arial"/>
                <w:lang w:val="es-ES" w:eastAsia="en-GB"/>
              </w:rPr>
            </w:pPr>
            <w:r w:rsidRPr="001A65DF">
              <w:rPr>
                <w:rFonts w:eastAsia="Arial" w:cs="Arial"/>
                <w:lang w:val="es-ES" w:eastAsia="en-GB"/>
              </w:rPr>
              <w:t>108-123 cm FL (M, Australia) 154 cm FL (F, Australia)</w:t>
            </w:r>
          </w:p>
          <w:p w14:paraId="63127058" w14:textId="77777777" w:rsidR="001A65DF" w:rsidRPr="001A65DF" w:rsidRDefault="001A65DF" w:rsidP="001A65DF">
            <w:pPr>
              <w:widowControl w:val="0"/>
              <w:pBdr>
                <w:top w:val="nil"/>
                <w:left w:val="nil"/>
                <w:bottom w:val="nil"/>
                <w:right w:val="nil"/>
                <w:between w:val="nil"/>
              </w:pBdr>
              <w:spacing w:before="228" w:after="0" w:line="240" w:lineRule="auto"/>
              <w:ind w:left="107" w:right="698"/>
              <w:rPr>
                <w:rFonts w:eastAsia="Arial" w:cs="Arial"/>
                <w:lang w:eastAsia="en-GB"/>
              </w:rPr>
            </w:pPr>
            <w:r w:rsidRPr="001A65DF">
              <w:rPr>
                <w:rFonts w:eastAsia="Arial" w:cs="Arial"/>
                <w:lang w:eastAsia="en-GB"/>
              </w:rPr>
              <w:t>138-154 cm FL (M, Atlantic SW) 184 cm FL (F, Atlantic SW)</w:t>
            </w:r>
          </w:p>
          <w:p w14:paraId="556CD861" w14:textId="77777777" w:rsidR="001A65DF" w:rsidRPr="001A65DF" w:rsidRDefault="001A65DF" w:rsidP="001A65DF">
            <w:pPr>
              <w:widowControl w:val="0"/>
              <w:pBdr>
                <w:top w:val="nil"/>
                <w:left w:val="nil"/>
                <w:bottom w:val="nil"/>
                <w:right w:val="nil"/>
                <w:between w:val="nil"/>
              </w:pBdr>
              <w:spacing w:before="231" w:after="0" w:line="240" w:lineRule="auto"/>
              <w:ind w:left="107"/>
              <w:rPr>
                <w:rFonts w:eastAsia="Arial" w:cs="Arial"/>
                <w:lang w:val="pt-PT" w:eastAsia="en-GB"/>
              </w:rPr>
            </w:pPr>
            <w:r w:rsidRPr="001A65DF">
              <w:rPr>
                <w:rFonts w:eastAsia="Arial" w:cs="Arial"/>
                <w:lang w:val="pt-PT" w:eastAsia="en-GB"/>
              </w:rPr>
              <w:t>135 cm FL (M, Indo-Pacific)</w:t>
            </w:r>
          </w:p>
        </w:tc>
        <w:tc>
          <w:tcPr>
            <w:tcW w:w="2895" w:type="dxa"/>
          </w:tcPr>
          <w:p w14:paraId="4BB5D71B" w14:textId="77777777" w:rsidR="001A65DF" w:rsidRPr="001A65DF" w:rsidRDefault="001A65DF" w:rsidP="001A65DF">
            <w:pPr>
              <w:widowControl w:val="0"/>
              <w:pBdr>
                <w:top w:val="nil"/>
                <w:left w:val="nil"/>
                <w:bottom w:val="nil"/>
                <w:right w:val="nil"/>
                <w:between w:val="nil"/>
              </w:pBdr>
              <w:spacing w:before="6" w:after="0" w:line="225" w:lineRule="auto"/>
              <w:ind w:left="105" w:right="359"/>
              <w:rPr>
                <w:rFonts w:eastAsia="Arial" w:cs="Arial"/>
                <w:lang w:val="fr-FR" w:eastAsia="en-GB"/>
              </w:rPr>
            </w:pPr>
            <w:r w:rsidRPr="001A65DF">
              <w:rPr>
                <w:rFonts w:eastAsia="Arial" w:cs="Arial"/>
                <w:lang w:val="fr-FR" w:eastAsia="en-GB"/>
              </w:rPr>
              <w:t>Tolentino &amp; Mendoza (2001)</w:t>
            </w:r>
          </w:p>
          <w:p w14:paraId="1A0A06CB" w14:textId="77777777" w:rsidR="001A65DF" w:rsidRPr="001A65DF" w:rsidRDefault="001A65DF" w:rsidP="001A65DF">
            <w:pPr>
              <w:widowControl w:val="0"/>
              <w:pBdr>
                <w:top w:val="nil"/>
                <w:left w:val="nil"/>
                <w:bottom w:val="nil"/>
                <w:right w:val="nil"/>
                <w:between w:val="nil"/>
              </w:pBdr>
              <w:spacing w:after="0" w:line="240" w:lineRule="auto"/>
              <w:ind w:left="105" w:right="160"/>
              <w:rPr>
                <w:rFonts w:eastAsia="Arial" w:cs="Arial"/>
                <w:lang w:val="fr-FR" w:eastAsia="en-GB"/>
              </w:rPr>
            </w:pPr>
            <w:r w:rsidRPr="001A65DF">
              <w:rPr>
                <w:rFonts w:eastAsia="Arial" w:cs="Arial"/>
                <w:lang w:val="fr-FR" w:eastAsia="en-GB"/>
              </w:rPr>
              <w:t xml:space="preserve">Chen et al (1988) Stevens &amp; Lyle (1989) </w:t>
            </w:r>
            <w:proofErr w:type="spellStart"/>
            <w:r w:rsidRPr="001A65DF">
              <w:rPr>
                <w:rFonts w:eastAsia="Arial" w:cs="Arial"/>
                <w:lang w:val="fr-FR" w:eastAsia="en-GB"/>
              </w:rPr>
              <w:t>Hazin</w:t>
            </w:r>
            <w:proofErr w:type="spellEnd"/>
            <w:r w:rsidRPr="001A65DF">
              <w:rPr>
                <w:rFonts w:eastAsia="Arial" w:cs="Arial"/>
                <w:lang w:val="fr-FR" w:eastAsia="en-GB"/>
              </w:rPr>
              <w:t xml:space="preserve"> et al (2001) White et al (2008)</w:t>
            </w:r>
          </w:p>
        </w:tc>
      </w:tr>
      <w:tr w:rsidR="001A65DF" w:rsidRPr="001A65DF" w14:paraId="6237851F" w14:textId="77777777" w:rsidTr="00436783">
        <w:trPr>
          <w:trHeight w:val="460"/>
        </w:trPr>
        <w:tc>
          <w:tcPr>
            <w:tcW w:w="2268" w:type="dxa"/>
          </w:tcPr>
          <w:p w14:paraId="3691883F" w14:textId="77777777" w:rsidR="001A65DF" w:rsidRPr="001A65DF" w:rsidRDefault="001A65DF" w:rsidP="001A65DF">
            <w:pPr>
              <w:widowControl w:val="0"/>
              <w:pBdr>
                <w:top w:val="nil"/>
                <w:left w:val="nil"/>
                <w:bottom w:val="nil"/>
                <w:right w:val="nil"/>
                <w:between w:val="nil"/>
              </w:pBdr>
              <w:spacing w:after="0" w:line="230" w:lineRule="auto"/>
              <w:ind w:left="107"/>
              <w:rPr>
                <w:rFonts w:eastAsia="Arial" w:cs="Arial"/>
                <w:lang w:val="es-ES" w:eastAsia="en-GB"/>
              </w:rPr>
            </w:pPr>
            <w:r w:rsidRPr="001A65DF">
              <w:rPr>
                <w:rFonts w:eastAsia="Arial" w:cs="Arial"/>
                <w:lang w:val="es-ES" w:eastAsia="en-GB"/>
              </w:rPr>
              <w:t xml:space="preserve">Age at </w:t>
            </w:r>
            <w:proofErr w:type="spellStart"/>
            <w:r w:rsidRPr="001A65DF">
              <w:rPr>
                <w:rFonts w:eastAsia="Arial" w:cs="Arial"/>
                <w:lang w:val="es-ES" w:eastAsia="en-GB"/>
              </w:rPr>
              <w:t>first</w:t>
            </w:r>
            <w:proofErr w:type="spellEnd"/>
            <w:r w:rsidRPr="001A65DF">
              <w:rPr>
                <w:rFonts w:eastAsia="Arial" w:cs="Arial"/>
                <w:lang w:val="es-ES" w:eastAsia="en-GB"/>
              </w:rPr>
              <w:t xml:space="preserve"> </w:t>
            </w:r>
            <w:proofErr w:type="spellStart"/>
            <w:r w:rsidRPr="001A65DF">
              <w:rPr>
                <w:rFonts w:eastAsia="Arial" w:cs="Arial"/>
                <w:lang w:val="es-ES" w:eastAsia="en-GB"/>
              </w:rPr>
              <w:t>maturity</w:t>
            </w:r>
            <w:proofErr w:type="spellEnd"/>
          </w:p>
        </w:tc>
        <w:tc>
          <w:tcPr>
            <w:tcW w:w="4052" w:type="dxa"/>
          </w:tcPr>
          <w:p w14:paraId="08249F79" w14:textId="77777777" w:rsidR="001A65DF" w:rsidRPr="001A65DF" w:rsidRDefault="001A65DF" w:rsidP="001A65DF">
            <w:pPr>
              <w:widowControl w:val="0"/>
              <w:pBdr>
                <w:top w:val="nil"/>
                <w:left w:val="nil"/>
                <w:bottom w:val="nil"/>
                <w:right w:val="nil"/>
                <w:between w:val="nil"/>
              </w:pBdr>
              <w:spacing w:after="0" w:line="224" w:lineRule="auto"/>
              <w:ind w:left="107"/>
              <w:rPr>
                <w:rFonts w:eastAsia="Arial" w:cs="Arial"/>
                <w:lang w:eastAsia="en-GB"/>
              </w:rPr>
            </w:pPr>
            <w:r w:rsidRPr="001A65DF">
              <w:rPr>
                <w:rFonts w:eastAsia="Arial" w:cs="Arial"/>
                <w:lang w:eastAsia="en-GB"/>
              </w:rPr>
              <w:t xml:space="preserve">6 </w:t>
            </w:r>
            <w:proofErr w:type="gramStart"/>
            <w:r w:rsidRPr="001A65DF">
              <w:rPr>
                <w:rFonts w:eastAsia="Arial" w:cs="Arial"/>
                <w:lang w:eastAsia="en-GB"/>
              </w:rPr>
              <w:t>year</w:t>
            </w:r>
            <w:proofErr w:type="gramEnd"/>
            <w:r w:rsidRPr="001A65DF">
              <w:rPr>
                <w:rFonts w:eastAsia="Arial" w:cs="Arial"/>
                <w:lang w:eastAsia="en-GB"/>
              </w:rPr>
              <w:t xml:space="preserve"> (M, Atlantic NW)</w:t>
            </w:r>
          </w:p>
          <w:p w14:paraId="00069C7C" w14:textId="77777777" w:rsidR="001A65DF" w:rsidRPr="001A65DF" w:rsidRDefault="001A65DF" w:rsidP="001A65DF">
            <w:pPr>
              <w:widowControl w:val="0"/>
              <w:pBdr>
                <w:top w:val="nil"/>
                <w:left w:val="nil"/>
                <w:bottom w:val="nil"/>
                <w:right w:val="nil"/>
                <w:between w:val="nil"/>
              </w:pBdr>
              <w:spacing w:after="0" w:line="216" w:lineRule="auto"/>
              <w:ind w:left="107"/>
              <w:rPr>
                <w:rFonts w:eastAsia="Arial" w:cs="Arial"/>
                <w:lang w:eastAsia="en-GB"/>
              </w:rPr>
            </w:pPr>
            <w:r w:rsidRPr="001A65DF">
              <w:rPr>
                <w:rFonts w:eastAsia="Arial" w:cs="Arial"/>
                <w:lang w:eastAsia="en-GB"/>
              </w:rPr>
              <w:t>15-17 year (F, Atlantic NW)</w:t>
            </w:r>
          </w:p>
        </w:tc>
        <w:tc>
          <w:tcPr>
            <w:tcW w:w="2895" w:type="dxa"/>
          </w:tcPr>
          <w:p w14:paraId="18ADE504" w14:textId="77777777" w:rsidR="001A65DF" w:rsidRPr="001A65DF" w:rsidRDefault="001A65DF" w:rsidP="001A65DF">
            <w:pPr>
              <w:widowControl w:val="0"/>
              <w:pBdr>
                <w:top w:val="nil"/>
                <w:left w:val="nil"/>
                <w:bottom w:val="nil"/>
                <w:right w:val="nil"/>
                <w:between w:val="nil"/>
              </w:pBdr>
              <w:spacing w:after="0" w:line="246" w:lineRule="auto"/>
              <w:ind w:left="105"/>
              <w:rPr>
                <w:rFonts w:eastAsia="Arial" w:cs="Arial"/>
                <w:lang w:val="es-ES" w:eastAsia="en-GB"/>
              </w:rPr>
            </w:pPr>
            <w:r w:rsidRPr="001A65DF">
              <w:rPr>
                <w:rFonts w:eastAsia="Arial" w:cs="Arial"/>
                <w:lang w:val="es-ES" w:eastAsia="en-GB"/>
              </w:rPr>
              <w:t>CITES, 2013</w:t>
            </w:r>
          </w:p>
        </w:tc>
      </w:tr>
      <w:tr w:rsidR="001A65DF" w:rsidRPr="001A65DF" w14:paraId="765C1730" w14:textId="77777777" w:rsidTr="00436783">
        <w:trPr>
          <w:trHeight w:val="918"/>
        </w:trPr>
        <w:tc>
          <w:tcPr>
            <w:tcW w:w="2268" w:type="dxa"/>
          </w:tcPr>
          <w:p w14:paraId="06FAE661" w14:textId="77777777" w:rsidR="001A65DF" w:rsidRPr="001A65DF" w:rsidRDefault="001A65DF" w:rsidP="001A65DF">
            <w:pPr>
              <w:widowControl w:val="0"/>
              <w:pBdr>
                <w:top w:val="nil"/>
                <w:left w:val="nil"/>
                <w:bottom w:val="nil"/>
                <w:right w:val="nil"/>
                <w:between w:val="nil"/>
              </w:pBdr>
              <w:spacing w:after="0" w:line="230" w:lineRule="auto"/>
              <w:ind w:left="107"/>
              <w:rPr>
                <w:rFonts w:eastAsia="Arial" w:cs="Arial"/>
                <w:lang w:val="es-ES" w:eastAsia="en-GB"/>
              </w:rPr>
            </w:pPr>
            <w:proofErr w:type="spellStart"/>
            <w:r w:rsidRPr="001A65DF">
              <w:rPr>
                <w:rFonts w:eastAsia="Arial" w:cs="Arial"/>
                <w:lang w:val="es-ES" w:eastAsia="en-GB"/>
              </w:rPr>
              <w:t>Life</w:t>
            </w:r>
            <w:proofErr w:type="spellEnd"/>
            <w:r w:rsidRPr="001A65DF">
              <w:rPr>
                <w:rFonts w:eastAsia="Arial" w:cs="Arial"/>
                <w:lang w:val="es-ES" w:eastAsia="en-GB"/>
              </w:rPr>
              <w:t xml:space="preserve"> </w:t>
            </w:r>
            <w:proofErr w:type="spellStart"/>
            <w:r w:rsidRPr="001A65DF">
              <w:rPr>
                <w:rFonts w:eastAsia="Arial" w:cs="Arial"/>
                <w:lang w:val="es-ES" w:eastAsia="en-GB"/>
              </w:rPr>
              <w:t>span</w:t>
            </w:r>
            <w:proofErr w:type="spellEnd"/>
          </w:p>
        </w:tc>
        <w:tc>
          <w:tcPr>
            <w:tcW w:w="4052" w:type="dxa"/>
          </w:tcPr>
          <w:p w14:paraId="6264B8A8" w14:textId="77777777" w:rsidR="001A65DF" w:rsidRPr="001A65DF" w:rsidRDefault="001A65DF" w:rsidP="001A65DF">
            <w:pPr>
              <w:widowControl w:val="0"/>
              <w:pBdr>
                <w:top w:val="nil"/>
                <w:left w:val="nil"/>
                <w:bottom w:val="nil"/>
                <w:right w:val="nil"/>
                <w:between w:val="nil"/>
              </w:pBdr>
              <w:spacing w:after="0" w:line="216" w:lineRule="auto"/>
              <w:ind w:left="107"/>
              <w:rPr>
                <w:rFonts w:eastAsia="Arial" w:cs="Arial"/>
                <w:lang w:eastAsia="en-GB"/>
              </w:rPr>
            </w:pPr>
            <w:r w:rsidRPr="001A65DF">
              <w:rPr>
                <w:rFonts w:eastAsia="Arial" w:cs="Arial"/>
                <w:lang w:eastAsia="en-GB"/>
              </w:rPr>
              <w:t>30.5 year (Atlantic NW)</w:t>
            </w:r>
          </w:p>
          <w:p w14:paraId="4D0CDF52" w14:textId="77777777" w:rsidR="001A65DF" w:rsidRPr="001A65DF" w:rsidRDefault="001A65DF" w:rsidP="001A65DF">
            <w:pPr>
              <w:widowControl w:val="0"/>
              <w:pBdr>
                <w:top w:val="nil"/>
                <w:left w:val="nil"/>
                <w:bottom w:val="nil"/>
                <w:right w:val="nil"/>
                <w:between w:val="nil"/>
              </w:pBdr>
              <w:spacing w:after="0" w:line="225" w:lineRule="auto"/>
              <w:ind w:left="107" w:right="1427"/>
              <w:rPr>
                <w:rFonts w:eastAsia="Arial" w:cs="Arial"/>
                <w:lang w:eastAsia="en-GB"/>
              </w:rPr>
            </w:pPr>
            <w:r w:rsidRPr="001A65DF">
              <w:rPr>
                <w:rFonts w:eastAsia="Arial" w:cs="Arial"/>
                <w:lang w:eastAsia="en-GB"/>
              </w:rPr>
              <w:t>12.5 year (Eastern Pacific) 14 year (Western Pacific)</w:t>
            </w:r>
          </w:p>
          <w:p w14:paraId="01E021E9" w14:textId="77777777" w:rsidR="001A65DF" w:rsidRPr="001A65DF" w:rsidRDefault="001A65DF" w:rsidP="001A65DF">
            <w:pPr>
              <w:widowControl w:val="0"/>
              <w:pBdr>
                <w:top w:val="nil"/>
                <w:left w:val="nil"/>
                <w:bottom w:val="nil"/>
                <w:right w:val="nil"/>
                <w:between w:val="nil"/>
              </w:pBdr>
              <w:spacing w:after="0" w:line="225" w:lineRule="auto"/>
              <w:ind w:left="107" w:right="1427"/>
              <w:rPr>
                <w:rFonts w:eastAsia="Arial" w:cs="Arial"/>
                <w:lang w:eastAsia="en-GB"/>
              </w:rPr>
            </w:pPr>
            <w:r w:rsidRPr="001A65DF">
              <w:rPr>
                <w:rFonts w:eastAsia="Arial" w:cs="Arial"/>
                <w:lang w:val="en" w:eastAsia="en-GB"/>
              </w:rPr>
              <w:t>31.5 year (</w:t>
            </w:r>
            <w:proofErr w:type="spellStart"/>
            <w:r w:rsidRPr="001A65DF">
              <w:rPr>
                <w:rFonts w:eastAsia="Arial" w:cs="Arial"/>
                <w:lang w:val="en" w:eastAsia="en-GB"/>
              </w:rPr>
              <w:t>Atlantin</w:t>
            </w:r>
            <w:proofErr w:type="spellEnd"/>
            <w:r w:rsidRPr="001A65DF">
              <w:rPr>
                <w:rFonts w:eastAsia="Arial" w:cs="Arial"/>
                <w:lang w:val="en" w:eastAsia="en-GB"/>
              </w:rPr>
              <w:t xml:space="preserve"> SW)</w:t>
            </w:r>
          </w:p>
        </w:tc>
        <w:tc>
          <w:tcPr>
            <w:tcW w:w="2895" w:type="dxa"/>
          </w:tcPr>
          <w:p w14:paraId="0E81A850" w14:textId="77777777" w:rsidR="001A65DF" w:rsidRPr="001A65DF" w:rsidRDefault="001A65DF" w:rsidP="001A65DF">
            <w:pPr>
              <w:widowControl w:val="0"/>
              <w:pBdr>
                <w:top w:val="nil"/>
                <w:left w:val="nil"/>
                <w:bottom w:val="nil"/>
                <w:right w:val="nil"/>
                <w:between w:val="nil"/>
              </w:pBdr>
              <w:spacing w:after="0" w:line="218" w:lineRule="auto"/>
              <w:ind w:left="105" w:right="359"/>
              <w:rPr>
                <w:rFonts w:eastAsia="Arial" w:cs="Arial"/>
                <w:lang w:val="es-ES" w:eastAsia="en-GB"/>
              </w:rPr>
            </w:pPr>
            <w:proofErr w:type="spellStart"/>
            <w:r w:rsidRPr="001A65DF">
              <w:rPr>
                <w:rFonts w:eastAsia="Arial" w:cs="Arial"/>
                <w:lang w:val="es-ES" w:eastAsia="en-GB"/>
              </w:rPr>
              <w:t>Piercy</w:t>
            </w:r>
            <w:proofErr w:type="spellEnd"/>
            <w:r w:rsidRPr="001A65DF">
              <w:rPr>
                <w:rFonts w:eastAsia="Arial" w:cs="Arial"/>
                <w:lang w:val="es-ES" w:eastAsia="en-GB"/>
              </w:rPr>
              <w:t xml:space="preserve"> et al (2007) Tolentino &amp; Mendoza (2001)</w:t>
            </w:r>
          </w:p>
          <w:p w14:paraId="1F22AF2D" w14:textId="77777777" w:rsidR="001A65DF" w:rsidRPr="001A65DF" w:rsidRDefault="001A65DF" w:rsidP="001A65DF">
            <w:pPr>
              <w:widowControl w:val="0"/>
              <w:pBdr>
                <w:top w:val="nil"/>
                <w:left w:val="nil"/>
                <w:bottom w:val="nil"/>
                <w:right w:val="nil"/>
                <w:between w:val="nil"/>
              </w:pBdr>
              <w:spacing w:after="0" w:line="213" w:lineRule="auto"/>
              <w:ind w:left="105"/>
              <w:rPr>
                <w:rFonts w:eastAsia="Arial" w:cs="Arial"/>
                <w:lang w:val="fr-FR" w:eastAsia="en-GB"/>
              </w:rPr>
            </w:pPr>
            <w:r w:rsidRPr="001A65DF">
              <w:rPr>
                <w:rFonts w:eastAsia="Arial" w:cs="Arial"/>
                <w:lang w:val="fr-FR" w:eastAsia="en-GB"/>
              </w:rPr>
              <w:t>Chen et al (1990)</w:t>
            </w:r>
          </w:p>
          <w:p w14:paraId="10A71EFA" w14:textId="77777777" w:rsidR="001A65DF" w:rsidRPr="001A65DF" w:rsidRDefault="001A65DF" w:rsidP="001A65DF">
            <w:pPr>
              <w:widowControl w:val="0"/>
              <w:pBdr>
                <w:top w:val="nil"/>
                <w:left w:val="nil"/>
                <w:bottom w:val="nil"/>
                <w:right w:val="nil"/>
                <w:between w:val="nil"/>
              </w:pBdr>
              <w:spacing w:after="0" w:line="213" w:lineRule="auto"/>
              <w:ind w:left="105"/>
              <w:rPr>
                <w:rFonts w:eastAsia="Arial" w:cs="Arial"/>
                <w:lang w:val="fr-FR" w:eastAsia="en-GB"/>
              </w:rPr>
            </w:pPr>
            <w:r w:rsidRPr="001A65DF">
              <w:rPr>
                <w:rFonts w:eastAsia="Arial" w:cs="Arial"/>
                <w:lang w:val="fr-FR" w:eastAsia="en-GB"/>
              </w:rPr>
              <w:t>Kotas et al (2011)</w:t>
            </w:r>
          </w:p>
        </w:tc>
      </w:tr>
      <w:tr w:rsidR="001A65DF" w:rsidRPr="001A65DF" w14:paraId="59E66A7A" w14:textId="77777777" w:rsidTr="00436783">
        <w:trPr>
          <w:trHeight w:val="1149"/>
        </w:trPr>
        <w:tc>
          <w:tcPr>
            <w:tcW w:w="2268" w:type="dxa"/>
          </w:tcPr>
          <w:p w14:paraId="45F27962" w14:textId="77777777" w:rsidR="001A65DF" w:rsidRPr="001A65DF" w:rsidRDefault="001A65DF" w:rsidP="001A65DF">
            <w:pPr>
              <w:widowControl w:val="0"/>
              <w:pBdr>
                <w:top w:val="nil"/>
                <w:left w:val="nil"/>
                <w:bottom w:val="nil"/>
                <w:right w:val="nil"/>
                <w:between w:val="nil"/>
              </w:pBdr>
              <w:spacing w:after="0" w:line="246" w:lineRule="auto"/>
              <w:ind w:left="107"/>
              <w:rPr>
                <w:rFonts w:eastAsia="Arial" w:cs="Arial"/>
                <w:lang w:val="es-ES" w:eastAsia="en-GB"/>
              </w:rPr>
            </w:pPr>
            <w:proofErr w:type="spellStart"/>
            <w:r w:rsidRPr="001A65DF">
              <w:rPr>
                <w:rFonts w:eastAsia="Arial" w:cs="Arial"/>
                <w:lang w:val="es-ES" w:eastAsia="en-GB"/>
              </w:rPr>
              <w:t>Gestation</w:t>
            </w:r>
            <w:proofErr w:type="spellEnd"/>
            <w:r w:rsidRPr="001A65DF">
              <w:rPr>
                <w:rFonts w:eastAsia="Arial" w:cs="Arial"/>
                <w:lang w:val="es-ES" w:eastAsia="en-GB"/>
              </w:rPr>
              <w:t xml:space="preserve"> </w:t>
            </w:r>
            <w:proofErr w:type="spellStart"/>
            <w:r w:rsidRPr="001A65DF">
              <w:rPr>
                <w:rFonts w:eastAsia="Arial" w:cs="Arial"/>
                <w:lang w:val="es-ES" w:eastAsia="en-GB"/>
              </w:rPr>
              <w:t>period</w:t>
            </w:r>
            <w:proofErr w:type="spellEnd"/>
          </w:p>
        </w:tc>
        <w:tc>
          <w:tcPr>
            <w:tcW w:w="4052" w:type="dxa"/>
          </w:tcPr>
          <w:p w14:paraId="022782A4" w14:textId="77777777" w:rsidR="001A65DF" w:rsidRPr="001A65DF" w:rsidRDefault="001A65DF" w:rsidP="001A65DF">
            <w:pPr>
              <w:widowControl w:val="0"/>
              <w:pBdr>
                <w:top w:val="nil"/>
                <w:left w:val="nil"/>
                <w:bottom w:val="nil"/>
                <w:right w:val="nil"/>
                <w:between w:val="nil"/>
              </w:pBdr>
              <w:spacing w:after="0" w:line="230" w:lineRule="auto"/>
              <w:ind w:left="107"/>
              <w:rPr>
                <w:rFonts w:eastAsia="Arial" w:cs="Arial"/>
                <w:lang w:val="es-ES" w:eastAsia="en-GB"/>
              </w:rPr>
            </w:pPr>
            <w:r w:rsidRPr="001A65DF">
              <w:rPr>
                <w:rFonts w:eastAsia="Arial" w:cs="Arial"/>
                <w:lang w:val="es-ES" w:eastAsia="en-GB"/>
              </w:rPr>
              <w:t xml:space="preserve">8-12 </w:t>
            </w:r>
            <w:proofErr w:type="spellStart"/>
            <w:r w:rsidRPr="001A65DF">
              <w:rPr>
                <w:rFonts w:eastAsia="Arial" w:cs="Arial"/>
                <w:lang w:val="es-ES" w:eastAsia="en-GB"/>
              </w:rPr>
              <w:t>months</w:t>
            </w:r>
            <w:proofErr w:type="spellEnd"/>
            <w:r w:rsidRPr="001A65DF">
              <w:rPr>
                <w:rFonts w:eastAsia="Arial" w:cs="Arial"/>
                <w:lang w:val="es-ES" w:eastAsia="en-GB"/>
              </w:rPr>
              <w:t xml:space="preserve"> (Global)</w:t>
            </w:r>
          </w:p>
        </w:tc>
        <w:tc>
          <w:tcPr>
            <w:tcW w:w="2895" w:type="dxa"/>
          </w:tcPr>
          <w:p w14:paraId="40CB7F7B" w14:textId="77777777" w:rsidR="001A65DF" w:rsidRPr="001A65DF" w:rsidRDefault="001A65DF" w:rsidP="001A65DF">
            <w:pPr>
              <w:widowControl w:val="0"/>
              <w:pBdr>
                <w:top w:val="nil"/>
                <w:left w:val="nil"/>
                <w:bottom w:val="nil"/>
                <w:right w:val="nil"/>
                <w:between w:val="nil"/>
              </w:pBdr>
              <w:spacing w:after="0" w:line="237" w:lineRule="auto"/>
              <w:ind w:left="105" w:right="458"/>
              <w:jc w:val="both"/>
              <w:rPr>
                <w:rFonts w:eastAsia="Arial" w:cs="Arial"/>
                <w:lang w:val="fr-FR" w:eastAsia="en-GB"/>
              </w:rPr>
            </w:pPr>
            <w:r w:rsidRPr="001A65DF">
              <w:rPr>
                <w:rFonts w:eastAsia="Arial" w:cs="Arial"/>
                <w:lang w:val="fr-FR" w:eastAsia="en-GB"/>
              </w:rPr>
              <w:t xml:space="preserve">Chen et al (1988) </w:t>
            </w:r>
            <w:proofErr w:type="spellStart"/>
            <w:r w:rsidRPr="001A65DF">
              <w:rPr>
                <w:rFonts w:eastAsia="Arial" w:cs="Arial"/>
                <w:lang w:val="fr-FR" w:eastAsia="en-GB"/>
              </w:rPr>
              <w:t>Hazin</w:t>
            </w:r>
            <w:proofErr w:type="spellEnd"/>
            <w:r w:rsidRPr="001A65DF">
              <w:rPr>
                <w:rFonts w:eastAsia="Arial" w:cs="Arial"/>
                <w:lang w:val="fr-FR" w:eastAsia="en-GB"/>
              </w:rPr>
              <w:t xml:space="preserve"> et al (2001) White et al (2008)</w:t>
            </w:r>
          </w:p>
        </w:tc>
      </w:tr>
      <w:tr w:rsidR="001A65DF" w:rsidRPr="001A65DF" w14:paraId="163327ED" w14:textId="77777777" w:rsidTr="00436783">
        <w:trPr>
          <w:trHeight w:val="1151"/>
        </w:trPr>
        <w:tc>
          <w:tcPr>
            <w:tcW w:w="2268" w:type="dxa"/>
          </w:tcPr>
          <w:p w14:paraId="778F9E29" w14:textId="77777777" w:rsidR="001A65DF" w:rsidRPr="001A65DF" w:rsidRDefault="001A65DF" w:rsidP="001A65DF">
            <w:pPr>
              <w:widowControl w:val="0"/>
              <w:pBdr>
                <w:top w:val="nil"/>
                <w:left w:val="nil"/>
                <w:bottom w:val="nil"/>
                <w:right w:val="nil"/>
                <w:between w:val="nil"/>
              </w:pBdr>
              <w:spacing w:after="0" w:line="246" w:lineRule="auto"/>
              <w:ind w:left="107"/>
              <w:rPr>
                <w:rFonts w:eastAsia="Arial" w:cs="Arial"/>
                <w:lang w:val="es-ES" w:eastAsia="en-GB"/>
              </w:rPr>
            </w:pPr>
            <w:r w:rsidRPr="001A65DF">
              <w:rPr>
                <w:rFonts w:eastAsia="Arial" w:cs="Arial"/>
                <w:lang w:val="es-ES" w:eastAsia="en-GB"/>
              </w:rPr>
              <w:t xml:space="preserve">Reproductive </w:t>
            </w:r>
            <w:proofErr w:type="spellStart"/>
            <w:r w:rsidRPr="001A65DF">
              <w:rPr>
                <w:rFonts w:eastAsia="Arial" w:cs="Arial"/>
                <w:lang w:val="es-ES" w:eastAsia="en-GB"/>
              </w:rPr>
              <w:t>cycle</w:t>
            </w:r>
            <w:proofErr w:type="spellEnd"/>
          </w:p>
        </w:tc>
        <w:tc>
          <w:tcPr>
            <w:tcW w:w="4052" w:type="dxa"/>
          </w:tcPr>
          <w:p w14:paraId="5BB394E9" w14:textId="77777777" w:rsidR="001A65DF" w:rsidRPr="001A65DF" w:rsidRDefault="001A65DF" w:rsidP="001A65DF">
            <w:pPr>
              <w:widowControl w:val="0"/>
              <w:pBdr>
                <w:top w:val="nil"/>
                <w:left w:val="nil"/>
                <w:bottom w:val="nil"/>
                <w:right w:val="nil"/>
                <w:between w:val="nil"/>
              </w:pBdr>
              <w:spacing w:after="0" w:line="230" w:lineRule="auto"/>
              <w:ind w:left="107"/>
              <w:rPr>
                <w:rFonts w:eastAsia="Arial" w:cs="Arial"/>
                <w:lang w:val="es-ES" w:eastAsia="en-GB"/>
              </w:rPr>
            </w:pPr>
            <w:r w:rsidRPr="001A65DF">
              <w:rPr>
                <w:rFonts w:eastAsia="Arial" w:cs="Arial"/>
                <w:lang w:val="es-ES" w:eastAsia="en-GB"/>
              </w:rPr>
              <w:t xml:space="preserve">2 </w:t>
            </w:r>
            <w:proofErr w:type="spellStart"/>
            <w:r w:rsidRPr="001A65DF">
              <w:rPr>
                <w:rFonts w:eastAsia="Arial" w:cs="Arial"/>
                <w:lang w:val="es-ES" w:eastAsia="en-GB"/>
              </w:rPr>
              <w:t>year</w:t>
            </w:r>
            <w:proofErr w:type="spellEnd"/>
          </w:p>
        </w:tc>
        <w:tc>
          <w:tcPr>
            <w:tcW w:w="2895" w:type="dxa"/>
          </w:tcPr>
          <w:p w14:paraId="13649EF7" w14:textId="77777777" w:rsidR="001A65DF" w:rsidRPr="001A65DF" w:rsidRDefault="001A65DF" w:rsidP="001A65DF">
            <w:pPr>
              <w:widowControl w:val="0"/>
              <w:pBdr>
                <w:top w:val="nil"/>
                <w:left w:val="nil"/>
                <w:bottom w:val="nil"/>
                <w:right w:val="nil"/>
                <w:between w:val="nil"/>
              </w:pBdr>
              <w:spacing w:after="0" w:line="218" w:lineRule="auto"/>
              <w:ind w:left="105" w:right="458"/>
              <w:jc w:val="both"/>
              <w:rPr>
                <w:rFonts w:eastAsia="Arial" w:cs="Arial"/>
                <w:lang w:val="fr-FR" w:eastAsia="en-GB"/>
              </w:rPr>
            </w:pPr>
            <w:r w:rsidRPr="001A65DF">
              <w:rPr>
                <w:rFonts w:eastAsia="Arial" w:cs="Arial"/>
                <w:lang w:val="fr-FR" w:eastAsia="en-GB"/>
              </w:rPr>
              <w:t xml:space="preserve">Chen et al (1988) </w:t>
            </w:r>
            <w:proofErr w:type="spellStart"/>
            <w:r w:rsidRPr="001A65DF">
              <w:rPr>
                <w:rFonts w:eastAsia="Arial" w:cs="Arial"/>
                <w:lang w:val="fr-FR" w:eastAsia="en-GB"/>
              </w:rPr>
              <w:t>Hazin</w:t>
            </w:r>
            <w:proofErr w:type="spellEnd"/>
            <w:r w:rsidRPr="001A65DF">
              <w:rPr>
                <w:rFonts w:eastAsia="Arial" w:cs="Arial"/>
                <w:lang w:val="fr-FR" w:eastAsia="en-GB"/>
              </w:rPr>
              <w:t xml:space="preserve"> et al (2001) White et al (2008)</w:t>
            </w:r>
          </w:p>
        </w:tc>
      </w:tr>
      <w:tr w:rsidR="001A65DF" w:rsidRPr="001A65DF" w14:paraId="3DC7C7CF" w14:textId="77777777" w:rsidTr="00436783">
        <w:trPr>
          <w:trHeight w:val="222"/>
        </w:trPr>
        <w:tc>
          <w:tcPr>
            <w:tcW w:w="2268" w:type="dxa"/>
            <w:tcBorders>
              <w:bottom w:val="nil"/>
            </w:tcBorders>
          </w:tcPr>
          <w:p w14:paraId="438F596F" w14:textId="77777777" w:rsidR="001A65DF" w:rsidRPr="001A65DF" w:rsidRDefault="001A65DF" w:rsidP="001A65DF">
            <w:pPr>
              <w:widowControl w:val="0"/>
              <w:pBdr>
                <w:top w:val="nil"/>
                <w:left w:val="nil"/>
                <w:bottom w:val="nil"/>
                <w:right w:val="nil"/>
                <w:between w:val="nil"/>
              </w:pBdr>
              <w:spacing w:after="0" w:line="203" w:lineRule="auto"/>
              <w:ind w:left="107"/>
              <w:rPr>
                <w:rFonts w:eastAsia="Arial" w:cs="Arial"/>
                <w:lang w:val="es-ES" w:eastAsia="en-GB"/>
              </w:rPr>
            </w:pPr>
            <w:proofErr w:type="spellStart"/>
            <w:r w:rsidRPr="001A65DF">
              <w:rPr>
                <w:rFonts w:eastAsia="Arial" w:cs="Arial"/>
                <w:lang w:val="es-ES" w:eastAsia="en-GB"/>
              </w:rPr>
              <w:t>Average</w:t>
            </w:r>
            <w:proofErr w:type="spellEnd"/>
            <w:r w:rsidRPr="001A65DF">
              <w:rPr>
                <w:rFonts w:eastAsia="Arial" w:cs="Arial"/>
                <w:lang w:val="es-ES" w:eastAsia="en-GB"/>
              </w:rPr>
              <w:t xml:space="preserve"> </w:t>
            </w:r>
            <w:proofErr w:type="spellStart"/>
            <w:proofErr w:type="gramStart"/>
            <w:r w:rsidRPr="001A65DF">
              <w:rPr>
                <w:rFonts w:eastAsia="Arial" w:cs="Arial"/>
                <w:lang w:val="es-ES" w:eastAsia="en-GB"/>
              </w:rPr>
              <w:t>clutch</w:t>
            </w:r>
            <w:proofErr w:type="spellEnd"/>
            <w:proofErr w:type="gramEnd"/>
          </w:p>
        </w:tc>
        <w:tc>
          <w:tcPr>
            <w:tcW w:w="4052" w:type="dxa"/>
            <w:tcBorders>
              <w:bottom w:val="nil"/>
            </w:tcBorders>
          </w:tcPr>
          <w:p w14:paraId="6D66C2D9" w14:textId="77777777" w:rsidR="001A65DF" w:rsidRPr="001A65DF" w:rsidRDefault="001A65DF" w:rsidP="001A65DF">
            <w:pPr>
              <w:widowControl w:val="0"/>
              <w:pBdr>
                <w:top w:val="nil"/>
                <w:left w:val="nil"/>
                <w:bottom w:val="nil"/>
                <w:right w:val="nil"/>
                <w:between w:val="nil"/>
              </w:pBdr>
              <w:spacing w:after="0" w:line="202" w:lineRule="auto"/>
              <w:ind w:left="107"/>
              <w:rPr>
                <w:rFonts w:eastAsia="Arial" w:cs="Arial"/>
                <w:lang w:val="es-ES" w:eastAsia="en-GB"/>
              </w:rPr>
            </w:pPr>
            <w:proofErr w:type="spellStart"/>
            <w:r w:rsidRPr="001A65DF">
              <w:rPr>
                <w:rFonts w:eastAsia="Arial" w:cs="Arial"/>
                <w:lang w:val="es-ES" w:eastAsia="en-GB"/>
              </w:rPr>
              <w:t>Distribution</w:t>
            </w:r>
            <w:proofErr w:type="spellEnd"/>
            <w:r w:rsidRPr="001A65DF">
              <w:rPr>
                <w:rFonts w:eastAsia="Arial" w:cs="Arial"/>
                <w:lang w:val="es-ES" w:eastAsia="en-GB"/>
              </w:rPr>
              <w:t xml:space="preserve"> </w:t>
            </w:r>
            <w:proofErr w:type="spellStart"/>
            <w:r w:rsidRPr="001A65DF">
              <w:rPr>
                <w:rFonts w:eastAsia="Arial" w:cs="Arial"/>
                <w:lang w:val="es-ES" w:eastAsia="en-GB"/>
              </w:rPr>
              <w:t>area</w:t>
            </w:r>
            <w:proofErr w:type="spellEnd"/>
            <w:r w:rsidRPr="001A65DF">
              <w:rPr>
                <w:rFonts w:eastAsia="Arial" w:cs="Arial"/>
                <w:lang w:val="es-ES" w:eastAsia="en-GB"/>
              </w:rPr>
              <w:t xml:space="preserve"> normal =12-41</w:t>
            </w:r>
          </w:p>
        </w:tc>
        <w:tc>
          <w:tcPr>
            <w:tcW w:w="2895" w:type="dxa"/>
            <w:tcBorders>
              <w:bottom w:val="nil"/>
            </w:tcBorders>
          </w:tcPr>
          <w:p w14:paraId="1A4E02A2" w14:textId="77777777" w:rsidR="001A65DF" w:rsidRPr="001A65DF" w:rsidRDefault="001A65DF" w:rsidP="001A65DF">
            <w:pPr>
              <w:widowControl w:val="0"/>
              <w:pBdr>
                <w:top w:val="nil"/>
                <w:left w:val="nil"/>
                <w:bottom w:val="nil"/>
                <w:right w:val="nil"/>
                <w:between w:val="nil"/>
              </w:pBdr>
              <w:spacing w:after="0" w:line="203" w:lineRule="auto"/>
              <w:ind w:left="105"/>
              <w:rPr>
                <w:rFonts w:eastAsia="Arial" w:cs="Arial"/>
                <w:lang w:val="es-ES" w:eastAsia="en-GB"/>
              </w:rPr>
            </w:pPr>
            <w:r w:rsidRPr="001A65DF">
              <w:rPr>
                <w:rFonts w:eastAsia="Arial" w:cs="Arial"/>
                <w:lang w:val="es-ES" w:eastAsia="en-GB"/>
              </w:rPr>
              <w:t xml:space="preserve">Chen et al (1988) </w:t>
            </w:r>
            <w:proofErr w:type="spellStart"/>
            <w:r w:rsidRPr="001A65DF">
              <w:rPr>
                <w:rFonts w:eastAsia="Arial" w:cs="Arial"/>
                <w:lang w:val="es-ES" w:eastAsia="en-GB"/>
              </w:rPr>
              <w:t>Hazin</w:t>
            </w:r>
            <w:proofErr w:type="spellEnd"/>
          </w:p>
        </w:tc>
      </w:tr>
      <w:tr w:rsidR="001A65DF" w:rsidRPr="001A65DF" w14:paraId="1791EC7B" w14:textId="77777777" w:rsidTr="00436783">
        <w:trPr>
          <w:trHeight w:val="1166"/>
        </w:trPr>
        <w:tc>
          <w:tcPr>
            <w:tcW w:w="2268" w:type="dxa"/>
            <w:tcBorders>
              <w:top w:val="nil"/>
            </w:tcBorders>
          </w:tcPr>
          <w:p w14:paraId="34492A90" w14:textId="77777777" w:rsidR="001A65DF" w:rsidRPr="001A65DF" w:rsidRDefault="001A65DF" w:rsidP="001A65DF">
            <w:pPr>
              <w:widowControl w:val="0"/>
              <w:pBdr>
                <w:top w:val="nil"/>
                <w:left w:val="nil"/>
                <w:bottom w:val="nil"/>
                <w:right w:val="nil"/>
                <w:between w:val="nil"/>
              </w:pBdr>
              <w:spacing w:after="0" w:line="238" w:lineRule="auto"/>
              <w:ind w:left="107"/>
              <w:rPr>
                <w:rFonts w:eastAsia="Arial" w:cs="Arial"/>
                <w:lang w:val="es-ES" w:eastAsia="en-GB"/>
              </w:rPr>
            </w:pPr>
            <w:proofErr w:type="spellStart"/>
            <w:r w:rsidRPr="001A65DF">
              <w:rPr>
                <w:rFonts w:eastAsia="Arial" w:cs="Arial"/>
                <w:lang w:val="es-ES" w:eastAsia="en-GB"/>
              </w:rPr>
              <w:t>size</w:t>
            </w:r>
            <w:proofErr w:type="spellEnd"/>
          </w:p>
        </w:tc>
        <w:tc>
          <w:tcPr>
            <w:tcW w:w="4052" w:type="dxa"/>
            <w:tcBorders>
              <w:top w:val="nil"/>
            </w:tcBorders>
          </w:tcPr>
          <w:p w14:paraId="75F2B265" w14:textId="77777777" w:rsidR="001A65DF" w:rsidRPr="001A65DF" w:rsidRDefault="001A65DF" w:rsidP="001A65DF">
            <w:pPr>
              <w:widowControl w:val="0"/>
              <w:pBdr>
                <w:top w:val="nil"/>
                <w:left w:val="nil"/>
                <w:bottom w:val="nil"/>
                <w:right w:val="nil"/>
                <w:between w:val="nil"/>
              </w:pBdr>
              <w:spacing w:after="0" w:line="229" w:lineRule="auto"/>
              <w:ind w:left="107"/>
              <w:rPr>
                <w:rFonts w:eastAsia="Arial" w:cs="Arial"/>
                <w:lang w:eastAsia="en-GB"/>
              </w:rPr>
            </w:pPr>
            <w:r w:rsidRPr="001A65DF">
              <w:rPr>
                <w:rFonts w:eastAsia="Arial" w:cs="Arial"/>
                <w:lang w:eastAsia="en-GB"/>
              </w:rPr>
              <w:t>23 (Atlantic NW)</w:t>
            </w:r>
          </w:p>
          <w:p w14:paraId="7AB2D5F5" w14:textId="77777777" w:rsidR="001A65DF" w:rsidRPr="001A65DF" w:rsidRDefault="001A65DF" w:rsidP="001A65DF">
            <w:pPr>
              <w:widowControl w:val="0"/>
              <w:pBdr>
                <w:top w:val="nil"/>
                <w:left w:val="nil"/>
                <w:bottom w:val="nil"/>
                <w:right w:val="nil"/>
                <w:between w:val="nil"/>
              </w:pBdr>
              <w:spacing w:after="0" w:line="249" w:lineRule="auto"/>
              <w:ind w:left="107"/>
              <w:rPr>
                <w:rFonts w:eastAsia="Arial" w:cs="Arial"/>
                <w:lang w:eastAsia="en-GB"/>
              </w:rPr>
            </w:pPr>
            <w:r w:rsidRPr="001A65DF">
              <w:rPr>
                <w:rFonts w:eastAsia="Arial" w:cs="Arial"/>
                <w:lang w:eastAsia="en-GB"/>
              </w:rPr>
              <w:t>14 (Atlantic SW)</w:t>
            </w:r>
          </w:p>
          <w:p w14:paraId="39C70F37" w14:textId="77777777" w:rsidR="001A65DF" w:rsidRPr="001A65DF" w:rsidRDefault="001A65DF" w:rsidP="001A65DF">
            <w:pPr>
              <w:widowControl w:val="0"/>
              <w:pBdr>
                <w:top w:val="nil"/>
                <w:left w:val="nil"/>
                <w:bottom w:val="nil"/>
                <w:right w:val="nil"/>
                <w:between w:val="nil"/>
              </w:pBdr>
              <w:spacing w:before="1" w:after="0" w:line="240" w:lineRule="auto"/>
              <w:ind w:left="107"/>
              <w:rPr>
                <w:rFonts w:eastAsia="Arial" w:cs="Arial"/>
                <w:lang w:eastAsia="en-GB"/>
              </w:rPr>
            </w:pPr>
            <w:r w:rsidRPr="001A65DF">
              <w:rPr>
                <w:rFonts w:eastAsia="Arial" w:cs="Arial"/>
                <w:lang w:eastAsia="en-GB"/>
              </w:rPr>
              <w:t>25-26 (Indo-Pacific)</w:t>
            </w:r>
          </w:p>
        </w:tc>
        <w:tc>
          <w:tcPr>
            <w:tcW w:w="2895" w:type="dxa"/>
            <w:tcBorders>
              <w:top w:val="nil"/>
            </w:tcBorders>
          </w:tcPr>
          <w:p w14:paraId="249F8A86" w14:textId="77777777" w:rsidR="001A65DF" w:rsidRPr="001A65DF" w:rsidRDefault="001A65DF" w:rsidP="001A65DF">
            <w:pPr>
              <w:widowControl w:val="0"/>
              <w:pBdr>
                <w:top w:val="nil"/>
                <w:left w:val="nil"/>
                <w:bottom w:val="nil"/>
                <w:right w:val="nil"/>
                <w:between w:val="nil"/>
              </w:pBdr>
              <w:spacing w:before="5" w:after="0" w:line="216" w:lineRule="auto"/>
              <w:ind w:left="105" w:right="1172"/>
              <w:rPr>
                <w:rFonts w:eastAsia="Arial" w:cs="Arial"/>
                <w:lang w:val="fr-FR" w:eastAsia="en-GB"/>
              </w:rPr>
            </w:pPr>
            <w:proofErr w:type="gramStart"/>
            <w:r w:rsidRPr="001A65DF">
              <w:rPr>
                <w:rFonts w:eastAsia="Arial" w:cs="Arial"/>
                <w:lang w:val="fr-FR" w:eastAsia="en-GB"/>
              </w:rPr>
              <w:t>et</w:t>
            </w:r>
            <w:proofErr w:type="gramEnd"/>
            <w:r w:rsidRPr="001A65DF">
              <w:rPr>
                <w:rFonts w:eastAsia="Arial" w:cs="Arial"/>
                <w:lang w:val="fr-FR" w:eastAsia="en-GB"/>
              </w:rPr>
              <w:t xml:space="preserve"> al (2001) White et al (2008) Tapiero (1997)</w:t>
            </w:r>
          </w:p>
        </w:tc>
      </w:tr>
      <w:tr w:rsidR="001A65DF" w:rsidRPr="001A65DF" w14:paraId="7A24A5CA" w14:textId="77777777" w:rsidTr="00436783">
        <w:trPr>
          <w:trHeight w:val="451"/>
        </w:trPr>
        <w:tc>
          <w:tcPr>
            <w:tcW w:w="2268" w:type="dxa"/>
          </w:tcPr>
          <w:p w14:paraId="5429EE31" w14:textId="77777777" w:rsidR="001A65DF" w:rsidRPr="001A65DF" w:rsidRDefault="001A65DF" w:rsidP="001A65DF">
            <w:pPr>
              <w:widowControl w:val="0"/>
              <w:pBdr>
                <w:top w:val="nil"/>
                <w:left w:val="nil"/>
                <w:bottom w:val="nil"/>
                <w:right w:val="nil"/>
                <w:between w:val="nil"/>
              </w:pBdr>
              <w:spacing w:after="0" w:line="235" w:lineRule="auto"/>
              <w:ind w:left="107"/>
              <w:rPr>
                <w:rFonts w:eastAsia="Arial" w:cs="Arial"/>
                <w:lang w:val="es-ES" w:eastAsia="en-GB"/>
              </w:rPr>
            </w:pPr>
            <w:proofErr w:type="spellStart"/>
            <w:r w:rsidRPr="001A65DF">
              <w:rPr>
                <w:rFonts w:eastAsia="Arial" w:cs="Arial"/>
                <w:lang w:val="es-ES" w:eastAsia="en-GB"/>
              </w:rPr>
              <w:t>Growth</w:t>
            </w:r>
            <w:proofErr w:type="spellEnd"/>
            <w:r w:rsidRPr="001A65DF">
              <w:rPr>
                <w:rFonts w:eastAsia="Arial" w:cs="Arial"/>
                <w:lang w:val="es-ES" w:eastAsia="en-GB"/>
              </w:rPr>
              <w:t xml:space="preserve"> </w:t>
            </w:r>
            <w:proofErr w:type="spellStart"/>
            <w:r w:rsidRPr="001A65DF">
              <w:rPr>
                <w:rFonts w:eastAsia="Arial" w:cs="Arial"/>
                <w:lang w:val="es-ES" w:eastAsia="en-GB"/>
              </w:rPr>
              <w:t>rate</w:t>
            </w:r>
            <w:proofErr w:type="spellEnd"/>
            <w:r w:rsidRPr="001A65DF">
              <w:rPr>
                <w:rFonts w:eastAsia="Arial" w:cs="Arial"/>
                <w:lang w:val="es-ES" w:eastAsia="en-GB"/>
              </w:rPr>
              <w:t xml:space="preserve"> (r)</w:t>
            </w:r>
          </w:p>
        </w:tc>
        <w:tc>
          <w:tcPr>
            <w:tcW w:w="4052" w:type="dxa"/>
          </w:tcPr>
          <w:p w14:paraId="67A3C0E3" w14:textId="77777777" w:rsidR="001A65DF" w:rsidRPr="001A65DF" w:rsidRDefault="001A65DF" w:rsidP="001A65DF">
            <w:pPr>
              <w:widowControl w:val="0"/>
              <w:pBdr>
                <w:top w:val="nil"/>
                <w:left w:val="nil"/>
                <w:bottom w:val="nil"/>
                <w:right w:val="nil"/>
                <w:between w:val="nil"/>
              </w:pBdr>
              <w:spacing w:after="0" w:line="230" w:lineRule="auto"/>
              <w:ind w:left="107"/>
              <w:rPr>
                <w:rFonts w:eastAsia="Arial" w:cs="Arial"/>
                <w:lang w:val="es-ES" w:eastAsia="en-GB"/>
              </w:rPr>
            </w:pPr>
            <w:r w:rsidRPr="001A65DF">
              <w:rPr>
                <w:rFonts w:eastAsia="Arial" w:cs="Arial"/>
                <w:lang w:val="es-ES" w:eastAsia="en-GB"/>
              </w:rPr>
              <w:t xml:space="preserve">0.09 </w:t>
            </w:r>
            <w:proofErr w:type="spellStart"/>
            <w:r w:rsidRPr="001A65DF">
              <w:rPr>
                <w:rFonts w:eastAsia="Arial" w:cs="Arial"/>
                <w:lang w:val="es-ES" w:eastAsia="en-GB"/>
              </w:rPr>
              <w:t>year</w:t>
            </w:r>
            <w:proofErr w:type="spellEnd"/>
          </w:p>
        </w:tc>
        <w:tc>
          <w:tcPr>
            <w:tcW w:w="2895" w:type="dxa"/>
          </w:tcPr>
          <w:p w14:paraId="102BC4AC" w14:textId="77777777" w:rsidR="001A65DF" w:rsidRPr="001A65DF" w:rsidRDefault="001A65DF" w:rsidP="001A65DF">
            <w:pPr>
              <w:widowControl w:val="0"/>
              <w:pBdr>
                <w:top w:val="nil"/>
                <w:left w:val="nil"/>
                <w:bottom w:val="nil"/>
                <w:right w:val="nil"/>
                <w:between w:val="nil"/>
              </w:pBdr>
              <w:spacing w:after="0" w:line="230" w:lineRule="auto"/>
              <w:ind w:left="105"/>
              <w:rPr>
                <w:rFonts w:eastAsia="Arial" w:cs="Arial"/>
                <w:lang w:val="es-ES" w:eastAsia="en-GB"/>
              </w:rPr>
            </w:pPr>
            <w:r w:rsidRPr="001A65DF">
              <w:rPr>
                <w:rFonts w:eastAsia="Arial" w:cs="Arial"/>
                <w:lang w:val="es-ES" w:eastAsia="en-GB"/>
              </w:rPr>
              <w:t>Cortés et al (2009)</w:t>
            </w:r>
          </w:p>
        </w:tc>
      </w:tr>
    </w:tbl>
    <w:p w14:paraId="695472CC" w14:textId="77777777" w:rsidR="00267186" w:rsidRDefault="00267186" w:rsidP="001A65DF">
      <w:pPr>
        <w:widowControl w:val="0"/>
        <w:pBdr>
          <w:top w:val="nil"/>
          <w:left w:val="nil"/>
          <w:bottom w:val="nil"/>
          <w:right w:val="nil"/>
          <w:between w:val="nil"/>
        </w:pBdr>
        <w:spacing w:before="54" w:after="0" w:line="240" w:lineRule="auto"/>
        <w:rPr>
          <w:rFonts w:eastAsia="Arial" w:cs="Arial"/>
          <w:i/>
          <w:lang w:val="es-ES" w:eastAsia="en-GB"/>
        </w:rPr>
        <w:sectPr w:rsidR="00267186" w:rsidSect="00323406">
          <w:headerReference w:type="first" r:id="rId34"/>
          <w:footerReference w:type="first" r:id="rId35"/>
          <w:pgSz w:w="11906" w:h="16838" w:code="9"/>
          <w:pgMar w:top="1440" w:right="1440" w:bottom="1440" w:left="1440" w:header="720" w:footer="720" w:gutter="0"/>
          <w:cols w:space="720"/>
          <w:titlePg/>
          <w:docGrid w:linePitch="360"/>
        </w:sectPr>
      </w:pPr>
    </w:p>
    <w:p w14:paraId="1B57F609" w14:textId="514FE7DA" w:rsidR="001A65DF" w:rsidRPr="001A65DF" w:rsidRDefault="001A65DF" w:rsidP="00267186">
      <w:pPr>
        <w:spacing w:after="0" w:line="240" w:lineRule="auto"/>
        <w:ind w:left="540" w:hanging="540"/>
        <w:jc w:val="right"/>
        <w:rPr>
          <w:rFonts w:eastAsia="Arial" w:cs="Arial"/>
          <w:b/>
          <w:u w:val="single"/>
          <w:lang w:val="es-ES" w:eastAsia="en-GB"/>
        </w:rPr>
      </w:pPr>
      <w:r w:rsidRPr="001A65DF">
        <w:rPr>
          <w:rFonts w:eastAsia="Arial" w:cs="Arial"/>
          <w:b/>
          <w:u w:val="single"/>
          <w:lang w:val="es-ES" w:eastAsia="en-GB"/>
        </w:rPr>
        <w:t>Anex</w:t>
      </w:r>
      <w:r w:rsidR="000437B7">
        <w:rPr>
          <w:rFonts w:eastAsia="Arial" w:cs="Arial"/>
          <w:b/>
          <w:u w:val="single"/>
          <w:lang w:val="es-ES" w:eastAsia="en-GB"/>
        </w:rPr>
        <w:t>o</w:t>
      </w:r>
      <w:r w:rsidRPr="001A65DF">
        <w:rPr>
          <w:rFonts w:eastAsia="Arial" w:cs="Arial"/>
          <w:b/>
          <w:u w:val="single"/>
          <w:lang w:val="es-ES" w:eastAsia="en-GB"/>
        </w:rPr>
        <w:t xml:space="preserve"> II.</w:t>
      </w:r>
    </w:p>
    <w:p w14:paraId="188673D0" w14:textId="77777777" w:rsidR="001A65DF" w:rsidRPr="001A65DF" w:rsidRDefault="001A65DF" w:rsidP="001A65DF">
      <w:pPr>
        <w:spacing w:after="0" w:line="240" w:lineRule="auto"/>
        <w:ind w:left="540" w:hanging="540"/>
        <w:jc w:val="both"/>
        <w:rPr>
          <w:rFonts w:eastAsia="Arial" w:cs="Arial"/>
          <w:b/>
          <w:u w:val="single"/>
          <w:lang w:val="es-ES" w:eastAsia="en-GB"/>
        </w:rPr>
      </w:pPr>
    </w:p>
    <w:p w14:paraId="7915C368" w14:textId="77777777" w:rsidR="001A65DF" w:rsidRPr="001A65DF" w:rsidRDefault="001A65DF" w:rsidP="001A65DF">
      <w:pPr>
        <w:spacing w:after="0" w:line="240" w:lineRule="auto"/>
        <w:ind w:left="540" w:hanging="540"/>
        <w:jc w:val="both"/>
        <w:rPr>
          <w:rFonts w:eastAsia="Arial" w:cs="Arial"/>
          <w:b/>
          <w:u w:val="single"/>
          <w:lang w:val="es-ES" w:eastAsia="en-GB"/>
        </w:rPr>
      </w:pPr>
      <w:r w:rsidRPr="001A65DF">
        <w:rPr>
          <w:rFonts w:eastAsia="Calibri" w:cs="Arial"/>
          <w:lang w:val="es-ES" w:eastAsia="en-GB"/>
        </w:rPr>
        <w:t xml:space="preserve">Global </w:t>
      </w:r>
      <w:r w:rsidRPr="001A65DF">
        <w:rPr>
          <w:rFonts w:eastAsia="Calibri" w:cs="Arial"/>
          <w:i/>
          <w:lang w:val="es-ES" w:eastAsia="en-GB"/>
        </w:rPr>
        <w:t xml:space="preserve">S. </w:t>
      </w:r>
      <w:proofErr w:type="spellStart"/>
      <w:r w:rsidRPr="001A65DF">
        <w:rPr>
          <w:rFonts w:eastAsia="Calibri" w:cs="Arial"/>
          <w:i/>
          <w:lang w:val="es-ES" w:eastAsia="en-GB"/>
        </w:rPr>
        <w:t>lewini</w:t>
      </w:r>
      <w:proofErr w:type="spellEnd"/>
      <w:r w:rsidRPr="001A65DF">
        <w:rPr>
          <w:rFonts w:eastAsia="Calibri" w:cs="Arial"/>
          <w:i/>
          <w:lang w:val="es-ES" w:eastAsia="en-GB"/>
        </w:rPr>
        <w:t xml:space="preserve"> </w:t>
      </w:r>
      <w:proofErr w:type="spellStart"/>
      <w:r w:rsidRPr="001A65DF">
        <w:rPr>
          <w:rFonts w:eastAsia="Calibri" w:cs="Arial"/>
          <w:lang w:val="es-ES" w:eastAsia="en-GB"/>
        </w:rPr>
        <w:t>population</w:t>
      </w:r>
      <w:proofErr w:type="spellEnd"/>
      <w:r w:rsidRPr="001A65DF">
        <w:rPr>
          <w:rFonts w:eastAsia="Calibri" w:cs="Arial"/>
          <w:lang w:val="es-ES" w:eastAsia="en-GB"/>
        </w:rPr>
        <w:t xml:space="preserve"> </w:t>
      </w:r>
      <w:proofErr w:type="spellStart"/>
      <w:r w:rsidRPr="001A65DF">
        <w:rPr>
          <w:rFonts w:eastAsia="Calibri" w:cs="Arial"/>
          <w:lang w:val="es-ES" w:eastAsia="en-GB"/>
        </w:rPr>
        <w:t>trends</w:t>
      </w:r>
      <w:proofErr w:type="spellEnd"/>
    </w:p>
    <w:p w14:paraId="52F66C9C" w14:textId="77777777" w:rsidR="001A65DF" w:rsidRPr="001A65DF" w:rsidRDefault="001A65DF" w:rsidP="001A65DF">
      <w:pPr>
        <w:widowControl w:val="0"/>
        <w:pBdr>
          <w:top w:val="nil"/>
          <w:left w:val="nil"/>
          <w:bottom w:val="nil"/>
          <w:right w:val="nil"/>
          <w:between w:val="nil"/>
        </w:pBdr>
        <w:spacing w:before="54" w:after="0" w:line="240" w:lineRule="auto"/>
        <w:rPr>
          <w:rFonts w:eastAsia="Times New Roman" w:cs="Arial"/>
          <w:lang w:val="es-ES" w:eastAsia="en-GB"/>
        </w:rPr>
      </w:pPr>
    </w:p>
    <w:tbl>
      <w:tblPr>
        <w:tblW w:w="965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2204"/>
        <w:gridCol w:w="2189"/>
        <w:gridCol w:w="1560"/>
        <w:gridCol w:w="2137"/>
      </w:tblGrid>
      <w:tr w:rsidR="001A65DF" w:rsidRPr="001A65DF" w14:paraId="05079BCA" w14:textId="77777777" w:rsidTr="00436783">
        <w:trPr>
          <w:trHeight w:val="496"/>
        </w:trPr>
        <w:tc>
          <w:tcPr>
            <w:tcW w:w="1560" w:type="dxa"/>
          </w:tcPr>
          <w:p w14:paraId="52B17204" w14:textId="77777777" w:rsidR="001A65DF" w:rsidRPr="001A65DF" w:rsidRDefault="001A65DF" w:rsidP="001A65DF">
            <w:pPr>
              <w:widowControl w:val="0"/>
              <w:pBdr>
                <w:top w:val="nil"/>
                <w:left w:val="nil"/>
                <w:bottom w:val="nil"/>
                <w:right w:val="nil"/>
                <w:between w:val="nil"/>
              </w:pBdr>
              <w:spacing w:before="15" w:after="0" w:line="240" w:lineRule="auto"/>
              <w:ind w:left="76" w:right="48"/>
              <w:jc w:val="center"/>
              <w:rPr>
                <w:rFonts w:eastAsia="Arial" w:cs="Arial"/>
                <w:b/>
                <w:lang w:val="es-ES" w:eastAsia="en-GB"/>
              </w:rPr>
            </w:pPr>
            <w:proofErr w:type="spellStart"/>
            <w:r w:rsidRPr="001A65DF">
              <w:rPr>
                <w:rFonts w:eastAsia="Arial" w:cs="Arial"/>
                <w:b/>
                <w:lang w:val="es-ES" w:eastAsia="en-GB"/>
              </w:rPr>
              <w:t>Year</w:t>
            </w:r>
            <w:proofErr w:type="spellEnd"/>
          </w:p>
        </w:tc>
        <w:tc>
          <w:tcPr>
            <w:tcW w:w="2204" w:type="dxa"/>
          </w:tcPr>
          <w:p w14:paraId="7C6FD905" w14:textId="77777777" w:rsidR="001A65DF" w:rsidRPr="001A65DF" w:rsidRDefault="001A65DF" w:rsidP="001A65DF">
            <w:pPr>
              <w:widowControl w:val="0"/>
              <w:pBdr>
                <w:top w:val="nil"/>
                <w:left w:val="nil"/>
                <w:bottom w:val="nil"/>
                <w:right w:val="nil"/>
                <w:between w:val="nil"/>
              </w:pBdr>
              <w:spacing w:before="15" w:after="0" w:line="240" w:lineRule="auto"/>
              <w:ind w:left="30" w:right="3"/>
              <w:jc w:val="center"/>
              <w:rPr>
                <w:rFonts w:eastAsia="Arial" w:cs="Arial"/>
                <w:b/>
                <w:lang w:val="es-ES" w:eastAsia="en-GB"/>
              </w:rPr>
            </w:pPr>
            <w:r w:rsidRPr="001A65DF">
              <w:rPr>
                <w:rFonts w:eastAsia="Arial" w:cs="Arial"/>
                <w:b/>
                <w:lang w:val="es-ES" w:eastAsia="en-GB"/>
              </w:rPr>
              <w:t>Site</w:t>
            </w:r>
          </w:p>
        </w:tc>
        <w:tc>
          <w:tcPr>
            <w:tcW w:w="2189" w:type="dxa"/>
          </w:tcPr>
          <w:p w14:paraId="69E57F4A" w14:textId="77777777" w:rsidR="001A65DF" w:rsidRPr="001A65DF" w:rsidRDefault="001A65DF" w:rsidP="001A65DF">
            <w:pPr>
              <w:widowControl w:val="0"/>
              <w:pBdr>
                <w:top w:val="nil"/>
                <w:left w:val="nil"/>
                <w:bottom w:val="nil"/>
                <w:right w:val="nil"/>
                <w:between w:val="nil"/>
              </w:pBdr>
              <w:spacing w:after="0" w:line="240" w:lineRule="auto"/>
              <w:ind w:left="781" w:right="756"/>
              <w:jc w:val="center"/>
              <w:rPr>
                <w:rFonts w:eastAsia="Arial" w:cs="Arial"/>
                <w:b/>
                <w:lang w:val="es-ES" w:eastAsia="en-GB"/>
              </w:rPr>
            </w:pPr>
            <w:r w:rsidRPr="001A65DF">
              <w:rPr>
                <w:rFonts w:eastAsia="Arial" w:cs="Arial"/>
                <w:b/>
                <w:lang w:val="es-ES" w:eastAsia="en-GB"/>
              </w:rPr>
              <w:t>Data set</w:t>
            </w:r>
          </w:p>
        </w:tc>
        <w:tc>
          <w:tcPr>
            <w:tcW w:w="1560" w:type="dxa"/>
          </w:tcPr>
          <w:p w14:paraId="24511812" w14:textId="77777777" w:rsidR="001A65DF" w:rsidRPr="001A65DF" w:rsidRDefault="001A65DF" w:rsidP="001A65DF">
            <w:pPr>
              <w:widowControl w:val="0"/>
              <w:pBdr>
                <w:top w:val="nil"/>
                <w:left w:val="nil"/>
                <w:bottom w:val="nil"/>
                <w:right w:val="nil"/>
                <w:between w:val="nil"/>
              </w:pBdr>
              <w:spacing w:before="15" w:after="0" w:line="240" w:lineRule="auto"/>
              <w:ind w:left="28" w:right="76"/>
              <w:jc w:val="center"/>
              <w:rPr>
                <w:rFonts w:eastAsia="Arial" w:cs="Arial"/>
                <w:b/>
                <w:lang w:val="es-ES" w:eastAsia="en-GB"/>
              </w:rPr>
            </w:pPr>
            <w:proofErr w:type="spellStart"/>
            <w:r w:rsidRPr="001A65DF">
              <w:rPr>
                <w:rFonts w:eastAsia="Arial" w:cs="Arial"/>
                <w:b/>
                <w:lang w:val="es-ES" w:eastAsia="en-GB"/>
              </w:rPr>
              <w:t>Tendencies</w:t>
            </w:r>
            <w:proofErr w:type="spellEnd"/>
          </w:p>
        </w:tc>
        <w:tc>
          <w:tcPr>
            <w:tcW w:w="2137" w:type="dxa"/>
          </w:tcPr>
          <w:p w14:paraId="56152A60" w14:textId="77777777" w:rsidR="001A65DF" w:rsidRPr="001A65DF" w:rsidRDefault="001A65DF" w:rsidP="001A65DF">
            <w:pPr>
              <w:widowControl w:val="0"/>
              <w:pBdr>
                <w:top w:val="nil"/>
                <w:left w:val="nil"/>
                <w:bottom w:val="nil"/>
                <w:right w:val="nil"/>
                <w:between w:val="nil"/>
              </w:pBdr>
              <w:spacing w:before="15" w:after="0" w:line="240" w:lineRule="auto"/>
              <w:ind w:left="561"/>
              <w:rPr>
                <w:rFonts w:eastAsia="Arial" w:cs="Arial"/>
                <w:b/>
                <w:lang w:val="es-ES" w:eastAsia="en-GB"/>
              </w:rPr>
            </w:pPr>
            <w:r w:rsidRPr="001A65DF">
              <w:rPr>
                <w:rFonts w:eastAsia="Arial" w:cs="Arial"/>
                <w:b/>
                <w:lang w:val="es-ES" w:eastAsia="en-GB"/>
              </w:rPr>
              <w:t>Reference</w:t>
            </w:r>
          </w:p>
        </w:tc>
      </w:tr>
      <w:tr w:rsidR="001A65DF" w:rsidRPr="001A65DF" w14:paraId="7509540B" w14:textId="77777777" w:rsidTr="00436783">
        <w:trPr>
          <w:trHeight w:val="491"/>
        </w:trPr>
        <w:tc>
          <w:tcPr>
            <w:tcW w:w="1560" w:type="dxa"/>
          </w:tcPr>
          <w:p w14:paraId="0FF051FA" w14:textId="77777777" w:rsidR="001A65DF" w:rsidRPr="001A65DF" w:rsidRDefault="001A65DF" w:rsidP="001A65DF">
            <w:pPr>
              <w:widowControl w:val="0"/>
              <w:pBdr>
                <w:top w:val="nil"/>
                <w:left w:val="nil"/>
                <w:bottom w:val="nil"/>
                <w:right w:val="nil"/>
                <w:between w:val="nil"/>
              </w:pBdr>
              <w:spacing w:after="0" w:line="251" w:lineRule="auto"/>
              <w:ind w:left="50" w:right="48"/>
              <w:jc w:val="center"/>
              <w:rPr>
                <w:rFonts w:eastAsia="Arial" w:cs="Arial"/>
                <w:lang w:val="es-ES" w:eastAsia="en-GB"/>
              </w:rPr>
            </w:pPr>
            <w:r w:rsidRPr="001A65DF">
              <w:rPr>
                <w:rFonts w:eastAsia="Arial" w:cs="Arial"/>
                <w:lang w:val="es-ES" w:eastAsia="en-GB"/>
              </w:rPr>
              <w:t>1972-2003</w:t>
            </w:r>
          </w:p>
        </w:tc>
        <w:tc>
          <w:tcPr>
            <w:tcW w:w="2204" w:type="dxa"/>
          </w:tcPr>
          <w:p w14:paraId="1185A323" w14:textId="77777777" w:rsidR="001A65DF" w:rsidRPr="001A65DF" w:rsidRDefault="001A65DF" w:rsidP="001A65DF">
            <w:pPr>
              <w:widowControl w:val="0"/>
              <w:pBdr>
                <w:top w:val="nil"/>
                <w:left w:val="nil"/>
                <w:bottom w:val="nil"/>
                <w:right w:val="nil"/>
                <w:between w:val="nil"/>
              </w:pBdr>
              <w:spacing w:after="0" w:line="251" w:lineRule="auto"/>
              <w:ind w:left="107"/>
              <w:rPr>
                <w:rFonts w:eastAsia="Arial" w:cs="Arial"/>
                <w:lang w:val="es-ES" w:eastAsia="en-GB"/>
              </w:rPr>
            </w:pPr>
            <w:r w:rsidRPr="001A65DF">
              <w:rPr>
                <w:rFonts w:eastAsia="Arial" w:cs="Arial"/>
                <w:lang w:val="es-ES" w:eastAsia="en-GB"/>
              </w:rPr>
              <w:t>Atlantic NW</w:t>
            </w:r>
          </w:p>
        </w:tc>
        <w:tc>
          <w:tcPr>
            <w:tcW w:w="2189" w:type="dxa"/>
          </w:tcPr>
          <w:p w14:paraId="4ED03BD9" w14:textId="77777777" w:rsidR="001A65DF" w:rsidRPr="001A65DF" w:rsidRDefault="001A65DF" w:rsidP="001A65DF">
            <w:pPr>
              <w:widowControl w:val="0"/>
              <w:pBdr>
                <w:top w:val="nil"/>
                <w:left w:val="nil"/>
                <w:bottom w:val="nil"/>
                <w:right w:val="nil"/>
                <w:between w:val="nil"/>
              </w:pBdr>
              <w:spacing w:after="0" w:line="252" w:lineRule="auto"/>
              <w:ind w:left="225" w:right="238" w:hanging="104"/>
              <w:rPr>
                <w:rFonts w:eastAsia="Arial" w:cs="Arial"/>
                <w:lang w:val="es-ES" w:eastAsia="en-GB"/>
              </w:rPr>
            </w:pPr>
            <w:proofErr w:type="spellStart"/>
            <w:r w:rsidRPr="001A65DF">
              <w:rPr>
                <w:rFonts w:eastAsia="Arial" w:cs="Arial"/>
                <w:lang w:val="es-ES" w:eastAsia="en-GB"/>
              </w:rPr>
              <w:t>Independent</w:t>
            </w:r>
            <w:proofErr w:type="spellEnd"/>
            <w:r w:rsidRPr="001A65DF">
              <w:rPr>
                <w:rFonts w:eastAsia="Arial" w:cs="Arial"/>
                <w:lang w:val="es-ES" w:eastAsia="en-GB"/>
              </w:rPr>
              <w:t xml:space="preserve"> </w:t>
            </w:r>
            <w:proofErr w:type="spellStart"/>
            <w:r w:rsidRPr="001A65DF">
              <w:rPr>
                <w:rFonts w:eastAsia="Arial" w:cs="Arial"/>
                <w:lang w:val="es-ES" w:eastAsia="en-GB"/>
              </w:rPr>
              <w:t>fisheries</w:t>
            </w:r>
            <w:proofErr w:type="spellEnd"/>
            <w:r w:rsidRPr="001A65DF">
              <w:rPr>
                <w:rFonts w:eastAsia="Arial" w:cs="Arial"/>
                <w:lang w:val="es-ES" w:eastAsia="en-GB"/>
              </w:rPr>
              <w:t xml:space="preserve"> </w:t>
            </w:r>
            <w:proofErr w:type="spellStart"/>
            <w:r w:rsidRPr="001A65DF">
              <w:rPr>
                <w:rFonts w:eastAsia="Arial" w:cs="Arial"/>
                <w:lang w:val="es-ES" w:eastAsia="en-GB"/>
              </w:rPr>
              <w:t>study</w:t>
            </w:r>
            <w:proofErr w:type="spellEnd"/>
            <w:r w:rsidRPr="001A65DF">
              <w:rPr>
                <w:rFonts w:eastAsia="Arial" w:cs="Arial"/>
                <w:lang w:val="es-ES" w:eastAsia="en-GB"/>
              </w:rPr>
              <w:t xml:space="preserve"> (CPUE)</w:t>
            </w:r>
          </w:p>
        </w:tc>
        <w:tc>
          <w:tcPr>
            <w:tcW w:w="1560" w:type="dxa"/>
          </w:tcPr>
          <w:p w14:paraId="2594CE46" w14:textId="77777777" w:rsidR="001A65DF" w:rsidRPr="001A65DF" w:rsidRDefault="001A65DF" w:rsidP="001A65DF">
            <w:pPr>
              <w:widowControl w:val="0"/>
              <w:pBdr>
                <w:top w:val="nil"/>
                <w:left w:val="nil"/>
                <w:bottom w:val="nil"/>
                <w:right w:val="nil"/>
                <w:between w:val="nil"/>
              </w:pBdr>
              <w:spacing w:before="1" w:after="0" w:line="240" w:lineRule="auto"/>
              <w:ind w:left="75" w:right="48"/>
              <w:jc w:val="center"/>
              <w:rPr>
                <w:rFonts w:eastAsia="Arial" w:cs="Arial"/>
                <w:lang w:val="es-ES" w:eastAsia="en-GB"/>
              </w:rPr>
            </w:pPr>
            <w:proofErr w:type="spellStart"/>
            <w:r w:rsidRPr="001A65DF">
              <w:rPr>
                <w:rFonts w:eastAsia="Arial" w:cs="Arial"/>
                <w:lang w:val="es-ES" w:eastAsia="en-GB"/>
              </w:rPr>
              <w:t>Reduction</w:t>
            </w:r>
            <w:proofErr w:type="spellEnd"/>
            <w:r w:rsidRPr="001A65DF">
              <w:rPr>
                <w:rFonts w:eastAsia="Arial" w:cs="Arial"/>
                <w:lang w:val="es-ES" w:eastAsia="en-GB"/>
              </w:rPr>
              <w:t xml:space="preserve"> of</w:t>
            </w:r>
          </w:p>
        </w:tc>
        <w:tc>
          <w:tcPr>
            <w:tcW w:w="2137" w:type="dxa"/>
          </w:tcPr>
          <w:p w14:paraId="58BA101F" w14:textId="77777777" w:rsidR="001A65DF" w:rsidRPr="001A65DF" w:rsidRDefault="001A65DF" w:rsidP="001A65DF">
            <w:pPr>
              <w:widowControl w:val="0"/>
              <w:pBdr>
                <w:top w:val="nil"/>
                <w:left w:val="nil"/>
                <w:bottom w:val="nil"/>
                <w:right w:val="nil"/>
                <w:between w:val="nil"/>
              </w:pBdr>
              <w:spacing w:after="0" w:line="251" w:lineRule="auto"/>
              <w:ind w:left="165"/>
              <w:rPr>
                <w:rFonts w:eastAsia="Arial" w:cs="Arial"/>
                <w:lang w:val="es-ES" w:eastAsia="en-GB"/>
              </w:rPr>
            </w:pPr>
            <w:r w:rsidRPr="001A65DF">
              <w:rPr>
                <w:rFonts w:eastAsia="Arial" w:cs="Arial"/>
                <w:lang w:val="es-ES" w:eastAsia="en-GB"/>
              </w:rPr>
              <w:t>Myers et al (2007)</w:t>
            </w:r>
          </w:p>
        </w:tc>
      </w:tr>
      <w:tr w:rsidR="001A65DF" w:rsidRPr="001A65DF" w14:paraId="58AB7F37" w14:textId="77777777" w:rsidTr="00436783">
        <w:trPr>
          <w:trHeight w:val="717"/>
        </w:trPr>
        <w:tc>
          <w:tcPr>
            <w:tcW w:w="1560" w:type="dxa"/>
          </w:tcPr>
          <w:p w14:paraId="01EA2196" w14:textId="77777777" w:rsidR="001A65DF" w:rsidRPr="001A65DF" w:rsidRDefault="001A65DF" w:rsidP="001A65DF">
            <w:pPr>
              <w:widowControl w:val="0"/>
              <w:pBdr>
                <w:top w:val="nil"/>
                <w:left w:val="nil"/>
                <w:bottom w:val="nil"/>
                <w:right w:val="nil"/>
                <w:between w:val="nil"/>
              </w:pBdr>
              <w:spacing w:after="0" w:line="249" w:lineRule="auto"/>
              <w:ind w:left="50" w:right="48"/>
              <w:jc w:val="center"/>
              <w:rPr>
                <w:rFonts w:eastAsia="Arial" w:cs="Arial"/>
                <w:lang w:val="es-ES" w:eastAsia="en-GB"/>
              </w:rPr>
            </w:pPr>
            <w:r w:rsidRPr="001A65DF">
              <w:rPr>
                <w:rFonts w:eastAsia="Arial" w:cs="Arial"/>
                <w:lang w:val="es-ES" w:eastAsia="en-GB"/>
              </w:rPr>
              <w:t>1992-2003</w:t>
            </w:r>
          </w:p>
        </w:tc>
        <w:tc>
          <w:tcPr>
            <w:tcW w:w="2204" w:type="dxa"/>
          </w:tcPr>
          <w:p w14:paraId="0E172713" w14:textId="77777777" w:rsidR="001A65DF" w:rsidRPr="001A65DF" w:rsidRDefault="001A65DF" w:rsidP="001A65DF">
            <w:pPr>
              <w:widowControl w:val="0"/>
              <w:pBdr>
                <w:top w:val="nil"/>
                <w:left w:val="nil"/>
                <w:bottom w:val="nil"/>
                <w:right w:val="nil"/>
                <w:between w:val="nil"/>
              </w:pBdr>
              <w:spacing w:after="0" w:line="249" w:lineRule="auto"/>
              <w:ind w:left="107"/>
              <w:rPr>
                <w:rFonts w:eastAsia="Arial" w:cs="Arial"/>
                <w:lang w:val="es-ES" w:eastAsia="en-GB"/>
              </w:rPr>
            </w:pPr>
            <w:r w:rsidRPr="001A65DF">
              <w:rPr>
                <w:rFonts w:eastAsia="Arial" w:cs="Arial"/>
                <w:lang w:val="es-ES" w:eastAsia="en-GB"/>
              </w:rPr>
              <w:t>Atlantic NW</w:t>
            </w:r>
          </w:p>
        </w:tc>
        <w:tc>
          <w:tcPr>
            <w:tcW w:w="2189" w:type="dxa"/>
          </w:tcPr>
          <w:p w14:paraId="2942C47F" w14:textId="77777777" w:rsidR="001A65DF" w:rsidRPr="001A65DF" w:rsidRDefault="001A65DF" w:rsidP="001A65DF">
            <w:pPr>
              <w:widowControl w:val="0"/>
              <w:pBdr>
                <w:top w:val="nil"/>
                <w:left w:val="nil"/>
                <w:bottom w:val="nil"/>
                <w:right w:val="nil"/>
                <w:between w:val="nil"/>
              </w:pBdr>
              <w:spacing w:after="0" w:line="237" w:lineRule="auto"/>
              <w:ind w:left="301" w:right="608" w:hanging="132"/>
              <w:rPr>
                <w:rFonts w:eastAsia="Arial" w:cs="Arial"/>
                <w:lang w:eastAsia="en-GB"/>
              </w:rPr>
            </w:pPr>
            <w:r w:rsidRPr="001A65DF">
              <w:rPr>
                <w:rFonts w:eastAsia="Arial" w:cs="Arial"/>
                <w:lang w:eastAsia="en-GB"/>
              </w:rPr>
              <w:t>Pelagic longline onboard data</w:t>
            </w:r>
          </w:p>
          <w:p w14:paraId="0178F649" w14:textId="77777777" w:rsidR="001A65DF" w:rsidRPr="001A65DF" w:rsidRDefault="001A65DF" w:rsidP="001A65DF">
            <w:pPr>
              <w:widowControl w:val="0"/>
              <w:pBdr>
                <w:top w:val="nil"/>
                <w:left w:val="nil"/>
                <w:bottom w:val="nil"/>
                <w:right w:val="nil"/>
                <w:between w:val="nil"/>
              </w:pBdr>
              <w:spacing w:after="0" w:line="201" w:lineRule="auto"/>
              <w:ind w:left="301"/>
              <w:rPr>
                <w:rFonts w:eastAsia="Arial" w:cs="Arial"/>
                <w:lang w:eastAsia="en-GB"/>
              </w:rPr>
            </w:pPr>
            <w:r w:rsidRPr="001A65DF">
              <w:rPr>
                <w:rFonts w:eastAsia="Arial" w:cs="Arial"/>
                <w:lang w:eastAsia="en-GB"/>
              </w:rPr>
              <w:t>(CPUE)</w:t>
            </w:r>
          </w:p>
        </w:tc>
        <w:tc>
          <w:tcPr>
            <w:tcW w:w="1560" w:type="dxa"/>
          </w:tcPr>
          <w:p w14:paraId="188D0033" w14:textId="77777777" w:rsidR="001A65DF" w:rsidRPr="001A65DF" w:rsidRDefault="001A65DF" w:rsidP="001A65DF">
            <w:pPr>
              <w:widowControl w:val="0"/>
              <w:pBdr>
                <w:top w:val="nil"/>
                <w:left w:val="nil"/>
                <w:bottom w:val="nil"/>
                <w:right w:val="nil"/>
                <w:between w:val="nil"/>
              </w:pBdr>
              <w:spacing w:after="0" w:line="240" w:lineRule="auto"/>
              <w:ind w:left="534" w:right="195" w:hanging="308"/>
              <w:rPr>
                <w:rFonts w:eastAsia="Arial" w:cs="Arial"/>
                <w:lang w:val="es-ES" w:eastAsia="en-GB"/>
              </w:rPr>
            </w:pPr>
            <w:proofErr w:type="spellStart"/>
            <w:r w:rsidRPr="001A65DF">
              <w:rPr>
                <w:rFonts w:eastAsia="Arial" w:cs="Arial"/>
                <w:lang w:val="es-ES" w:eastAsia="en-GB"/>
              </w:rPr>
              <w:t>Reduction</w:t>
            </w:r>
            <w:proofErr w:type="spellEnd"/>
            <w:r w:rsidRPr="001A65DF">
              <w:rPr>
                <w:rFonts w:eastAsia="Arial" w:cs="Arial"/>
                <w:lang w:val="es-ES" w:eastAsia="en-GB"/>
              </w:rPr>
              <w:t xml:space="preserve"> of 89%*</w:t>
            </w:r>
          </w:p>
        </w:tc>
        <w:tc>
          <w:tcPr>
            <w:tcW w:w="2137" w:type="dxa"/>
          </w:tcPr>
          <w:p w14:paraId="744D6869" w14:textId="77777777" w:rsidR="001A65DF" w:rsidRPr="001A65DF" w:rsidRDefault="001A65DF" w:rsidP="001A65DF">
            <w:pPr>
              <w:widowControl w:val="0"/>
              <w:pBdr>
                <w:top w:val="nil"/>
                <w:left w:val="nil"/>
                <w:bottom w:val="nil"/>
                <w:right w:val="nil"/>
                <w:between w:val="nil"/>
              </w:pBdr>
              <w:spacing w:after="0" w:line="249" w:lineRule="auto"/>
              <w:ind w:left="174"/>
              <w:rPr>
                <w:rFonts w:eastAsia="Arial" w:cs="Arial"/>
                <w:lang w:val="es-ES" w:eastAsia="en-GB"/>
              </w:rPr>
            </w:pPr>
            <w:proofErr w:type="spellStart"/>
            <w:r w:rsidRPr="001A65DF">
              <w:rPr>
                <w:rFonts w:eastAsia="Arial" w:cs="Arial"/>
                <w:lang w:val="es-ES" w:eastAsia="en-GB"/>
              </w:rPr>
              <w:t>Baum</w:t>
            </w:r>
            <w:proofErr w:type="spellEnd"/>
            <w:r w:rsidRPr="001A65DF">
              <w:rPr>
                <w:rFonts w:eastAsia="Arial" w:cs="Arial"/>
                <w:lang w:val="es-ES" w:eastAsia="en-GB"/>
              </w:rPr>
              <w:t xml:space="preserve"> et al (2003)</w:t>
            </w:r>
          </w:p>
        </w:tc>
      </w:tr>
      <w:tr w:rsidR="001A65DF" w:rsidRPr="001A65DF" w14:paraId="5BE43EB7" w14:textId="77777777" w:rsidTr="00436783">
        <w:trPr>
          <w:trHeight w:val="959"/>
        </w:trPr>
        <w:tc>
          <w:tcPr>
            <w:tcW w:w="1560" w:type="dxa"/>
          </w:tcPr>
          <w:p w14:paraId="463C34FA" w14:textId="77777777" w:rsidR="001A65DF" w:rsidRPr="001A65DF" w:rsidRDefault="001A65DF" w:rsidP="001A65DF">
            <w:pPr>
              <w:widowControl w:val="0"/>
              <w:pBdr>
                <w:top w:val="nil"/>
                <w:left w:val="nil"/>
                <w:bottom w:val="nil"/>
                <w:right w:val="nil"/>
                <w:between w:val="nil"/>
              </w:pBdr>
              <w:spacing w:before="8" w:after="0" w:line="240" w:lineRule="auto"/>
              <w:ind w:left="50" w:right="48"/>
              <w:jc w:val="center"/>
              <w:rPr>
                <w:rFonts w:eastAsia="Arial" w:cs="Arial"/>
                <w:lang w:val="es-ES" w:eastAsia="en-GB"/>
              </w:rPr>
            </w:pPr>
            <w:r w:rsidRPr="001A65DF">
              <w:rPr>
                <w:rFonts w:eastAsia="Arial" w:cs="Arial"/>
                <w:lang w:val="es-ES" w:eastAsia="en-GB"/>
              </w:rPr>
              <w:t>1992-2005</w:t>
            </w:r>
          </w:p>
        </w:tc>
        <w:tc>
          <w:tcPr>
            <w:tcW w:w="2204" w:type="dxa"/>
          </w:tcPr>
          <w:p w14:paraId="0EC9260D" w14:textId="77777777" w:rsidR="001A65DF" w:rsidRPr="001A65DF" w:rsidRDefault="001A65DF" w:rsidP="001A65DF">
            <w:pPr>
              <w:widowControl w:val="0"/>
              <w:pBdr>
                <w:top w:val="nil"/>
                <w:left w:val="nil"/>
                <w:bottom w:val="nil"/>
                <w:right w:val="nil"/>
                <w:between w:val="nil"/>
              </w:pBdr>
              <w:spacing w:before="8" w:after="0" w:line="240" w:lineRule="auto"/>
              <w:ind w:left="107"/>
              <w:rPr>
                <w:rFonts w:eastAsia="Arial" w:cs="Arial"/>
                <w:lang w:val="es-ES" w:eastAsia="en-GB"/>
              </w:rPr>
            </w:pPr>
            <w:r w:rsidRPr="001A65DF">
              <w:rPr>
                <w:rFonts w:eastAsia="Arial" w:cs="Arial"/>
                <w:lang w:val="es-ES" w:eastAsia="en-GB"/>
              </w:rPr>
              <w:t>Atlantic NW</w:t>
            </w:r>
          </w:p>
        </w:tc>
        <w:tc>
          <w:tcPr>
            <w:tcW w:w="2189" w:type="dxa"/>
          </w:tcPr>
          <w:p w14:paraId="55C58249" w14:textId="77777777" w:rsidR="001A65DF" w:rsidRPr="001A65DF" w:rsidRDefault="001A65DF" w:rsidP="001A65DF">
            <w:pPr>
              <w:widowControl w:val="0"/>
              <w:pBdr>
                <w:top w:val="nil"/>
                <w:left w:val="nil"/>
                <w:bottom w:val="nil"/>
                <w:right w:val="nil"/>
                <w:between w:val="nil"/>
              </w:pBdr>
              <w:spacing w:before="10" w:after="0" w:line="237" w:lineRule="auto"/>
              <w:ind w:left="361" w:right="337" w:hanging="1"/>
              <w:jc w:val="center"/>
              <w:rPr>
                <w:rFonts w:eastAsia="Arial" w:cs="Arial"/>
                <w:lang w:val="es-ES" w:eastAsia="en-GB"/>
              </w:rPr>
            </w:pPr>
            <w:proofErr w:type="spellStart"/>
            <w:r w:rsidRPr="001A65DF">
              <w:rPr>
                <w:rFonts w:eastAsia="Arial" w:cs="Arial"/>
                <w:lang w:val="es-ES" w:eastAsia="en-GB"/>
              </w:rPr>
              <w:t>Commercial</w:t>
            </w:r>
            <w:proofErr w:type="spellEnd"/>
            <w:r w:rsidRPr="001A65DF">
              <w:rPr>
                <w:rFonts w:eastAsia="Arial" w:cs="Arial"/>
                <w:lang w:val="es-ES" w:eastAsia="en-GB"/>
              </w:rPr>
              <w:t xml:space="preserve"> </w:t>
            </w:r>
            <w:proofErr w:type="spellStart"/>
            <w:r w:rsidRPr="001A65DF">
              <w:rPr>
                <w:rFonts w:eastAsia="Arial" w:cs="Arial"/>
                <w:lang w:val="es-ES" w:eastAsia="en-GB"/>
              </w:rPr>
              <w:t>longline</w:t>
            </w:r>
            <w:proofErr w:type="spellEnd"/>
            <w:r w:rsidRPr="001A65DF">
              <w:rPr>
                <w:rFonts w:eastAsia="Arial" w:cs="Arial"/>
                <w:lang w:val="es-ES" w:eastAsia="en-GB"/>
              </w:rPr>
              <w:t xml:space="preserve"> </w:t>
            </w:r>
            <w:proofErr w:type="spellStart"/>
            <w:r w:rsidRPr="001A65DF">
              <w:rPr>
                <w:rFonts w:eastAsia="Arial" w:cs="Arial"/>
                <w:lang w:val="es-ES" w:eastAsia="en-GB"/>
              </w:rPr>
              <w:t>observer</w:t>
            </w:r>
            <w:proofErr w:type="spellEnd"/>
            <w:r w:rsidRPr="001A65DF">
              <w:rPr>
                <w:rFonts w:eastAsia="Arial" w:cs="Arial"/>
                <w:lang w:val="es-ES" w:eastAsia="en-GB"/>
              </w:rPr>
              <w:t xml:space="preserve"> </w:t>
            </w:r>
            <w:proofErr w:type="spellStart"/>
            <w:r w:rsidRPr="001A65DF">
              <w:rPr>
                <w:rFonts w:eastAsia="Arial" w:cs="Arial"/>
                <w:lang w:val="es-ES" w:eastAsia="en-GB"/>
              </w:rPr>
              <w:t>program</w:t>
            </w:r>
            <w:proofErr w:type="spellEnd"/>
            <w:r w:rsidRPr="001A65DF">
              <w:rPr>
                <w:rFonts w:eastAsia="Arial" w:cs="Arial"/>
                <w:lang w:val="es-ES" w:eastAsia="en-GB"/>
              </w:rPr>
              <w:t xml:space="preserve"> (CPUE)</w:t>
            </w:r>
          </w:p>
        </w:tc>
        <w:tc>
          <w:tcPr>
            <w:tcW w:w="1560" w:type="dxa"/>
          </w:tcPr>
          <w:p w14:paraId="152401E4" w14:textId="77777777" w:rsidR="001A65DF" w:rsidRPr="001A65DF" w:rsidRDefault="001A65DF" w:rsidP="001A65DF">
            <w:pPr>
              <w:widowControl w:val="0"/>
              <w:pBdr>
                <w:top w:val="nil"/>
                <w:left w:val="nil"/>
                <w:bottom w:val="nil"/>
                <w:right w:val="nil"/>
                <w:between w:val="nil"/>
              </w:pBdr>
              <w:spacing w:before="24" w:after="0" w:line="223" w:lineRule="auto"/>
              <w:ind w:left="534" w:right="195" w:hanging="308"/>
              <w:rPr>
                <w:rFonts w:eastAsia="Arial" w:cs="Arial"/>
                <w:lang w:val="es-ES" w:eastAsia="en-GB"/>
              </w:rPr>
            </w:pPr>
            <w:proofErr w:type="spellStart"/>
            <w:r w:rsidRPr="001A65DF">
              <w:rPr>
                <w:rFonts w:eastAsia="Arial" w:cs="Arial"/>
                <w:lang w:val="es-ES" w:eastAsia="en-GB"/>
              </w:rPr>
              <w:t>Reduction</w:t>
            </w:r>
            <w:proofErr w:type="spellEnd"/>
            <w:r w:rsidRPr="001A65DF">
              <w:rPr>
                <w:rFonts w:eastAsia="Arial" w:cs="Arial"/>
                <w:lang w:val="es-ES" w:eastAsia="en-GB"/>
              </w:rPr>
              <w:t xml:space="preserve"> of 76%*</w:t>
            </w:r>
          </w:p>
        </w:tc>
        <w:tc>
          <w:tcPr>
            <w:tcW w:w="2137" w:type="dxa"/>
          </w:tcPr>
          <w:p w14:paraId="2169335D" w14:textId="77777777" w:rsidR="001A65DF" w:rsidRPr="001A65DF" w:rsidRDefault="001A65DF" w:rsidP="001A65DF">
            <w:pPr>
              <w:widowControl w:val="0"/>
              <w:pBdr>
                <w:top w:val="nil"/>
                <w:left w:val="nil"/>
                <w:bottom w:val="nil"/>
                <w:right w:val="nil"/>
                <w:between w:val="nil"/>
              </w:pBdr>
              <w:spacing w:before="8" w:after="0" w:line="240" w:lineRule="auto"/>
              <w:ind w:left="174"/>
              <w:rPr>
                <w:rFonts w:eastAsia="Arial" w:cs="Arial"/>
                <w:lang w:val="es-ES" w:eastAsia="en-GB"/>
              </w:rPr>
            </w:pPr>
            <w:proofErr w:type="spellStart"/>
            <w:r w:rsidRPr="001A65DF">
              <w:rPr>
                <w:rFonts w:eastAsia="Arial" w:cs="Arial"/>
                <w:lang w:val="es-ES" w:eastAsia="en-GB"/>
              </w:rPr>
              <w:t>Baum</w:t>
            </w:r>
            <w:proofErr w:type="spellEnd"/>
            <w:r w:rsidRPr="001A65DF">
              <w:rPr>
                <w:rFonts w:eastAsia="Arial" w:cs="Arial"/>
                <w:lang w:val="es-ES" w:eastAsia="en-GB"/>
              </w:rPr>
              <w:t xml:space="preserve"> et al (2003)</w:t>
            </w:r>
          </w:p>
        </w:tc>
      </w:tr>
      <w:tr w:rsidR="001A65DF" w:rsidRPr="001A65DF" w14:paraId="34E9BA0F" w14:textId="77777777" w:rsidTr="00436783">
        <w:trPr>
          <w:trHeight w:val="501"/>
        </w:trPr>
        <w:tc>
          <w:tcPr>
            <w:tcW w:w="1560" w:type="dxa"/>
          </w:tcPr>
          <w:p w14:paraId="5E46DAB4" w14:textId="77777777" w:rsidR="001A65DF" w:rsidRPr="001A65DF" w:rsidRDefault="001A65DF" w:rsidP="001A65DF">
            <w:pPr>
              <w:widowControl w:val="0"/>
              <w:pBdr>
                <w:top w:val="nil"/>
                <w:left w:val="nil"/>
                <w:bottom w:val="nil"/>
                <w:right w:val="nil"/>
                <w:between w:val="nil"/>
              </w:pBdr>
              <w:spacing w:before="10" w:after="0" w:line="244" w:lineRule="auto"/>
              <w:ind w:left="232"/>
              <w:rPr>
                <w:rFonts w:eastAsia="Arial" w:cs="Arial"/>
                <w:lang w:val="es-ES" w:eastAsia="en-GB"/>
              </w:rPr>
            </w:pPr>
            <w:r w:rsidRPr="001A65DF">
              <w:rPr>
                <w:rFonts w:eastAsia="Arial" w:cs="Arial"/>
                <w:lang w:val="es-ES" w:eastAsia="en-GB"/>
              </w:rPr>
              <w:t>1983-1984 &amp;</w:t>
            </w:r>
          </w:p>
          <w:p w14:paraId="5F411EA1" w14:textId="77777777" w:rsidR="001A65DF" w:rsidRPr="001A65DF" w:rsidRDefault="001A65DF" w:rsidP="001A65DF">
            <w:pPr>
              <w:widowControl w:val="0"/>
              <w:pBdr>
                <w:top w:val="nil"/>
                <w:left w:val="nil"/>
                <w:bottom w:val="nil"/>
                <w:right w:val="nil"/>
                <w:between w:val="nil"/>
              </w:pBdr>
              <w:spacing w:after="0" w:line="227" w:lineRule="auto"/>
              <w:ind w:left="309"/>
              <w:rPr>
                <w:rFonts w:eastAsia="Arial" w:cs="Arial"/>
                <w:lang w:val="es-ES" w:eastAsia="en-GB"/>
              </w:rPr>
            </w:pPr>
            <w:r w:rsidRPr="001A65DF">
              <w:rPr>
                <w:rFonts w:eastAsia="Arial" w:cs="Arial"/>
                <w:lang w:val="es-ES" w:eastAsia="en-GB"/>
              </w:rPr>
              <w:t>1991-1995</w:t>
            </w:r>
          </w:p>
        </w:tc>
        <w:tc>
          <w:tcPr>
            <w:tcW w:w="2204" w:type="dxa"/>
          </w:tcPr>
          <w:p w14:paraId="6040EE43" w14:textId="77777777" w:rsidR="001A65DF" w:rsidRPr="001A65DF" w:rsidRDefault="001A65DF" w:rsidP="001A65DF">
            <w:pPr>
              <w:widowControl w:val="0"/>
              <w:pBdr>
                <w:top w:val="nil"/>
                <w:left w:val="nil"/>
                <w:bottom w:val="nil"/>
                <w:right w:val="nil"/>
                <w:between w:val="nil"/>
              </w:pBdr>
              <w:spacing w:before="8" w:after="0" w:line="240" w:lineRule="auto"/>
              <w:ind w:left="110"/>
              <w:rPr>
                <w:rFonts w:eastAsia="Arial" w:cs="Arial"/>
                <w:lang w:val="es-ES" w:eastAsia="en-GB"/>
              </w:rPr>
            </w:pPr>
            <w:r w:rsidRPr="001A65DF">
              <w:rPr>
                <w:rFonts w:eastAsia="Arial" w:cs="Arial"/>
                <w:lang w:val="es-ES" w:eastAsia="en-GB"/>
              </w:rPr>
              <w:t>Atlantic NW.</w:t>
            </w:r>
          </w:p>
        </w:tc>
        <w:tc>
          <w:tcPr>
            <w:tcW w:w="2189" w:type="dxa"/>
          </w:tcPr>
          <w:p w14:paraId="36017022" w14:textId="77777777" w:rsidR="001A65DF" w:rsidRPr="001A65DF" w:rsidRDefault="001A65DF" w:rsidP="001A65DF">
            <w:pPr>
              <w:widowControl w:val="0"/>
              <w:pBdr>
                <w:top w:val="nil"/>
                <w:left w:val="nil"/>
                <w:bottom w:val="nil"/>
                <w:right w:val="nil"/>
                <w:between w:val="nil"/>
              </w:pBdr>
              <w:spacing w:before="19" w:after="0" w:line="216" w:lineRule="auto"/>
              <w:ind w:left="225" w:right="238" w:hanging="104"/>
              <w:rPr>
                <w:rFonts w:eastAsia="Arial" w:cs="Arial"/>
                <w:lang w:val="es-ES" w:eastAsia="en-GB"/>
              </w:rPr>
            </w:pPr>
            <w:proofErr w:type="spellStart"/>
            <w:r w:rsidRPr="001A65DF">
              <w:rPr>
                <w:rFonts w:eastAsia="Arial" w:cs="Arial"/>
                <w:lang w:val="es-ES" w:eastAsia="en-GB"/>
              </w:rPr>
              <w:t>Independent</w:t>
            </w:r>
            <w:proofErr w:type="spellEnd"/>
            <w:r w:rsidRPr="001A65DF">
              <w:rPr>
                <w:rFonts w:eastAsia="Arial" w:cs="Arial"/>
                <w:lang w:val="es-ES" w:eastAsia="en-GB"/>
              </w:rPr>
              <w:t xml:space="preserve"> </w:t>
            </w:r>
            <w:proofErr w:type="spellStart"/>
            <w:r w:rsidRPr="001A65DF">
              <w:rPr>
                <w:rFonts w:eastAsia="Arial" w:cs="Arial"/>
                <w:lang w:val="es-ES" w:eastAsia="en-GB"/>
              </w:rPr>
              <w:t>fisheries</w:t>
            </w:r>
            <w:proofErr w:type="spellEnd"/>
            <w:r w:rsidRPr="001A65DF">
              <w:rPr>
                <w:rFonts w:eastAsia="Arial" w:cs="Arial"/>
                <w:lang w:val="es-ES" w:eastAsia="en-GB"/>
              </w:rPr>
              <w:t xml:space="preserve"> </w:t>
            </w:r>
            <w:proofErr w:type="spellStart"/>
            <w:r w:rsidRPr="001A65DF">
              <w:rPr>
                <w:rFonts w:eastAsia="Arial" w:cs="Arial"/>
                <w:lang w:val="es-ES" w:eastAsia="en-GB"/>
              </w:rPr>
              <w:t>study</w:t>
            </w:r>
            <w:proofErr w:type="spellEnd"/>
            <w:r w:rsidRPr="001A65DF">
              <w:rPr>
                <w:rFonts w:eastAsia="Arial" w:cs="Arial"/>
                <w:lang w:val="es-ES" w:eastAsia="en-GB"/>
              </w:rPr>
              <w:t xml:space="preserve"> (CPUE)</w:t>
            </w:r>
          </w:p>
        </w:tc>
        <w:tc>
          <w:tcPr>
            <w:tcW w:w="1560" w:type="dxa"/>
          </w:tcPr>
          <w:p w14:paraId="7037A27D" w14:textId="77777777" w:rsidR="001A65DF" w:rsidRPr="001A65DF" w:rsidRDefault="001A65DF" w:rsidP="001A65DF">
            <w:pPr>
              <w:widowControl w:val="0"/>
              <w:pBdr>
                <w:top w:val="nil"/>
                <w:left w:val="nil"/>
                <w:bottom w:val="nil"/>
                <w:right w:val="nil"/>
                <w:between w:val="nil"/>
              </w:pBdr>
              <w:spacing w:before="10" w:after="0" w:line="236" w:lineRule="auto"/>
              <w:ind w:left="587" w:right="194" w:hanging="360"/>
              <w:rPr>
                <w:rFonts w:eastAsia="Arial" w:cs="Arial"/>
                <w:lang w:val="es-ES" w:eastAsia="en-GB"/>
              </w:rPr>
            </w:pPr>
            <w:proofErr w:type="spellStart"/>
            <w:r w:rsidRPr="001A65DF">
              <w:rPr>
                <w:rFonts w:eastAsia="Arial" w:cs="Arial"/>
                <w:lang w:val="es-ES" w:eastAsia="en-GB"/>
              </w:rPr>
              <w:t>Reduction</w:t>
            </w:r>
            <w:proofErr w:type="spellEnd"/>
            <w:r w:rsidRPr="001A65DF">
              <w:rPr>
                <w:rFonts w:eastAsia="Arial" w:cs="Arial"/>
                <w:lang w:val="es-ES" w:eastAsia="en-GB"/>
              </w:rPr>
              <w:t xml:space="preserve"> of 66%</w:t>
            </w:r>
          </w:p>
        </w:tc>
        <w:tc>
          <w:tcPr>
            <w:tcW w:w="2137" w:type="dxa"/>
          </w:tcPr>
          <w:p w14:paraId="216182F5" w14:textId="77777777" w:rsidR="001A65DF" w:rsidRPr="001A65DF" w:rsidRDefault="001A65DF" w:rsidP="001A65DF">
            <w:pPr>
              <w:widowControl w:val="0"/>
              <w:pBdr>
                <w:top w:val="nil"/>
                <w:left w:val="nil"/>
                <w:bottom w:val="nil"/>
                <w:right w:val="nil"/>
                <w:between w:val="nil"/>
              </w:pBdr>
              <w:spacing w:before="8" w:after="0" w:line="240" w:lineRule="auto"/>
              <w:ind w:left="501"/>
              <w:rPr>
                <w:rFonts w:eastAsia="Arial" w:cs="Arial"/>
                <w:lang w:val="es-ES" w:eastAsia="en-GB"/>
              </w:rPr>
            </w:pPr>
            <w:r w:rsidRPr="001A65DF">
              <w:rPr>
                <w:rFonts w:eastAsia="Arial" w:cs="Arial"/>
                <w:lang w:val="es-ES" w:eastAsia="en-GB"/>
              </w:rPr>
              <w:t>Ulrich (1996)</w:t>
            </w:r>
          </w:p>
        </w:tc>
      </w:tr>
      <w:tr w:rsidR="001A65DF" w:rsidRPr="001A65DF" w14:paraId="1B8A149D" w14:textId="77777777" w:rsidTr="00436783">
        <w:trPr>
          <w:trHeight w:val="1190"/>
        </w:trPr>
        <w:tc>
          <w:tcPr>
            <w:tcW w:w="1560" w:type="dxa"/>
          </w:tcPr>
          <w:p w14:paraId="0593AF1D" w14:textId="77777777" w:rsidR="001A65DF" w:rsidRPr="001A65DF" w:rsidRDefault="001A65DF" w:rsidP="001A65DF">
            <w:pPr>
              <w:widowControl w:val="0"/>
              <w:pBdr>
                <w:top w:val="nil"/>
                <w:left w:val="nil"/>
                <w:bottom w:val="nil"/>
                <w:right w:val="nil"/>
                <w:between w:val="nil"/>
              </w:pBdr>
              <w:spacing w:before="8" w:after="0" w:line="240" w:lineRule="auto"/>
              <w:ind w:left="50" w:right="48"/>
              <w:jc w:val="center"/>
              <w:rPr>
                <w:rFonts w:eastAsia="Arial" w:cs="Arial"/>
                <w:lang w:val="es-ES" w:eastAsia="en-GB"/>
              </w:rPr>
            </w:pPr>
            <w:r w:rsidRPr="001A65DF">
              <w:rPr>
                <w:rFonts w:eastAsia="Arial" w:cs="Arial"/>
                <w:lang w:val="es-ES" w:eastAsia="en-GB"/>
              </w:rPr>
              <w:t>1994-2005</w:t>
            </w:r>
          </w:p>
        </w:tc>
        <w:tc>
          <w:tcPr>
            <w:tcW w:w="2204" w:type="dxa"/>
          </w:tcPr>
          <w:p w14:paraId="0DB1A0F6" w14:textId="77777777" w:rsidR="001A65DF" w:rsidRPr="001A65DF" w:rsidRDefault="001A65DF" w:rsidP="001A65DF">
            <w:pPr>
              <w:widowControl w:val="0"/>
              <w:pBdr>
                <w:top w:val="nil"/>
                <w:left w:val="nil"/>
                <w:bottom w:val="nil"/>
                <w:right w:val="nil"/>
                <w:between w:val="nil"/>
              </w:pBdr>
              <w:spacing w:before="8" w:after="0" w:line="240" w:lineRule="auto"/>
              <w:ind w:left="110"/>
              <w:rPr>
                <w:rFonts w:eastAsia="Arial" w:cs="Arial"/>
                <w:lang w:val="es-ES" w:eastAsia="en-GB"/>
              </w:rPr>
            </w:pPr>
            <w:r w:rsidRPr="001A65DF">
              <w:rPr>
                <w:rFonts w:eastAsia="Arial" w:cs="Arial"/>
                <w:lang w:val="es-ES" w:eastAsia="en-GB"/>
              </w:rPr>
              <w:t>Atlantic NW</w:t>
            </w:r>
          </w:p>
        </w:tc>
        <w:tc>
          <w:tcPr>
            <w:tcW w:w="2189" w:type="dxa"/>
          </w:tcPr>
          <w:p w14:paraId="7278C465" w14:textId="77777777" w:rsidR="001A65DF" w:rsidRPr="001A65DF" w:rsidRDefault="001A65DF" w:rsidP="001A65DF">
            <w:pPr>
              <w:widowControl w:val="0"/>
              <w:pBdr>
                <w:top w:val="nil"/>
                <w:left w:val="nil"/>
                <w:bottom w:val="nil"/>
                <w:right w:val="nil"/>
                <w:between w:val="nil"/>
              </w:pBdr>
              <w:spacing w:before="7" w:after="0" w:line="237" w:lineRule="auto"/>
              <w:ind w:left="359" w:right="337" w:firstLine="2"/>
              <w:jc w:val="center"/>
              <w:rPr>
                <w:rFonts w:eastAsia="Arial" w:cs="Arial"/>
                <w:lang w:eastAsia="en-GB"/>
              </w:rPr>
            </w:pPr>
            <w:r w:rsidRPr="001A65DF">
              <w:rPr>
                <w:rFonts w:eastAsia="Arial" w:cs="Arial"/>
                <w:lang w:eastAsia="en-GB"/>
              </w:rPr>
              <w:t>Commercial driftnet observer program (CPUE)</w:t>
            </w:r>
          </w:p>
        </w:tc>
        <w:tc>
          <w:tcPr>
            <w:tcW w:w="1560" w:type="dxa"/>
          </w:tcPr>
          <w:p w14:paraId="1E135E64" w14:textId="77777777" w:rsidR="001A65DF" w:rsidRPr="001A65DF" w:rsidRDefault="001A65DF" w:rsidP="001A65DF">
            <w:pPr>
              <w:widowControl w:val="0"/>
              <w:pBdr>
                <w:top w:val="nil"/>
                <w:left w:val="nil"/>
                <w:bottom w:val="nil"/>
                <w:right w:val="nil"/>
                <w:between w:val="nil"/>
              </w:pBdr>
              <w:spacing w:before="24" w:after="0" w:line="223" w:lineRule="auto"/>
              <w:ind w:left="534" w:right="195" w:hanging="308"/>
              <w:rPr>
                <w:rFonts w:eastAsia="Arial" w:cs="Arial"/>
                <w:lang w:val="es-ES" w:eastAsia="en-GB"/>
              </w:rPr>
            </w:pPr>
            <w:proofErr w:type="spellStart"/>
            <w:r w:rsidRPr="001A65DF">
              <w:rPr>
                <w:rFonts w:eastAsia="Arial" w:cs="Arial"/>
                <w:lang w:val="es-ES" w:eastAsia="en-GB"/>
              </w:rPr>
              <w:t>Reduction</w:t>
            </w:r>
            <w:proofErr w:type="spellEnd"/>
            <w:r w:rsidRPr="001A65DF">
              <w:rPr>
                <w:rFonts w:eastAsia="Arial" w:cs="Arial"/>
                <w:lang w:val="es-ES" w:eastAsia="en-GB"/>
              </w:rPr>
              <w:t xml:space="preserve"> of 25%*</w:t>
            </w:r>
          </w:p>
        </w:tc>
        <w:tc>
          <w:tcPr>
            <w:tcW w:w="2137" w:type="dxa"/>
          </w:tcPr>
          <w:p w14:paraId="6818D401" w14:textId="77777777" w:rsidR="001A65DF" w:rsidRPr="001A65DF" w:rsidRDefault="001A65DF" w:rsidP="001A65DF">
            <w:pPr>
              <w:widowControl w:val="0"/>
              <w:pBdr>
                <w:top w:val="nil"/>
                <w:left w:val="nil"/>
                <w:bottom w:val="nil"/>
                <w:right w:val="nil"/>
                <w:between w:val="nil"/>
              </w:pBdr>
              <w:spacing w:before="24" w:after="0" w:line="223" w:lineRule="auto"/>
              <w:ind w:left="107" w:right="494"/>
              <w:jc w:val="center"/>
              <w:rPr>
                <w:rFonts w:eastAsia="Arial" w:cs="Arial"/>
                <w:lang w:val="es-ES" w:eastAsia="en-GB"/>
              </w:rPr>
            </w:pPr>
            <w:r w:rsidRPr="001A65DF">
              <w:rPr>
                <w:rFonts w:eastAsia="Arial" w:cs="Arial"/>
                <w:lang w:val="es-ES" w:eastAsia="en-GB"/>
              </w:rPr>
              <w:t>Carlson et al (2005)</w:t>
            </w:r>
          </w:p>
        </w:tc>
      </w:tr>
      <w:tr w:rsidR="001A65DF" w:rsidRPr="001A65DF" w14:paraId="6981D2E4" w14:textId="77777777" w:rsidTr="00436783">
        <w:trPr>
          <w:trHeight w:val="1190"/>
        </w:trPr>
        <w:tc>
          <w:tcPr>
            <w:tcW w:w="1560" w:type="dxa"/>
          </w:tcPr>
          <w:p w14:paraId="1B45943E" w14:textId="77777777" w:rsidR="001A65DF" w:rsidRPr="001A65DF" w:rsidRDefault="001A65DF" w:rsidP="001A65DF">
            <w:pPr>
              <w:widowControl w:val="0"/>
              <w:pBdr>
                <w:top w:val="nil"/>
                <w:left w:val="nil"/>
                <w:bottom w:val="nil"/>
                <w:right w:val="nil"/>
                <w:between w:val="nil"/>
              </w:pBdr>
              <w:spacing w:before="8" w:after="0" w:line="240" w:lineRule="auto"/>
              <w:ind w:left="50" w:right="48"/>
              <w:jc w:val="center"/>
              <w:rPr>
                <w:rFonts w:eastAsia="Arial" w:cs="Arial"/>
                <w:lang w:val="es-ES" w:eastAsia="en-GB"/>
              </w:rPr>
            </w:pPr>
            <w:r w:rsidRPr="001A65DF">
              <w:rPr>
                <w:rFonts w:eastAsia="Arial" w:cs="Arial"/>
                <w:lang w:val="es-ES" w:eastAsia="en-GB"/>
              </w:rPr>
              <w:t>1994-2005</w:t>
            </w:r>
          </w:p>
        </w:tc>
        <w:tc>
          <w:tcPr>
            <w:tcW w:w="2204" w:type="dxa"/>
          </w:tcPr>
          <w:p w14:paraId="5754D3C2" w14:textId="77777777" w:rsidR="001A65DF" w:rsidRPr="001A65DF" w:rsidRDefault="001A65DF" w:rsidP="001A65DF">
            <w:pPr>
              <w:widowControl w:val="0"/>
              <w:pBdr>
                <w:top w:val="nil"/>
                <w:left w:val="nil"/>
                <w:bottom w:val="nil"/>
                <w:right w:val="nil"/>
                <w:between w:val="nil"/>
              </w:pBdr>
              <w:spacing w:before="8" w:after="0" w:line="240" w:lineRule="auto"/>
              <w:ind w:left="107"/>
              <w:rPr>
                <w:rFonts w:eastAsia="Arial" w:cs="Arial"/>
                <w:lang w:val="es-ES" w:eastAsia="en-GB"/>
              </w:rPr>
            </w:pPr>
            <w:r w:rsidRPr="001A65DF">
              <w:rPr>
                <w:rFonts w:eastAsia="Arial" w:cs="Arial"/>
                <w:lang w:val="es-ES" w:eastAsia="en-GB"/>
              </w:rPr>
              <w:t>Atlantic NW</w:t>
            </w:r>
          </w:p>
        </w:tc>
        <w:tc>
          <w:tcPr>
            <w:tcW w:w="2189" w:type="dxa"/>
          </w:tcPr>
          <w:p w14:paraId="6C4C8D05" w14:textId="77777777" w:rsidR="001A65DF" w:rsidRPr="001A65DF" w:rsidRDefault="001A65DF" w:rsidP="001A65DF">
            <w:pPr>
              <w:widowControl w:val="0"/>
              <w:pBdr>
                <w:top w:val="nil"/>
                <w:left w:val="nil"/>
                <w:bottom w:val="nil"/>
                <w:right w:val="nil"/>
                <w:between w:val="nil"/>
              </w:pBdr>
              <w:spacing w:before="7" w:after="0" w:line="237" w:lineRule="auto"/>
              <w:ind w:left="337" w:right="309" w:hanging="2"/>
              <w:jc w:val="center"/>
              <w:rPr>
                <w:rFonts w:eastAsia="Arial" w:cs="Arial"/>
                <w:lang w:eastAsia="en-GB"/>
              </w:rPr>
            </w:pPr>
            <w:r w:rsidRPr="001A65DF">
              <w:rPr>
                <w:rFonts w:eastAsia="Arial" w:cs="Arial"/>
                <w:lang w:eastAsia="en-GB"/>
              </w:rPr>
              <w:t xml:space="preserve">Shark </w:t>
            </w:r>
            <w:proofErr w:type="gramStart"/>
            <w:r w:rsidRPr="001A65DF">
              <w:rPr>
                <w:rFonts w:eastAsia="Arial" w:cs="Arial"/>
                <w:lang w:eastAsia="en-GB"/>
              </w:rPr>
              <w:t>longline observer</w:t>
            </w:r>
            <w:proofErr w:type="gramEnd"/>
            <w:r w:rsidRPr="001A65DF">
              <w:rPr>
                <w:rFonts w:eastAsia="Arial" w:cs="Arial"/>
                <w:lang w:eastAsia="en-GB"/>
              </w:rPr>
              <w:t xml:space="preserve"> program (CPUE)</w:t>
            </w:r>
          </w:p>
        </w:tc>
        <w:tc>
          <w:tcPr>
            <w:tcW w:w="1560" w:type="dxa"/>
          </w:tcPr>
          <w:p w14:paraId="4FCAE6F6" w14:textId="77777777" w:rsidR="001A65DF" w:rsidRPr="001A65DF" w:rsidRDefault="001A65DF" w:rsidP="001A65DF">
            <w:pPr>
              <w:widowControl w:val="0"/>
              <w:pBdr>
                <w:top w:val="nil"/>
                <w:left w:val="nil"/>
                <w:bottom w:val="nil"/>
                <w:right w:val="nil"/>
                <w:between w:val="nil"/>
              </w:pBdr>
              <w:spacing w:before="24" w:after="0" w:line="223" w:lineRule="auto"/>
              <w:ind w:left="534" w:right="278" w:hanging="221"/>
              <w:rPr>
                <w:rFonts w:eastAsia="Arial" w:cs="Arial"/>
                <w:lang w:val="es-ES" w:eastAsia="en-GB"/>
              </w:rPr>
            </w:pPr>
            <w:proofErr w:type="spellStart"/>
            <w:r w:rsidRPr="001A65DF">
              <w:rPr>
                <w:rFonts w:eastAsia="Arial" w:cs="Arial"/>
                <w:lang w:val="es-ES" w:eastAsia="en-GB"/>
              </w:rPr>
              <w:t>Increase</w:t>
            </w:r>
            <w:proofErr w:type="spellEnd"/>
            <w:r w:rsidRPr="001A65DF">
              <w:rPr>
                <w:rFonts w:eastAsia="Arial" w:cs="Arial"/>
                <w:lang w:val="es-ES" w:eastAsia="en-GB"/>
              </w:rPr>
              <w:t xml:space="preserve"> of 56%*</w:t>
            </w:r>
          </w:p>
        </w:tc>
        <w:tc>
          <w:tcPr>
            <w:tcW w:w="2137" w:type="dxa"/>
          </w:tcPr>
          <w:p w14:paraId="360B45CE" w14:textId="77777777" w:rsidR="001A65DF" w:rsidRPr="001A65DF" w:rsidRDefault="001A65DF" w:rsidP="001A65DF">
            <w:pPr>
              <w:widowControl w:val="0"/>
              <w:pBdr>
                <w:top w:val="nil"/>
                <w:left w:val="nil"/>
                <w:bottom w:val="nil"/>
                <w:right w:val="nil"/>
                <w:between w:val="nil"/>
              </w:pBdr>
              <w:spacing w:before="8" w:after="0" w:line="240" w:lineRule="auto"/>
              <w:ind w:left="153"/>
              <w:rPr>
                <w:rFonts w:eastAsia="Arial" w:cs="Arial"/>
                <w:lang w:val="es-ES" w:eastAsia="en-GB"/>
              </w:rPr>
            </w:pPr>
            <w:r w:rsidRPr="001A65DF">
              <w:rPr>
                <w:rFonts w:eastAsia="Arial" w:cs="Arial"/>
                <w:lang w:val="es-ES" w:eastAsia="en-GB"/>
              </w:rPr>
              <w:t>Hayes et al (2009)</w:t>
            </w:r>
          </w:p>
        </w:tc>
      </w:tr>
      <w:tr w:rsidR="001A65DF" w:rsidRPr="001A65DF" w14:paraId="33359D37" w14:textId="77777777" w:rsidTr="00436783">
        <w:trPr>
          <w:trHeight w:val="498"/>
        </w:trPr>
        <w:tc>
          <w:tcPr>
            <w:tcW w:w="1560" w:type="dxa"/>
          </w:tcPr>
          <w:p w14:paraId="3484539D" w14:textId="77777777" w:rsidR="001A65DF" w:rsidRPr="001A65DF" w:rsidRDefault="001A65DF" w:rsidP="001A65DF">
            <w:pPr>
              <w:widowControl w:val="0"/>
              <w:pBdr>
                <w:top w:val="nil"/>
                <w:left w:val="nil"/>
                <w:bottom w:val="nil"/>
                <w:right w:val="nil"/>
                <w:between w:val="nil"/>
              </w:pBdr>
              <w:spacing w:before="8" w:after="0" w:line="240" w:lineRule="auto"/>
              <w:ind w:left="50" w:right="48"/>
              <w:jc w:val="center"/>
              <w:rPr>
                <w:rFonts w:eastAsia="Arial" w:cs="Arial"/>
                <w:lang w:val="es-ES" w:eastAsia="en-GB"/>
              </w:rPr>
            </w:pPr>
            <w:r w:rsidRPr="001A65DF">
              <w:rPr>
                <w:rFonts w:eastAsia="Arial" w:cs="Arial"/>
                <w:lang w:val="es-ES" w:eastAsia="en-GB"/>
              </w:rPr>
              <w:t>1995-2005</w:t>
            </w:r>
          </w:p>
        </w:tc>
        <w:tc>
          <w:tcPr>
            <w:tcW w:w="2204" w:type="dxa"/>
          </w:tcPr>
          <w:p w14:paraId="53887F42" w14:textId="77777777" w:rsidR="001A65DF" w:rsidRPr="001A65DF" w:rsidRDefault="001A65DF" w:rsidP="001A65DF">
            <w:pPr>
              <w:widowControl w:val="0"/>
              <w:pBdr>
                <w:top w:val="nil"/>
                <w:left w:val="nil"/>
                <w:bottom w:val="nil"/>
                <w:right w:val="nil"/>
                <w:between w:val="nil"/>
              </w:pBdr>
              <w:spacing w:before="8" w:after="0" w:line="240" w:lineRule="auto"/>
              <w:ind w:left="107"/>
              <w:rPr>
                <w:rFonts w:eastAsia="Arial" w:cs="Arial"/>
                <w:lang w:val="es-ES" w:eastAsia="en-GB"/>
              </w:rPr>
            </w:pPr>
            <w:r w:rsidRPr="001A65DF">
              <w:rPr>
                <w:rFonts w:eastAsia="Arial" w:cs="Arial"/>
                <w:lang w:val="es-ES" w:eastAsia="en-GB"/>
              </w:rPr>
              <w:t>Atlantic NW</w:t>
            </w:r>
          </w:p>
        </w:tc>
        <w:tc>
          <w:tcPr>
            <w:tcW w:w="2189" w:type="dxa"/>
          </w:tcPr>
          <w:p w14:paraId="3686DCEC" w14:textId="77777777" w:rsidR="001A65DF" w:rsidRPr="001A65DF" w:rsidRDefault="001A65DF" w:rsidP="001A65DF">
            <w:pPr>
              <w:widowControl w:val="0"/>
              <w:pBdr>
                <w:top w:val="nil"/>
                <w:left w:val="nil"/>
                <w:bottom w:val="nil"/>
                <w:right w:val="nil"/>
                <w:between w:val="nil"/>
              </w:pBdr>
              <w:spacing w:before="19" w:after="0" w:line="216" w:lineRule="auto"/>
              <w:ind w:left="225" w:right="238" w:hanging="104"/>
              <w:rPr>
                <w:rFonts w:eastAsia="Arial" w:cs="Arial"/>
                <w:lang w:val="es-ES" w:eastAsia="en-GB"/>
              </w:rPr>
            </w:pPr>
            <w:proofErr w:type="spellStart"/>
            <w:r w:rsidRPr="001A65DF">
              <w:rPr>
                <w:rFonts w:eastAsia="Arial" w:cs="Arial"/>
                <w:lang w:val="es-ES" w:eastAsia="en-GB"/>
              </w:rPr>
              <w:t>Independent</w:t>
            </w:r>
            <w:proofErr w:type="spellEnd"/>
            <w:r w:rsidRPr="001A65DF">
              <w:rPr>
                <w:rFonts w:eastAsia="Arial" w:cs="Arial"/>
                <w:lang w:val="es-ES" w:eastAsia="en-GB"/>
              </w:rPr>
              <w:t xml:space="preserve"> </w:t>
            </w:r>
            <w:proofErr w:type="spellStart"/>
            <w:r w:rsidRPr="001A65DF">
              <w:rPr>
                <w:rFonts w:eastAsia="Arial" w:cs="Arial"/>
                <w:lang w:val="es-ES" w:eastAsia="en-GB"/>
              </w:rPr>
              <w:t>fisheries</w:t>
            </w:r>
            <w:proofErr w:type="spellEnd"/>
            <w:r w:rsidRPr="001A65DF">
              <w:rPr>
                <w:rFonts w:eastAsia="Arial" w:cs="Arial"/>
                <w:lang w:val="es-ES" w:eastAsia="en-GB"/>
              </w:rPr>
              <w:t xml:space="preserve"> </w:t>
            </w:r>
            <w:proofErr w:type="spellStart"/>
            <w:r w:rsidRPr="001A65DF">
              <w:rPr>
                <w:rFonts w:eastAsia="Arial" w:cs="Arial"/>
                <w:lang w:val="es-ES" w:eastAsia="en-GB"/>
              </w:rPr>
              <w:t>study</w:t>
            </w:r>
            <w:proofErr w:type="spellEnd"/>
            <w:r w:rsidRPr="001A65DF">
              <w:rPr>
                <w:rFonts w:eastAsia="Arial" w:cs="Arial"/>
                <w:lang w:val="es-ES" w:eastAsia="en-GB"/>
              </w:rPr>
              <w:t xml:space="preserve"> (CPUE)</w:t>
            </w:r>
          </w:p>
        </w:tc>
        <w:tc>
          <w:tcPr>
            <w:tcW w:w="1560" w:type="dxa"/>
          </w:tcPr>
          <w:p w14:paraId="6ED60A52" w14:textId="77777777" w:rsidR="001A65DF" w:rsidRPr="001A65DF" w:rsidRDefault="001A65DF" w:rsidP="001A65DF">
            <w:pPr>
              <w:widowControl w:val="0"/>
              <w:pBdr>
                <w:top w:val="nil"/>
                <w:left w:val="nil"/>
                <w:bottom w:val="nil"/>
                <w:right w:val="nil"/>
                <w:between w:val="nil"/>
              </w:pBdr>
              <w:spacing w:before="6" w:after="0" w:line="236" w:lineRule="auto"/>
              <w:ind w:left="534" w:right="195" w:hanging="308"/>
              <w:rPr>
                <w:rFonts w:eastAsia="Arial" w:cs="Arial"/>
                <w:lang w:val="es-ES" w:eastAsia="en-GB"/>
              </w:rPr>
            </w:pPr>
            <w:proofErr w:type="spellStart"/>
            <w:r w:rsidRPr="001A65DF">
              <w:rPr>
                <w:rFonts w:eastAsia="Arial" w:cs="Arial"/>
                <w:lang w:val="es-ES" w:eastAsia="en-GB"/>
              </w:rPr>
              <w:t>Reduction</w:t>
            </w:r>
            <w:proofErr w:type="spellEnd"/>
            <w:r w:rsidRPr="001A65DF">
              <w:rPr>
                <w:rFonts w:eastAsia="Arial" w:cs="Arial"/>
                <w:lang w:val="es-ES" w:eastAsia="en-GB"/>
              </w:rPr>
              <w:t xml:space="preserve"> of 44%*</w:t>
            </w:r>
          </w:p>
        </w:tc>
        <w:tc>
          <w:tcPr>
            <w:tcW w:w="2137" w:type="dxa"/>
          </w:tcPr>
          <w:p w14:paraId="2456DBA9" w14:textId="77777777" w:rsidR="001A65DF" w:rsidRPr="001A65DF" w:rsidRDefault="001A65DF" w:rsidP="001A65DF">
            <w:pPr>
              <w:widowControl w:val="0"/>
              <w:pBdr>
                <w:top w:val="nil"/>
                <w:left w:val="nil"/>
                <w:bottom w:val="nil"/>
                <w:right w:val="nil"/>
                <w:between w:val="nil"/>
              </w:pBdr>
              <w:spacing w:before="8" w:after="0" w:line="240" w:lineRule="auto"/>
              <w:ind w:left="126"/>
              <w:rPr>
                <w:rFonts w:eastAsia="Arial" w:cs="Arial"/>
                <w:lang w:val="es-ES" w:eastAsia="en-GB"/>
              </w:rPr>
            </w:pPr>
            <w:r w:rsidRPr="001A65DF">
              <w:rPr>
                <w:rFonts w:eastAsia="Arial" w:cs="Arial"/>
                <w:lang w:val="es-ES" w:eastAsia="en-GB"/>
              </w:rPr>
              <w:t>Ingram et al (2005)</w:t>
            </w:r>
          </w:p>
        </w:tc>
      </w:tr>
      <w:tr w:rsidR="001A65DF" w:rsidRPr="001A65DF" w14:paraId="41301DD0" w14:textId="77777777" w:rsidTr="00436783">
        <w:trPr>
          <w:trHeight w:val="729"/>
        </w:trPr>
        <w:tc>
          <w:tcPr>
            <w:tcW w:w="1560" w:type="dxa"/>
          </w:tcPr>
          <w:p w14:paraId="2ADD1103" w14:textId="77777777" w:rsidR="001A65DF" w:rsidRPr="001A65DF" w:rsidRDefault="001A65DF" w:rsidP="001A65DF">
            <w:pPr>
              <w:widowControl w:val="0"/>
              <w:pBdr>
                <w:top w:val="nil"/>
                <w:left w:val="nil"/>
                <w:bottom w:val="nil"/>
                <w:right w:val="nil"/>
                <w:between w:val="nil"/>
              </w:pBdr>
              <w:spacing w:before="8" w:after="0" w:line="240" w:lineRule="auto"/>
              <w:ind w:left="50" w:right="48"/>
              <w:jc w:val="center"/>
              <w:rPr>
                <w:rFonts w:eastAsia="Arial" w:cs="Arial"/>
                <w:lang w:val="es-ES" w:eastAsia="en-GB"/>
              </w:rPr>
            </w:pPr>
            <w:r w:rsidRPr="001A65DF">
              <w:rPr>
                <w:rFonts w:eastAsia="Arial" w:cs="Arial"/>
                <w:lang w:val="es-ES" w:eastAsia="en-GB"/>
              </w:rPr>
              <w:t>1981-2005</w:t>
            </w:r>
          </w:p>
        </w:tc>
        <w:tc>
          <w:tcPr>
            <w:tcW w:w="2204" w:type="dxa"/>
          </w:tcPr>
          <w:p w14:paraId="7DE2653F" w14:textId="77777777" w:rsidR="001A65DF" w:rsidRPr="001A65DF" w:rsidRDefault="001A65DF" w:rsidP="001A65DF">
            <w:pPr>
              <w:widowControl w:val="0"/>
              <w:pBdr>
                <w:top w:val="nil"/>
                <w:left w:val="nil"/>
                <w:bottom w:val="nil"/>
                <w:right w:val="nil"/>
                <w:between w:val="nil"/>
              </w:pBdr>
              <w:spacing w:before="8" w:after="0" w:line="240" w:lineRule="auto"/>
              <w:ind w:left="107"/>
              <w:rPr>
                <w:rFonts w:eastAsia="Arial" w:cs="Arial"/>
                <w:lang w:val="es-ES" w:eastAsia="en-GB"/>
              </w:rPr>
            </w:pPr>
            <w:r w:rsidRPr="001A65DF">
              <w:rPr>
                <w:rFonts w:eastAsia="Arial" w:cs="Arial"/>
                <w:lang w:val="es-ES" w:eastAsia="en-GB"/>
              </w:rPr>
              <w:t>Atlantic NW</w:t>
            </w:r>
          </w:p>
        </w:tc>
        <w:tc>
          <w:tcPr>
            <w:tcW w:w="2189" w:type="dxa"/>
          </w:tcPr>
          <w:p w14:paraId="715314D3" w14:textId="77777777" w:rsidR="001A65DF" w:rsidRPr="001A65DF" w:rsidRDefault="001A65DF" w:rsidP="001A65DF">
            <w:pPr>
              <w:widowControl w:val="0"/>
              <w:pBdr>
                <w:top w:val="nil"/>
                <w:left w:val="nil"/>
                <w:bottom w:val="nil"/>
                <w:right w:val="nil"/>
                <w:between w:val="nil"/>
              </w:pBdr>
              <w:spacing w:before="5" w:after="0" w:line="240" w:lineRule="auto"/>
              <w:ind w:left="753" w:right="320" w:hanging="406"/>
              <w:rPr>
                <w:rFonts w:eastAsia="Arial" w:cs="Arial"/>
                <w:lang w:val="es-ES" w:eastAsia="en-GB"/>
              </w:rPr>
            </w:pPr>
            <w:r w:rsidRPr="001A65DF">
              <w:rPr>
                <w:rFonts w:eastAsia="Arial" w:cs="Arial"/>
                <w:lang w:val="es-ES" w:eastAsia="en-GB"/>
              </w:rPr>
              <w:t xml:space="preserve">Stock </w:t>
            </w:r>
            <w:proofErr w:type="spellStart"/>
            <w:r w:rsidRPr="001A65DF">
              <w:rPr>
                <w:rFonts w:eastAsia="Arial" w:cs="Arial"/>
                <w:lang w:val="es-ES" w:eastAsia="en-GB"/>
              </w:rPr>
              <w:t>assessment</w:t>
            </w:r>
            <w:proofErr w:type="spellEnd"/>
            <w:r w:rsidRPr="001A65DF">
              <w:rPr>
                <w:rFonts w:eastAsia="Arial" w:cs="Arial"/>
                <w:lang w:val="es-ES" w:eastAsia="en-GB"/>
              </w:rPr>
              <w:t xml:space="preserve"> (CPUE)</w:t>
            </w:r>
          </w:p>
        </w:tc>
        <w:tc>
          <w:tcPr>
            <w:tcW w:w="1560" w:type="dxa"/>
          </w:tcPr>
          <w:p w14:paraId="1B52D512" w14:textId="77777777" w:rsidR="001A65DF" w:rsidRPr="001A65DF" w:rsidRDefault="001A65DF" w:rsidP="001A65DF">
            <w:pPr>
              <w:widowControl w:val="0"/>
              <w:pBdr>
                <w:top w:val="nil"/>
                <w:left w:val="nil"/>
                <w:bottom w:val="nil"/>
                <w:right w:val="nil"/>
                <w:between w:val="nil"/>
              </w:pBdr>
              <w:spacing w:before="24" w:after="0" w:line="223" w:lineRule="auto"/>
              <w:ind w:left="534" w:right="195" w:hanging="308"/>
              <w:rPr>
                <w:rFonts w:eastAsia="Arial" w:cs="Arial"/>
                <w:lang w:val="es-ES" w:eastAsia="en-GB"/>
              </w:rPr>
            </w:pPr>
            <w:proofErr w:type="spellStart"/>
            <w:r w:rsidRPr="001A65DF">
              <w:rPr>
                <w:rFonts w:eastAsia="Arial" w:cs="Arial"/>
                <w:lang w:val="es-ES" w:eastAsia="en-GB"/>
              </w:rPr>
              <w:t>Reduction</w:t>
            </w:r>
            <w:proofErr w:type="spellEnd"/>
            <w:r w:rsidRPr="001A65DF">
              <w:rPr>
                <w:rFonts w:eastAsia="Arial" w:cs="Arial"/>
                <w:lang w:val="es-ES" w:eastAsia="en-GB"/>
              </w:rPr>
              <w:t xml:space="preserve"> of 72%*</w:t>
            </w:r>
          </w:p>
        </w:tc>
        <w:tc>
          <w:tcPr>
            <w:tcW w:w="2137" w:type="dxa"/>
          </w:tcPr>
          <w:p w14:paraId="53C4D51A" w14:textId="77777777" w:rsidR="001A65DF" w:rsidRPr="001A65DF" w:rsidRDefault="001A65DF" w:rsidP="001A65DF">
            <w:pPr>
              <w:widowControl w:val="0"/>
              <w:pBdr>
                <w:top w:val="nil"/>
                <w:left w:val="nil"/>
                <w:bottom w:val="nil"/>
                <w:right w:val="nil"/>
                <w:between w:val="nil"/>
              </w:pBdr>
              <w:spacing w:before="8" w:after="0" w:line="240" w:lineRule="auto"/>
              <w:ind w:left="251"/>
              <w:rPr>
                <w:rFonts w:eastAsia="Arial" w:cs="Arial"/>
                <w:lang w:val="es-ES" w:eastAsia="en-GB"/>
              </w:rPr>
            </w:pPr>
            <w:proofErr w:type="spellStart"/>
            <w:r w:rsidRPr="001A65DF">
              <w:rPr>
                <w:rFonts w:eastAsia="Arial" w:cs="Arial"/>
                <w:lang w:val="es-ES" w:eastAsia="en-GB"/>
              </w:rPr>
              <w:t>Jiao</w:t>
            </w:r>
            <w:proofErr w:type="spellEnd"/>
            <w:r w:rsidRPr="001A65DF">
              <w:rPr>
                <w:rFonts w:eastAsia="Arial" w:cs="Arial"/>
                <w:lang w:val="es-ES" w:eastAsia="en-GB"/>
              </w:rPr>
              <w:t xml:space="preserve"> et al (2008)</w:t>
            </w:r>
          </w:p>
        </w:tc>
      </w:tr>
      <w:tr w:rsidR="001A65DF" w:rsidRPr="001A65DF" w14:paraId="3801BA47" w14:textId="77777777" w:rsidTr="00436783">
        <w:trPr>
          <w:trHeight w:val="729"/>
        </w:trPr>
        <w:tc>
          <w:tcPr>
            <w:tcW w:w="1560" w:type="dxa"/>
          </w:tcPr>
          <w:p w14:paraId="6DF48675" w14:textId="77777777" w:rsidR="001A65DF" w:rsidRPr="001A65DF" w:rsidRDefault="001A65DF" w:rsidP="001A65DF">
            <w:pPr>
              <w:widowControl w:val="0"/>
              <w:pBdr>
                <w:top w:val="nil"/>
                <w:left w:val="nil"/>
                <w:bottom w:val="nil"/>
                <w:right w:val="nil"/>
                <w:between w:val="nil"/>
              </w:pBdr>
              <w:spacing w:before="8" w:after="0" w:line="240" w:lineRule="auto"/>
              <w:ind w:left="50" w:right="48"/>
              <w:jc w:val="center"/>
              <w:rPr>
                <w:rFonts w:eastAsia="Arial" w:cs="Arial"/>
                <w:lang w:val="es-ES" w:eastAsia="en-GB"/>
              </w:rPr>
            </w:pPr>
            <w:r w:rsidRPr="001A65DF">
              <w:rPr>
                <w:rFonts w:eastAsia="Arial" w:cs="Arial"/>
                <w:lang w:val="es-ES" w:eastAsia="en-GB"/>
              </w:rPr>
              <w:t>1981-2005</w:t>
            </w:r>
          </w:p>
        </w:tc>
        <w:tc>
          <w:tcPr>
            <w:tcW w:w="2204" w:type="dxa"/>
          </w:tcPr>
          <w:p w14:paraId="58D724CC" w14:textId="77777777" w:rsidR="001A65DF" w:rsidRPr="001A65DF" w:rsidRDefault="001A65DF" w:rsidP="001A65DF">
            <w:pPr>
              <w:widowControl w:val="0"/>
              <w:pBdr>
                <w:top w:val="nil"/>
                <w:left w:val="nil"/>
                <w:bottom w:val="nil"/>
                <w:right w:val="nil"/>
                <w:between w:val="nil"/>
              </w:pBdr>
              <w:spacing w:before="8" w:after="0" w:line="240" w:lineRule="auto"/>
              <w:ind w:left="107"/>
              <w:rPr>
                <w:rFonts w:eastAsia="Arial" w:cs="Arial"/>
                <w:lang w:val="es-ES" w:eastAsia="en-GB"/>
              </w:rPr>
            </w:pPr>
            <w:r w:rsidRPr="001A65DF">
              <w:rPr>
                <w:rFonts w:eastAsia="Arial" w:cs="Arial"/>
                <w:lang w:val="es-ES" w:eastAsia="en-GB"/>
              </w:rPr>
              <w:t>Atlantic NW</w:t>
            </w:r>
          </w:p>
        </w:tc>
        <w:tc>
          <w:tcPr>
            <w:tcW w:w="2189" w:type="dxa"/>
          </w:tcPr>
          <w:p w14:paraId="50AB8E55" w14:textId="77777777" w:rsidR="001A65DF" w:rsidRPr="001A65DF" w:rsidRDefault="001A65DF" w:rsidP="001A65DF">
            <w:pPr>
              <w:widowControl w:val="0"/>
              <w:pBdr>
                <w:top w:val="nil"/>
                <w:left w:val="nil"/>
                <w:bottom w:val="nil"/>
                <w:right w:val="nil"/>
                <w:between w:val="nil"/>
              </w:pBdr>
              <w:spacing w:before="5" w:after="0" w:line="240" w:lineRule="auto"/>
              <w:ind w:left="750" w:right="321" w:hanging="404"/>
              <w:rPr>
                <w:rFonts w:eastAsia="Arial" w:cs="Arial"/>
                <w:lang w:val="es-ES" w:eastAsia="en-GB"/>
              </w:rPr>
            </w:pPr>
            <w:r w:rsidRPr="001A65DF">
              <w:rPr>
                <w:rFonts w:eastAsia="Arial" w:cs="Arial"/>
                <w:lang w:val="es-ES" w:eastAsia="en-GB"/>
              </w:rPr>
              <w:t xml:space="preserve">Stock </w:t>
            </w:r>
            <w:proofErr w:type="spellStart"/>
            <w:r w:rsidRPr="001A65DF">
              <w:rPr>
                <w:rFonts w:eastAsia="Arial" w:cs="Arial"/>
                <w:lang w:val="es-ES" w:eastAsia="en-GB"/>
              </w:rPr>
              <w:t>assessment</w:t>
            </w:r>
            <w:proofErr w:type="spellEnd"/>
            <w:r w:rsidRPr="001A65DF">
              <w:rPr>
                <w:rFonts w:eastAsia="Arial" w:cs="Arial"/>
                <w:lang w:val="es-ES" w:eastAsia="en-GB"/>
              </w:rPr>
              <w:t xml:space="preserve"> (CPUE)</w:t>
            </w:r>
          </w:p>
        </w:tc>
        <w:tc>
          <w:tcPr>
            <w:tcW w:w="1560" w:type="dxa"/>
          </w:tcPr>
          <w:p w14:paraId="6080461E" w14:textId="77777777" w:rsidR="001A65DF" w:rsidRPr="001A65DF" w:rsidRDefault="001A65DF" w:rsidP="001A65DF">
            <w:pPr>
              <w:widowControl w:val="0"/>
              <w:pBdr>
                <w:top w:val="nil"/>
                <w:left w:val="nil"/>
                <w:bottom w:val="nil"/>
                <w:right w:val="nil"/>
                <w:between w:val="nil"/>
              </w:pBdr>
              <w:spacing w:before="10" w:after="0" w:line="240" w:lineRule="auto"/>
              <w:ind w:left="534" w:right="195" w:hanging="308"/>
              <w:rPr>
                <w:rFonts w:eastAsia="Arial" w:cs="Arial"/>
                <w:lang w:val="es-ES" w:eastAsia="en-GB"/>
              </w:rPr>
            </w:pPr>
            <w:proofErr w:type="spellStart"/>
            <w:r w:rsidRPr="001A65DF">
              <w:rPr>
                <w:rFonts w:eastAsia="Arial" w:cs="Arial"/>
                <w:lang w:val="es-ES" w:eastAsia="en-GB"/>
              </w:rPr>
              <w:t>Reduction</w:t>
            </w:r>
            <w:proofErr w:type="spellEnd"/>
            <w:r w:rsidRPr="001A65DF">
              <w:rPr>
                <w:rFonts w:eastAsia="Arial" w:cs="Arial"/>
                <w:lang w:val="es-ES" w:eastAsia="en-GB"/>
              </w:rPr>
              <w:t xml:space="preserve"> of 83%*</w:t>
            </w:r>
          </w:p>
        </w:tc>
        <w:tc>
          <w:tcPr>
            <w:tcW w:w="2137" w:type="dxa"/>
          </w:tcPr>
          <w:p w14:paraId="340ED4AD" w14:textId="77777777" w:rsidR="001A65DF" w:rsidRPr="001A65DF" w:rsidRDefault="001A65DF" w:rsidP="001A65DF">
            <w:pPr>
              <w:widowControl w:val="0"/>
              <w:pBdr>
                <w:top w:val="nil"/>
                <w:left w:val="nil"/>
                <w:bottom w:val="nil"/>
                <w:right w:val="nil"/>
                <w:between w:val="nil"/>
              </w:pBdr>
              <w:spacing w:before="8" w:after="0" w:line="240" w:lineRule="auto"/>
              <w:ind w:left="153"/>
              <w:rPr>
                <w:rFonts w:eastAsia="Arial" w:cs="Arial"/>
                <w:lang w:val="es-ES" w:eastAsia="en-GB"/>
              </w:rPr>
            </w:pPr>
            <w:r w:rsidRPr="001A65DF">
              <w:rPr>
                <w:rFonts w:eastAsia="Arial" w:cs="Arial"/>
                <w:lang w:val="es-ES" w:eastAsia="en-GB"/>
              </w:rPr>
              <w:t>Hayes et al (2009)</w:t>
            </w:r>
          </w:p>
        </w:tc>
      </w:tr>
      <w:tr w:rsidR="001A65DF" w:rsidRPr="001A65DF" w14:paraId="1C452368" w14:textId="77777777" w:rsidTr="00436783">
        <w:trPr>
          <w:trHeight w:val="959"/>
        </w:trPr>
        <w:tc>
          <w:tcPr>
            <w:tcW w:w="1560" w:type="dxa"/>
          </w:tcPr>
          <w:p w14:paraId="35540FEF" w14:textId="77777777" w:rsidR="001A65DF" w:rsidRPr="001A65DF" w:rsidRDefault="001A65DF" w:rsidP="001A65DF">
            <w:pPr>
              <w:widowControl w:val="0"/>
              <w:pBdr>
                <w:top w:val="nil"/>
                <w:left w:val="nil"/>
                <w:bottom w:val="nil"/>
                <w:right w:val="nil"/>
                <w:between w:val="nil"/>
              </w:pBdr>
              <w:spacing w:before="10" w:after="0" w:line="245" w:lineRule="auto"/>
              <w:ind w:left="309"/>
              <w:rPr>
                <w:rFonts w:eastAsia="Arial" w:cs="Arial"/>
                <w:lang w:val="es-ES" w:eastAsia="en-GB"/>
              </w:rPr>
            </w:pPr>
            <w:r w:rsidRPr="001A65DF">
              <w:rPr>
                <w:rFonts w:eastAsia="Arial" w:cs="Arial"/>
                <w:lang w:val="es-ES" w:eastAsia="en-GB"/>
              </w:rPr>
              <w:t>1898-1922</w:t>
            </w:r>
          </w:p>
          <w:p w14:paraId="74F40B01" w14:textId="77777777" w:rsidR="001A65DF" w:rsidRPr="001A65DF" w:rsidRDefault="001A65DF" w:rsidP="001A65DF">
            <w:pPr>
              <w:widowControl w:val="0"/>
              <w:pBdr>
                <w:top w:val="nil"/>
                <w:left w:val="nil"/>
                <w:bottom w:val="nil"/>
                <w:right w:val="nil"/>
                <w:between w:val="nil"/>
              </w:pBdr>
              <w:spacing w:after="0" w:line="241" w:lineRule="auto"/>
              <w:ind w:left="309"/>
              <w:rPr>
                <w:rFonts w:eastAsia="Arial" w:cs="Arial"/>
                <w:lang w:val="es-ES" w:eastAsia="en-GB"/>
              </w:rPr>
            </w:pPr>
            <w:r w:rsidRPr="001A65DF">
              <w:rPr>
                <w:rFonts w:eastAsia="Arial" w:cs="Arial"/>
                <w:lang w:val="es-ES" w:eastAsia="en-GB"/>
              </w:rPr>
              <w:t>1950-2006</w:t>
            </w:r>
          </w:p>
          <w:p w14:paraId="515714A2" w14:textId="77777777" w:rsidR="001A65DF" w:rsidRPr="001A65DF" w:rsidRDefault="001A65DF" w:rsidP="001A65DF">
            <w:pPr>
              <w:widowControl w:val="0"/>
              <w:pBdr>
                <w:top w:val="nil"/>
                <w:left w:val="nil"/>
                <w:bottom w:val="nil"/>
                <w:right w:val="nil"/>
                <w:between w:val="nil"/>
              </w:pBdr>
              <w:spacing w:after="0" w:line="248" w:lineRule="auto"/>
              <w:ind w:left="309"/>
              <w:rPr>
                <w:rFonts w:eastAsia="Arial" w:cs="Arial"/>
                <w:lang w:val="es-ES" w:eastAsia="en-GB"/>
              </w:rPr>
            </w:pPr>
            <w:r w:rsidRPr="001A65DF">
              <w:rPr>
                <w:rFonts w:eastAsia="Arial" w:cs="Arial"/>
                <w:lang w:val="es-ES" w:eastAsia="en-GB"/>
              </w:rPr>
              <w:t>1978-1999</w:t>
            </w:r>
          </w:p>
          <w:p w14:paraId="14BF5AA7" w14:textId="77777777" w:rsidR="001A65DF" w:rsidRPr="001A65DF" w:rsidRDefault="001A65DF" w:rsidP="001A65DF">
            <w:pPr>
              <w:widowControl w:val="0"/>
              <w:pBdr>
                <w:top w:val="nil"/>
                <w:left w:val="nil"/>
                <w:bottom w:val="nil"/>
                <w:right w:val="nil"/>
                <w:between w:val="nil"/>
              </w:pBdr>
              <w:spacing w:after="0" w:line="194" w:lineRule="auto"/>
              <w:ind w:left="309"/>
              <w:rPr>
                <w:rFonts w:eastAsia="Arial" w:cs="Arial"/>
                <w:lang w:val="es-ES" w:eastAsia="en-GB"/>
              </w:rPr>
            </w:pPr>
            <w:r w:rsidRPr="001A65DF">
              <w:rPr>
                <w:rFonts w:eastAsia="Arial" w:cs="Arial"/>
                <w:lang w:val="es-ES" w:eastAsia="en-GB"/>
              </w:rPr>
              <w:t>1827-2000</w:t>
            </w:r>
          </w:p>
        </w:tc>
        <w:tc>
          <w:tcPr>
            <w:tcW w:w="2204" w:type="dxa"/>
          </w:tcPr>
          <w:p w14:paraId="0C057D4E" w14:textId="77777777" w:rsidR="001A65DF" w:rsidRPr="001A65DF" w:rsidRDefault="001A65DF" w:rsidP="001A65DF">
            <w:pPr>
              <w:widowControl w:val="0"/>
              <w:pBdr>
                <w:top w:val="nil"/>
                <w:left w:val="nil"/>
                <w:bottom w:val="nil"/>
                <w:right w:val="nil"/>
                <w:between w:val="nil"/>
              </w:pBdr>
              <w:spacing w:before="8" w:after="0" w:line="240" w:lineRule="auto"/>
              <w:ind w:left="326"/>
              <w:rPr>
                <w:rFonts w:eastAsia="Arial" w:cs="Arial"/>
                <w:lang w:val="es-ES" w:eastAsia="en-GB"/>
              </w:rPr>
            </w:pPr>
            <w:proofErr w:type="spellStart"/>
            <w:r w:rsidRPr="001A65DF">
              <w:rPr>
                <w:rFonts w:eastAsia="Arial" w:cs="Arial"/>
                <w:lang w:val="es-ES" w:eastAsia="en-GB"/>
              </w:rPr>
              <w:t>Mediterranean</w:t>
            </w:r>
            <w:proofErr w:type="spellEnd"/>
          </w:p>
        </w:tc>
        <w:tc>
          <w:tcPr>
            <w:tcW w:w="2189" w:type="dxa"/>
          </w:tcPr>
          <w:p w14:paraId="49A4DB7F" w14:textId="77777777" w:rsidR="001A65DF" w:rsidRPr="001A65DF" w:rsidRDefault="001A65DF" w:rsidP="001A65DF">
            <w:pPr>
              <w:widowControl w:val="0"/>
              <w:pBdr>
                <w:top w:val="nil"/>
                <w:left w:val="nil"/>
                <w:bottom w:val="nil"/>
                <w:right w:val="nil"/>
                <w:between w:val="nil"/>
              </w:pBdr>
              <w:spacing w:before="17" w:after="0" w:line="218" w:lineRule="auto"/>
              <w:ind w:left="345" w:right="440" w:hanging="156"/>
              <w:rPr>
                <w:rFonts w:eastAsia="Arial" w:cs="Arial"/>
                <w:lang w:val="es-ES" w:eastAsia="en-GB"/>
              </w:rPr>
            </w:pPr>
            <w:proofErr w:type="spellStart"/>
            <w:r w:rsidRPr="001A65DF">
              <w:rPr>
                <w:rFonts w:eastAsia="Arial" w:cs="Arial"/>
                <w:lang w:val="es-ES" w:eastAsia="en-GB"/>
              </w:rPr>
              <w:t>Longline</w:t>
            </w:r>
            <w:proofErr w:type="spellEnd"/>
            <w:r w:rsidRPr="001A65DF">
              <w:rPr>
                <w:rFonts w:eastAsia="Arial" w:cs="Arial"/>
                <w:lang w:val="es-ES" w:eastAsia="en-GB"/>
              </w:rPr>
              <w:t xml:space="preserve"> </w:t>
            </w:r>
            <w:proofErr w:type="spellStart"/>
            <w:r w:rsidRPr="001A65DF">
              <w:rPr>
                <w:rFonts w:eastAsia="Arial" w:cs="Arial"/>
                <w:lang w:val="es-ES" w:eastAsia="en-GB"/>
              </w:rPr>
              <w:t>sightings</w:t>
            </w:r>
            <w:proofErr w:type="spellEnd"/>
            <w:r w:rsidRPr="001A65DF">
              <w:rPr>
                <w:rFonts w:eastAsia="Arial" w:cs="Arial"/>
                <w:lang w:val="es-ES" w:eastAsia="en-GB"/>
              </w:rPr>
              <w:t xml:space="preserve"> (CPUE)</w:t>
            </w:r>
          </w:p>
        </w:tc>
        <w:tc>
          <w:tcPr>
            <w:tcW w:w="1560" w:type="dxa"/>
          </w:tcPr>
          <w:p w14:paraId="54857FE3" w14:textId="77777777" w:rsidR="001A65DF" w:rsidRPr="001A65DF" w:rsidRDefault="001A65DF" w:rsidP="001A65DF">
            <w:pPr>
              <w:widowControl w:val="0"/>
              <w:pBdr>
                <w:top w:val="nil"/>
                <w:left w:val="nil"/>
                <w:bottom w:val="nil"/>
                <w:right w:val="nil"/>
                <w:between w:val="nil"/>
              </w:pBdr>
              <w:spacing w:before="22" w:after="0" w:line="225" w:lineRule="auto"/>
              <w:ind w:left="534" w:right="195" w:hanging="308"/>
              <w:rPr>
                <w:rFonts w:eastAsia="Arial" w:cs="Arial"/>
                <w:lang w:val="es-ES" w:eastAsia="en-GB"/>
              </w:rPr>
            </w:pPr>
            <w:proofErr w:type="spellStart"/>
            <w:r w:rsidRPr="001A65DF">
              <w:rPr>
                <w:rFonts w:eastAsia="Arial" w:cs="Arial"/>
                <w:lang w:val="es-ES" w:eastAsia="en-GB"/>
              </w:rPr>
              <w:t>Reduction</w:t>
            </w:r>
            <w:proofErr w:type="spellEnd"/>
            <w:r w:rsidRPr="001A65DF">
              <w:rPr>
                <w:rFonts w:eastAsia="Arial" w:cs="Arial"/>
                <w:lang w:val="es-ES" w:eastAsia="en-GB"/>
              </w:rPr>
              <w:t xml:space="preserve"> of 99%*</w:t>
            </w:r>
          </w:p>
        </w:tc>
        <w:tc>
          <w:tcPr>
            <w:tcW w:w="2137" w:type="dxa"/>
          </w:tcPr>
          <w:p w14:paraId="2087FEC2" w14:textId="77777777" w:rsidR="001A65DF" w:rsidRPr="001A65DF" w:rsidRDefault="001A65DF" w:rsidP="001A65DF">
            <w:pPr>
              <w:widowControl w:val="0"/>
              <w:pBdr>
                <w:top w:val="nil"/>
                <w:left w:val="nil"/>
                <w:bottom w:val="nil"/>
                <w:right w:val="nil"/>
                <w:between w:val="nil"/>
              </w:pBdr>
              <w:spacing w:before="8" w:after="0" w:line="240" w:lineRule="auto"/>
              <w:ind w:left="124"/>
              <w:rPr>
                <w:rFonts w:eastAsia="Arial" w:cs="Arial"/>
                <w:lang w:val="es-ES" w:eastAsia="en-GB"/>
              </w:rPr>
            </w:pPr>
            <w:r w:rsidRPr="001A65DF">
              <w:rPr>
                <w:rFonts w:eastAsia="Arial" w:cs="Arial"/>
                <w:lang w:val="es-ES" w:eastAsia="en-GB"/>
              </w:rPr>
              <w:t>Ferretti et al (2008)</w:t>
            </w:r>
          </w:p>
        </w:tc>
      </w:tr>
      <w:tr w:rsidR="001A65DF" w:rsidRPr="001A65DF" w14:paraId="2A6A637F" w14:textId="77777777" w:rsidTr="00436783">
        <w:trPr>
          <w:trHeight w:val="501"/>
        </w:trPr>
        <w:tc>
          <w:tcPr>
            <w:tcW w:w="1560" w:type="dxa"/>
          </w:tcPr>
          <w:p w14:paraId="236C18D6" w14:textId="77777777" w:rsidR="001A65DF" w:rsidRPr="001A65DF" w:rsidRDefault="001A65DF" w:rsidP="001A65DF">
            <w:pPr>
              <w:widowControl w:val="0"/>
              <w:pBdr>
                <w:top w:val="nil"/>
                <w:left w:val="nil"/>
                <w:bottom w:val="nil"/>
                <w:right w:val="nil"/>
                <w:between w:val="nil"/>
              </w:pBdr>
              <w:spacing w:before="10" w:after="0" w:line="240" w:lineRule="auto"/>
              <w:ind w:left="50" w:right="48"/>
              <w:jc w:val="center"/>
              <w:rPr>
                <w:rFonts w:eastAsia="Arial" w:cs="Arial"/>
                <w:lang w:val="es-ES" w:eastAsia="en-GB"/>
              </w:rPr>
            </w:pPr>
            <w:r w:rsidRPr="001A65DF">
              <w:rPr>
                <w:rFonts w:eastAsia="Arial" w:cs="Arial"/>
                <w:lang w:val="es-ES" w:eastAsia="en-GB"/>
              </w:rPr>
              <w:t>1993-2001</w:t>
            </w:r>
          </w:p>
        </w:tc>
        <w:tc>
          <w:tcPr>
            <w:tcW w:w="2204" w:type="dxa"/>
          </w:tcPr>
          <w:p w14:paraId="05018B3C" w14:textId="77777777" w:rsidR="001A65DF" w:rsidRPr="001A65DF" w:rsidRDefault="001A65DF" w:rsidP="001A65DF">
            <w:pPr>
              <w:widowControl w:val="0"/>
              <w:pBdr>
                <w:top w:val="nil"/>
                <w:left w:val="nil"/>
                <w:bottom w:val="nil"/>
                <w:right w:val="nil"/>
                <w:between w:val="nil"/>
              </w:pBdr>
              <w:spacing w:before="10" w:after="0" w:line="240" w:lineRule="auto"/>
              <w:ind w:left="114"/>
              <w:rPr>
                <w:rFonts w:eastAsia="Arial" w:cs="Arial"/>
                <w:lang w:val="es-ES" w:eastAsia="en-GB"/>
              </w:rPr>
            </w:pPr>
            <w:proofErr w:type="spellStart"/>
            <w:r w:rsidRPr="001A65DF">
              <w:rPr>
                <w:rFonts w:eastAsia="Arial" w:cs="Arial"/>
                <w:lang w:val="es-ES" w:eastAsia="en-GB"/>
              </w:rPr>
              <w:t>Pacific</w:t>
            </w:r>
            <w:proofErr w:type="spellEnd"/>
            <w:r w:rsidRPr="001A65DF">
              <w:rPr>
                <w:rFonts w:eastAsia="Arial" w:cs="Arial"/>
                <w:lang w:val="es-ES" w:eastAsia="en-GB"/>
              </w:rPr>
              <w:t xml:space="preserve"> SW</w:t>
            </w:r>
          </w:p>
        </w:tc>
        <w:tc>
          <w:tcPr>
            <w:tcW w:w="2189" w:type="dxa"/>
          </w:tcPr>
          <w:p w14:paraId="274726D5" w14:textId="77777777" w:rsidR="001A65DF" w:rsidRPr="001A65DF" w:rsidRDefault="001A65DF" w:rsidP="001A65DF">
            <w:pPr>
              <w:widowControl w:val="0"/>
              <w:pBdr>
                <w:top w:val="nil"/>
                <w:left w:val="nil"/>
                <w:bottom w:val="nil"/>
                <w:right w:val="nil"/>
                <w:between w:val="nil"/>
              </w:pBdr>
              <w:spacing w:before="10" w:after="0" w:line="240" w:lineRule="auto"/>
              <w:ind w:left="424"/>
              <w:rPr>
                <w:rFonts w:eastAsia="Arial" w:cs="Arial"/>
                <w:lang w:val="es-ES" w:eastAsia="en-GB"/>
              </w:rPr>
            </w:pPr>
            <w:proofErr w:type="spellStart"/>
            <w:r w:rsidRPr="001A65DF">
              <w:rPr>
                <w:rFonts w:eastAsia="Arial" w:cs="Arial"/>
                <w:lang w:val="es-ES" w:eastAsia="en-GB"/>
              </w:rPr>
              <w:t>Landings</w:t>
            </w:r>
            <w:proofErr w:type="spellEnd"/>
          </w:p>
        </w:tc>
        <w:tc>
          <w:tcPr>
            <w:tcW w:w="1560" w:type="dxa"/>
          </w:tcPr>
          <w:p w14:paraId="6FA98F65" w14:textId="77777777" w:rsidR="001A65DF" w:rsidRPr="001A65DF" w:rsidRDefault="001A65DF" w:rsidP="001A65DF">
            <w:pPr>
              <w:widowControl w:val="0"/>
              <w:pBdr>
                <w:top w:val="nil"/>
                <w:left w:val="nil"/>
                <w:bottom w:val="nil"/>
                <w:right w:val="nil"/>
                <w:between w:val="nil"/>
              </w:pBdr>
              <w:spacing w:after="0" w:line="252" w:lineRule="auto"/>
              <w:ind w:left="446" w:right="198" w:hanging="219"/>
              <w:rPr>
                <w:rFonts w:eastAsia="Arial" w:cs="Arial"/>
                <w:lang w:val="es-ES" w:eastAsia="en-GB"/>
              </w:rPr>
            </w:pPr>
            <w:proofErr w:type="spellStart"/>
            <w:r w:rsidRPr="001A65DF">
              <w:rPr>
                <w:rFonts w:eastAsia="Arial" w:cs="Arial"/>
                <w:lang w:val="es-ES" w:eastAsia="en-GB"/>
              </w:rPr>
              <w:t>Reduction</w:t>
            </w:r>
            <w:proofErr w:type="spellEnd"/>
            <w:r w:rsidRPr="001A65DF">
              <w:rPr>
                <w:rFonts w:eastAsia="Arial" w:cs="Arial"/>
                <w:lang w:val="es-ES" w:eastAsia="en-GB"/>
              </w:rPr>
              <w:t xml:space="preserve"> of 60-90%</w:t>
            </w:r>
          </w:p>
        </w:tc>
        <w:tc>
          <w:tcPr>
            <w:tcW w:w="2137" w:type="dxa"/>
          </w:tcPr>
          <w:p w14:paraId="56EF039C" w14:textId="77777777" w:rsidR="001A65DF" w:rsidRPr="001A65DF" w:rsidRDefault="001A65DF" w:rsidP="001A65DF">
            <w:pPr>
              <w:widowControl w:val="0"/>
              <w:pBdr>
                <w:top w:val="nil"/>
                <w:left w:val="nil"/>
                <w:bottom w:val="nil"/>
                <w:right w:val="nil"/>
                <w:between w:val="nil"/>
              </w:pBdr>
              <w:spacing w:before="10" w:after="0" w:line="240" w:lineRule="auto"/>
              <w:ind w:left="122"/>
              <w:rPr>
                <w:rFonts w:eastAsia="Arial" w:cs="Arial"/>
                <w:lang w:val="es-ES" w:eastAsia="en-GB"/>
              </w:rPr>
            </w:pPr>
            <w:proofErr w:type="spellStart"/>
            <w:r w:rsidRPr="001A65DF">
              <w:rPr>
                <w:rFonts w:eastAsia="Arial" w:cs="Arial"/>
                <w:lang w:val="es-ES" w:eastAsia="en-GB"/>
              </w:rPr>
              <w:t>Vooren</w:t>
            </w:r>
            <w:proofErr w:type="spellEnd"/>
            <w:r w:rsidRPr="001A65DF">
              <w:rPr>
                <w:rFonts w:eastAsia="Arial" w:cs="Arial"/>
                <w:lang w:val="es-ES" w:eastAsia="en-GB"/>
              </w:rPr>
              <w:t xml:space="preserve"> et al (2005)</w:t>
            </w:r>
          </w:p>
        </w:tc>
      </w:tr>
      <w:tr w:rsidR="001A65DF" w:rsidRPr="001A65DF" w14:paraId="52F29342" w14:textId="77777777" w:rsidTr="00436783">
        <w:trPr>
          <w:trHeight w:val="495"/>
        </w:trPr>
        <w:tc>
          <w:tcPr>
            <w:tcW w:w="1560" w:type="dxa"/>
          </w:tcPr>
          <w:p w14:paraId="4E77C139" w14:textId="77777777" w:rsidR="001A65DF" w:rsidRPr="001A65DF" w:rsidRDefault="001A65DF" w:rsidP="001A65DF">
            <w:pPr>
              <w:widowControl w:val="0"/>
              <w:pBdr>
                <w:top w:val="nil"/>
                <w:left w:val="nil"/>
                <w:bottom w:val="nil"/>
                <w:right w:val="nil"/>
                <w:between w:val="nil"/>
              </w:pBdr>
              <w:spacing w:before="5" w:after="0" w:line="240" w:lineRule="auto"/>
              <w:ind w:left="50" w:right="48"/>
              <w:jc w:val="center"/>
              <w:rPr>
                <w:rFonts w:eastAsia="Arial" w:cs="Arial"/>
                <w:lang w:val="es-ES" w:eastAsia="en-GB"/>
              </w:rPr>
            </w:pPr>
            <w:r w:rsidRPr="001A65DF">
              <w:rPr>
                <w:rFonts w:eastAsia="Arial" w:cs="Arial"/>
                <w:lang w:val="es-ES" w:eastAsia="en-GB"/>
              </w:rPr>
              <w:t>1992-2004</w:t>
            </w:r>
          </w:p>
        </w:tc>
        <w:tc>
          <w:tcPr>
            <w:tcW w:w="2204" w:type="dxa"/>
          </w:tcPr>
          <w:p w14:paraId="633C897D" w14:textId="77777777" w:rsidR="001A65DF" w:rsidRPr="001A65DF" w:rsidRDefault="001A65DF" w:rsidP="001A65DF">
            <w:pPr>
              <w:widowControl w:val="0"/>
              <w:pBdr>
                <w:top w:val="nil"/>
                <w:left w:val="nil"/>
                <w:bottom w:val="nil"/>
                <w:right w:val="nil"/>
                <w:between w:val="nil"/>
              </w:pBdr>
              <w:spacing w:after="0" w:line="249" w:lineRule="auto"/>
              <w:ind w:left="381"/>
              <w:rPr>
                <w:rFonts w:eastAsia="Arial" w:cs="Arial"/>
                <w:lang w:val="es-ES" w:eastAsia="en-GB"/>
              </w:rPr>
            </w:pPr>
            <w:r w:rsidRPr="001A65DF">
              <w:rPr>
                <w:rFonts w:eastAsia="Arial" w:cs="Arial"/>
                <w:lang w:val="es-ES" w:eastAsia="en-GB"/>
              </w:rPr>
              <w:t xml:space="preserve">Eastern </w:t>
            </w:r>
            <w:proofErr w:type="spellStart"/>
            <w:r w:rsidRPr="001A65DF">
              <w:rPr>
                <w:rFonts w:eastAsia="Arial" w:cs="Arial"/>
                <w:lang w:val="es-ES" w:eastAsia="en-GB"/>
              </w:rPr>
              <w:t>Pacific</w:t>
            </w:r>
            <w:proofErr w:type="spellEnd"/>
          </w:p>
        </w:tc>
        <w:tc>
          <w:tcPr>
            <w:tcW w:w="2189" w:type="dxa"/>
          </w:tcPr>
          <w:p w14:paraId="24735BD3" w14:textId="77777777" w:rsidR="001A65DF" w:rsidRPr="001A65DF" w:rsidRDefault="001A65DF" w:rsidP="001A65DF">
            <w:pPr>
              <w:widowControl w:val="0"/>
              <w:pBdr>
                <w:top w:val="nil"/>
                <w:left w:val="nil"/>
                <w:bottom w:val="nil"/>
                <w:right w:val="nil"/>
                <w:between w:val="nil"/>
              </w:pBdr>
              <w:spacing w:before="5" w:after="0" w:line="240" w:lineRule="auto"/>
              <w:ind w:left="481"/>
              <w:rPr>
                <w:rFonts w:eastAsia="Arial" w:cs="Arial"/>
                <w:lang w:val="es-ES" w:eastAsia="en-GB"/>
              </w:rPr>
            </w:pPr>
            <w:proofErr w:type="spellStart"/>
            <w:r w:rsidRPr="001A65DF">
              <w:rPr>
                <w:rFonts w:eastAsia="Arial" w:cs="Arial"/>
                <w:lang w:val="es-ES" w:eastAsia="en-GB"/>
              </w:rPr>
              <w:t>Sightings</w:t>
            </w:r>
            <w:proofErr w:type="spellEnd"/>
          </w:p>
        </w:tc>
        <w:tc>
          <w:tcPr>
            <w:tcW w:w="1560" w:type="dxa"/>
          </w:tcPr>
          <w:p w14:paraId="78967834" w14:textId="77777777" w:rsidR="001A65DF" w:rsidRPr="001A65DF" w:rsidRDefault="001A65DF" w:rsidP="001A65DF">
            <w:pPr>
              <w:widowControl w:val="0"/>
              <w:pBdr>
                <w:top w:val="nil"/>
                <w:left w:val="nil"/>
                <w:bottom w:val="nil"/>
                <w:right w:val="nil"/>
                <w:between w:val="nil"/>
              </w:pBdr>
              <w:spacing w:before="4" w:after="0" w:line="236" w:lineRule="auto"/>
              <w:ind w:left="534" w:right="195" w:hanging="308"/>
              <w:rPr>
                <w:rFonts w:eastAsia="Arial" w:cs="Arial"/>
                <w:lang w:val="es-ES" w:eastAsia="en-GB"/>
              </w:rPr>
            </w:pPr>
            <w:proofErr w:type="spellStart"/>
            <w:r w:rsidRPr="001A65DF">
              <w:rPr>
                <w:rFonts w:eastAsia="Arial" w:cs="Arial"/>
                <w:lang w:val="es-ES" w:eastAsia="en-GB"/>
              </w:rPr>
              <w:t>Reduction</w:t>
            </w:r>
            <w:proofErr w:type="spellEnd"/>
            <w:r w:rsidRPr="001A65DF">
              <w:rPr>
                <w:rFonts w:eastAsia="Arial" w:cs="Arial"/>
                <w:lang w:val="es-ES" w:eastAsia="en-GB"/>
              </w:rPr>
              <w:t xml:space="preserve"> of 71%*</w:t>
            </w:r>
          </w:p>
        </w:tc>
        <w:tc>
          <w:tcPr>
            <w:tcW w:w="2137" w:type="dxa"/>
          </w:tcPr>
          <w:p w14:paraId="3F8E58D4" w14:textId="77777777" w:rsidR="001A65DF" w:rsidRPr="001A65DF" w:rsidRDefault="001A65DF" w:rsidP="001A65DF">
            <w:pPr>
              <w:widowControl w:val="0"/>
              <w:pBdr>
                <w:top w:val="nil"/>
                <w:left w:val="nil"/>
                <w:bottom w:val="nil"/>
                <w:right w:val="nil"/>
                <w:between w:val="nil"/>
              </w:pBdr>
              <w:spacing w:before="5" w:after="0" w:line="240" w:lineRule="auto"/>
              <w:ind w:left="165"/>
              <w:rPr>
                <w:rFonts w:eastAsia="Arial" w:cs="Arial"/>
                <w:lang w:val="es-ES" w:eastAsia="en-GB"/>
              </w:rPr>
            </w:pPr>
            <w:r w:rsidRPr="001A65DF">
              <w:rPr>
                <w:rFonts w:eastAsia="Arial" w:cs="Arial"/>
                <w:lang w:val="es-ES" w:eastAsia="en-GB"/>
              </w:rPr>
              <w:t>Myers et al (2007)</w:t>
            </w:r>
          </w:p>
        </w:tc>
      </w:tr>
      <w:tr w:rsidR="001A65DF" w:rsidRPr="001A65DF" w14:paraId="2FFB8C17" w14:textId="77777777" w:rsidTr="00436783">
        <w:trPr>
          <w:trHeight w:val="501"/>
        </w:trPr>
        <w:tc>
          <w:tcPr>
            <w:tcW w:w="1560" w:type="dxa"/>
          </w:tcPr>
          <w:p w14:paraId="3F082770" w14:textId="77777777" w:rsidR="001A65DF" w:rsidRPr="001A65DF" w:rsidRDefault="001A65DF" w:rsidP="001A65DF">
            <w:pPr>
              <w:widowControl w:val="0"/>
              <w:pBdr>
                <w:top w:val="nil"/>
                <w:left w:val="nil"/>
                <w:bottom w:val="nil"/>
                <w:right w:val="nil"/>
                <w:between w:val="nil"/>
              </w:pBdr>
              <w:spacing w:before="10" w:after="0" w:line="240" w:lineRule="auto"/>
              <w:ind w:left="50" w:right="48"/>
              <w:jc w:val="center"/>
              <w:rPr>
                <w:rFonts w:eastAsia="Arial" w:cs="Arial"/>
                <w:lang w:val="es-ES" w:eastAsia="en-GB"/>
              </w:rPr>
            </w:pPr>
            <w:r w:rsidRPr="001A65DF">
              <w:rPr>
                <w:rFonts w:eastAsia="Arial" w:cs="Arial"/>
                <w:lang w:val="es-ES" w:eastAsia="en-GB"/>
              </w:rPr>
              <w:t>2004-2006</w:t>
            </w:r>
          </w:p>
        </w:tc>
        <w:tc>
          <w:tcPr>
            <w:tcW w:w="2204" w:type="dxa"/>
          </w:tcPr>
          <w:p w14:paraId="36DDD312" w14:textId="77777777" w:rsidR="001A65DF" w:rsidRPr="001A65DF" w:rsidRDefault="001A65DF" w:rsidP="001A65DF">
            <w:pPr>
              <w:widowControl w:val="0"/>
              <w:pBdr>
                <w:top w:val="nil"/>
                <w:left w:val="nil"/>
                <w:bottom w:val="nil"/>
                <w:right w:val="nil"/>
                <w:between w:val="nil"/>
              </w:pBdr>
              <w:spacing w:before="1" w:after="0" w:line="240" w:lineRule="auto"/>
              <w:ind w:left="381"/>
              <w:rPr>
                <w:rFonts w:eastAsia="Arial" w:cs="Arial"/>
                <w:lang w:val="es-ES" w:eastAsia="en-GB"/>
              </w:rPr>
            </w:pPr>
            <w:r w:rsidRPr="001A65DF">
              <w:rPr>
                <w:rFonts w:eastAsia="Arial" w:cs="Arial"/>
                <w:lang w:val="es-ES" w:eastAsia="en-GB"/>
              </w:rPr>
              <w:t xml:space="preserve">Eastern </w:t>
            </w:r>
            <w:proofErr w:type="spellStart"/>
            <w:r w:rsidRPr="001A65DF">
              <w:rPr>
                <w:rFonts w:eastAsia="Arial" w:cs="Arial"/>
                <w:lang w:val="es-ES" w:eastAsia="en-GB"/>
              </w:rPr>
              <w:t>Pacific</w:t>
            </w:r>
            <w:proofErr w:type="spellEnd"/>
          </w:p>
        </w:tc>
        <w:tc>
          <w:tcPr>
            <w:tcW w:w="2189" w:type="dxa"/>
          </w:tcPr>
          <w:p w14:paraId="76F73C24" w14:textId="77777777" w:rsidR="001A65DF" w:rsidRPr="001A65DF" w:rsidRDefault="001A65DF" w:rsidP="001A65DF">
            <w:pPr>
              <w:widowControl w:val="0"/>
              <w:pBdr>
                <w:top w:val="nil"/>
                <w:left w:val="nil"/>
                <w:bottom w:val="nil"/>
                <w:right w:val="nil"/>
                <w:between w:val="nil"/>
              </w:pBdr>
              <w:spacing w:before="10" w:after="0" w:line="240" w:lineRule="auto"/>
              <w:ind w:left="421"/>
              <w:rPr>
                <w:rFonts w:eastAsia="Arial" w:cs="Arial"/>
                <w:lang w:val="es-ES" w:eastAsia="en-GB"/>
              </w:rPr>
            </w:pPr>
            <w:proofErr w:type="spellStart"/>
            <w:r w:rsidRPr="001A65DF">
              <w:rPr>
                <w:rFonts w:eastAsia="Arial" w:cs="Arial"/>
                <w:lang w:val="es-ES" w:eastAsia="en-GB"/>
              </w:rPr>
              <w:t>Landings</w:t>
            </w:r>
            <w:proofErr w:type="spellEnd"/>
          </w:p>
        </w:tc>
        <w:tc>
          <w:tcPr>
            <w:tcW w:w="1560" w:type="dxa"/>
          </w:tcPr>
          <w:p w14:paraId="05CB32C8" w14:textId="77777777" w:rsidR="001A65DF" w:rsidRPr="001A65DF" w:rsidRDefault="001A65DF" w:rsidP="001A65DF">
            <w:pPr>
              <w:widowControl w:val="0"/>
              <w:pBdr>
                <w:top w:val="nil"/>
                <w:left w:val="nil"/>
                <w:bottom w:val="nil"/>
                <w:right w:val="nil"/>
                <w:between w:val="nil"/>
              </w:pBdr>
              <w:spacing w:before="9" w:after="0" w:line="236" w:lineRule="auto"/>
              <w:ind w:left="587" w:right="194" w:hanging="360"/>
              <w:rPr>
                <w:rFonts w:eastAsia="Arial" w:cs="Arial"/>
                <w:lang w:val="es-ES" w:eastAsia="en-GB"/>
              </w:rPr>
            </w:pPr>
            <w:proofErr w:type="spellStart"/>
            <w:r w:rsidRPr="001A65DF">
              <w:rPr>
                <w:rFonts w:eastAsia="Arial" w:cs="Arial"/>
                <w:lang w:val="es-ES" w:eastAsia="en-GB"/>
              </w:rPr>
              <w:t>Reduction</w:t>
            </w:r>
            <w:proofErr w:type="spellEnd"/>
            <w:r w:rsidRPr="001A65DF">
              <w:rPr>
                <w:rFonts w:eastAsia="Arial" w:cs="Arial"/>
                <w:lang w:val="es-ES" w:eastAsia="en-GB"/>
              </w:rPr>
              <w:t xml:space="preserve"> of 51%</w:t>
            </w:r>
          </w:p>
        </w:tc>
        <w:tc>
          <w:tcPr>
            <w:tcW w:w="2137" w:type="dxa"/>
          </w:tcPr>
          <w:p w14:paraId="5F67E651" w14:textId="77777777" w:rsidR="001A65DF" w:rsidRPr="001A65DF" w:rsidRDefault="001A65DF" w:rsidP="001A65DF">
            <w:pPr>
              <w:widowControl w:val="0"/>
              <w:pBdr>
                <w:top w:val="nil"/>
                <w:left w:val="nil"/>
                <w:bottom w:val="nil"/>
                <w:right w:val="nil"/>
                <w:between w:val="nil"/>
              </w:pBdr>
              <w:spacing w:before="9" w:after="0" w:line="236" w:lineRule="auto"/>
              <w:ind w:left="789" w:hanging="572"/>
              <w:rPr>
                <w:rFonts w:eastAsia="Arial" w:cs="Arial"/>
                <w:lang w:val="es-ES" w:eastAsia="en-GB"/>
              </w:rPr>
            </w:pPr>
            <w:r w:rsidRPr="001A65DF">
              <w:rPr>
                <w:rFonts w:eastAsia="Arial" w:cs="Arial"/>
                <w:lang w:val="es-ES" w:eastAsia="en-GB"/>
              </w:rPr>
              <w:t>Martínez-Ortiz et al (2007)</w:t>
            </w:r>
          </w:p>
        </w:tc>
      </w:tr>
      <w:tr w:rsidR="001A65DF" w:rsidRPr="001A65DF" w14:paraId="10C32397" w14:textId="77777777" w:rsidTr="00436783">
        <w:trPr>
          <w:trHeight w:val="499"/>
        </w:trPr>
        <w:tc>
          <w:tcPr>
            <w:tcW w:w="1560" w:type="dxa"/>
          </w:tcPr>
          <w:p w14:paraId="603A1FF3" w14:textId="77777777" w:rsidR="001A65DF" w:rsidRPr="001A65DF" w:rsidRDefault="001A65DF" w:rsidP="001A65DF">
            <w:pPr>
              <w:widowControl w:val="0"/>
              <w:pBdr>
                <w:top w:val="nil"/>
                <w:left w:val="nil"/>
                <w:bottom w:val="nil"/>
                <w:right w:val="nil"/>
                <w:between w:val="nil"/>
              </w:pBdr>
              <w:spacing w:before="8" w:after="0" w:line="240" w:lineRule="auto"/>
              <w:ind w:left="50" w:right="48"/>
              <w:jc w:val="center"/>
              <w:rPr>
                <w:rFonts w:eastAsia="Arial" w:cs="Arial"/>
                <w:lang w:val="es-ES" w:eastAsia="en-GB"/>
              </w:rPr>
            </w:pPr>
            <w:r w:rsidRPr="001A65DF">
              <w:rPr>
                <w:rFonts w:eastAsia="Arial" w:cs="Arial"/>
                <w:lang w:val="es-ES" w:eastAsia="en-GB"/>
              </w:rPr>
              <w:t>1963-2007</w:t>
            </w:r>
          </w:p>
        </w:tc>
        <w:tc>
          <w:tcPr>
            <w:tcW w:w="2204" w:type="dxa"/>
          </w:tcPr>
          <w:p w14:paraId="30E8A610" w14:textId="77777777" w:rsidR="001A65DF" w:rsidRPr="001A65DF" w:rsidRDefault="001A65DF" w:rsidP="001A65DF">
            <w:pPr>
              <w:widowControl w:val="0"/>
              <w:pBdr>
                <w:top w:val="nil"/>
                <w:left w:val="nil"/>
                <w:bottom w:val="nil"/>
                <w:right w:val="nil"/>
                <w:between w:val="nil"/>
              </w:pBdr>
              <w:spacing w:after="0" w:line="251" w:lineRule="auto"/>
              <w:ind w:left="381"/>
              <w:rPr>
                <w:rFonts w:eastAsia="Arial" w:cs="Arial"/>
                <w:lang w:val="es-ES" w:eastAsia="en-GB"/>
              </w:rPr>
            </w:pPr>
            <w:r w:rsidRPr="001A65DF">
              <w:rPr>
                <w:rFonts w:eastAsia="Arial" w:cs="Arial"/>
                <w:lang w:val="es-ES" w:eastAsia="en-GB"/>
              </w:rPr>
              <w:t xml:space="preserve">Western </w:t>
            </w:r>
            <w:proofErr w:type="spellStart"/>
            <w:r w:rsidRPr="001A65DF">
              <w:rPr>
                <w:rFonts w:eastAsia="Arial" w:cs="Arial"/>
                <w:lang w:val="es-ES" w:eastAsia="en-GB"/>
              </w:rPr>
              <w:t>Pacific</w:t>
            </w:r>
            <w:proofErr w:type="spellEnd"/>
          </w:p>
        </w:tc>
        <w:tc>
          <w:tcPr>
            <w:tcW w:w="2189" w:type="dxa"/>
          </w:tcPr>
          <w:p w14:paraId="68378628" w14:textId="77777777" w:rsidR="001A65DF" w:rsidRPr="001A65DF" w:rsidRDefault="001A65DF" w:rsidP="001A65DF">
            <w:pPr>
              <w:widowControl w:val="0"/>
              <w:pBdr>
                <w:top w:val="nil"/>
                <w:left w:val="nil"/>
                <w:bottom w:val="nil"/>
                <w:right w:val="nil"/>
                <w:between w:val="nil"/>
              </w:pBdr>
              <w:spacing w:before="7" w:after="0" w:line="236" w:lineRule="auto"/>
              <w:ind w:left="750" w:right="599" w:hanging="120"/>
              <w:rPr>
                <w:rFonts w:eastAsia="Arial" w:cs="Arial"/>
                <w:lang w:val="es-ES" w:eastAsia="en-GB"/>
              </w:rPr>
            </w:pPr>
            <w:r w:rsidRPr="001A65DF">
              <w:rPr>
                <w:rFonts w:eastAsia="Arial" w:cs="Arial"/>
                <w:lang w:val="es-ES" w:eastAsia="en-GB"/>
              </w:rPr>
              <w:t xml:space="preserve">Beach </w:t>
            </w:r>
            <w:proofErr w:type="spellStart"/>
            <w:r w:rsidRPr="001A65DF">
              <w:rPr>
                <w:rFonts w:eastAsia="Arial" w:cs="Arial"/>
                <w:lang w:val="es-ES" w:eastAsia="en-GB"/>
              </w:rPr>
              <w:t>sein</w:t>
            </w:r>
            <w:proofErr w:type="spellEnd"/>
            <w:r w:rsidRPr="001A65DF">
              <w:rPr>
                <w:rFonts w:eastAsia="Arial" w:cs="Arial"/>
                <w:lang w:val="es-ES" w:eastAsia="en-GB"/>
              </w:rPr>
              <w:t xml:space="preserve"> (CPUE)</w:t>
            </w:r>
          </w:p>
        </w:tc>
        <w:tc>
          <w:tcPr>
            <w:tcW w:w="1560" w:type="dxa"/>
          </w:tcPr>
          <w:p w14:paraId="35229E46" w14:textId="77777777" w:rsidR="001A65DF" w:rsidRPr="001A65DF" w:rsidRDefault="001A65DF" w:rsidP="001A65DF">
            <w:pPr>
              <w:widowControl w:val="0"/>
              <w:pBdr>
                <w:top w:val="nil"/>
                <w:left w:val="nil"/>
                <w:bottom w:val="nil"/>
                <w:right w:val="nil"/>
                <w:between w:val="nil"/>
              </w:pBdr>
              <w:spacing w:before="7" w:after="0" w:line="236" w:lineRule="auto"/>
              <w:ind w:left="587" w:right="194" w:hanging="360"/>
              <w:rPr>
                <w:rFonts w:eastAsia="Arial" w:cs="Arial"/>
                <w:lang w:val="es-ES" w:eastAsia="en-GB"/>
              </w:rPr>
            </w:pPr>
            <w:proofErr w:type="spellStart"/>
            <w:r w:rsidRPr="001A65DF">
              <w:rPr>
                <w:rFonts w:eastAsia="Arial" w:cs="Arial"/>
                <w:lang w:val="es-ES" w:eastAsia="en-GB"/>
              </w:rPr>
              <w:t>Reduction</w:t>
            </w:r>
            <w:proofErr w:type="spellEnd"/>
            <w:r w:rsidRPr="001A65DF">
              <w:rPr>
                <w:rFonts w:eastAsia="Arial" w:cs="Arial"/>
                <w:lang w:val="es-ES" w:eastAsia="en-GB"/>
              </w:rPr>
              <w:t xml:space="preserve"> of 85%</w:t>
            </w:r>
          </w:p>
        </w:tc>
        <w:tc>
          <w:tcPr>
            <w:tcW w:w="2137" w:type="dxa"/>
          </w:tcPr>
          <w:p w14:paraId="0C1EB2EF" w14:textId="77777777" w:rsidR="001A65DF" w:rsidRPr="001A65DF" w:rsidRDefault="001A65DF" w:rsidP="001A65DF">
            <w:pPr>
              <w:widowControl w:val="0"/>
              <w:pBdr>
                <w:top w:val="nil"/>
                <w:left w:val="nil"/>
                <w:bottom w:val="nil"/>
                <w:right w:val="nil"/>
                <w:between w:val="nil"/>
              </w:pBdr>
              <w:spacing w:before="7" w:after="0" w:line="236" w:lineRule="auto"/>
              <w:ind w:left="134" w:right="98" w:firstLine="531"/>
              <w:rPr>
                <w:rFonts w:eastAsia="Arial" w:cs="Arial"/>
                <w:lang w:val="es-ES" w:eastAsia="en-GB"/>
              </w:rPr>
            </w:pPr>
            <w:r w:rsidRPr="001A65DF">
              <w:rPr>
                <w:rFonts w:eastAsia="Arial" w:cs="Arial"/>
                <w:lang w:val="es-ES" w:eastAsia="en-GB"/>
              </w:rPr>
              <w:t xml:space="preserve">de Jong &amp; </w:t>
            </w:r>
            <w:proofErr w:type="spellStart"/>
            <w:r w:rsidRPr="001A65DF">
              <w:rPr>
                <w:rFonts w:eastAsia="Arial" w:cs="Arial"/>
                <w:lang w:val="es-ES" w:eastAsia="en-GB"/>
              </w:rPr>
              <w:t>Simpfendorfer</w:t>
            </w:r>
            <w:proofErr w:type="spellEnd"/>
            <w:r w:rsidRPr="001A65DF">
              <w:rPr>
                <w:rFonts w:eastAsia="Arial" w:cs="Arial"/>
                <w:lang w:val="es-ES" w:eastAsia="en-GB"/>
              </w:rPr>
              <w:t xml:space="preserve"> (2009)</w:t>
            </w:r>
          </w:p>
        </w:tc>
      </w:tr>
      <w:tr w:rsidR="001A65DF" w:rsidRPr="001A65DF" w14:paraId="0DEAC7AE" w14:textId="77777777" w:rsidTr="00436783">
        <w:trPr>
          <w:trHeight w:val="501"/>
        </w:trPr>
        <w:tc>
          <w:tcPr>
            <w:tcW w:w="1560" w:type="dxa"/>
          </w:tcPr>
          <w:p w14:paraId="29390424" w14:textId="77777777" w:rsidR="001A65DF" w:rsidRPr="001A65DF" w:rsidRDefault="001A65DF" w:rsidP="001A65DF">
            <w:pPr>
              <w:widowControl w:val="0"/>
              <w:pBdr>
                <w:top w:val="nil"/>
                <w:left w:val="nil"/>
                <w:bottom w:val="nil"/>
                <w:right w:val="nil"/>
                <w:between w:val="nil"/>
              </w:pBdr>
              <w:spacing w:before="10" w:after="0" w:line="240" w:lineRule="auto"/>
              <w:ind w:left="50" w:right="48"/>
              <w:jc w:val="center"/>
              <w:rPr>
                <w:rFonts w:eastAsia="Arial" w:cs="Arial"/>
                <w:lang w:val="es-ES" w:eastAsia="en-GB"/>
              </w:rPr>
            </w:pPr>
            <w:r w:rsidRPr="001A65DF">
              <w:rPr>
                <w:rFonts w:eastAsia="Arial" w:cs="Arial"/>
                <w:lang w:val="es-ES" w:eastAsia="en-GB"/>
              </w:rPr>
              <w:t>1978-2003</w:t>
            </w:r>
          </w:p>
        </w:tc>
        <w:tc>
          <w:tcPr>
            <w:tcW w:w="2204" w:type="dxa"/>
          </w:tcPr>
          <w:p w14:paraId="0B6099F8" w14:textId="77777777" w:rsidR="001A65DF" w:rsidRPr="001A65DF" w:rsidRDefault="001A65DF" w:rsidP="001A65DF">
            <w:pPr>
              <w:widowControl w:val="0"/>
              <w:pBdr>
                <w:top w:val="nil"/>
                <w:left w:val="nil"/>
                <w:bottom w:val="nil"/>
                <w:right w:val="nil"/>
                <w:between w:val="nil"/>
              </w:pBdr>
              <w:spacing w:before="21" w:after="0" w:line="216" w:lineRule="auto"/>
              <w:ind w:left="662" w:right="977" w:hanging="195"/>
              <w:rPr>
                <w:rFonts w:eastAsia="Arial" w:cs="Arial"/>
                <w:lang w:val="es-ES" w:eastAsia="en-GB"/>
              </w:rPr>
            </w:pPr>
            <w:r w:rsidRPr="001A65DF">
              <w:rPr>
                <w:rFonts w:eastAsia="Arial" w:cs="Arial"/>
                <w:lang w:val="es-ES" w:eastAsia="en-GB"/>
              </w:rPr>
              <w:t xml:space="preserve">Western </w:t>
            </w:r>
            <w:proofErr w:type="spellStart"/>
            <w:r w:rsidRPr="001A65DF">
              <w:rPr>
                <w:rFonts w:eastAsia="Arial" w:cs="Arial"/>
                <w:lang w:val="es-ES" w:eastAsia="en-GB"/>
              </w:rPr>
              <w:t>Indian</w:t>
            </w:r>
            <w:proofErr w:type="spellEnd"/>
          </w:p>
        </w:tc>
        <w:tc>
          <w:tcPr>
            <w:tcW w:w="2189" w:type="dxa"/>
          </w:tcPr>
          <w:p w14:paraId="13FF7E1D" w14:textId="77777777" w:rsidR="001A65DF" w:rsidRPr="001A65DF" w:rsidRDefault="001A65DF" w:rsidP="001A65DF">
            <w:pPr>
              <w:widowControl w:val="0"/>
              <w:pBdr>
                <w:top w:val="nil"/>
                <w:left w:val="nil"/>
                <w:bottom w:val="nil"/>
                <w:right w:val="nil"/>
                <w:between w:val="nil"/>
              </w:pBdr>
              <w:spacing w:before="9" w:after="0" w:line="236" w:lineRule="auto"/>
              <w:ind w:left="750" w:right="599" w:hanging="120"/>
              <w:rPr>
                <w:rFonts w:eastAsia="Arial" w:cs="Arial"/>
                <w:lang w:val="es-ES" w:eastAsia="en-GB"/>
              </w:rPr>
            </w:pPr>
            <w:r w:rsidRPr="001A65DF">
              <w:rPr>
                <w:rFonts w:eastAsia="Arial" w:cs="Arial"/>
                <w:lang w:val="es-ES" w:eastAsia="en-GB"/>
              </w:rPr>
              <w:t xml:space="preserve">Beach </w:t>
            </w:r>
            <w:proofErr w:type="spellStart"/>
            <w:r w:rsidRPr="001A65DF">
              <w:rPr>
                <w:rFonts w:eastAsia="Arial" w:cs="Arial"/>
                <w:lang w:val="es-ES" w:eastAsia="en-GB"/>
              </w:rPr>
              <w:t>sein</w:t>
            </w:r>
            <w:proofErr w:type="spellEnd"/>
            <w:r w:rsidRPr="001A65DF">
              <w:rPr>
                <w:rFonts w:eastAsia="Arial" w:cs="Arial"/>
                <w:lang w:val="es-ES" w:eastAsia="en-GB"/>
              </w:rPr>
              <w:t xml:space="preserve"> (CPUE)</w:t>
            </w:r>
          </w:p>
        </w:tc>
        <w:tc>
          <w:tcPr>
            <w:tcW w:w="1560" w:type="dxa"/>
          </w:tcPr>
          <w:p w14:paraId="4B95C8CB" w14:textId="77777777" w:rsidR="001A65DF" w:rsidRPr="001A65DF" w:rsidRDefault="001A65DF" w:rsidP="001A65DF">
            <w:pPr>
              <w:widowControl w:val="0"/>
              <w:pBdr>
                <w:top w:val="nil"/>
                <w:left w:val="nil"/>
                <w:bottom w:val="nil"/>
                <w:right w:val="nil"/>
                <w:between w:val="nil"/>
              </w:pBdr>
              <w:spacing w:before="9" w:after="0" w:line="236" w:lineRule="auto"/>
              <w:ind w:left="534" w:right="195" w:hanging="308"/>
              <w:rPr>
                <w:rFonts w:eastAsia="Arial" w:cs="Arial"/>
                <w:lang w:val="es-ES" w:eastAsia="en-GB"/>
              </w:rPr>
            </w:pPr>
            <w:proofErr w:type="spellStart"/>
            <w:r w:rsidRPr="001A65DF">
              <w:rPr>
                <w:rFonts w:eastAsia="Arial" w:cs="Arial"/>
                <w:lang w:val="es-ES" w:eastAsia="en-GB"/>
              </w:rPr>
              <w:t>Reduction</w:t>
            </w:r>
            <w:proofErr w:type="spellEnd"/>
            <w:r w:rsidRPr="001A65DF">
              <w:rPr>
                <w:rFonts w:eastAsia="Arial" w:cs="Arial"/>
                <w:lang w:val="es-ES" w:eastAsia="en-GB"/>
              </w:rPr>
              <w:t xml:space="preserve"> of 64%*</w:t>
            </w:r>
          </w:p>
        </w:tc>
        <w:tc>
          <w:tcPr>
            <w:tcW w:w="2137" w:type="dxa"/>
          </w:tcPr>
          <w:p w14:paraId="4C44FEAB" w14:textId="77777777" w:rsidR="001A65DF" w:rsidRPr="001A65DF" w:rsidRDefault="001A65DF" w:rsidP="001A65DF">
            <w:pPr>
              <w:widowControl w:val="0"/>
              <w:pBdr>
                <w:top w:val="nil"/>
                <w:left w:val="nil"/>
                <w:bottom w:val="nil"/>
                <w:right w:val="nil"/>
                <w:between w:val="nil"/>
              </w:pBdr>
              <w:spacing w:before="9" w:after="0" w:line="236" w:lineRule="auto"/>
              <w:ind w:left="134" w:right="98" w:firstLine="545"/>
              <w:rPr>
                <w:rFonts w:eastAsia="Arial" w:cs="Arial"/>
                <w:lang w:val="es-ES" w:eastAsia="en-GB"/>
              </w:rPr>
            </w:pPr>
            <w:r w:rsidRPr="001A65DF">
              <w:rPr>
                <w:rFonts w:eastAsia="Arial" w:cs="Arial"/>
                <w:lang w:val="es-ES" w:eastAsia="en-GB"/>
              </w:rPr>
              <w:t xml:space="preserve">Dudley &amp; </w:t>
            </w:r>
            <w:proofErr w:type="spellStart"/>
            <w:r w:rsidRPr="001A65DF">
              <w:rPr>
                <w:rFonts w:eastAsia="Arial" w:cs="Arial"/>
                <w:lang w:val="es-ES" w:eastAsia="en-GB"/>
              </w:rPr>
              <w:t>Simpfendorfer</w:t>
            </w:r>
            <w:proofErr w:type="spellEnd"/>
            <w:r w:rsidRPr="001A65DF">
              <w:rPr>
                <w:rFonts w:eastAsia="Arial" w:cs="Arial"/>
                <w:lang w:val="es-ES" w:eastAsia="en-GB"/>
              </w:rPr>
              <w:t xml:space="preserve"> (2006)</w:t>
            </w:r>
          </w:p>
        </w:tc>
      </w:tr>
      <w:tr w:rsidR="001A65DF" w:rsidRPr="001A65DF" w14:paraId="076DC999" w14:textId="77777777" w:rsidTr="00436783">
        <w:trPr>
          <w:trHeight w:val="501"/>
        </w:trPr>
        <w:tc>
          <w:tcPr>
            <w:tcW w:w="1560" w:type="dxa"/>
          </w:tcPr>
          <w:p w14:paraId="02FB24B9" w14:textId="77777777" w:rsidR="001A65DF" w:rsidRPr="001A65DF" w:rsidRDefault="001A65DF" w:rsidP="001A65DF">
            <w:pPr>
              <w:widowControl w:val="0"/>
              <w:pBdr>
                <w:top w:val="nil"/>
                <w:left w:val="nil"/>
                <w:bottom w:val="nil"/>
                <w:right w:val="nil"/>
                <w:between w:val="nil"/>
              </w:pBdr>
              <w:spacing w:before="10" w:after="0" w:line="252" w:lineRule="auto"/>
              <w:ind w:left="232"/>
              <w:rPr>
                <w:rFonts w:eastAsia="Arial" w:cs="Arial"/>
                <w:lang w:val="es-ES" w:eastAsia="en-GB"/>
              </w:rPr>
            </w:pPr>
            <w:r w:rsidRPr="001A65DF">
              <w:rPr>
                <w:rFonts w:eastAsia="Arial" w:cs="Arial"/>
                <w:lang w:val="es-ES" w:eastAsia="en-GB"/>
              </w:rPr>
              <w:t>1997-1998 &amp;</w:t>
            </w:r>
          </w:p>
          <w:p w14:paraId="77BC7DC2" w14:textId="77777777" w:rsidR="001A65DF" w:rsidRPr="001A65DF" w:rsidRDefault="001A65DF" w:rsidP="001A65DF">
            <w:pPr>
              <w:widowControl w:val="0"/>
              <w:pBdr>
                <w:top w:val="nil"/>
                <w:left w:val="nil"/>
                <w:bottom w:val="nil"/>
                <w:right w:val="nil"/>
                <w:between w:val="nil"/>
              </w:pBdr>
              <w:spacing w:after="0" w:line="218" w:lineRule="auto"/>
              <w:ind w:left="309"/>
              <w:rPr>
                <w:rFonts w:eastAsia="Arial" w:cs="Arial"/>
                <w:lang w:val="es-ES" w:eastAsia="en-GB"/>
              </w:rPr>
            </w:pPr>
            <w:r w:rsidRPr="001A65DF">
              <w:rPr>
                <w:rFonts w:eastAsia="Arial" w:cs="Arial"/>
                <w:lang w:val="es-ES" w:eastAsia="en-GB"/>
              </w:rPr>
              <w:t>2004-2005</w:t>
            </w:r>
          </w:p>
        </w:tc>
        <w:tc>
          <w:tcPr>
            <w:tcW w:w="2204" w:type="dxa"/>
          </w:tcPr>
          <w:p w14:paraId="1531704C" w14:textId="77777777" w:rsidR="001A65DF" w:rsidRPr="001A65DF" w:rsidRDefault="001A65DF" w:rsidP="001A65DF">
            <w:pPr>
              <w:widowControl w:val="0"/>
              <w:pBdr>
                <w:top w:val="nil"/>
                <w:left w:val="nil"/>
                <w:bottom w:val="nil"/>
                <w:right w:val="nil"/>
                <w:between w:val="nil"/>
              </w:pBdr>
              <w:spacing w:after="0" w:line="246" w:lineRule="auto"/>
              <w:ind w:left="30"/>
              <w:jc w:val="center"/>
              <w:rPr>
                <w:rFonts w:eastAsia="Arial" w:cs="Arial"/>
                <w:lang w:val="es-ES" w:eastAsia="en-GB"/>
              </w:rPr>
            </w:pPr>
            <w:r w:rsidRPr="001A65DF">
              <w:rPr>
                <w:rFonts w:eastAsia="Arial" w:cs="Arial"/>
                <w:lang w:val="es-ES" w:eastAsia="en-GB"/>
              </w:rPr>
              <w:t>Eastern</w:t>
            </w:r>
          </w:p>
          <w:p w14:paraId="24ADBE8C" w14:textId="77777777" w:rsidR="001A65DF" w:rsidRPr="001A65DF" w:rsidRDefault="001A65DF" w:rsidP="001A65DF">
            <w:pPr>
              <w:widowControl w:val="0"/>
              <w:pBdr>
                <w:top w:val="nil"/>
                <w:left w:val="nil"/>
                <w:bottom w:val="nil"/>
                <w:right w:val="nil"/>
                <w:between w:val="nil"/>
              </w:pBdr>
              <w:spacing w:after="0" w:line="235" w:lineRule="auto"/>
              <w:ind w:left="30" w:right="1"/>
              <w:jc w:val="center"/>
              <w:rPr>
                <w:rFonts w:eastAsia="Arial" w:cs="Arial"/>
                <w:lang w:val="es-ES" w:eastAsia="en-GB"/>
              </w:rPr>
            </w:pPr>
            <w:proofErr w:type="spellStart"/>
            <w:r w:rsidRPr="001A65DF">
              <w:rPr>
                <w:rFonts w:eastAsia="Arial" w:cs="Arial"/>
                <w:lang w:val="es-ES" w:eastAsia="en-GB"/>
              </w:rPr>
              <w:t>Pacific</w:t>
            </w:r>
            <w:proofErr w:type="spellEnd"/>
          </w:p>
        </w:tc>
        <w:tc>
          <w:tcPr>
            <w:tcW w:w="2189" w:type="dxa"/>
          </w:tcPr>
          <w:p w14:paraId="3873B768" w14:textId="77777777" w:rsidR="001A65DF" w:rsidRPr="001A65DF" w:rsidRDefault="001A65DF" w:rsidP="001A65DF">
            <w:pPr>
              <w:widowControl w:val="0"/>
              <w:pBdr>
                <w:top w:val="nil"/>
                <w:left w:val="nil"/>
                <w:bottom w:val="nil"/>
                <w:right w:val="nil"/>
                <w:between w:val="nil"/>
              </w:pBdr>
              <w:spacing w:before="8" w:after="0" w:line="240" w:lineRule="auto"/>
              <w:ind w:left="373"/>
              <w:rPr>
                <w:rFonts w:eastAsia="Arial" w:cs="Arial"/>
                <w:lang w:val="es-ES" w:eastAsia="en-GB"/>
              </w:rPr>
            </w:pPr>
            <w:r w:rsidRPr="001A65DF">
              <w:rPr>
                <w:rFonts w:eastAsia="Arial" w:cs="Arial"/>
                <w:lang w:val="es-ES" w:eastAsia="en-GB"/>
              </w:rPr>
              <w:t>Catch (CPUE)</w:t>
            </w:r>
          </w:p>
        </w:tc>
        <w:tc>
          <w:tcPr>
            <w:tcW w:w="1560" w:type="dxa"/>
          </w:tcPr>
          <w:p w14:paraId="4A4FF39D" w14:textId="77777777" w:rsidR="001A65DF" w:rsidRPr="001A65DF" w:rsidRDefault="001A65DF" w:rsidP="001A65DF">
            <w:pPr>
              <w:widowControl w:val="0"/>
              <w:pBdr>
                <w:top w:val="nil"/>
                <w:left w:val="nil"/>
                <w:bottom w:val="nil"/>
                <w:right w:val="nil"/>
                <w:between w:val="nil"/>
              </w:pBdr>
              <w:spacing w:after="0" w:line="252" w:lineRule="auto"/>
              <w:ind w:left="446" w:right="198" w:hanging="219"/>
              <w:rPr>
                <w:rFonts w:eastAsia="Arial" w:cs="Arial"/>
                <w:lang w:val="es-ES" w:eastAsia="en-GB"/>
              </w:rPr>
            </w:pPr>
            <w:proofErr w:type="spellStart"/>
            <w:r w:rsidRPr="001A65DF">
              <w:rPr>
                <w:rFonts w:eastAsia="Arial" w:cs="Arial"/>
                <w:lang w:val="es-ES" w:eastAsia="en-GB"/>
              </w:rPr>
              <w:t>Reduction</w:t>
            </w:r>
            <w:proofErr w:type="spellEnd"/>
            <w:r w:rsidRPr="001A65DF">
              <w:rPr>
                <w:rFonts w:eastAsia="Arial" w:cs="Arial"/>
                <w:lang w:val="es-ES" w:eastAsia="en-GB"/>
              </w:rPr>
              <w:t xml:space="preserve"> of 50-75%</w:t>
            </w:r>
          </w:p>
        </w:tc>
        <w:tc>
          <w:tcPr>
            <w:tcW w:w="2137" w:type="dxa"/>
          </w:tcPr>
          <w:p w14:paraId="784197E9" w14:textId="77777777" w:rsidR="001A65DF" w:rsidRPr="001A65DF" w:rsidRDefault="001A65DF" w:rsidP="001A65DF">
            <w:pPr>
              <w:widowControl w:val="0"/>
              <w:pBdr>
                <w:top w:val="nil"/>
                <w:left w:val="nil"/>
                <w:bottom w:val="nil"/>
                <w:right w:val="nil"/>
                <w:between w:val="nil"/>
              </w:pBdr>
              <w:spacing w:after="0" w:line="252" w:lineRule="auto"/>
              <w:ind w:left="789" w:hanging="539"/>
              <w:rPr>
                <w:rFonts w:eastAsia="Arial" w:cs="Arial"/>
                <w:lang w:val="es-ES" w:eastAsia="en-GB"/>
              </w:rPr>
            </w:pPr>
            <w:proofErr w:type="spellStart"/>
            <w:r w:rsidRPr="001A65DF">
              <w:rPr>
                <w:rFonts w:eastAsia="Arial" w:cs="Arial"/>
                <w:lang w:val="es-ES" w:eastAsia="en-GB"/>
              </w:rPr>
              <w:t>Heupel</w:t>
            </w:r>
            <w:proofErr w:type="spellEnd"/>
            <w:r w:rsidRPr="001A65DF">
              <w:rPr>
                <w:rFonts w:eastAsia="Arial" w:cs="Arial"/>
                <w:lang w:val="es-ES" w:eastAsia="en-GB"/>
              </w:rPr>
              <w:t xml:space="preserve"> &amp; </w:t>
            </w:r>
            <w:proofErr w:type="spellStart"/>
            <w:r w:rsidRPr="001A65DF">
              <w:rPr>
                <w:rFonts w:eastAsia="Arial" w:cs="Arial"/>
                <w:lang w:val="es-ES" w:eastAsia="en-GB"/>
              </w:rPr>
              <w:t>McAuley</w:t>
            </w:r>
            <w:proofErr w:type="spellEnd"/>
            <w:r w:rsidRPr="001A65DF">
              <w:rPr>
                <w:rFonts w:eastAsia="Arial" w:cs="Arial"/>
                <w:lang w:val="es-ES" w:eastAsia="en-GB"/>
              </w:rPr>
              <w:t xml:space="preserve"> (2007)</w:t>
            </w:r>
          </w:p>
        </w:tc>
      </w:tr>
      <w:tr w:rsidR="001A65DF" w:rsidRPr="001A65DF" w14:paraId="1E7C7512" w14:textId="77777777" w:rsidTr="00436783">
        <w:trPr>
          <w:trHeight w:val="501"/>
        </w:trPr>
        <w:tc>
          <w:tcPr>
            <w:tcW w:w="1560" w:type="dxa"/>
          </w:tcPr>
          <w:p w14:paraId="19DBA11D" w14:textId="77777777" w:rsidR="001A65DF" w:rsidRPr="001A65DF" w:rsidRDefault="001A65DF" w:rsidP="001A65DF">
            <w:pPr>
              <w:widowControl w:val="0"/>
              <w:pBdr>
                <w:top w:val="nil"/>
                <w:left w:val="nil"/>
                <w:bottom w:val="nil"/>
                <w:right w:val="nil"/>
                <w:between w:val="nil"/>
              </w:pBdr>
              <w:spacing w:before="10" w:after="0" w:line="252" w:lineRule="auto"/>
              <w:ind w:left="232"/>
              <w:rPr>
                <w:rFonts w:eastAsia="Arial" w:cs="Arial"/>
                <w:lang w:val="es-ES" w:eastAsia="en-GB"/>
              </w:rPr>
            </w:pPr>
            <w:r w:rsidRPr="001A65DF">
              <w:rPr>
                <w:rFonts w:eastAsia="Arial" w:cs="Arial"/>
                <w:lang w:val="pt-BR" w:eastAsia="en-GB"/>
              </w:rPr>
              <w:t>1979 - 2007 &amp; 1998 - 2011</w:t>
            </w:r>
          </w:p>
        </w:tc>
        <w:tc>
          <w:tcPr>
            <w:tcW w:w="2204" w:type="dxa"/>
          </w:tcPr>
          <w:p w14:paraId="19C0A7A9" w14:textId="77777777" w:rsidR="001A65DF" w:rsidRPr="001A65DF" w:rsidRDefault="001A65DF" w:rsidP="001A65DF">
            <w:pPr>
              <w:widowControl w:val="0"/>
              <w:pBdr>
                <w:top w:val="nil"/>
                <w:left w:val="nil"/>
                <w:bottom w:val="nil"/>
                <w:right w:val="nil"/>
                <w:between w:val="nil"/>
              </w:pBdr>
              <w:spacing w:after="0" w:line="246" w:lineRule="auto"/>
              <w:ind w:left="30"/>
              <w:jc w:val="center"/>
              <w:rPr>
                <w:rFonts w:eastAsia="Arial" w:cs="Arial"/>
                <w:lang w:val="es-ES" w:eastAsia="en-GB"/>
              </w:rPr>
            </w:pPr>
            <w:r w:rsidRPr="001A65DF">
              <w:rPr>
                <w:rFonts w:eastAsia="Arial" w:cs="Arial"/>
                <w:lang w:val="pt-BR" w:eastAsia="en-GB"/>
              </w:rPr>
              <w:t>South Western Atlantic</w:t>
            </w:r>
          </w:p>
        </w:tc>
        <w:tc>
          <w:tcPr>
            <w:tcW w:w="2189" w:type="dxa"/>
          </w:tcPr>
          <w:p w14:paraId="0EECB4DF" w14:textId="77777777" w:rsidR="001A65DF" w:rsidRPr="001A65DF" w:rsidRDefault="001A65DF" w:rsidP="001A65DF">
            <w:pPr>
              <w:widowControl w:val="0"/>
              <w:pBdr>
                <w:top w:val="nil"/>
                <w:left w:val="nil"/>
                <w:bottom w:val="nil"/>
                <w:right w:val="nil"/>
                <w:between w:val="nil"/>
              </w:pBdr>
              <w:spacing w:before="8" w:after="0" w:line="240" w:lineRule="auto"/>
              <w:ind w:left="373"/>
              <w:rPr>
                <w:rFonts w:eastAsia="Arial" w:cs="Arial"/>
                <w:lang w:val="es-ES" w:eastAsia="en-GB"/>
              </w:rPr>
            </w:pPr>
            <w:r w:rsidRPr="001A65DF">
              <w:rPr>
                <w:rFonts w:eastAsia="Arial" w:cs="Arial"/>
                <w:lang w:val="pt-BR" w:eastAsia="en-GB"/>
              </w:rPr>
              <w:t>Catch (CPUE)</w:t>
            </w:r>
          </w:p>
        </w:tc>
        <w:tc>
          <w:tcPr>
            <w:tcW w:w="1560" w:type="dxa"/>
          </w:tcPr>
          <w:p w14:paraId="29E38483" w14:textId="77777777" w:rsidR="001A65DF" w:rsidRPr="001A65DF" w:rsidRDefault="001A65DF" w:rsidP="001A65DF">
            <w:pPr>
              <w:widowControl w:val="0"/>
              <w:pBdr>
                <w:top w:val="nil"/>
                <w:left w:val="nil"/>
                <w:bottom w:val="nil"/>
                <w:right w:val="nil"/>
                <w:between w:val="nil"/>
              </w:pBdr>
              <w:spacing w:after="0" w:line="252" w:lineRule="auto"/>
              <w:ind w:left="446" w:right="198" w:hanging="219"/>
              <w:rPr>
                <w:rFonts w:eastAsia="Arial" w:cs="Arial"/>
                <w:lang w:val="es-ES" w:eastAsia="en-GB"/>
              </w:rPr>
            </w:pPr>
            <w:r w:rsidRPr="001A65DF">
              <w:rPr>
                <w:rFonts w:eastAsia="Arial" w:cs="Arial"/>
                <w:lang w:val="pt-BR" w:eastAsia="en-GB"/>
              </w:rPr>
              <w:t>Reducion of 32% and 98%</w:t>
            </w:r>
          </w:p>
        </w:tc>
        <w:tc>
          <w:tcPr>
            <w:tcW w:w="2137" w:type="dxa"/>
          </w:tcPr>
          <w:p w14:paraId="185F6398" w14:textId="77777777" w:rsidR="001A65DF" w:rsidRPr="001A65DF" w:rsidRDefault="001A65DF" w:rsidP="001A65DF">
            <w:pPr>
              <w:widowControl w:val="0"/>
              <w:pBdr>
                <w:top w:val="nil"/>
                <w:left w:val="nil"/>
                <w:bottom w:val="nil"/>
                <w:right w:val="nil"/>
                <w:between w:val="nil"/>
              </w:pBdr>
              <w:spacing w:after="0" w:line="252" w:lineRule="auto"/>
              <w:ind w:left="789" w:hanging="539"/>
              <w:rPr>
                <w:rFonts w:eastAsia="Arial" w:cs="Arial"/>
                <w:lang w:val="es-ES" w:eastAsia="en-GB"/>
              </w:rPr>
            </w:pPr>
            <w:r w:rsidRPr="001A65DF">
              <w:rPr>
                <w:rFonts w:eastAsia="Arial" w:cs="Arial"/>
                <w:lang w:val="pt-BR" w:eastAsia="en-GB"/>
              </w:rPr>
              <w:t>Barreto et al (2016)</w:t>
            </w:r>
          </w:p>
        </w:tc>
      </w:tr>
    </w:tbl>
    <w:p w14:paraId="559E8564" w14:textId="3AF54E5D" w:rsidR="002D5F2A" w:rsidRPr="00267186" w:rsidRDefault="002D5F2A" w:rsidP="00267186">
      <w:pPr>
        <w:spacing w:line="240" w:lineRule="auto"/>
        <w:rPr>
          <w:rFonts w:eastAsia="Times New Roman" w:cs="Arial"/>
          <w:lang w:val="es-ES" w:eastAsia="es-ES"/>
        </w:rPr>
      </w:pPr>
    </w:p>
    <w:sectPr w:rsidR="002D5F2A" w:rsidRPr="00267186" w:rsidSect="00323406">
      <w:headerReference w:type="even" r:id="rId36"/>
      <w:headerReference w:type="first" r:id="rId37"/>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2A307" w14:textId="77777777" w:rsidR="00C56D8F" w:rsidRDefault="00C56D8F" w:rsidP="00002A97">
      <w:pPr>
        <w:spacing w:after="0" w:line="240" w:lineRule="auto"/>
      </w:pPr>
      <w:r>
        <w:separator/>
      </w:r>
    </w:p>
  </w:endnote>
  <w:endnote w:type="continuationSeparator" w:id="0">
    <w:p w14:paraId="73AC70CF" w14:textId="77777777" w:rsidR="00C56D8F" w:rsidRDefault="00C56D8F" w:rsidP="00002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5858933"/>
      <w:docPartObj>
        <w:docPartGallery w:val="Page Numbers (Bottom of Page)"/>
        <w:docPartUnique/>
      </w:docPartObj>
    </w:sdtPr>
    <w:sdtEndPr>
      <w:rPr>
        <w:noProof/>
        <w:sz w:val="18"/>
        <w:szCs w:val="18"/>
      </w:rPr>
    </w:sdtEndPr>
    <w:sdtContent>
      <w:p w14:paraId="602E550D" w14:textId="4A028FE9" w:rsidR="000F4BDA" w:rsidRPr="000F4BDA" w:rsidRDefault="000F4BDA">
        <w:pPr>
          <w:pStyle w:val="Footer"/>
          <w:jc w:val="center"/>
          <w:rPr>
            <w:sz w:val="18"/>
            <w:szCs w:val="18"/>
          </w:rPr>
        </w:pPr>
        <w:r w:rsidRPr="000F4BDA">
          <w:rPr>
            <w:sz w:val="18"/>
            <w:szCs w:val="18"/>
          </w:rPr>
          <w:fldChar w:fldCharType="begin"/>
        </w:r>
        <w:r w:rsidRPr="000F4BDA">
          <w:rPr>
            <w:sz w:val="18"/>
            <w:szCs w:val="18"/>
          </w:rPr>
          <w:instrText xml:space="preserve"> PAGE   \* MERGEFORMAT </w:instrText>
        </w:r>
        <w:r w:rsidRPr="000F4BDA">
          <w:rPr>
            <w:sz w:val="18"/>
            <w:szCs w:val="18"/>
          </w:rPr>
          <w:fldChar w:fldCharType="separate"/>
        </w:r>
        <w:r w:rsidRPr="000F4BDA">
          <w:rPr>
            <w:noProof/>
            <w:sz w:val="18"/>
            <w:szCs w:val="18"/>
          </w:rPr>
          <w:t>2</w:t>
        </w:r>
        <w:r w:rsidRPr="000F4BDA">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702069"/>
      <w:docPartObj>
        <w:docPartGallery w:val="Page Numbers (Bottom of Page)"/>
        <w:docPartUnique/>
      </w:docPartObj>
    </w:sdtPr>
    <w:sdtEndPr>
      <w:rPr>
        <w:noProof/>
        <w:sz w:val="18"/>
        <w:szCs w:val="18"/>
      </w:rPr>
    </w:sdtEndPr>
    <w:sdtContent>
      <w:p w14:paraId="301D92B9" w14:textId="0535CE5A" w:rsidR="000F4BDA" w:rsidRPr="000F4BDA" w:rsidRDefault="000F4BDA">
        <w:pPr>
          <w:pStyle w:val="Footer"/>
          <w:jc w:val="center"/>
          <w:rPr>
            <w:sz w:val="18"/>
            <w:szCs w:val="18"/>
          </w:rPr>
        </w:pPr>
        <w:r w:rsidRPr="000F4BDA">
          <w:rPr>
            <w:sz w:val="18"/>
            <w:szCs w:val="18"/>
          </w:rPr>
          <w:fldChar w:fldCharType="begin"/>
        </w:r>
        <w:r w:rsidRPr="000F4BDA">
          <w:rPr>
            <w:sz w:val="18"/>
            <w:szCs w:val="18"/>
          </w:rPr>
          <w:instrText xml:space="preserve"> PAGE   \* MERGEFORMAT </w:instrText>
        </w:r>
        <w:r w:rsidRPr="000F4BDA">
          <w:rPr>
            <w:sz w:val="18"/>
            <w:szCs w:val="18"/>
          </w:rPr>
          <w:fldChar w:fldCharType="separate"/>
        </w:r>
        <w:r w:rsidRPr="000F4BDA">
          <w:rPr>
            <w:noProof/>
            <w:sz w:val="18"/>
            <w:szCs w:val="18"/>
          </w:rPr>
          <w:t>2</w:t>
        </w:r>
        <w:r w:rsidRPr="000F4BDA">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1958C" w14:textId="5DADFE55" w:rsidR="00D70275" w:rsidRPr="00D70275" w:rsidRDefault="00D70275">
    <w:pPr>
      <w:pStyle w:val="Footer"/>
      <w:jc w:val="cen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3933571"/>
      <w:docPartObj>
        <w:docPartGallery w:val="Page Numbers (Bottom of Page)"/>
        <w:docPartUnique/>
      </w:docPartObj>
    </w:sdtPr>
    <w:sdtEndPr>
      <w:rPr>
        <w:noProof/>
        <w:sz w:val="18"/>
        <w:szCs w:val="18"/>
      </w:rPr>
    </w:sdtEndPr>
    <w:sdtContent>
      <w:p w14:paraId="3F1FFAD0" w14:textId="6094C134" w:rsidR="000437B7" w:rsidRPr="000437B7" w:rsidRDefault="000437B7">
        <w:pPr>
          <w:pStyle w:val="Footer"/>
          <w:jc w:val="center"/>
          <w:rPr>
            <w:sz w:val="18"/>
            <w:szCs w:val="18"/>
          </w:rPr>
        </w:pPr>
        <w:r w:rsidRPr="000437B7">
          <w:rPr>
            <w:sz w:val="18"/>
            <w:szCs w:val="18"/>
          </w:rPr>
          <w:fldChar w:fldCharType="begin"/>
        </w:r>
        <w:r w:rsidRPr="000437B7">
          <w:rPr>
            <w:sz w:val="18"/>
            <w:szCs w:val="18"/>
          </w:rPr>
          <w:instrText xml:space="preserve"> PAGE   \* MERGEFORMAT </w:instrText>
        </w:r>
        <w:r w:rsidRPr="000437B7">
          <w:rPr>
            <w:sz w:val="18"/>
            <w:szCs w:val="18"/>
          </w:rPr>
          <w:fldChar w:fldCharType="separate"/>
        </w:r>
        <w:r w:rsidRPr="000437B7">
          <w:rPr>
            <w:noProof/>
            <w:sz w:val="18"/>
            <w:szCs w:val="18"/>
          </w:rPr>
          <w:t>2</w:t>
        </w:r>
        <w:r w:rsidRPr="000437B7">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861BC" w14:textId="77777777" w:rsidR="00C56D8F" w:rsidRDefault="00C56D8F" w:rsidP="00002A97">
      <w:pPr>
        <w:spacing w:after="0" w:line="240" w:lineRule="auto"/>
      </w:pPr>
      <w:r>
        <w:separator/>
      </w:r>
    </w:p>
  </w:footnote>
  <w:footnote w:type="continuationSeparator" w:id="0">
    <w:p w14:paraId="42DE6763" w14:textId="77777777" w:rsidR="00C56D8F" w:rsidRDefault="00C56D8F" w:rsidP="00002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C902E" w14:textId="6C7A52DC" w:rsidR="00D70275" w:rsidRPr="00002A97" w:rsidRDefault="00D70275" w:rsidP="00002A97">
    <w:pPr>
      <w:pStyle w:val="Header"/>
      <w:pBdr>
        <w:bottom w:val="single" w:sz="4" w:space="1" w:color="auto"/>
      </w:pBdr>
      <w:rPr>
        <w:i/>
        <w:sz w:val="18"/>
        <w:szCs w:val="18"/>
      </w:rPr>
    </w:pPr>
    <w:bookmarkStart w:id="0" w:name="_Hlk124847022"/>
    <w:bookmarkStart w:id="1" w:name="_Hlk124847023"/>
    <w:bookmarkStart w:id="2" w:name="_Hlk124847024"/>
    <w:bookmarkStart w:id="3" w:name="_Hlk124847025"/>
    <w:bookmarkStart w:id="4" w:name="_Hlk124847026"/>
    <w:bookmarkStart w:id="5" w:name="_Hlk124847027"/>
    <w:bookmarkStart w:id="6" w:name="_Hlk124847217"/>
    <w:bookmarkStart w:id="7" w:name="_Hlk124847218"/>
    <w:r w:rsidRPr="00002A97">
      <w:rPr>
        <w:rFonts w:eastAsia="Times New Roman" w:cs="Arial"/>
        <w:i/>
        <w:sz w:val="18"/>
        <w:szCs w:val="18"/>
        <w:lang w:val="fr-FR" w:eastAsia="es-ES"/>
      </w:rPr>
      <w:t>UNEP/CMS/COP1</w:t>
    </w:r>
    <w:r w:rsidR="00C22155">
      <w:rPr>
        <w:rFonts w:eastAsia="Times New Roman" w:cs="Arial"/>
        <w:i/>
        <w:sz w:val="18"/>
        <w:szCs w:val="18"/>
        <w:lang w:val="fr-FR" w:eastAsia="es-ES"/>
      </w:rPr>
      <w:t>5</w:t>
    </w:r>
    <w:r w:rsidRPr="00002A97">
      <w:rPr>
        <w:rFonts w:eastAsia="Times New Roman" w:cs="Arial"/>
        <w:i/>
        <w:sz w:val="18"/>
        <w:szCs w:val="18"/>
        <w:lang w:val="fr-FR" w:eastAsia="es-ES"/>
      </w:rPr>
      <w:t>/Doc.</w:t>
    </w:r>
    <w:bookmarkEnd w:id="0"/>
    <w:bookmarkEnd w:id="1"/>
    <w:bookmarkEnd w:id="2"/>
    <w:bookmarkEnd w:id="3"/>
    <w:bookmarkEnd w:id="4"/>
    <w:bookmarkEnd w:id="5"/>
    <w:bookmarkEnd w:id="6"/>
    <w:bookmarkEnd w:id="7"/>
    <w:r w:rsidR="001A65DF">
      <w:rPr>
        <w:rFonts w:eastAsia="Times New Roman" w:cs="Arial"/>
        <w:i/>
        <w:sz w:val="18"/>
        <w:szCs w:val="18"/>
        <w:lang w:val="fr-FR" w:eastAsia="es-ES"/>
      </w:rPr>
      <w:t>30.2.14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B8442" w14:textId="108440C9" w:rsidR="000F4BDA" w:rsidRPr="00002A97" w:rsidRDefault="000F4BDA" w:rsidP="000F4BDA">
    <w:pPr>
      <w:pStyle w:val="Header"/>
      <w:pBdr>
        <w:bottom w:val="single" w:sz="4" w:space="1" w:color="auto"/>
      </w:pBdr>
      <w:jc w:val="right"/>
      <w:rPr>
        <w:i/>
        <w:sz w:val="18"/>
        <w:szCs w:val="18"/>
      </w:rPr>
    </w:pPr>
    <w:r w:rsidRPr="00002A97">
      <w:rPr>
        <w:rFonts w:eastAsia="Times New Roman" w:cs="Arial"/>
        <w:i/>
        <w:sz w:val="18"/>
        <w:szCs w:val="18"/>
        <w:lang w:val="fr-FR" w:eastAsia="es-ES"/>
      </w:rPr>
      <w:t>UNEP/CMS/COP1</w:t>
    </w:r>
    <w:r w:rsidR="00C22155">
      <w:rPr>
        <w:rFonts w:eastAsia="Times New Roman" w:cs="Arial"/>
        <w:i/>
        <w:sz w:val="18"/>
        <w:szCs w:val="18"/>
        <w:lang w:val="fr-FR" w:eastAsia="es-ES"/>
      </w:rPr>
      <w:t>5</w:t>
    </w:r>
    <w:r w:rsidRPr="00002A97">
      <w:rPr>
        <w:rFonts w:eastAsia="Times New Roman" w:cs="Arial"/>
        <w:i/>
        <w:sz w:val="18"/>
        <w:szCs w:val="18"/>
        <w:lang w:val="fr-FR" w:eastAsia="es-ES"/>
      </w:rPr>
      <w:t>/</w:t>
    </w:r>
    <w:r w:rsidR="007B53CC">
      <w:rPr>
        <w:rFonts w:eastAsia="Times New Roman" w:cs="Arial"/>
        <w:i/>
        <w:sz w:val="18"/>
        <w:szCs w:val="18"/>
        <w:lang w:val="fr-FR" w:eastAsia="es-ES"/>
      </w:rPr>
      <w:t>Doc</w:t>
    </w:r>
    <w:r w:rsidR="00430A25">
      <w:rPr>
        <w:rFonts w:eastAsia="Times New Roman" w:cs="Arial"/>
        <w:i/>
        <w:sz w:val="18"/>
        <w:szCs w:val="18"/>
        <w:lang w:val="fr-FR" w:eastAsia="es-ES"/>
      </w:rPr>
      <w:t>.</w:t>
    </w:r>
    <w:r w:rsidR="001A65DF">
      <w:rPr>
        <w:rFonts w:eastAsia="Times New Roman" w:cs="Arial"/>
        <w:i/>
        <w:sz w:val="18"/>
        <w:szCs w:val="18"/>
        <w:lang w:val="fr-FR" w:eastAsia="es-ES"/>
      </w:rPr>
      <w:t>30.2.14</w:t>
    </w:r>
  </w:p>
  <w:p w14:paraId="1543D16E" w14:textId="77777777" w:rsidR="000F4BDA" w:rsidRDefault="000F4B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BB20" w14:textId="2192B564" w:rsidR="006F22B0" w:rsidRPr="00002A97" w:rsidRDefault="00457C8A" w:rsidP="006F22B0">
    <w:pPr>
      <w:widowControl w:val="0"/>
      <w:tabs>
        <w:tab w:val="center" w:pos="4153"/>
        <w:tab w:val="right" w:pos="8306"/>
      </w:tabs>
      <w:suppressAutoHyphens/>
      <w:autoSpaceDE w:val="0"/>
      <w:autoSpaceDN w:val="0"/>
      <w:spacing w:after="0" w:line="240" w:lineRule="auto"/>
      <w:jc w:val="right"/>
      <w:textAlignment w:val="baseline"/>
      <w:rPr>
        <w:rFonts w:eastAsia="Times New Roman" w:cs="Times New Roman"/>
        <w:sz w:val="18"/>
        <w:szCs w:val="20"/>
        <w:lang w:val="es-ES" w:eastAsia="es-ES"/>
      </w:rPr>
    </w:pPr>
    <w:r>
      <w:rPr>
        <w:rFonts w:eastAsia="Times New Roman" w:cs="Times New Roman"/>
        <w:noProof/>
        <w:sz w:val="18"/>
        <w:szCs w:val="20"/>
        <w:lang w:val="es-ES" w:eastAsia="es-ES"/>
      </w:rPr>
      <w:drawing>
        <wp:anchor distT="0" distB="0" distL="114300" distR="114300" simplePos="0" relativeHeight="251658242" behindDoc="1" locked="0" layoutInCell="1" allowOverlap="1" wp14:anchorId="0CFECFDF" wp14:editId="557917C4">
          <wp:simplePos x="0" y="0"/>
          <wp:positionH relativeFrom="column">
            <wp:posOffset>-11430</wp:posOffset>
          </wp:positionH>
          <wp:positionV relativeFrom="paragraph">
            <wp:posOffset>-257175</wp:posOffset>
          </wp:positionV>
          <wp:extent cx="731520" cy="731520"/>
          <wp:effectExtent l="0" t="0" r="0" b="0"/>
          <wp:wrapTight wrapText="bothSides">
            <wp:wrapPolygon edited="0">
              <wp:start x="0" y="0"/>
              <wp:lineTo x="0" y="20813"/>
              <wp:lineTo x="20813" y="20813"/>
              <wp:lineTo x="208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006F22B0" w:rsidRPr="00002A97">
      <w:rPr>
        <w:rFonts w:eastAsia="Times New Roman" w:cs="Times New Roman"/>
        <w:noProof/>
        <w:sz w:val="18"/>
        <w:szCs w:val="20"/>
        <w:lang w:val="es-ES" w:eastAsia="es-ES"/>
      </w:rPr>
      <w:drawing>
        <wp:anchor distT="0" distB="0" distL="114300" distR="114300" simplePos="0" relativeHeight="251658241" behindDoc="0" locked="0" layoutInCell="1" allowOverlap="1" wp14:anchorId="5BB0F591" wp14:editId="7CD9231B">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619121" cy="288922"/>
                  </a:xfrm>
                  <a:prstGeom prst="rect">
                    <a:avLst/>
                  </a:prstGeom>
                  <a:noFill/>
                  <a:ln>
                    <a:noFill/>
                    <a:prstDash/>
                  </a:ln>
                </pic:spPr>
              </pic:pic>
            </a:graphicData>
          </a:graphic>
        </wp:anchor>
      </w:drawing>
    </w:r>
    <w:r w:rsidR="006F22B0" w:rsidRPr="00002A97">
      <w:rPr>
        <w:rFonts w:eastAsia="Times New Roman" w:cs="Times New Roman"/>
        <w:noProof/>
        <w:sz w:val="18"/>
        <w:szCs w:val="20"/>
      </w:rPr>
      <w:drawing>
        <wp:anchor distT="0" distB="0" distL="114300" distR="114300" simplePos="0" relativeHeight="251658240" behindDoc="0" locked="0" layoutInCell="1" allowOverlap="1" wp14:anchorId="09063D46" wp14:editId="6FDC4C4C">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1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50FCC012" w14:textId="77777777" w:rsidR="00B40E07" w:rsidRPr="006F22B0" w:rsidRDefault="00B40E07" w:rsidP="006F22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83FB" w14:textId="7FA7C05A" w:rsidR="00267186" w:rsidRPr="00267186" w:rsidRDefault="00267186" w:rsidP="00267186">
    <w:pPr>
      <w:pStyle w:val="Header"/>
      <w:pBdr>
        <w:bottom w:val="single" w:sz="4" w:space="1" w:color="auto"/>
      </w:pBdr>
      <w:rPr>
        <w:i/>
        <w:sz w:val="18"/>
        <w:szCs w:val="18"/>
      </w:rPr>
    </w:pPr>
    <w:r w:rsidRPr="00267186">
      <w:rPr>
        <w:rFonts w:eastAsia="Times New Roman" w:cs="Arial"/>
        <w:i/>
        <w:sz w:val="18"/>
        <w:szCs w:val="18"/>
        <w:lang w:eastAsia="es-ES"/>
      </w:rPr>
      <w:t>UNEP/CMS/COP15/Doc.30.2.14</w:t>
    </w:r>
    <w:r w:rsidRPr="00267186">
      <w:rPr>
        <w:rFonts w:eastAsia="Times New Roman" w:cs="Arial"/>
        <w:i/>
        <w:sz w:val="18"/>
        <w:szCs w:val="18"/>
        <w:lang w:eastAsia="es-ES"/>
      </w:rPr>
      <w:t>/An</w:t>
    </w:r>
    <w:r>
      <w:rPr>
        <w:rFonts w:eastAsia="Times New Roman" w:cs="Arial"/>
        <w:i/>
        <w:sz w:val="18"/>
        <w:szCs w:val="18"/>
        <w:lang w:eastAsia="es-ES"/>
      </w:rPr>
      <w:t>exo 1</w:t>
    </w:r>
  </w:p>
  <w:p w14:paraId="0A1BC5AB" w14:textId="77777777" w:rsidR="00267186" w:rsidRPr="006F22B0" w:rsidRDefault="00267186" w:rsidP="006F22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79E61" w14:textId="33F58C5D" w:rsidR="00267186" w:rsidRPr="00002A97" w:rsidRDefault="00267186" w:rsidP="00002A97">
    <w:pPr>
      <w:pStyle w:val="Header"/>
      <w:pBdr>
        <w:bottom w:val="single" w:sz="4" w:space="1" w:color="auto"/>
      </w:pBdr>
      <w:rPr>
        <w:i/>
        <w:sz w:val="18"/>
        <w:szCs w:val="18"/>
      </w:rPr>
    </w:pPr>
    <w:r w:rsidRPr="00002A97">
      <w:rPr>
        <w:rFonts w:eastAsia="Times New Roman" w:cs="Arial"/>
        <w:i/>
        <w:sz w:val="18"/>
        <w:szCs w:val="18"/>
        <w:lang w:val="fr-FR" w:eastAsia="es-ES"/>
      </w:rPr>
      <w:t>UNEP/CMS/COP1</w:t>
    </w:r>
    <w:r>
      <w:rPr>
        <w:rFonts w:eastAsia="Times New Roman" w:cs="Arial"/>
        <w:i/>
        <w:sz w:val="18"/>
        <w:szCs w:val="18"/>
        <w:lang w:val="fr-FR" w:eastAsia="es-ES"/>
      </w:rPr>
      <w:t>5</w:t>
    </w:r>
    <w:r w:rsidRPr="00002A97">
      <w:rPr>
        <w:rFonts w:eastAsia="Times New Roman" w:cs="Arial"/>
        <w:i/>
        <w:sz w:val="18"/>
        <w:szCs w:val="18"/>
        <w:lang w:val="fr-FR" w:eastAsia="es-ES"/>
      </w:rPr>
      <w:t>/Doc.</w:t>
    </w:r>
    <w:r>
      <w:rPr>
        <w:rFonts w:eastAsia="Times New Roman" w:cs="Arial"/>
        <w:i/>
        <w:sz w:val="18"/>
        <w:szCs w:val="18"/>
        <w:lang w:val="fr-FR" w:eastAsia="es-ES"/>
      </w:rPr>
      <w:t>30.2.14/</w:t>
    </w:r>
    <w:proofErr w:type="spellStart"/>
    <w:r>
      <w:rPr>
        <w:rFonts w:eastAsia="Times New Roman" w:cs="Arial"/>
        <w:i/>
        <w:sz w:val="18"/>
        <w:szCs w:val="18"/>
        <w:lang w:val="fr-FR" w:eastAsia="es-ES"/>
      </w:rPr>
      <w:t>Anexo</w:t>
    </w:r>
    <w:proofErr w:type="spellEnd"/>
    <w:r>
      <w:rPr>
        <w:rFonts w:eastAsia="Times New Roman" w:cs="Arial"/>
        <w:i/>
        <w:sz w:val="18"/>
        <w:szCs w:val="18"/>
        <w:lang w:val="fr-FR" w:eastAsia="es-ES"/>
      </w:rPr>
      <w:t xml:space="preserve"> 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D7795" w14:textId="4D412984" w:rsidR="00267186" w:rsidRPr="00267186" w:rsidRDefault="00267186" w:rsidP="00267186">
    <w:pPr>
      <w:pStyle w:val="Header"/>
      <w:pBdr>
        <w:bottom w:val="single" w:sz="4" w:space="1" w:color="auto"/>
      </w:pBdr>
      <w:rPr>
        <w:i/>
        <w:sz w:val="18"/>
        <w:szCs w:val="18"/>
      </w:rPr>
    </w:pPr>
    <w:r w:rsidRPr="00267186">
      <w:rPr>
        <w:rFonts w:eastAsia="Times New Roman" w:cs="Arial"/>
        <w:i/>
        <w:sz w:val="18"/>
        <w:szCs w:val="18"/>
        <w:lang w:eastAsia="es-ES"/>
      </w:rPr>
      <w:t>UNEP/CMS/COP15/Doc.30.2.14</w:t>
    </w:r>
    <w:r w:rsidRPr="00267186">
      <w:rPr>
        <w:rFonts w:eastAsia="Times New Roman" w:cs="Arial"/>
        <w:i/>
        <w:sz w:val="18"/>
        <w:szCs w:val="18"/>
        <w:lang w:eastAsia="es-ES"/>
      </w:rPr>
      <w:t>/An</w:t>
    </w:r>
    <w:r>
      <w:rPr>
        <w:rFonts w:eastAsia="Times New Roman" w:cs="Arial"/>
        <w:i/>
        <w:sz w:val="18"/>
        <w:szCs w:val="18"/>
        <w:lang w:eastAsia="es-ES"/>
      </w:rPr>
      <w:t>exo 2</w:t>
    </w:r>
  </w:p>
  <w:p w14:paraId="4D0190AE" w14:textId="77777777" w:rsidR="00267186" w:rsidRPr="006F22B0" w:rsidRDefault="00267186" w:rsidP="006F22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06409"/>
    <w:multiLevelType w:val="hybridMultilevel"/>
    <w:tmpl w:val="9078CAB6"/>
    <w:lvl w:ilvl="0" w:tplc="3D6816F8">
      <w:start w:val="1"/>
      <w:numFmt w:val="decimal"/>
      <w:pStyle w:val="Firstnumbering1"/>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F22C7"/>
    <w:multiLevelType w:val="hybridMultilevel"/>
    <w:tmpl w:val="80DAB9C6"/>
    <w:lvl w:ilvl="0" w:tplc="87DEB022">
      <w:start w:val="1"/>
      <w:numFmt w:val="lowerLetter"/>
      <w:pStyle w:val="Second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61C7F"/>
    <w:multiLevelType w:val="hybridMultilevel"/>
    <w:tmpl w:val="00BA1968"/>
    <w:lvl w:ilvl="0" w:tplc="EE1E7ABA">
      <w:start w:val="1"/>
      <w:numFmt w:val="lowerRoman"/>
      <w:pStyle w:val="Thirdnumberingi"/>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933BFE"/>
    <w:multiLevelType w:val="hybridMultilevel"/>
    <w:tmpl w:val="C33EC9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9D57185"/>
    <w:multiLevelType w:val="hybridMultilevel"/>
    <w:tmpl w:val="1444CD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3F7345"/>
    <w:multiLevelType w:val="hybridMultilevel"/>
    <w:tmpl w:val="D75C8D50"/>
    <w:lvl w:ilvl="0" w:tplc="C96494C4">
      <w:start w:val="1"/>
      <w:numFmt w:val="decimal"/>
      <w:lvlText w:val="%1."/>
      <w:lvlJc w:val="left"/>
      <w:pPr>
        <w:ind w:left="720" w:hanging="360"/>
      </w:pPr>
      <w:rPr>
        <w:rFonts w:ascii="Arial" w:hAnsi="Aria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9D4FA4"/>
    <w:multiLevelType w:val="hybridMultilevel"/>
    <w:tmpl w:val="CDE69C9E"/>
    <w:lvl w:ilvl="0" w:tplc="D0E21E14">
      <w:start w:val="1"/>
      <w:numFmt w:val="upperLetter"/>
      <w:pStyle w:val="Fourth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9D1E50"/>
    <w:multiLevelType w:val="hybridMultilevel"/>
    <w:tmpl w:val="271238F6"/>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3E00DFA"/>
    <w:multiLevelType w:val="multilevel"/>
    <w:tmpl w:val="CF0C7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91B2A54"/>
    <w:multiLevelType w:val="hybridMultilevel"/>
    <w:tmpl w:val="F39657BA"/>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1176E72"/>
    <w:multiLevelType w:val="hybridMultilevel"/>
    <w:tmpl w:val="5CEC3454"/>
    <w:lvl w:ilvl="0" w:tplc="08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3CA1566"/>
    <w:multiLevelType w:val="hybridMultilevel"/>
    <w:tmpl w:val="4F68A00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7E206986"/>
    <w:multiLevelType w:val="hybridMultilevel"/>
    <w:tmpl w:val="F39657BA"/>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4625602">
    <w:abstractNumId w:val="0"/>
  </w:num>
  <w:num w:numId="2" w16cid:durableId="598490445">
    <w:abstractNumId w:val="1"/>
  </w:num>
  <w:num w:numId="3" w16cid:durableId="1481076609">
    <w:abstractNumId w:val="2"/>
  </w:num>
  <w:num w:numId="4" w16cid:durableId="2146239410">
    <w:abstractNumId w:val="6"/>
  </w:num>
  <w:num w:numId="5" w16cid:durableId="37974177">
    <w:abstractNumId w:val="3"/>
  </w:num>
  <w:num w:numId="6" w16cid:durableId="1958830237">
    <w:abstractNumId w:val="7"/>
  </w:num>
  <w:num w:numId="7" w16cid:durableId="396439182">
    <w:abstractNumId w:val="10"/>
  </w:num>
  <w:num w:numId="8" w16cid:durableId="260603560">
    <w:abstractNumId w:val="5"/>
  </w:num>
  <w:num w:numId="9" w16cid:durableId="1356272424">
    <w:abstractNumId w:val="4"/>
  </w:num>
  <w:num w:numId="10" w16cid:durableId="630594039">
    <w:abstractNumId w:val="12"/>
  </w:num>
  <w:num w:numId="11" w16cid:durableId="2069759870">
    <w:abstractNumId w:val="9"/>
  </w:num>
  <w:num w:numId="12" w16cid:durableId="904724938">
    <w:abstractNumId w:val="11"/>
  </w:num>
  <w:num w:numId="13" w16cid:durableId="4135561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A97"/>
    <w:rsid w:val="00002A97"/>
    <w:rsid w:val="000437B7"/>
    <w:rsid w:val="000E192F"/>
    <w:rsid w:val="000F4BDA"/>
    <w:rsid w:val="00127CCF"/>
    <w:rsid w:val="00154A11"/>
    <w:rsid w:val="00166CB7"/>
    <w:rsid w:val="001722A0"/>
    <w:rsid w:val="00192411"/>
    <w:rsid w:val="001A65DF"/>
    <w:rsid w:val="001E6CDF"/>
    <w:rsid w:val="0024152C"/>
    <w:rsid w:val="00256158"/>
    <w:rsid w:val="00267186"/>
    <w:rsid w:val="002A40B8"/>
    <w:rsid w:val="002A5ABE"/>
    <w:rsid w:val="002D5F2A"/>
    <w:rsid w:val="002F43C9"/>
    <w:rsid w:val="002F7EC2"/>
    <w:rsid w:val="00310600"/>
    <w:rsid w:val="003133A7"/>
    <w:rsid w:val="00323406"/>
    <w:rsid w:val="00430A25"/>
    <w:rsid w:val="00457C8A"/>
    <w:rsid w:val="004C7808"/>
    <w:rsid w:val="00515163"/>
    <w:rsid w:val="005330F7"/>
    <w:rsid w:val="00563598"/>
    <w:rsid w:val="00591364"/>
    <w:rsid w:val="0059243E"/>
    <w:rsid w:val="005C39FC"/>
    <w:rsid w:val="006114FC"/>
    <w:rsid w:val="006C2EF5"/>
    <w:rsid w:val="006F22B0"/>
    <w:rsid w:val="00790422"/>
    <w:rsid w:val="0079237D"/>
    <w:rsid w:val="007B53CC"/>
    <w:rsid w:val="007C212E"/>
    <w:rsid w:val="007E5A82"/>
    <w:rsid w:val="00800CB3"/>
    <w:rsid w:val="00810C64"/>
    <w:rsid w:val="008D686F"/>
    <w:rsid w:val="008F1A8B"/>
    <w:rsid w:val="009059D0"/>
    <w:rsid w:val="00943D15"/>
    <w:rsid w:val="00A656E5"/>
    <w:rsid w:val="00A96EB9"/>
    <w:rsid w:val="00AC09AE"/>
    <w:rsid w:val="00B104EC"/>
    <w:rsid w:val="00B26725"/>
    <w:rsid w:val="00B40E07"/>
    <w:rsid w:val="00B970F5"/>
    <w:rsid w:val="00BA2F55"/>
    <w:rsid w:val="00BC5707"/>
    <w:rsid w:val="00BE6C85"/>
    <w:rsid w:val="00BF7838"/>
    <w:rsid w:val="00C1548E"/>
    <w:rsid w:val="00C22155"/>
    <w:rsid w:val="00C41DAD"/>
    <w:rsid w:val="00C56D8F"/>
    <w:rsid w:val="00C664E8"/>
    <w:rsid w:val="00CF660D"/>
    <w:rsid w:val="00D70275"/>
    <w:rsid w:val="00D84650"/>
    <w:rsid w:val="00E607BD"/>
    <w:rsid w:val="00E77A9F"/>
    <w:rsid w:val="00E81B4A"/>
    <w:rsid w:val="00EF1D13"/>
    <w:rsid w:val="00F147ED"/>
    <w:rsid w:val="00F97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5060B"/>
  <w15:chartTrackingRefBased/>
  <w15:docId w15:val="{7F5A1F93-24F7-4A43-8283-27B668275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65DF"/>
    <w:pPr>
      <w:keepNext/>
      <w:keepLines/>
      <w:spacing w:before="240" w:after="0" w:line="240" w:lineRule="auto"/>
      <w:outlineLvl w:val="0"/>
    </w:pPr>
    <w:rPr>
      <w:rFonts w:ascii="Calibri" w:eastAsia="Calibri" w:hAnsi="Calibri" w:cs="Calibri"/>
      <w:color w:val="2F5496"/>
      <w:sz w:val="32"/>
      <w:szCs w:val="32"/>
      <w:lang w:val="en" w:eastAsia="en-GB"/>
    </w:rPr>
  </w:style>
  <w:style w:type="paragraph" w:styleId="Heading2">
    <w:name w:val="heading 2"/>
    <w:basedOn w:val="Normal"/>
    <w:next w:val="Normal"/>
    <w:link w:val="Heading2Char"/>
    <w:uiPriority w:val="9"/>
    <w:semiHidden/>
    <w:unhideWhenUsed/>
    <w:qFormat/>
    <w:rsid w:val="001A65DF"/>
    <w:pPr>
      <w:keepNext/>
      <w:keepLines/>
      <w:spacing w:before="40" w:after="0" w:line="240" w:lineRule="auto"/>
      <w:outlineLvl w:val="1"/>
    </w:pPr>
    <w:rPr>
      <w:rFonts w:ascii="Calibri" w:eastAsia="Calibri" w:hAnsi="Calibri" w:cs="Calibri"/>
      <w:color w:val="2F5496"/>
      <w:sz w:val="26"/>
      <w:szCs w:val="26"/>
      <w:lang w:val="en" w:eastAsia="en-GB"/>
    </w:rPr>
  </w:style>
  <w:style w:type="paragraph" w:styleId="Heading3">
    <w:name w:val="heading 3"/>
    <w:basedOn w:val="Normal"/>
    <w:next w:val="Normal"/>
    <w:link w:val="Heading3Char"/>
    <w:uiPriority w:val="9"/>
    <w:semiHidden/>
    <w:unhideWhenUsed/>
    <w:qFormat/>
    <w:rsid w:val="001A65DF"/>
    <w:pPr>
      <w:keepNext/>
      <w:keepLines/>
      <w:spacing w:before="280" w:after="80" w:line="240" w:lineRule="auto"/>
      <w:outlineLvl w:val="2"/>
    </w:pPr>
    <w:rPr>
      <w:rFonts w:ascii="Calibri" w:eastAsia="Calibri" w:hAnsi="Calibri" w:cs="Calibri"/>
      <w:b/>
      <w:sz w:val="28"/>
      <w:szCs w:val="28"/>
      <w:lang w:val="en" w:eastAsia="en-GB"/>
    </w:rPr>
  </w:style>
  <w:style w:type="paragraph" w:styleId="Heading4">
    <w:name w:val="heading 4"/>
    <w:basedOn w:val="Normal"/>
    <w:next w:val="Normal"/>
    <w:link w:val="Heading4Char"/>
    <w:uiPriority w:val="9"/>
    <w:semiHidden/>
    <w:unhideWhenUsed/>
    <w:qFormat/>
    <w:rsid w:val="001A65DF"/>
    <w:pPr>
      <w:keepNext/>
      <w:keepLines/>
      <w:spacing w:before="240" w:after="40" w:line="240" w:lineRule="auto"/>
      <w:outlineLvl w:val="3"/>
    </w:pPr>
    <w:rPr>
      <w:rFonts w:ascii="Calibri" w:eastAsia="Calibri" w:hAnsi="Calibri" w:cs="Calibri"/>
      <w:b/>
      <w:sz w:val="24"/>
      <w:szCs w:val="24"/>
      <w:lang w:val="en" w:eastAsia="en-GB"/>
    </w:rPr>
  </w:style>
  <w:style w:type="paragraph" w:styleId="Heading5">
    <w:name w:val="heading 5"/>
    <w:basedOn w:val="Normal"/>
    <w:next w:val="Normal"/>
    <w:link w:val="Heading5Char"/>
    <w:uiPriority w:val="9"/>
    <w:semiHidden/>
    <w:unhideWhenUsed/>
    <w:qFormat/>
    <w:rsid w:val="001A65DF"/>
    <w:pPr>
      <w:keepNext/>
      <w:keepLines/>
      <w:spacing w:before="220" w:after="40" w:line="240" w:lineRule="auto"/>
      <w:outlineLvl w:val="4"/>
    </w:pPr>
    <w:rPr>
      <w:rFonts w:ascii="Calibri" w:eastAsia="Calibri" w:hAnsi="Calibri" w:cs="Calibri"/>
      <w:b/>
      <w:lang w:val="en" w:eastAsia="en-GB"/>
    </w:rPr>
  </w:style>
  <w:style w:type="paragraph" w:styleId="Heading6">
    <w:name w:val="heading 6"/>
    <w:basedOn w:val="Normal"/>
    <w:next w:val="Normal"/>
    <w:link w:val="Heading6Char"/>
    <w:uiPriority w:val="9"/>
    <w:semiHidden/>
    <w:unhideWhenUsed/>
    <w:qFormat/>
    <w:rsid w:val="001A65DF"/>
    <w:pPr>
      <w:keepNext/>
      <w:keepLines/>
      <w:spacing w:before="200" w:after="40" w:line="240" w:lineRule="auto"/>
      <w:outlineLvl w:val="5"/>
    </w:pPr>
    <w:rPr>
      <w:rFonts w:ascii="Calibri" w:eastAsia="Calibri" w:hAnsi="Calibri" w:cs="Calibri"/>
      <w:b/>
      <w:sz w:val="20"/>
      <w:szCs w:val="20"/>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2A97"/>
    <w:pPr>
      <w:tabs>
        <w:tab w:val="center" w:pos="4680"/>
        <w:tab w:val="right" w:pos="9360"/>
      </w:tabs>
      <w:spacing w:after="0" w:line="240" w:lineRule="auto"/>
    </w:pPr>
  </w:style>
  <w:style w:type="character" w:customStyle="1" w:styleId="HeaderChar">
    <w:name w:val="Header Char"/>
    <w:basedOn w:val="DefaultParagraphFont"/>
    <w:link w:val="Header"/>
    <w:rsid w:val="00002A97"/>
  </w:style>
  <w:style w:type="paragraph" w:styleId="Footer">
    <w:name w:val="footer"/>
    <w:basedOn w:val="Normal"/>
    <w:link w:val="FooterChar"/>
    <w:uiPriority w:val="99"/>
    <w:unhideWhenUsed/>
    <w:rsid w:val="00002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A97"/>
  </w:style>
  <w:style w:type="paragraph" w:styleId="BalloonText">
    <w:name w:val="Balloon Text"/>
    <w:basedOn w:val="Normal"/>
    <w:link w:val="BalloonTextChar"/>
    <w:uiPriority w:val="99"/>
    <w:semiHidden/>
    <w:unhideWhenUsed/>
    <w:rsid w:val="00E81B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B4A"/>
    <w:rPr>
      <w:rFonts w:ascii="Segoe UI" w:hAnsi="Segoe UI" w:cs="Segoe UI"/>
      <w:sz w:val="18"/>
      <w:szCs w:val="18"/>
    </w:rPr>
  </w:style>
  <w:style w:type="paragraph" w:customStyle="1" w:styleId="Title1">
    <w:name w:val="Title1"/>
    <w:basedOn w:val="Normal"/>
    <w:link w:val="TITLEChar"/>
    <w:qFormat/>
    <w:rsid w:val="00F147ED"/>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center"/>
      <w:textAlignment w:val="baseline"/>
      <w:outlineLvl w:val="1"/>
    </w:pPr>
    <w:rPr>
      <w:rFonts w:eastAsia="Times New Roman" w:cs="Arial"/>
      <w:b/>
      <w:bCs/>
      <w:caps/>
      <w:sz w:val="24"/>
      <w:szCs w:val="24"/>
      <w:lang w:val="es-ES" w:eastAsia="es-ES"/>
    </w:rPr>
  </w:style>
  <w:style w:type="paragraph" w:styleId="ListParagraph">
    <w:name w:val="List Paragraph"/>
    <w:basedOn w:val="Normal"/>
    <w:link w:val="ListParagraphChar"/>
    <w:qFormat/>
    <w:rsid w:val="00F147ED"/>
    <w:pPr>
      <w:ind w:left="720"/>
      <w:contextualSpacing/>
    </w:pPr>
  </w:style>
  <w:style w:type="character" w:customStyle="1" w:styleId="TITLEChar">
    <w:name w:val="TITLE Char"/>
    <w:basedOn w:val="DefaultParagraphFont"/>
    <w:link w:val="Title1"/>
    <w:rsid w:val="00F147ED"/>
    <w:rPr>
      <w:rFonts w:eastAsia="Times New Roman" w:cs="Arial"/>
      <w:b/>
      <w:bCs/>
      <w:caps/>
      <w:sz w:val="24"/>
      <w:szCs w:val="24"/>
      <w:lang w:val="es-ES" w:eastAsia="es-ES"/>
    </w:rPr>
  </w:style>
  <w:style w:type="paragraph" w:customStyle="1" w:styleId="Firstnumbering1">
    <w:name w:val="First numbering 1."/>
    <w:basedOn w:val="ListParagraph"/>
    <w:link w:val="Firstnumbering1Char"/>
    <w:qFormat/>
    <w:rsid w:val="000E192F"/>
    <w:pPr>
      <w:widowControl w:val="0"/>
      <w:numPr>
        <w:numId w:val="1"/>
      </w:numPr>
      <w:suppressAutoHyphens/>
      <w:autoSpaceDE w:val="0"/>
      <w:autoSpaceDN w:val="0"/>
      <w:spacing w:after="0" w:line="240" w:lineRule="auto"/>
      <w:ind w:left="567" w:hanging="567"/>
      <w:jc w:val="both"/>
      <w:textAlignment w:val="baseline"/>
    </w:pPr>
    <w:rPr>
      <w:rFonts w:eastAsia="Times New Roman" w:cs="Arial"/>
      <w:lang w:val="es-ES" w:eastAsia="es-ES"/>
    </w:rPr>
  </w:style>
  <w:style w:type="paragraph" w:customStyle="1" w:styleId="Secondnumberinga">
    <w:name w:val="Second numbering a)."/>
    <w:basedOn w:val="ListParagraph"/>
    <w:link w:val="SecondnumberingaChar"/>
    <w:qFormat/>
    <w:rsid w:val="000E192F"/>
    <w:pPr>
      <w:numPr>
        <w:numId w:val="2"/>
      </w:numPr>
      <w:spacing w:after="0" w:line="240" w:lineRule="auto"/>
      <w:ind w:left="1134" w:hanging="283"/>
      <w:jc w:val="both"/>
    </w:pPr>
    <w:rPr>
      <w:lang w:val="es-ES"/>
    </w:rPr>
  </w:style>
  <w:style w:type="character" w:customStyle="1" w:styleId="ListParagraphChar">
    <w:name w:val="List Paragraph Char"/>
    <w:basedOn w:val="DefaultParagraphFont"/>
    <w:link w:val="ListParagraph"/>
    <w:rsid w:val="00F147ED"/>
  </w:style>
  <w:style w:type="character" w:customStyle="1" w:styleId="Firstnumbering1Char">
    <w:name w:val="First numbering 1. Char"/>
    <w:basedOn w:val="ListParagraphChar"/>
    <w:link w:val="Firstnumbering1"/>
    <w:rsid w:val="000E192F"/>
    <w:rPr>
      <w:rFonts w:eastAsia="Times New Roman" w:cs="Arial"/>
      <w:lang w:val="es-ES" w:eastAsia="es-ES"/>
    </w:rPr>
  </w:style>
  <w:style w:type="character" w:customStyle="1" w:styleId="SecondnumberingaChar">
    <w:name w:val="Second numbering a). Char"/>
    <w:basedOn w:val="ListParagraphChar"/>
    <w:link w:val="Secondnumberinga"/>
    <w:rsid w:val="000E192F"/>
    <w:rPr>
      <w:lang w:val="es-ES"/>
    </w:rPr>
  </w:style>
  <w:style w:type="paragraph" w:customStyle="1" w:styleId="Thirdnumberingi">
    <w:name w:val="Third numbering i)."/>
    <w:basedOn w:val="ListParagraph"/>
    <w:link w:val="ThirdnumberingiChar"/>
    <w:qFormat/>
    <w:rsid w:val="00943D15"/>
    <w:pPr>
      <w:numPr>
        <w:numId w:val="3"/>
      </w:numPr>
      <w:spacing w:after="0" w:line="240" w:lineRule="auto"/>
      <w:ind w:left="1560" w:hanging="284"/>
    </w:pPr>
    <w:rPr>
      <w:lang w:val="es-ES"/>
    </w:rPr>
  </w:style>
  <w:style w:type="paragraph" w:customStyle="1" w:styleId="FourthnumberingA">
    <w:name w:val="Fourth numbering A."/>
    <w:basedOn w:val="ListParagraph"/>
    <w:link w:val="FourthnumberingAChar"/>
    <w:qFormat/>
    <w:rsid w:val="00943D15"/>
    <w:pPr>
      <w:numPr>
        <w:numId w:val="4"/>
      </w:numPr>
      <w:spacing w:after="0" w:line="240" w:lineRule="auto"/>
      <w:ind w:left="1985" w:hanging="284"/>
    </w:pPr>
    <w:rPr>
      <w:lang w:val="es-ES"/>
    </w:rPr>
  </w:style>
  <w:style w:type="character" w:customStyle="1" w:styleId="ThirdnumberingiChar">
    <w:name w:val="Third numbering i). Char"/>
    <w:basedOn w:val="ListParagraphChar"/>
    <w:link w:val="Thirdnumberingi"/>
    <w:rsid w:val="00943D15"/>
    <w:rPr>
      <w:lang w:val="es-ES"/>
    </w:rPr>
  </w:style>
  <w:style w:type="character" w:customStyle="1" w:styleId="FourthnumberingAChar">
    <w:name w:val="Fourth numbering A. Char"/>
    <w:basedOn w:val="ListParagraphChar"/>
    <w:link w:val="FourthnumberingA"/>
    <w:rsid w:val="00943D15"/>
    <w:rPr>
      <w:lang w:val="es-ES"/>
    </w:rPr>
  </w:style>
  <w:style w:type="character" w:styleId="Hyperlink">
    <w:name w:val="Hyperlink"/>
    <w:basedOn w:val="DefaultParagraphFont"/>
    <w:unhideWhenUsed/>
    <w:rsid w:val="00AC09AE"/>
    <w:rPr>
      <w:color w:val="0563C1" w:themeColor="hyperlink"/>
      <w:u w:val="single"/>
    </w:rPr>
  </w:style>
  <w:style w:type="character" w:styleId="FootnoteReference">
    <w:name w:val="footnote reference"/>
    <w:uiPriority w:val="99"/>
    <w:semiHidden/>
    <w:rsid w:val="00810C64"/>
    <w:rPr>
      <w:rFonts w:cs="Times New Roman"/>
    </w:rPr>
  </w:style>
  <w:style w:type="character" w:customStyle="1" w:styleId="Heading1Char">
    <w:name w:val="Heading 1 Char"/>
    <w:basedOn w:val="DefaultParagraphFont"/>
    <w:link w:val="Heading1"/>
    <w:uiPriority w:val="9"/>
    <w:rsid w:val="001A65DF"/>
    <w:rPr>
      <w:rFonts w:ascii="Calibri" w:eastAsia="Calibri" w:hAnsi="Calibri" w:cs="Calibri"/>
      <w:color w:val="2F5496"/>
      <w:sz w:val="32"/>
      <w:szCs w:val="32"/>
      <w:lang w:val="en" w:eastAsia="en-GB"/>
    </w:rPr>
  </w:style>
  <w:style w:type="character" w:customStyle="1" w:styleId="Heading2Char">
    <w:name w:val="Heading 2 Char"/>
    <w:basedOn w:val="DefaultParagraphFont"/>
    <w:link w:val="Heading2"/>
    <w:uiPriority w:val="9"/>
    <w:semiHidden/>
    <w:rsid w:val="001A65DF"/>
    <w:rPr>
      <w:rFonts w:ascii="Calibri" w:eastAsia="Calibri" w:hAnsi="Calibri" w:cs="Calibri"/>
      <w:color w:val="2F5496"/>
      <w:sz w:val="26"/>
      <w:szCs w:val="26"/>
      <w:lang w:val="en" w:eastAsia="en-GB"/>
    </w:rPr>
  </w:style>
  <w:style w:type="character" w:customStyle="1" w:styleId="Heading3Char">
    <w:name w:val="Heading 3 Char"/>
    <w:basedOn w:val="DefaultParagraphFont"/>
    <w:link w:val="Heading3"/>
    <w:uiPriority w:val="9"/>
    <w:semiHidden/>
    <w:rsid w:val="001A65DF"/>
    <w:rPr>
      <w:rFonts w:ascii="Calibri" w:eastAsia="Calibri" w:hAnsi="Calibri" w:cs="Calibri"/>
      <w:b/>
      <w:sz w:val="28"/>
      <w:szCs w:val="28"/>
      <w:lang w:val="en" w:eastAsia="en-GB"/>
    </w:rPr>
  </w:style>
  <w:style w:type="character" w:customStyle="1" w:styleId="Heading4Char">
    <w:name w:val="Heading 4 Char"/>
    <w:basedOn w:val="DefaultParagraphFont"/>
    <w:link w:val="Heading4"/>
    <w:uiPriority w:val="9"/>
    <w:semiHidden/>
    <w:rsid w:val="001A65DF"/>
    <w:rPr>
      <w:rFonts w:ascii="Calibri" w:eastAsia="Calibri" w:hAnsi="Calibri" w:cs="Calibri"/>
      <w:b/>
      <w:sz w:val="24"/>
      <w:szCs w:val="24"/>
      <w:lang w:val="en" w:eastAsia="en-GB"/>
    </w:rPr>
  </w:style>
  <w:style w:type="character" w:customStyle="1" w:styleId="Heading5Char">
    <w:name w:val="Heading 5 Char"/>
    <w:basedOn w:val="DefaultParagraphFont"/>
    <w:link w:val="Heading5"/>
    <w:uiPriority w:val="9"/>
    <w:semiHidden/>
    <w:rsid w:val="001A65DF"/>
    <w:rPr>
      <w:rFonts w:ascii="Calibri" w:eastAsia="Calibri" w:hAnsi="Calibri" w:cs="Calibri"/>
      <w:b/>
      <w:lang w:val="en" w:eastAsia="en-GB"/>
    </w:rPr>
  </w:style>
  <w:style w:type="character" w:customStyle="1" w:styleId="Heading6Char">
    <w:name w:val="Heading 6 Char"/>
    <w:basedOn w:val="DefaultParagraphFont"/>
    <w:link w:val="Heading6"/>
    <w:uiPriority w:val="9"/>
    <w:semiHidden/>
    <w:rsid w:val="001A65DF"/>
    <w:rPr>
      <w:rFonts w:ascii="Calibri" w:eastAsia="Calibri" w:hAnsi="Calibri" w:cs="Calibri"/>
      <w:b/>
      <w:sz w:val="20"/>
      <w:szCs w:val="20"/>
      <w:lang w:val="en" w:eastAsia="en-GB"/>
    </w:rPr>
  </w:style>
  <w:style w:type="numbering" w:customStyle="1" w:styleId="NoList1">
    <w:name w:val="No List1"/>
    <w:next w:val="NoList"/>
    <w:uiPriority w:val="99"/>
    <w:semiHidden/>
    <w:unhideWhenUsed/>
    <w:rsid w:val="001A65DF"/>
  </w:style>
  <w:style w:type="table" w:customStyle="1" w:styleId="TableNormal0">
    <w:name w:val="TableNormal"/>
    <w:rsid w:val="001A65DF"/>
    <w:pPr>
      <w:spacing w:line="240" w:lineRule="auto"/>
    </w:pPr>
    <w:rPr>
      <w:rFonts w:ascii="Calibri" w:eastAsia="Calibri" w:hAnsi="Calibri" w:cs="Calibri"/>
      <w:lang w:val="en" w:eastAsia="en-GB"/>
    </w:rPr>
    <w:tblPr>
      <w:tblCellMar>
        <w:top w:w="100" w:type="dxa"/>
        <w:left w:w="100" w:type="dxa"/>
        <w:bottom w:w="100" w:type="dxa"/>
        <w:right w:w="100" w:type="dxa"/>
      </w:tblCellMar>
    </w:tblPr>
  </w:style>
  <w:style w:type="paragraph" w:styleId="Title">
    <w:name w:val="Title"/>
    <w:basedOn w:val="Normal"/>
    <w:next w:val="Normal"/>
    <w:link w:val="TitleChar0"/>
    <w:uiPriority w:val="10"/>
    <w:qFormat/>
    <w:rsid w:val="001A65DF"/>
    <w:pPr>
      <w:keepNext/>
      <w:keepLines/>
      <w:spacing w:before="480" w:after="120" w:line="240" w:lineRule="auto"/>
    </w:pPr>
    <w:rPr>
      <w:rFonts w:ascii="Calibri" w:eastAsia="Calibri" w:hAnsi="Calibri" w:cs="Calibri"/>
      <w:b/>
      <w:sz w:val="72"/>
      <w:szCs w:val="72"/>
      <w:lang w:val="en" w:eastAsia="en-GB"/>
    </w:rPr>
  </w:style>
  <w:style w:type="character" w:customStyle="1" w:styleId="TitleChar0">
    <w:name w:val="Title Char"/>
    <w:basedOn w:val="DefaultParagraphFont"/>
    <w:link w:val="Title"/>
    <w:uiPriority w:val="10"/>
    <w:rsid w:val="001A65DF"/>
    <w:rPr>
      <w:rFonts w:ascii="Calibri" w:eastAsia="Calibri" w:hAnsi="Calibri" w:cs="Calibri"/>
      <w:b/>
      <w:sz w:val="72"/>
      <w:szCs w:val="72"/>
      <w:lang w:val="en" w:eastAsia="en-GB"/>
    </w:rPr>
  </w:style>
  <w:style w:type="paragraph" w:styleId="CommentText">
    <w:name w:val="annotation text"/>
    <w:basedOn w:val="Normal"/>
    <w:link w:val="CommentTextChar"/>
    <w:uiPriority w:val="99"/>
    <w:rsid w:val="001A65DF"/>
    <w:pPr>
      <w:widowControl w:val="0"/>
      <w:autoSpaceDE w:val="0"/>
      <w:adjustRightInd w:val="0"/>
      <w:spacing w:after="0" w:line="240" w:lineRule="auto"/>
    </w:pPr>
    <w:rPr>
      <w:rFonts w:eastAsia="Times New Roman" w:cs="Calibri"/>
      <w:sz w:val="24"/>
      <w:szCs w:val="24"/>
      <w:lang w:val="en" w:eastAsia="en-GB"/>
    </w:rPr>
  </w:style>
  <w:style w:type="character" w:customStyle="1" w:styleId="CommentTextChar">
    <w:name w:val="Comment Text Char"/>
    <w:basedOn w:val="DefaultParagraphFont"/>
    <w:link w:val="CommentText"/>
    <w:uiPriority w:val="99"/>
    <w:rsid w:val="001A65DF"/>
    <w:rPr>
      <w:rFonts w:eastAsia="Times New Roman" w:cs="Calibri"/>
      <w:sz w:val="24"/>
      <w:szCs w:val="24"/>
      <w:lang w:val="en" w:eastAsia="en-GB"/>
    </w:rPr>
  </w:style>
  <w:style w:type="paragraph" w:customStyle="1" w:styleId="Default">
    <w:name w:val="Default"/>
    <w:basedOn w:val="Normal"/>
    <w:rsid w:val="001A65DF"/>
    <w:pPr>
      <w:autoSpaceDE w:val="0"/>
      <w:spacing w:after="0" w:line="240" w:lineRule="auto"/>
    </w:pPr>
    <w:rPr>
      <w:rFonts w:eastAsia="Times New Roman" w:cs="Calibri"/>
      <w:color w:val="000000"/>
      <w:sz w:val="24"/>
      <w:szCs w:val="24"/>
      <w:lang w:val="en-GB" w:eastAsia="en-GB"/>
    </w:rPr>
  </w:style>
  <w:style w:type="character" w:styleId="CommentReference">
    <w:name w:val="annotation reference"/>
    <w:basedOn w:val="DefaultParagraphFont"/>
    <w:uiPriority w:val="99"/>
    <w:semiHidden/>
    <w:unhideWhenUsed/>
    <w:rsid w:val="001A65DF"/>
    <w:rPr>
      <w:sz w:val="16"/>
      <w:szCs w:val="16"/>
    </w:rPr>
  </w:style>
  <w:style w:type="paragraph" w:styleId="CommentSubject">
    <w:name w:val="annotation subject"/>
    <w:basedOn w:val="CommentText"/>
    <w:next w:val="CommentText"/>
    <w:link w:val="CommentSubjectChar"/>
    <w:uiPriority w:val="99"/>
    <w:semiHidden/>
    <w:unhideWhenUsed/>
    <w:rsid w:val="001A65DF"/>
    <w:pPr>
      <w:widowControl/>
      <w:suppressAutoHyphens/>
      <w:autoSpaceDE/>
      <w:adjustRightInd/>
      <w:spacing w:after="160"/>
      <w:textAlignment w:val="baseline"/>
    </w:pPr>
    <w:rPr>
      <w:rFonts w:ascii="Calibri" w:eastAsia="Calibri" w:hAnsi="Calibri"/>
      <w:b/>
      <w:bCs/>
      <w:sz w:val="20"/>
      <w:szCs w:val="20"/>
    </w:rPr>
  </w:style>
  <w:style w:type="character" w:customStyle="1" w:styleId="CommentSubjectChar">
    <w:name w:val="Comment Subject Char"/>
    <w:basedOn w:val="CommentTextChar"/>
    <w:link w:val="CommentSubject"/>
    <w:uiPriority w:val="99"/>
    <w:semiHidden/>
    <w:rsid w:val="001A65DF"/>
    <w:rPr>
      <w:rFonts w:ascii="Calibri" w:eastAsia="Calibri" w:hAnsi="Calibri" w:cs="Calibri"/>
      <w:b/>
      <w:bCs/>
      <w:sz w:val="20"/>
      <w:szCs w:val="20"/>
      <w:lang w:val="en" w:eastAsia="en-GB"/>
    </w:rPr>
  </w:style>
  <w:style w:type="paragraph" w:styleId="Revision">
    <w:name w:val="Revision"/>
    <w:hidden/>
    <w:uiPriority w:val="99"/>
    <w:semiHidden/>
    <w:rsid w:val="001A65DF"/>
    <w:pPr>
      <w:spacing w:after="0" w:line="240" w:lineRule="auto"/>
    </w:pPr>
    <w:rPr>
      <w:rFonts w:ascii="Calibri" w:eastAsia="Calibri" w:hAnsi="Calibri" w:cs="Calibri"/>
      <w:lang w:val="en" w:eastAsia="en-GB"/>
    </w:rPr>
  </w:style>
  <w:style w:type="character" w:styleId="UnresolvedMention">
    <w:name w:val="Unresolved Mention"/>
    <w:basedOn w:val="DefaultParagraphFont"/>
    <w:uiPriority w:val="99"/>
    <w:semiHidden/>
    <w:unhideWhenUsed/>
    <w:rsid w:val="001A65DF"/>
    <w:rPr>
      <w:color w:val="605E5C"/>
      <w:shd w:val="clear" w:color="auto" w:fill="E1DFDD"/>
    </w:rPr>
  </w:style>
  <w:style w:type="paragraph" w:styleId="BodyText">
    <w:name w:val="Body Text"/>
    <w:basedOn w:val="Normal"/>
    <w:link w:val="BodyTextChar"/>
    <w:uiPriority w:val="1"/>
    <w:qFormat/>
    <w:rsid w:val="001A65DF"/>
    <w:pPr>
      <w:widowControl w:val="0"/>
      <w:autoSpaceDE w:val="0"/>
      <w:spacing w:after="0" w:line="240" w:lineRule="auto"/>
    </w:pPr>
    <w:rPr>
      <w:rFonts w:ascii="Times New Roman" w:eastAsia="Times New Roman" w:hAnsi="Times New Roman" w:cs="Calibri"/>
      <w:sz w:val="24"/>
      <w:szCs w:val="24"/>
      <w:lang w:val="en" w:eastAsia="en-GB"/>
    </w:rPr>
  </w:style>
  <w:style w:type="character" w:customStyle="1" w:styleId="BodyTextChar">
    <w:name w:val="Body Text Char"/>
    <w:basedOn w:val="DefaultParagraphFont"/>
    <w:link w:val="BodyText"/>
    <w:uiPriority w:val="1"/>
    <w:rsid w:val="001A65DF"/>
    <w:rPr>
      <w:rFonts w:ascii="Times New Roman" w:eastAsia="Times New Roman" w:hAnsi="Times New Roman" w:cs="Calibri"/>
      <w:sz w:val="24"/>
      <w:szCs w:val="24"/>
      <w:lang w:val="en" w:eastAsia="en-GB"/>
    </w:rPr>
  </w:style>
  <w:style w:type="paragraph" w:customStyle="1" w:styleId="TableParagraph">
    <w:name w:val="Table Paragraph"/>
    <w:basedOn w:val="Normal"/>
    <w:uiPriority w:val="1"/>
    <w:qFormat/>
    <w:rsid w:val="001A65DF"/>
    <w:pPr>
      <w:widowControl w:val="0"/>
      <w:autoSpaceDE w:val="0"/>
      <w:spacing w:after="0" w:line="240" w:lineRule="auto"/>
      <w:ind w:left="107"/>
    </w:pPr>
    <w:rPr>
      <w:rFonts w:ascii="Times New Roman" w:eastAsia="Times New Roman" w:hAnsi="Times New Roman" w:cs="Calibri"/>
      <w:lang w:val="en" w:eastAsia="en-GB"/>
    </w:rPr>
  </w:style>
  <w:style w:type="paragraph" w:styleId="NormalWeb">
    <w:name w:val="Normal (Web)"/>
    <w:basedOn w:val="Normal"/>
    <w:uiPriority w:val="99"/>
    <w:unhideWhenUsed/>
    <w:rsid w:val="001A65D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tab-span">
    <w:name w:val="apple-tab-span"/>
    <w:basedOn w:val="DefaultParagraphFont"/>
    <w:rsid w:val="001A65DF"/>
  </w:style>
  <w:style w:type="paragraph" w:styleId="Subtitle">
    <w:name w:val="Subtitle"/>
    <w:basedOn w:val="Normal"/>
    <w:next w:val="Normal"/>
    <w:link w:val="SubtitleChar"/>
    <w:uiPriority w:val="11"/>
    <w:qFormat/>
    <w:rsid w:val="001A65DF"/>
    <w:pPr>
      <w:keepNext/>
      <w:keepLines/>
      <w:spacing w:before="360" w:after="80" w:line="240" w:lineRule="auto"/>
    </w:pPr>
    <w:rPr>
      <w:rFonts w:ascii="Georgia" w:eastAsia="Georgia" w:hAnsi="Georgia" w:cs="Georgia"/>
      <w:i/>
      <w:color w:val="666666"/>
      <w:sz w:val="48"/>
      <w:szCs w:val="48"/>
      <w:lang w:val="en" w:eastAsia="en-GB"/>
    </w:rPr>
  </w:style>
  <w:style w:type="character" w:customStyle="1" w:styleId="SubtitleChar">
    <w:name w:val="Subtitle Char"/>
    <w:basedOn w:val="DefaultParagraphFont"/>
    <w:link w:val="Subtitle"/>
    <w:uiPriority w:val="11"/>
    <w:rsid w:val="001A65DF"/>
    <w:rPr>
      <w:rFonts w:ascii="Georgia" w:eastAsia="Georgia" w:hAnsi="Georgia" w:cs="Georgia"/>
      <w:i/>
      <w:color w:val="666666"/>
      <w:sz w:val="48"/>
      <w:szCs w:val="48"/>
      <w:lang w:val="en" w:eastAsia="en-GB"/>
    </w:rPr>
  </w:style>
  <w:style w:type="character" w:styleId="Emphasis">
    <w:name w:val="Emphasis"/>
    <w:basedOn w:val="DefaultParagraphFont"/>
    <w:uiPriority w:val="20"/>
    <w:qFormat/>
    <w:rsid w:val="001A65DF"/>
    <w:rPr>
      <w:i/>
      <w:iCs/>
    </w:rPr>
  </w:style>
  <w:style w:type="character" w:styleId="Strong">
    <w:name w:val="Strong"/>
    <w:basedOn w:val="DefaultParagraphFont"/>
    <w:uiPriority w:val="22"/>
    <w:qFormat/>
    <w:rsid w:val="001A65DF"/>
    <w:rPr>
      <w:b/>
      <w:bCs/>
    </w:rPr>
  </w:style>
  <w:style w:type="character" w:customStyle="1" w:styleId="apple-converted-space">
    <w:name w:val="apple-converted-space"/>
    <w:basedOn w:val="DefaultParagraphFont"/>
    <w:rsid w:val="001A65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sharkrayareas.org/" TargetMode="External"/><Relationship Id="rId26" Type="http://schemas.openxmlformats.org/officeDocument/2006/relationships/hyperlink" Target="http://www.fao.org/fishery/area/search/en"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doi.org/10.25268/bimc.invemar.2011.40.0.133"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www.iucnredlist.org/species/39385/2918526" TargetMode="External"/><Relationship Id="rId32" Type="http://schemas.openxmlformats.org/officeDocument/2006/relationships/header" Target="header3.xml"/><Relationship Id="rId37"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1.xm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sharkrayareas.org/" TargetMode="External"/><Relationship Id="rId27" Type="http://schemas.openxmlformats.org/officeDocument/2006/relationships/hyperlink" Target="http://www.iucnredlist.org/" TargetMode="External"/><Relationship Id="rId30" Type="http://schemas.openxmlformats.org/officeDocument/2006/relationships/footer" Target="footer1.xm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907917-C27C-4920-BCC6-5C06DA29E76A}">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2.xml><?xml version="1.0" encoding="utf-8"?>
<ds:datastoreItem xmlns:ds="http://schemas.openxmlformats.org/officeDocument/2006/customXml" ds:itemID="{84D73FA1-BF34-46ED-ACEA-890967853F1B}">
  <ds:schemaRefs>
    <ds:schemaRef ds:uri="http://schemas.openxmlformats.org/officeDocument/2006/bibliography"/>
  </ds:schemaRefs>
</ds:datastoreItem>
</file>

<file path=customXml/itemProps3.xml><?xml version="1.0" encoding="utf-8"?>
<ds:datastoreItem xmlns:ds="http://schemas.openxmlformats.org/officeDocument/2006/customXml" ds:itemID="{4469BAEF-2E21-47D1-927B-04F138990BBB}"/>
</file>

<file path=customXml/itemProps4.xml><?xml version="1.0" encoding="utf-8"?>
<ds:datastoreItem xmlns:ds="http://schemas.openxmlformats.org/officeDocument/2006/customXml" ds:itemID="{32D31A09-9336-4BDA-A396-44ED1E003CDA}">
  <ds:schemaRefs>
    <ds:schemaRef ds:uri="http://schemas.microsoft.com/sharepoint/v3/contenttype/forms"/>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TotalTime>
  <Pages>34</Pages>
  <Words>15522</Words>
  <Characters>88481</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2</cp:revision>
  <dcterms:created xsi:type="dcterms:W3CDTF">2025-11-12T10:46:00Z</dcterms:created>
  <dcterms:modified xsi:type="dcterms:W3CDTF">2025-11-12T10:46:00Z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