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8489E" w:rsidRPr="005A0BE6" w14:paraId="6D84A36A" w14:textId="77777777" w:rsidTr="00090D6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5E3E702" w14:textId="77777777" w:rsidR="0038489E" w:rsidRPr="00EC2A58" w:rsidRDefault="0038489E" w:rsidP="00090D61">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40005DA7" wp14:editId="6915AD67">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322184E" w14:textId="77777777" w:rsidR="0038489E" w:rsidRPr="00EC2A58" w:rsidRDefault="0038489E" w:rsidP="00090D61">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E0B6DB4" w14:textId="77777777" w:rsidR="0038489E" w:rsidRPr="00EC2A58" w:rsidRDefault="0038489E" w:rsidP="00090D61">
            <w:pPr>
              <w:keepNext/>
              <w:widowControl w:val="0"/>
              <w:suppressAutoHyphens/>
              <w:autoSpaceDE w:val="0"/>
              <w:autoSpaceDN w:val="0"/>
              <w:ind w:left="-108"/>
              <w:textAlignment w:val="baseline"/>
              <w:outlineLvl w:val="1"/>
              <w:rPr>
                <w:rFonts w:eastAsia="Times New Roman" w:cs="Arial"/>
                <w:sz w:val="12"/>
                <w:szCs w:val="12"/>
                <w:lang w:val="fr-FR"/>
              </w:rPr>
            </w:pPr>
          </w:p>
          <w:p w14:paraId="177C9EE2"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2E80DC2"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B649428" w14:textId="77777777" w:rsidR="0038489E" w:rsidRPr="00EC2A58" w:rsidRDefault="0038489E" w:rsidP="00090D61">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1C94A3B7" w14:textId="5C3A7A4F" w:rsidR="0038489E" w:rsidRPr="005A0BE6" w:rsidRDefault="0038489E" w:rsidP="00090D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5A0BE6" w:rsidRPr="005A0BE6">
              <w:rPr>
                <w:rFonts w:eastAsia="Arial" w:cs="Arial"/>
                <w:lang w:val="fr-FR"/>
              </w:rPr>
              <w:t>28.9</w:t>
            </w:r>
          </w:p>
          <w:p w14:paraId="0D596D83" w14:textId="6D03E2C9" w:rsidR="0038489E" w:rsidRPr="005A0BE6" w:rsidRDefault="005A0BE6" w:rsidP="00090D6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5A0BE6">
              <w:rPr>
                <w:rFonts w:eastAsia="Arial" w:cs="Arial"/>
                <w:lang w:val="fr-FR"/>
              </w:rPr>
              <w:t>4 septembre</w:t>
            </w:r>
            <w:r w:rsidR="0038489E" w:rsidRPr="005A0BE6">
              <w:rPr>
                <w:rFonts w:eastAsia="Arial" w:cs="Arial"/>
                <w:lang w:val="fr-FR"/>
              </w:rPr>
              <w:t xml:space="preserve"> 2025</w:t>
            </w:r>
          </w:p>
          <w:p w14:paraId="3ACAFFC0" w14:textId="77777777" w:rsidR="0038489E" w:rsidRPr="00FC4F18" w:rsidRDefault="0038489E" w:rsidP="00090D61">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18C23554" w14:textId="77777777" w:rsidR="0038489E" w:rsidRPr="00FC4F18" w:rsidRDefault="0038489E" w:rsidP="00090D61">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147E19CA" w14:textId="77777777" w:rsidR="0038489E" w:rsidRPr="00EC2A58" w:rsidRDefault="0038489E" w:rsidP="0038489E">
      <w:pPr>
        <w:widowControl w:val="0"/>
        <w:tabs>
          <w:tab w:val="left" w:pos="-1057"/>
          <w:tab w:val="left" w:pos="-720"/>
        </w:tabs>
        <w:suppressAutoHyphens/>
        <w:autoSpaceDE w:val="0"/>
        <w:autoSpaceDN w:val="0"/>
        <w:textAlignment w:val="baseline"/>
        <w:rPr>
          <w:rFonts w:eastAsia="Arial" w:cs="Arial"/>
          <w:sz w:val="8"/>
          <w:szCs w:val="8"/>
          <w:lang w:val="fr-FR"/>
        </w:rPr>
      </w:pPr>
    </w:p>
    <w:p w14:paraId="44B00CA9" w14:textId="77777777" w:rsidR="0038489E" w:rsidRPr="00EC2A58" w:rsidRDefault="0038489E" w:rsidP="0038489E">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0E284AA" w14:textId="77777777" w:rsidR="0038489E" w:rsidRPr="00EC2A58" w:rsidRDefault="0038489E" w:rsidP="0038489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D083C5B" w14:textId="43B0C1B0" w:rsidR="0038489E" w:rsidRPr="00EC2A58" w:rsidRDefault="0038489E" w:rsidP="0038489E">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5A0BE6">
        <w:rPr>
          <w:rFonts w:eastAsia="Arial" w:cs="Arial"/>
          <w:iCs/>
          <w:lang w:val="fr-FR"/>
        </w:rPr>
        <w:t>28.9</w:t>
      </w:r>
      <w:r w:rsidRPr="00EC2A58">
        <w:rPr>
          <w:rFonts w:eastAsia="Arial" w:cs="Arial"/>
          <w:iCs/>
          <w:lang w:val="fr-FR"/>
        </w:rPr>
        <w:t xml:space="preserve"> de l’ordre du jour</w:t>
      </w:r>
    </w:p>
    <w:p w14:paraId="1592010C" w14:textId="77777777" w:rsidR="00C65EA4" w:rsidRDefault="00C65EA4">
      <w:pPr>
        <w:widowControl w:val="0"/>
        <w:suppressAutoHyphens/>
        <w:autoSpaceDE w:val="0"/>
        <w:autoSpaceDN w:val="0"/>
        <w:textAlignment w:val="baseline"/>
        <w:rPr>
          <w:rFonts w:eastAsia="Times New Roman" w:cs="Arial"/>
          <w:i/>
          <w:iCs/>
          <w:lang w:val="fr-FR"/>
        </w:rPr>
      </w:pPr>
    </w:p>
    <w:p w14:paraId="1D3EEF0C" w14:textId="77777777" w:rsidR="00C65EA4" w:rsidRDefault="00C65EA4">
      <w:pPr>
        <w:widowControl w:val="0"/>
        <w:suppressAutoHyphens/>
        <w:autoSpaceDE w:val="0"/>
        <w:autoSpaceDN w:val="0"/>
        <w:textAlignment w:val="baseline"/>
        <w:rPr>
          <w:rFonts w:eastAsia="Times New Roman" w:cs="Arial"/>
          <w:lang w:val="fr-FR"/>
        </w:rPr>
      </w:pPr>
    </w:p>
    <w:p w14:paraId="12654FFE" w14:textId="77777777" w:rsidR="00C65EA4" w:rsidRDefault="006460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ÉVALUATIONS DES EFFETS CUMULATIFS</w:t>
      </w:r>
    </w:p>
    <w:p w14:paraId="53BA7254" w14:textId="77777777" w:rsidR="00C65EA4" w:rsidRDefault="00646050">
      <w:pPr>
        <w:widowControl w:val="0"/>
        <w:suppressAutoHyphens/>
        <w:autoSpaceDE w:val="0"/>
        <w:autoSpaceDN w:val="0"/>
        <w:jc w:val="center"/>
        <w:textAlignment w:val="baseline"/>
        <w:rPr>
          <w:rFonts w:eastAsia="Times New Roman" w:cs="Arial"/>
          <w:i/>
          <w:lang w:val="fr-FR"/>
        </w:rPr>
      </w:pPr>
      <w:r>
        <w:rPr>
          <w:rFonts w:eastAsia="Times New Roman" w:cs="Arial"/>
          <w:i/>
          <w:lang w:val="fr-FR"/>
        </w:rPr>
        <w:t>(Préparé par le Secrétariat)</w:t>
      </w:r>
    </w:p>
    <w:p w14:paraId="32C0DD0E" w14:textId="77777777" w:rsidR="00C65EA4" w:rsidRDefault="00C65EA4">
      <w:pPr>
        <w:widowControl w:val="0"/>
        <w:suppressAutoHyphens/>
        <w:autoSpaceDE w:val="0"/>
        <w:autoSpaceDN w:val="0"/>
        <w:textAlignment w:val="baseline"/>
        <w:rPr>
          <w:rFonts w:eastAsia="Calibri" w:cs="Arial"/>
          <w:lang w:val="fr-FR"/>
        </w:rPr>
      </w:pPr>
    </w:p>
    <w:p w14:paraId="2BED2214" w14:textId="77777777" w:rsidR="00C65EA4" w:rsidRDefault="00C65EA4">
      <w:pPr>
        <w:widowControl w:val="0"/>
        <w:suppressAutoHyphens/>
        <w:autoSpaceDE w:val="0"/>
        <w:autoSpaceDN w:val="0"/>
        <w:textAlignment w:val="baseline"/>
        <w:rPr>
          <w:rFonts w:cs="Arial"/>
          <w:i/>
          <w:sz w:val="21"/>
          <w:szCs w:val="21"/>
          <w:lang w:val="fr-FR"/>
        </w:rPr>
      </w:pPr>
    </w:p>
    <w:p w14:paraId="43411163" w14:textId="77777777" w:rsidR="00C65EA4" w:rsidRDefault="00646050">
      <w:pPr>
        <w:widowControl w:val="0"/>
        <w:suppressAutoHyphens/>
        <w:autoSpaceDE w:val="0"/>
        <w:autoSpaceDN w:val="0"/>
        <w:textAlignment w:val="baseline"/>
        <w:rPr>
          <w:rFonts w:eastAsia="Calibri" w:cs="Arial"/>
          <w:lang w:val="fr-FR"/>
        </w:rPr>
      </w:pPr>
      <w:r>
        <w:rPr>
          <w:rFonts w:eastAsia="Times New Roman" w:cs="Arial"/>
          <w:noProof/>
          <w:sz w:val="21"/>
          <w:szCs w:val="21"/>
          <w:lang w:val="en-US"/>
        </w:rPr>
        <mc:AlternateContent>
          <mc:Choice Requires="wps">
            <w:drawing>
              <wp:anchor distT="0" distB="0" distL="114300" distR="114300" simplePos="0" relativeHeight="251658240" behindDoc="0" locked="0" layoutInCell="1" allowOverlap="1" wp14:anchorId="13CF45B1" wp14:editId="0456C63B">
                <wp:simplePos x="0" y="0"/>
                <wp:positionH relativeFrom="column">
                  <wp:posOffset>942974</wp:posOffset>
                </wp:positionH>
                <wp:positionV relativeFrom="paragraph">
                  <wp:posOffset>108584</wp:posOffset>
                </wp:positionV>
                <wp:extent cx="4752975" cy="28098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752975" cy="2809875"/>
                        </a:xfrm>
                        <a:prstGeom prst="rect">
                          <a:avLst/>
                        </a:prstGeom>
                        <a:solidFill>
                          <a:srgbClr val="FFFFFF"/>
                        </a:solidFill>
                        <a:ln w="3172">
                          <a:solidFill>
                            <a:srgbClr val="000000"/>
                          </a:solidFill>
                          <a:prstDash val="solid"/>
                        </a:ln>
                      </wps:spPr>
                      <wps:txbx>
                        <w:txbxContent>
                          <w:p w14:paraId="164450B2" w14:textId="0C8CAEFF" w:rsidR="00646050" w:rsidRDefault="00646050">
                            <w:pPr>
                              <w:rPr>
                                <w:rFonts w:cs="Arial"/>
                                <w:lang w:val="fr-FR"/>
                              </w:rPr>
                            </w:pPr>
                            <w:r>
                              <w:rPr>
                                <w:rFonts w:cs="Arial"/>
                                <w:lang w:val="fr-FR"/>
                              </w:rPr>
                              <w:t>Résumé</w:t>
                            </w:r>
                            <w:r w:rsidR="00DA09F4">
                              <w:rPr>
                                <w:rFonts w:cs="Arial"/>
                                <w:lang w:val="fr-FR"/>
                              </w:rPr>
                              <w:t> </w:t>
                            </w:r>
                            <w:r>
                              <w:rPr>
                                <w:rFonts w:cs="Arial"/>
                                <w:lang w:val="fr-FR"/>
                              </w:rPr>
                              <w:t>:</w:t>
                            </w:r>
                          </w:p>
                          <w:p w14:paraId="55D87D1A" w14:textId="77777777" w:rsidR="00646050" w:rsidRDefault="00646050">
                            <w:pPr>
                              <w:rPr>
                                <w:rFonts w:cs="Arial"/>
                                <w:lang w:val="fr-FR"/>
                              </w:rPr>
                            </w:pPr>
                          </w:p>
                          <w:p w14:paraId="6D443060" w14:textId="17C464BF" w:rsidR="00646050" w:rsidRDefault="00646050">
                            <w:pPr>
                              <w:rPr>
                                <w:rFonts w:cs="Arial"/>
                                <w:lang w:val="fr-FR"/>
                              </w:rPr>
                            </w:pPr>
                            <w:r>
                              <w:rPr>
                                <w:rFonts w:cs="Arial"/>
                                <w:lang w:val="fr-FR"/>
                              </w:rPr>
                              <w:t>Le présent document fait état des avancées dans la mise en œuvre des décisions</w:t>
                            </w:r>
                            <w:r w:rsidR="00DA09F4">
                              <w:rPr>
                                <w:rFonts w:cs="Arial"/>
                                <w:lang w:val="fr-FR"/>
                              </w:rPr>
                              <w:t> </w:t>
                            </w:r>
                            <w:r>
                              <w:rPr>
                                <w:rFonts w:cs="Arial"/>
                                <w:lang w:val="fr-FR"/>
                              </w:rPr>
                              <w:t xml:space="preserve">14.204–14.206 </w:t>
                            </w:r>
                            <w:r>
                              <w:rPr>
                                <w:rFonts w:cs="Arial"/>
                                <w:i/>
                                <w:iCs/>
                                <w:lang w:val="fr-FR"/>
                              </w:rPr>
                              <w:t xml:space="preserve">Évaluation d’impact et espèces migratrices </w:t>
                            </w:r>
                            <w:r>
                              <w:rPr>
                                <w:rFonts w:cs="Arial"/>
                                <w:lang w:val="fr-FR"/>
                              </w:rPr>
                              <w:t>et de la Résolution</w:t>
                            </w:r>
                            <w:r w:rsidR="00DA09F4">
                              <w:rPr>
                                <w:rFonts w:cs="Arial"/>
                                <w:lang w:val="fr-FR"/>
                              </w:rPr>
                              <w:t> </w:t>
                            </w:r>
                            <w:r>
                              <w:rPr>
                                <w:rFonts w:cs="Arial"/>
                                <w:lang w:val="fr-FR"/>
                              </w:rPr>
                              <w:t xml:space="preserve">7.2 (Rev.COP14) </w:t>
                            </w:r>
                            <w:r>
                              <w:rPr>
                                <w:rFonts w:cs="Arial"/>
                                <w:i/>
                                <w:iCs/>
                                <w:lang w:val="fr-FR"/>
                              </w:rPr>
                              <w:t>Évaluation de l’impact et espèces migratrices</w:t>
                            </w:r>
                            <w:r>
                              <w:rPr>
                                <w:rFonts w:cs="Arial"/>
                                <w:lang w:val="fr-FR"/>
                              </w:rPr>
                              <w:t xml:space="preserve">. </w:t>
                            </w:r>
                            <w:r w:rsidR="00BA0094" w:rsidRPr="00BA0094">
                              <w:rPr>
                                <w:rFonts w:cs="Arial"/>
                                <w:lang w:val="fr-FR"/>
                              </w:rPr>
                              <w:t xml:space="preserve">Il propose des amendements à la résolution 7.2 (Rev.COP14), qui sont présentés dans le document UNEP/CMS/COP15/Doc.28.10 </w:t>
                            </w:r>
                            <w:r w:rsidR="00BA0094" w:rsidRPr="00EA7424">
                              <w:rPr>
                                <w:rFonts w:cs="Arial"/>
                                <w:i/>
                                <w:iCs/>
                                <w:lang w:val="fr-FR"/>
                              </w:rPr>
                              <w:t>Développement des infrastructures et espèces migratrices</w:t>
                            </w:r>
                            <w:r w:rsidR="00BA0094" w:rsidRPr="00BA0094">
                              <w:rPr>
                                <w:rFonts w:cs="Arial"/>
                                <w:lang w:val="fr-FR"/>
                              </w:rPr>
                              <w:t>, ainsi que des amendements supplémentaires du groupe de travail sur les infrastructures. Il propose également de nouveaux projets de décisions et la suppression des décisions 14.204-14.206.</w:t>
                            </w:r>
                          </w:p>
                          <w:p w14:paraId="6C00BC39" w14:textId="77777777" w:rsidR="00646050" w:rsidRDefault="00646050">
                            <w:pPr>
                              <w:rPr>
                                <w:rFonts w:cs="Arial"/>
                                <w:lang w:val="fr-FR"/>
                              </w:rPr>
                            </w:pPr>
                          </w:p>
                          <w:p w14:paraId="7341BF87" w14:textId="0E16E64E" w:rsidR="00646050" w:rsidRDefault="00646050">
                            <w:pPr>
                              <w:rPr>
                                <w:rFonts w:cs="Arial"/>
                                <w:lang w:val="fr-FR"/>
                              </w:rPr>
                            </w:pPr>
                            <w:r>
                              <w:rPr>
                                <w:rFonts w:cs="Arial"/>
                                <w:lang w:val="fr-FR"/>
                              </w:rPr>
                              <w:t>Les projets de Résolutions et de Décisions ci-joints contribueraient à la réalisation des cibles</w:t>
                            </w:r>
                            <w:r w:rsidR="00DA09F4">
                              <w:rPr>
                                <w:rFonts w:cs="Arial"/>
                                <w:lang w:val="fr-FR"/>
                              </w:rPr>
                              <w:t> </w:t>
                            </w:r>
                            <w:r>
                              <w:rPr>
                                <w:rFonts w:cs="Arial"/>
                                <w:lang w:val="fr-FR"/>
                              </w:rPr>
                              <w:t>3.1–3.5 et 4.1 du Plan stratégique de Samarcande pour les espèces migratrices</w:t>
                            </w:r>
                            <w:r w:rsidR="00DA09F4">
                              <w:rPr>
                                <w:rFonts w:cs="Arial"/>
                                <w:lang w:val="fr-FR"/>
                              </w:rPr>
                              <w:t> </w:t>
                            </w:r>
                            <w:r>
                              <w:rPr>
                                <w:rFonts w:cs="Arial"/>
                                <w:lang w:val="fr-FR"/>
                              </w:rPr>
                              <w:t xml:space="preserve">2024-2032. </w:t>
                            </w:r>
                          </w:p>
                          <w:p w14:paraId="3C5DA2BE" w14:textId="77777777" w:rsidR="00646050" w:rsidRDefault="00646050">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74.25pt;margin-top:8.55pt;width:374.25pt;height:2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" strokeweight=".08811mm">
                <v:textbox>
                  <w:txbxContent>
                    <w:p w14:paraId="164450B2" w14:textId="0C8CAEFF" w:rsidR="00646050" w:rsidRDefault="00646050">
                      <w:pPr>
                        <w:rPr>
                          <w:rFonts w:cs="Arial"/>
                          <w:lang w:val="fr-FR"/>
                        </w:rPr>
                      </w:pPr>
                      <w:r>
                        <w:rPr>
                          <w:rFonts w:cs="Arial"/>
                          <w:lang w:val="fr-FR"/>
                        </w:rPr>
                        <w:t>Résumé</w:t>
                      </w:r>
                      <w:r w:rsidR="00DA09F4">
                        <w:rPr>
                          <w:rFonts w:cs="Arial"/>
                          <w:lang w:val="fr-FR"/>
                        </w:rPr>
                        <w:t> </w:t>
                      </w:r>
                      <w:r>
                        <w:rPr>
                          <w:rFonts w:cs="Arial"/>
                          <w:lang w:val="fr-FR"/>
                        </w:rPr>
                        <w:t>:</w:t>
                      </w:r>
                    </w:p>
                    <w:p w14:paraId="55D87D1A" w14:textId="77777777" w:rsidR="00646050" w:rsidRDefault="00646050">
                      <w:pPr>
                        <w:rPr>
                          <w:rFonts w:cs="Arial"/>
                          <w:lang w:val="fr-FR"/>
                        </w:rPr>
                      </w:pPr>
                    </w:p>
                    <w:p w14:paraId="6D443060" w14:textId="17C464BF" w:rsidR="00646050" w:rsidRDefault="00646050">
                      <w:pPr>
                        <w:rPr>
                          <w:rFonts w:cs="Arial"/>
                          <w:lang w:val="fr-FR"/>
                        </w:rPr>
                      </w:pPr>
                      <w:r>
                        <w:rPr>
                          <w:rFonts w:cs="Arial"/>
                          <w:lang w:val="fr-FR"/>
                        </w:rPr>
                        <w:t>Le présent document fait état des avancées dans la mise en œuvre des décisions</w:t>
                      </w:r>
                      <w:r w:rsidR="00DA09F4">
                        <w:rPr>
                          <w:rFonts w:cs="Arial"/>
                          <w:lang w:val="fr-FR"/>
                        </w:rPr>
                        <w:t> </w:t>
                      </w:r>
                      <w:r>
                        <w:rPr>
                          <w:rFonts w:cs="Arial"/>
                          <w:lang w:val="fr-FR"/>
                        </w:rPr>
                        <w:t xml:space="preserve">14.204–14.206 </w:t>
                      </w:r>
                      <w:r>
                        <w:rPr>
                          <w:rFonts w:cs="Arial"/>
                          <w:i/>
                          <w:iCs/>
                          <w:lang w:val="fr-FR"/>
                        </w:rPr>
                        <w:t xml:space="preserve">Évaluation d’impact et espèces migratrices </w:t>
                      </w:r>
                      <w:r>
                        <w:rPr>
                          <w:rFonts w:cs="Arial"/>
                          <w:lang w:val="fr-FR"/>
                        </w:rPr>
                        <w:t>et de la Résolution</w:t>
                      </w:r>
                      <w:r w:rsidR="00DA09F4">
                        <w:rPr>
                          <w:rFonts w:cs="Arial"/>
                          <w:lang w:val="fr-FR"/>
                        </w:rPr>
                        <w:t> </w:t>
                      </w:r>
                      <w:r>
                        <w:rPr>
                          <w:rFonts w:cs="Arial"/>
                          <w:lang w:val="fr-FR"/>
                        </w:rPr>
                        <w:t xml:space="preserve">7.2 (Rev.COP14) </w:t>
                      </w:r>
                      <w:r>
                        <w:rPr>
                          <w:rFonts w:cs="Arial"/>
                          <w:i/>
                          <w:iCs/>
                          <w:lang w:val="fr-FR"/>
                        </w:rPr>
                        <w:t>Évaluation de l’impact et espèces migratrices</w:t>
                      </w:r>
                      <w:r>
                        <w:rPr>
                          <w:rFonts w:cs="Arial"/>
                          <w:lang w:val="fr-FR"/>
                        </w:rPr>
                        <w:t xml:space="preserve">. </w:t>
                      </w:r>
                      <w:r w:rsidR="00BA0094" w:rsidRPr="00BA0094">
                        <w:rPr>
                          <w:rFonts w:cs="Arial"/>
                          <w:lang w:val="fr-FR"/>
                        </w:rPr>
                        <w:t xml:space="preserve">Il propose des amendements à la résolution 7.2 (Rev.COP14), qui sont présentés dans le document UNEP/CMS/COP15/Doc.28.10 </w:t>
                      </w:r>
                      <w:r w:rsidR="00BA0094" w:rsidRPr="00EA7424">
                        <w:rPr>
                          <w:rFonts w:cs="Arial"/>
                          <w:i/>
                          <w:iCs/>
                          <w:lang w:val="fr-FR"/>
                        </w:rPr>
                        <w:t>Développement des infrastructures et espèces migratrices</w:t>
                      </w:r>
                      <w:r w:rsidR="00BA0094" w:rsidRPr="00BA0094">
                        <w:rPr>
                          <w:rFonts w:cs="Arial"/>
                          <w:lang w:val="fr-FR"/>
                        </w:rPr>
                        <w:t>, ainsi que des amendements supplémentaires du groupe de travail sur les infrastructures. Il propose également de nouveaux projets de décisions et la suppression des décisions 14.204-14.206.</w:t>
                      </w:r>
                    </w:p>
                    <w:p w14:paraId="6C00BC39" w14:textId="77777777" w:rsidR="00646050" w:rsidRDefault="00646050">
                      <w:pPr>
                        <w:rPr>
                          <w:rFonts w:cs="Arial"/>
                          <w:lang w:val="fr-FR"/>
                        </w:rPr>
                      </w:pPr>
                    </w:p>
                    <w:p w14:paraId="7341BF87" w14:textId="0E16E64E" w:rsidR="00646050" w:rsidRDefault="00646050">
                      <w:pPr>
                        <w:rPr>
                          <w:rFonts w:cs="Arial"/>
                          <w:lang w:val="fr-FR"/>
                        </w:rPr>
                      </w:pPr>
                      <w:r>
                        <w:rPr>
                          <w:rFonts w:cs="Arial"/>
                          <w:lang w:val="fr-FR"/>
                        </w:rPr>
                        <w:t>Les projets de Résolutions et de Décisions ci-joints contribueraient à la réalisation des cibles</w:t>
                      </w:r>
                      <w:r w:rsidR="00DA09F4">
                        <w:rPr>
                          <w:rFonts w:cs="Arial"/>
                          <w:lang w:val="fr-FR"/>
                        </w:rPr>
                        <w:t> </w:t>
                      </w:r>
                      <w:r>
                        <w:rPr>
                          <w:rFonts w:cs="Arial"/>
                          <w:lang w:val="fr-FR"/>
                        </w:rPr>
                        <w:t>3.1–3.5 et 4.1 du Plan stratégique de Samarcande pour les espèces migratrices</w:t>
                      </w:r>
                      <w:r w:rsidR="00DA09F4">
                        <w:rPr>
                          <w:rFonts w:cs="Arial"/>
                          <w:lang w:val="fr-FR"/>
                        </w:rPr>
                        <w:t> </w:t>
                      </w:r>
                      <w:r>
                        <w:rPr>
                          <w:rFonts w:cs="Arial"/>
                          <w:lang w:val="fr-FR"/>
                        </w:rPr>
                        <w:t xml:space="preserve">2024-2032. </w:t>
                      </w:r>
                    </w:p>
                    <w:p w14:paraId="3C5DA2BE" w14:textId="77777777" w:rsidR="00646050" w:rsidRDefault="00646050">
                      <w:pPr>
                        <w:rPr>
                          <w:rFonts w:cs="Arial"/>
                          <w:lang w:val="fr-FR"/>
                        </w:rPr>
                      </w:pPr>
                    </w:p>
                  </w:txbxContent>
                </v:textbox>
              </v:shape>
            </w:pict>
          </mc:Fallback>
        </mc:AlternateContent>
      </w:r>
    </w:p>
    <w:p w14:paraId="6F3920DF"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DAF00A5" w14:textId="77777777" w:rsidR="00C65EA4" w:rsidRDefault="00C65EA4">
      <w:pPr>
        <w:widowControl w:val="0"/>
        <w:suppressAutoHyphens/>
        <w:autoSpaceDE w:val="0"/>
        <w:autoSpaceDN w:val="0"/>
        <w:textAlignment w:val="baseline"/>
        <w:rPr>
          <w:rFonts w:eastAsia="Times New Roman" w:cs="Arial"/>
          <w:sz w:val="21"/>
          <w:szCs w:val="21"/>
          <w:lang w:val="fr-FR"/>
        </w:rPr>
      </w:pPr>
    </w:p>
    <w:p w14:paraId="3DB8C10A"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3D2634A"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937F2B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22680305" w14:textId="77777777" w:rsidR="00C65EA4" w:rsidRDefault="00C65EA4">
      <w:pPr>
        <w:widowControl w:val="0"/>
        <w:suppressAutoHyphens/>
        <w:autoSpaceDE w:val="0"/>
        <w:autoSpaceDN w:val="0"/>
        <w:textAlignment w:val="baseline"/>
        <w:rPr>
          <w:rFonts w:eastAsia="Times New Roman" w:cs="Arial"/>
          <w:sz w:val="21"/>
          <w:szCs w:val="21"/>
          <w:lang w:val="fr-FR"/>
        </w:rPr>
      </w:pPr>
    </w:p>
    <w:p w14:paraId="0B489FCD" w14:textId="77777777" w:rsidR="00C65EA4" w:rsidRDefault="00C65EA4">
      <w:pPr>
        <w:widowControl w:val="0"/>
        <w:suppressAutoHyphens/>
        <w:autoSpaceDE w:val="0"/>
        <w:autoSpaceDN w:val="0"/>
        <w:textAlignment w:val="baseline"/>
        <w:rPr>
          <w:rFonts w:eastAsia="Times New Roman" w:cs="Arial"/>
          <w:sz w:val="21"/>
          <w:szCs w:val="21"/>
          <w:lang w:val="fr-FR"/>
        </w:rPr>
      </w:pPr>
    </w:p>
    <w:p w14:paraId="7C272BC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05C83762"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D017142"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B62D5D4" w14:textId="77777777" w:rsidR="00C65EA4" w:rsidRDefault="00C65EA4">
      <w:pPr>
        <w:widowControl w:val="0"/>
        <w:suppressAutoHyphens/>
        <w:autoSpaceDE w:val="0"/>
        <w:autoSpaceDN w:val="0"/>
        <w:textAlignment w:val="baseline"/>
        <w:rPr>
          <w:rFonts w:eastAsia="Times New Roman" w:cs="Arial"/>
          <w:sz w:val="21"/>
          <w:szCs w:val="21"/>
          <w:lang w:val="fr-FR"/>
        </w:rPr>
      </w:pPr>
    </w:p>
    <w:p w14:paraId="49B212B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4F85A5B7" w14:textId="77777777" w:rsidR="00C65EA4" w:rsidRDefault="00C65EA4">
      <w:pPr>
        <w:widowControl w:val="0"/>
        <w:suppressAutoHyphens/>
        <w:autoSpaceDE w:val="0"/>
        <w:autoSpaceDN w:val="0"/>
        <w:textAlignment w:val="baseline"/>
        <w:rPr>
          <w:rFonts w:eastAsia="Times New Roman" w:cs="Arial"/>
          <w:sz w:val="21"/>
          <w:szCs w:val="21"/>
          <w:lang w:val="fr-FR"/>
        </w:rPr>
      </w:pPr>
    </w:p>
    <w:p w14:paraId="55333B24" w14:textId="77777777" w:rsidR="00C65EA4" w:rsidRDefault="00C65EA4">
      <w:pPr>
        <w:widowControl w:val="0"/>
        <w:suppressAutoHyphens/>
        <w:autoSpaceDE w:val="0"/>
        <w:autoSpaceDN w:val="0"/>
        <w:textAlignment w:val="baseline"/>
        <w:rPr>
          <w:rFonts w:eastAsia="Times New Roman" w:cs="Arial"/>
          <w:sz w:val="21"/>
          <w:szCs w:val="21"/>
          <w:lang w:val="fr-FR"/>
        </w:rPr>
      </w:pPr>
    </w:p>
    <w:p w14:paraId="2970AFDE" w14:textId="77777777" w:rsidR="00C65EA4" w:rsidRDefault="00C65EA4">
      <w:pPr>
        <w:widowControl w:val="0"/>
        <w:suppressAutoHyphens/>
        <w:autoSpaceDE w:val="0"/>
        <w:autoSpaceDN w:val="0"/>
        <w:textAlignment w:val="baseline"/>
        <w:rPr>
          <w:rFonts w:eastAsia="Times New Roman" w:cs="Arial"/>
          <w:sz w:val="21"/>
          <w:szCs w:val="21"/>
          <w:lang w:val="fr-FR"/>
        </w:rPr>
      </w:pPr>
    </w:p>
    <w:p w14:paraId="63179EAE" w14:textId="77777777" w:rsidR="00C65EA4" w:rsidRDefault="00C65EA4">
      <w:pPr>
        <w:widowControl w:val="0"/>
        <w:suppressAutoHyphens/>
        <w:autoSpaceDE w:val="0"/>
        <w:autoSpaceDN w:val="0"/>
        <w:textAlignment w:val="baseline"/>
        <w:rPr>
          <w:rFonts w:eastAsia="Times New Roman" w:cs="Arial"/>
          <w:sz w:val="21"/>
          <w:szCs w:val="21"/>
          <w:lang w:val="fr-FR"/>
        </w:rPr>
      </w:pPr>
    </w:p>
    <w:p w14:paraId="1C2F5A8C" w14:textId="77777777" w:rsidR="00C65EA4" w:rsidRDefault="00C65EA4">
      <w:pPr>
        <w:widowControl w:val="0"/>
        <w:suppressAutoHyphens/>
        <w:autoSpaceDE w:val="0"/>
        <w:autoSpaceDN w:val="0"/>
        <w:textAlignment w:val="baseline"/>
        <w:rPr>
          <w:rFonts w:eastAsia="Times New Roman" w:cs="Arial"/>
          <w:sz w:val="21"/>
          <w:szCs w:val="21"/>
          <w:lang w:val="fr-FR"/>
        </w:rPr>
      </w:pPr>
    </w:p>
    <w:p w14:paraId="5FB15E76" w14:textId="77777777" w:rsidR="00C65EA4" w:rsidRDefault="00C65EA4">
      <w:pPr>
        <w:widowControl w:val="0"/>
        <w:tabs>
          <w:tab w:val="left" w:pos="7245"/>
        </w:tabs>
        <w:suppressAutoHyphens/>
        <w:autoSpaceDE w:val="0"/>
        <w:autoSpaceDN w:val="0"/>
        <w:textAlignment w:val="baseline"/>
        <w:rPr>
          <w:rFonts w:eastAsia="Times New Roman" w:cs="Arial"/>
          <w:sz w:val="21"/>
          <w:szCs w:val="21"/>
          <w:lang w:val="fr-FR"/>
        </w:rPr>
      </w:pPr>
    </w:p>
    <w:p w14:paraId="3281B826" w14:textId="77777777" w:rsidR="00C65EA4" w:rsidRDefault="00C65EA4">
      <w:pPr>
        <w:widowControl w:val="0"/>
        <w:suppressAutoHyphens/>
        <w:autoSpaceDE w:val="0"/>
        <w:autoSpaceDN w:val="0"/>
        <w:textAlignment w:val="baseline"/>
        <w:rPr>
          <w:rFonts w:eastAsia="Times New Roman" w:cs="Arial"/>
          <w:lang w:val="fr-FR"/>
        </w:rPr>
      </w:pPr>
    </w:p>
    <w:p w14:paraId="35825722" w14:textId="77777777" w:rsidR="00C65EA4" w:rsidRDefault="00C65EA4">
      <w:pPr>
        <w:widowControl w:val="0"/>
        <w:suppressAutoHyphens/>
        <w:autoSpaceDE w:val="0"/>
        <w:autoSpaceDN w:val="0"/>
        <w:textAlignment w:val="baseline"/>
        <w:rPr>
          <w:rFonts w:eastAsia="Times New Roman" w:cs="Arial"/>
          <w:lang w:val="fr-FR"/>
        </w:rPr>
      </w:pPr>
    </w:p>
    <w:p w14:paraId="64557835" w14:textId="77777777" w:rsidR="00C65EA4" w:rsidRDefault="00C65EA4">
      <w:pPr>
        <w:rPr>
          <w:rFonts w:cs="Arial"/>
          <w:lang w:val="fr-FR"/>
        </w:rPr>
      </w:pPr>
    </w:p>
    <w:p w14:paraId="3DF186AF" w14:textId="77777777" w:rsidR="00C65EA4" w:rsidRDefault="00C65EA4">
      <w:pPr>
        <w:rPr>
          <w:rFonts w:cs="Arial"/>
          <w:lang w:val="fr-FR"/>
        </w:rPr>
      </w:pPr>
    </w:p>
    <w:p w14:paraId="75C8C3F5" w14:textId="77777777" w:rsidR="00C65EA4" w:rsidRDefault="00C65EA4">
      <w:pPr>
        <w:rPr>
          <w:rFonts w:cs="Arial"/>
          <w:lang w:val="fr-FR"/>
        </w:rPr>
      </w:pPr>
    </w:p>
    <w:p w14:paraId="32128CC9" w14:textId="77777777" w:rsidR="00C65EA4" w:rsidRDefault="00C65EA4">
      <w:pPr>
        <w:rPr>
          <w:lang w:val="fr-FR"/>
        </w:rPr>
      </w:pPr>
    </w:p>
    <w:p w14:paraId="6CE45275" w14:textId="77777777" w:rsidR="00C65EA4" w:rsidRDefault="00C65EA4">
      <w:pPr>
        <w:rPr>
          <w:lang w:val="fr-FR"/>
        </w:rPr>
        <w:sectPr w:rsidR="00C65EA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E3C36FC" w14:textId="77777777" w:rsidR="00C65EA4" w:rsidRDefault="00646050">
      <w:pPr>
        <w:pStyle w:val="Title1"/>
        <w:rPr>
          <w:lang w:val="fr-FR"/>
        </w:rPr>
      </w:pPr>
      <w:r>
        <w:rPr>
          <w:lang w:val="fr-FR"/>
        </w:rPr>
        <w:lastRenderedPageBreak/>
        <w:t>ÉVALUATIONS DES EFFETS CUMULATIFS</w:t>
      </w:r>
    </w:p>
    <w:p w14:paraId="37162B5A" w14:textId="77777777" w:rsidR="00C65EA4" w:rsidRDefault="00C65EA4">
      <w:pPr>
        <w:suppressAutoHyphens/>
        <w:autoSpaceDN w:val="0"/>
        <w:textAlignment w:val="baseline"/>
        <w:rPr>
          <w:rFonts w:eastAsia="Calibri" w:cs="Arial"/>
          <w:sz w:val="20"/>
          <w:szCs w:val="20"/>
          <w:lang w:val="fr-FR"/>
        </w:rPr>
      </w:pPr>
    </w:p>
    <w:p w14:paraId="6889F24F" w14:textId="77777777" w:rsidR="00C65EA4" w:rsidRDefault="00C65EA4">
      <w:pPr>
        <w:suppressAutoHyphens/>
        <w:autoSpaceDN w:val="0"/>
        <w:textAlignment w:val="baseline"/>
        <w:rPr>
          <w:rFonts w:eastAsia="Calibri" w:cs="Arial"/>
          <w:sz w:val="20"/>
          <w:szCs w:val="20"/>
          <w:lang w:val="fr-FR"/>
        </w:rPr>
      </w:pPr>
    </w:p>
    <w:p w14:paraId="0F21C001" w14:textId="77777777" w:rsidR="00C65EA4" w:rsidRDefault="00646050">
      <w:pPr>
        <w:suppressAutoHyphens/>
        <w:autoSpaceDN w:val="0"/>
        <w:textAlignment w:val="baseline"/>
        <w:rPr>
          <w:rFonts w:eastAsia="Calibri" w:cs="Arial"/>
          <w:u w:val="single"/>
          <w:lang w:val="fr-FR"/>
        </w:rPr>
      </w:pPr>
      <w:r>
        <w:rPr>
          <w:rFonts w:eastAsia="Calibri" w:cs="Arial"/>
          <w:u w:val="single"/>
          <w:lang w:val="fr-FR"/>
        </w:rPr>
        <w:t>Contexte</w:t>
      </w:r>
    </w:p>
    <w:p w14:paraId="1CCFB125" w14:textId="77777777" w:rsidR="00C65EA4" w:rsidRDefault="00C65EA4">
      <w:pPr>
        <w:rPr>
          <w:sz w:val="20"/>
          <w:szCs w:val="20"/>
          <w:lang w:val="fr-FR"/>
        </w:rPr>
      </w:pPr>
    </w:p>
    <w:bookmarkStart w:id="0" w:name="_Hlk19517251"/>
    <w:p w14:paraId="66CB968E" w14:textId="62D216E0" w:rsidR="00C65EA4" w:rsidRDefault="00646050">
      <w:pPr>
        <w:widowControl w:val="0"/>
        <w:numPr>
          <w:ilvl w:val="0"/>
          <w:numId w:val="4"/>
        </w:numPr>
        <w:autoSpaceDE w:val="0"/>
        <w:autoSpaceDN w:val="0"/>
        <w:adjustRightInd w:val="0"/>
        <w:ind w:left="567" w:hanging="567"/>
        <w:contextualSpacing/>
        <w:rPr>
          <w:rFonts w:cs="Arial"/>
          <w:lang w:val="fr-FR"/>
        </w:rPr>
      </w:pPr>
      <w:r>
        <w:rPr>
          <w:rFonts w:cs="Arial"/>
          <w:lang w:val="fr-FR"/>
        </w:rPr>
        <w:fldChar w:fldCharType="begin"/>
      </w:r>
      <w:r w:rsidR="00555E59">
        <w:rPr>
          <w:rFonts w:cs="Arial"/>
          <w:lang w:val="fr-FR"/>
        </w:rPr>
        <w:instrText>HYPERLINK "https://www.cms.int/fr/node/25245"</w:instrText>
      </w:r>
      <w:r>
        <w:rPr>
          <w:rFonts w:cs="Arial"/>
          <w:lang w:val="fr-FR"/>
        </w:rPr>
      </w:r>
      <w:r>
        <w:rPr>
          <w:rFonts w:cs="Arial"/>
          <w:lang w:val="fr-FR"/>
        </w:rPr>
        <w:fldChar w:fldCharType="separate"/>
      </w:r>
      <w:r>
        <w:rPr>
          <w:rStyle w:val="Hyperlink"/>
          <w:rFonts w:cs="Arial"/>
          <w:lang w:val="fr-FR"/>
        </w:rPr>
        <w:t>La Résolution</w:t>
      </w:r>
      <w:r w:rsidR="00DA09F4">
        <w:rPr>
          <w:rStyle w:val="Hyperlink"/>
          <w:rFonts w:cs="Arial"/>
          <w:lang w:val="fr-FR"/>
        </w:rPr>
        <w:t> </w:t>
      </w:r>
      <w:r>
        <w:rPr>
          <w:rStyle w:val="Hyperlink"/>
          <w:rFonts w:cs="Arial"/>
          <w:lang w:val="fr-FR"/>
        </w:rPr>
        <w:t>7.2 (Rev.COP14)</w:t>
      </w:r>
      <w:r>
        <w:rPr>
          <w:rFonts w:cs="Arial"/>
          <w:lang w:val="fr-FR"/>
        </w:rPr>
        <w:fldChar w:fldCharType="end"/>
      </w:r>
      <w:r>
        <w:rPr>
          <w:rFonts w:cs="Arial"/>
          <w:lang w:val="fr-FR"/>
        </w:rPr>
        <w:t xml:space="preserve"> </w:t>
      </w:r>
      <w:r>
        <w:rPr>
          <w:rFonts w:cs="Arial"/>
          <w:i/>
          <w:iCs/>
          <w:lang w:val="fr-FR"/>
        </w:rPr>
        <w:t>Évaluation de l’impact et espèces migratrices</w:t>
      </w:r>
      <w:r>
        <w:rPr>
          <w:rFonts w:cs="Arial"/>
          <w:lang w:val="fr-FR"/>
        </w:rPr>
        <w:t xml:space="preserve"> souligne l’importance des effets cumulatifs dans le cadre d’études d’impact sur l’environnement et d’évaluations environnementales stratégiques de bonne qualité.  </w:t>
      </w:r>
    </w:p>
    <w:bookmarkEnd w:id="0"/>
    <w:p w14:paraId="2B5BB5AE" w14:textId="77777777" w:rsidR="00C65EA4" w:rsidRDefault="00C65EA4">
      <w:pPr>
        <w:widowControl w:val="0"/>
        <w:autoSpaceDE w:val="0"/>
        <w:autoSpaceDN w:val="0"/>
        <w:adjustRightInd w:val="0"/>
        <w:contextualSpacing/>
        <w:rPr>
          <w:rFonts w:cs="Arial"/>
          <w:sz w:val="20"/>
          <w:szCs w:val="20"/>
          <w:lang w:val="fr-FR"/>
        </w:rPr>
      </w:pPr>
    </w:p>
    <w:p w14:paraId="7855A3DB" w14:textId="30D618FD" w:rsidR="00C65EA4" w:rsidRDefault="00646050">
      <w:pPr>
        <w:widowControl w:val="0"/>
        <w:numPr>
          <w:ilvl w:val="0"/>
          <w:numId w:val="4"/>
        </w:numPr>
        <w:autoSpaceDE w:val="0"/>
        <w:autoSpaceDN w:val="0"/>
        <w:adjustRightInd w:val="0"/>
        <w:ind w:left="567" w:hanging="567"/>
        <w:contextualSpacing/>
        <w:rPr>
          <w:rFonts w:cs="Arial"/>
          <w:lang w:val="fr-FR"/>
        </w:rPr>
      </w:pPr>
      <w:r>
        <w:rPr>
          <w:rFonts w:cs="Arial"/>
          <w:lang w:val="fr-FR"/>
        </w:rPr>
        <w:t>Les décisions suivantes ont été adoptées par la COP14 à cet égard</w:t>
      </w:r>
      <w:r w:rsidR="00DA09F4">
        <w:rPr>
          <w:rFonts w:cs="Arial"/>
          <w:lang w:val="fr-FR"/>
        </w:rPr>
        <w:t> </w:t>
      </w:r>
      <w:r>
        <w:rPr>
          <w:rFonts w:cs="Arial"/>
          <w:lang w:val="fr-FR"/>
        </w:rPr>
        <w:t>:</w:t>
      </w:r>
    </w:p>
    <w:p w14:paraId="087C0BFD" w14:textId="77777777" w:rsidR="00C65EA4" w:rsidRDefault="00C65EA4">
      <w:pPr>
        <w:widowControl w:val="0"/>
        <w:autoSpaceDE w:val="0"/>
        <w:autoSpaceDN w:val="0"/>
        <w:adjustRightInd w:val="0"/>
        <w:contextualSpacing/>
        <w:rPr>
          <w:rFonts w:cs="Arial"/>
          <w:lang w:val="fr-FR"/>
        </w:rPr>
      </w:pPr>
    </w:p>
    <w:p w14:paraId="19E48D1A" w14:textId="5ECA0FE8" w:rsidR="00C65EA4" w:rsidRPr="00B44981" w:rsidRDefault="00646050" w:rsidP="003A38C7">
      <w:pPr>
        <w:widowControl w:val="0"/>
        <w:autoSpaceDE w:val="0"/>
        <w:autoSpaceDN w:val="0"/>
        <w:adjustRightInd w:val="0"/>
        <w:ind w:left="851"/>
        <w:contextualSpacing/>
        <w:rPr>
          <w:rFonts w:cs="Arial"/>
          <w:b/>
          <w:bCs/>
          <w:i/>
          <w:iCs/>
          <w:sz w:val="20"/>
          <w:szCs w:val="20"/>
          <w:lang w:val="fr-FR"/>
        </w:rPr>
      </w:pPr>
      <w:r w:rsidRPr="00B44981">
        <w:rPr>
          <w:rFonts w:cs="Arial"/>
          <w:b/>
          <w:bCs/>
          <w:i/>
          <w:iCs/>
          <w:sz w:val="20"/>
          <w:szCs w:val="20"/>
          <w:lang w:val="fr-FR"/>
        </w:rPr>
        <w:t>D</w:t>
      </w:r>
      <w:r w:rsidR="0008409D" w:rsidRPr="00B44981">
        <w:rPr>
          <w:rFonts w:cs="Arial"/>
          <w:b/>
          <w:bCs/>
          <w:i/>
          <w:iCs/>
          <w:sz w:val="20"/>
          <w:szCs w:val="20"/>
          <w:lang w:val="fr-FR"/>
        </w:rPr>
        <w:t>é</w:t>
      </w:r>
      <w:r w:rsidRPr="00B44981">
        <w:rPr>
          <w:rFonts w:cs="Arial"/>
          <w:b/>
          <w:bCs/>
          <w:i/>
          <w:iCs/>
          <w:sz w:val="20"/>
          <w:szCs w:val="20"/>
          <w:lang w:val="fr-FR"/>
        </w:rPr>
        <w:t xml:space="preserve">cision 14.204 </w:t>
      </w:r>
      <w:r w:rsidR="0008409D" w:rsidRPr="00B44981">
        <w:rPr>
          <w:rFonts w:cs="Arial"/>
          <w:b/>
          <w:bCs/>
          <w:i/>
          <w:iCs/>
          <w:sz w:val="20"/>
          <w:szCs w:val="20"/>
          <w:lang w:val="fr-FR"/>
        </w:rPr>
        <w:t>À l’adresse des Parties</w:t>
      </w:r>
    </w:p>
    <w:p w14:paraId="7005EE04" w14:textId="77777777" w:rsidR="00C65EA4" w:rsidRPr="00B44981" w:rsidRDefault="00C65EA4" w:rsidP="003A38C7">
      <w:pPr>
        <w:widowControl w:val="0"/>
        <w:autoSpaceDE w:val="0"/>
        <w:autoSpaceDN w:val="0"/>
        <w:adjustRightInd w:val="0"/>
        <w:ind w:left="851"/>
        <w:contextualSpacing/>
        <w:rPr>
          <w:rFonts w:cs="Arial"/>
          <w:i/>
          <w:iCs/>
          <w:sz w:val="18"/>
          <w:szCs w:val="18"/>
          <w:highlight w:val="yellow"/>
          <w:lang w:val="fr-FR"/>
        </w:rPr>
      </w:pPr>
    </w:p>
    <w:p w14:paraId="7138E628" w14:textId="77777777" w:rsidR="00926C67" w:rsidRPr="00B44981" w:rsidRDefault="00926C67" w:rsidP="003A38C7">
      <w:pPr>
        <w:pStyle w:val="ListParagraph"/>
        <w:widowControl w:val="0"/>
        <w:autoSpaceDE w:val="0"/>
        <w:autoSpaceDN w:val="0"/>
        <w:adjustRightInd w:val="0"/>
        <w:ind w:left="851"/>
        <w:rPr>
          <w:rFonts w:cs="Arial"/>
          <w:i/>
          <w:iCs/>
          <w:sz w:val="20"/>
          <w:szCs w:val="20"/>
          <w:lang w:val="fr-FR"/>
        </w:rPr>
      </w:pPr>
      <w:r w:rsidRPr="00B44981">
        <w:rPr>
          <w:rFonts w:cs="Arial"/>
          <w:i/>
          <w:iCs/>
          <w:sz w:val="20"/>
          <w:szCs w:val="20"/>
          <w:lang w:val="fr-FR"/>
        </w:rPr>
        <w:t xml:space="preserve">Les Parties sont invitées à : </w:t>
      </w:r>
    </w:p>
    <w:p w14:paraId="4D8A693C" w14:textId="77777777" w:rsidR="00926C67" w:rsidRPr="00B44981" w:rsidRDefault="00926C67" w:rsidP="00926C67">
      <w:pPr>
        <w:pStyle w:val="ListParagraph"/>
        <w:widowControl w:val="0"/>
        <w:autoSpaceDE w:val="0"/>
        <w:autoSpaceDN w:val="0"/>
        <w:adjustRightInd w:val="0"/>
        <w:ind w:left="709"/>
        <w:rPr>
          <w:rFonts w:cs="Arial"/>
          <w:i/>
          <w:iCs/>
          <w:sz w:val="20"/>
          <w:szCs w:val="20"/>
          <w:lang w:val="fr-FR"/>
        </w:rPr>
      </w:pPr>
    </w:p>
    <w:p w14:paraId="533C2813" w14:textId="3E4CB2CB" w:rsidR="00B84DD2" w:rsidRPr="003A38C7" w:rsidRDefault="00926C67" w:rsidP="003A38C7">
      <w:pPr>
        <w:pStyle w:val="ListParagraph"/>
        <w:widowControl w:val="0"/>
        <w:autoSpaceDE w:val="0"/>
        <w:autoSpaceDN w:val="0"/>
        <w:adjustRightInd w:val="0"/>
        <w:spacing w:after="80"/>
        <w:ind w:left="1276" w:hanging="425"/>
        <w:contextualSpacing w:val="0"/>
        <w:rPr>
          <w:rFonts w:cs="Arial"/>
          <w:i/>
          <w:iCs/>
          <w:sz w:val="20"/>
          <w:szCs w:val="20"/>
          <w:lang w:val="fr-FR"/>
        </w:rPr>
      </w:pPr>
      <w:r w:rsidRPr="00B44981">
        <w:rPr>
          <w:rFonts w:cs="Arial"/>
          <w:i/>
          <w:iCs/>
          <w:sz w:val="20"/>
          <w:szCs w:val="20"/>
          <w:lang w:val="fr-FR"/>
        </w:rPr>
        <w:t xml:space="preserve">a) </w:t>
      </w:r>
      <w:r w:rsidR="00B84DD2">
        <w:rPr>
          <w:rFonts w:cs="Arial"/>
          <w:i/>
          <w:iCs/>
          <w:sz w:val="20"/>
          <w:szCs w:val="20"/>
          <w:lang w:val="fr-FR"/>
        </w:rPr>
        <w:tab/>
      </w:r>
      <w:r w:rsidRPr="00B44981">
        <w:rPr>
          <w:rFonts w:cs="Arial"/>
          <w:i/>
          <w:iCs/>
          <w:sz w:val="20"/>
          <w:szCs w:val="20"/>
          <w:lang w:val="fr-FR"/>
        </w:rPr>
        <w:t>par l’intermédiaire du Secrétariat, informer le Conseil scientifique lors de la 7e réunion du Comité de session sur les politiques nationales concernant les évaluations des effets cumulatifs provenant des Évaluations des impacts sur l'environnement (EIE) et des Évaluations environnementales stratégiques (EES), y compris les expériences et les enseignements tirés, et indiquer s’il y a un besoin d’orientation sur les évaluations des effets cumulatifs pour les mammifères marins ; et</w:t>
      </w:r>
    </w:p>
    <w:p w14:paraId="0468EEB0" w14:textId="690E56E9" w:rsidR="00C65EA4" w:rsidRPr="00B44981" w:rsidRDefault="00B44981" w:rsidP="003A38C7">
      <w:pPr>
        <w:widowControl w:val="0"/>
        <w:autoSpaceDE w:val="0"/>
        <w:autoSpaceDN w:val="0"/>
        <w:adjustRightInd w:val="0"/>
        <w:ind w:left="1276" w:hanging="425"/>
        <w:rPr>
          <w:rFonts w:cs="Arial"/>
          <w:i/>
          <w:iCs/>
          <w:sz w:val="20"/>
          <w:szCs w:val="20"/>
          <w:lang w:val="fr-FR"/>
        </w:rPr>
      </w:pPr>
      <w:r w:rsidRPr="00B44981">
        <w:rPr>
          <w:rFonts w:cs="Arial"/>
          <w:i/>
          <w:iCs/>
          <w:sz w:val="20"/>
          <w:szCs w:val="20"/>
          <w:lang w:val="fr-FR"/>
        </w:rPr>
        <w:t xml:space="preserve">b) </w:t>
      </w:r>
      <w:r w:rsidR="00B84DD2">
        <w:rPr>
          <w:rFonts w:cs="Arial"/>
          <w:i/>
          <w:iCs/>
          <w:sz w:val="20"/>
          <w:szCs w:val="20"/>
          <w:lang w:val="fr-FR"/>
        </w:rPr>
        <w:tab/>
      </w:r>
      <w:r w:rsidRPr="00B44981">
        <w:rPr>
          <w:rFonts w:cs="Arial"/>
          <w:i/>
          <w:iCs/>
          <w:sz w:val="20"/>
          <w:szCs w:val="20"/>
          <w:lang w:val="fr-FR"/>
        </w:rPr>
        <w:t>si un besoin d’orientation sur les évaluations des effets cumulatifs pour les mammifères marins est identifié, soutenir le Secrétariat dans l’obtention de l’expertise externe nécessaire à son développement.</w:t>
      </w:r>
    </w:p>
    <w:p w14:paraId="48997974" w14:textId="77777777" w:rsidR="00C65EA4" w:rsidRPr="00B44981" w:rsidRDefault="00C65EA4">
      <w:pPr>
        <w:widowControl w:val="0"/>
        <w:autoSpaceDE w:val="0"/>
        <w:autoSpaceDN w:val="0"/>
        <w:adjustRightInd w:val="0"/>
        <w:ind w:left="709"/>
        <w:contextualSpacing/>
        <w:rPr>
          <w:rFonts w:cs="Arial"/>
          <w:i/>
          <w:iCs/>
          <w:sz w:val="20"/>
          <w:szCs w:val="20"/>
          <w:highlight w:val="yellow"/>
          <w:lang w:val="fr-FR"/>
        </w:rPr>
      </w:pPr>
    </w:p>
    <w:p w14:paraId="42D534BA" w14:textId="09156A5D" w:rsidR="00C65EA4" w:rsidRPr="003A38C7" w:rsidRDefault="00646050" w:rsidP="003A38C7">
      <w:pPr>
        <w:widowControl w:val="0"/>
        <w:autoSpaceDE w:val="0"/>
        <w:autoSpaceDN w:val="0"/>
        <w:adjustRightInd w:val="0"/>
        <w:ind w:left="851"/>
        <w:rPr>
          <w:rFonts w:cs="Arial"/>
          <w:b/>
          <w:bCs/>
          <w:i/>
          <w:iCs/>
          <w:sz w:val="20"/>
          <w:szCs w:val="20"/>
          <w:lang w:val="fr-FR"/>
        </w:rPr>
      </w:pPr>
      <w:r w:rsidRPr="003A38C7">
        <w:rPr>
          <w:rFonts w:cs="Arial"/>
          <w:b/>
          <w:bCs/>
          <w:i/>
          <w:iCs/>
          <w:sz w:val="20"/>
          <w:szCs w:val="20"/>
          <w:lang w:val="fr-FR"/>
        </w:rPr>
        <w:t>D</w:t>
      </w:r>
      <w:r w:rsidR="00BB4E17" w:rsidRPr="003A38C7">
        <w:rPr>
          <w:rFonts w:cs="Arial"/>
          <w:b/>
          <w:bCs/>
          <w:i/>
          <w:iCs/>
          <w:sz w:val="20"/>
          <w:szCs w:val="20"/>
          <w:lang w:val="fr-FR"/>
        </w:rPr>
        <w:t>é</w:t>
      </w:r>
      <w:r w:rsidRPr="003A38C7">
        <w:rPr>
          <w:rFonts w:cs="Arial"/>
          <w:b/>
          <w:bCs/>
          <w:i/>
          <w:iCs/>
          <w:sz w:val="20"/>
          <w:szCs w:val="20"/>
          <w:lang w:val="fr-FR"/>
        </w:rPr>
        <w:t xml:space="preserve">cision 14.205 </w:t>
      </w:r>
      <w:r w:rsidR="00BB4E17" w:rsidRPr="003A38C7">
        <w:rPr>
          <w:rFonts w:cs="Arial"/>
          <w:b/>
          <w:bCs/>
          <w:i/>
          <w:iCs/>
          <w:sz w:val="20"/>
          <w:szCs w:val="20"/>
          <w:lang w:val="fr-FR"/>
        </w:rPr>
        <w:t>À l’adresse du Conseil scientifique</w:t>
      </w:r>
    </w:p>
    <w:p w14:paraId="08549865" w14:textId="77777777" w:rsidR="00C65EA4" w:rsidRPr="003A38C7" w:rsidRDefault="00C65EA4" w:rsidP="003A38C7">
      <w:pPr>
        <w:widowControl w:val="0"/>
        <w:autoSpaceDE w:val="0"/>
        <w:autoSpaceDN w:val="0"/>
        <w:adjustRightInd w:val="0"/>
        <w:ind w:left="851"/>
        <w:rPr>
          <w:rFonts w:cs="Arial"/>
          <w:i/>
          <w:iCs/>
          <w:sz w:val="18"/>
          <w:szCs w:val="18"/>
          <w:highlight w:val="yellow"/>
          <w:lang w:val="fr-FR"/>
        </w:rPr>
      </w:pPr>
    </w:p>
    <w:p w14:paraId="3066FF7C" w14:textId="0DB8AE88" w:rsidR="00C65EA4" w:rsidRPr="003A38C7" w:rsidRDefault="00FD7EC8" w:rsidP="003A38C7">
      <w:pPr>
        <w:widowControl w:val="0"/>
        <w:autoSpaceDE w:val="0"/>
        <w:autoSpaceDN w:val="0"/>
        <w:adjustRightInd w:val="0"/>
        <w:ind w:left="851"/>
        <w:rPr>
          <w:rFonts w:cs="Arial"/>
          <w:i/>
          <w:iCs/>
          <w:sz w:val="20"/>
          <w:szCs w:val="20"/>
          <w:highlight w:val="yellow"/>
          <w:lang w:val="fr-FR"/>
        </w:rPr>
      </w:pPr>
      <w:r w:rsidRPr="003A38C7">
        <w:rPr>
          <w:rFonts w:cs="Arial"/>
          <w:i/>
          <w:iCs/>
          <w:sz w:val="20"/>
          <w:szCs w:val="20"/>
          <w:lang w:val="fr-FR"/>
        </w:rPr>
        <w:t>Le Conseil scientifique, sous réserve de la disponibilité de ressources externes, examine les informations soumises par les Parties 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les mammifères marins si nécessaire, en vue de présenter les résultats à la 15e session de la Conférence des Parties.</w:t>
      </w:r>
    </w:p>
    <w:p w14:paraId="7A63F2A3" w14:textId="77777777" w:rsidR="00C65EA4" w:rsidRPr="003A38C7" w:rsidRDefault="00C65EA4" w:rsidP="003A38C7">
      <w:pPr>
        <w:widowControl w:val="0"/>
        <w:autoSpaceDE w:val="0"/>
        <w:autoSpaceDN w:val="0"/>
        <w:adjustRightInd w:val="0"/>
        <w:ind w:left="851"/>
        <w:rPr>
          <w:rFonts w:cs="Arial"/>
          <w:i/>
          <w:iCs/>
          <w:sz w:val="20"/>
          <w:szCs w:val="20"/>
          <w:highlight w:val="yellow"/>
          <w:lang w:val="fr-FR"/>
        </w:rPr>
      </w:pPr>
    </w:p>
    <w:p w14:paraId="7645B2C5" w14:textId="7E75718A" w:rsidR="00C65EA4" w:rsidRPr="003A38C7" w:rsidRDefault="00646050" w:rsidP="003A38C7">
      <w:pPr>
        <w:widowControl w:val="0"/>
        <w:autoSpaceDE w:val="0"/>
        <w:autoSpaceDN w:val="0"/>
        <w:adjustRightInd w:val="0"/>
        <w:ind w:left="851"/>
        <w:rPr>
          <w:rFonts w:cs="Arial"/>
          <w:i/>
          <w:iCs/>
          <w:sz w:val="18"/>
          <w:szCs w:val="18"/>
          <w:lang w:val="fr-FR"/>
        </w:rPr>
      </w:pPr>
      <w:r w:rsidRPr="003A38C7">
        <w:rPr>
          <w:rFonts w:cs="Arial"/>
          <w:b/>
          <w:bCs/>
          <w:i/>
          <w:iCs/>
          <w:sz w:val="20"/>
          <w:szCs w:val="20"/>
          <w:lang w:val="fr-FR"/>
        </w:rPr>
        <w:t>D</w:t>
      </w:r>
      <w:r w:rsidR="001C5AA9" w:rsidRPr="003A38C7">
        <w:rPr>
          <w:rFonts w:cs="Arial"/>
          <w:b/>
          <w:bCs/>
          <w:i/>
          <w:iCs/>
          <w:sz w:val="20"/>
          <w:szCs w:val="20"/>
          <w:lang w:val="fr-FR"/>
        </w:rPr>
        <w:t>é</w:t>
      </w:r>
      <w:r w:rsidRPr="003A38C7">
        <w:rPr>
          <w:rFonts w:cs="Arial"/>
          <w:b/>
          <w:bCs/>
          <w:i/>
          <w:iCs/>
          <w:sz w:val="20"/>
          <w:szCs w:val="20"/>
          <w:lang w:val="fr-FR"/>
        </w:rPr>
        <w:t xml:space="preserve">cision 14.206 </w:t>
      </w:r>
      <w:r w:rsidR="001C5AA9" w:rsidRPr="003A38C7">
        <w:rPr>
          <w:rFonts w:cs="Arial"/>
          <w:b/>
          <w:bCs/>
          <w:i/>
          <w:iCs/>
          <w:sz w:val="20"/>
          <w:szCs w:val="20"/>
          <w:lang w:val="fr-FR"/>
        </w:rPr>
        <w:t>À l’adresse du Secrétariat</w:t>
      </w:r>
    </w:p>
    <w:p w14:paraId="3476094D" w14:textId="77777777" w:rsidR="001C5AA9" w:rsidRPr="003A38C7" w:rsidRDefault="001C5AA9" w:rsidP="003A38C7">
      <w:pPr>
        <w:widowControl w:val="0"/>
        <w:autoSpaceDE w:val="0"/>
        <w:autoSpaceDN w:val="0"/>
        <w:adjustRightInd w:val="0"/>
        <w:ind w:left="851"/>
        <w:rPr>
          <w:rFonts w:cs="Arial"/>
          <w:i/>
          <w:iCs/>
          <w:sz w:val="20"/>
          <w:szCs w:val="20"/>
          <w:highlight w:val="yellow"/>
          <w:lang w:val="fr-FR"/>
        </w:rPr>
      </w:pPr>
    </w:p>
    <w:p w14:paraId="386FE13A" w14:textId="77777777" w:rsidR="001C5AA9" w:rsidRDefault="001C5AA9" w:rsidP="003A38C7">
      <w:pPr>
        <w:ind w:left="851"/>
        <w:rPr>
          <w:rFonts w:cs="Arial"/>
          <w:i/>
          <w:iCs/>
          <w:sz w:val="20"/>
          <w:szCs w:val="20"/>
          <w:lang w:val="fr-FR"/>
        </w:rPr>
      </w:pPr>
      <w:r w:rsidRPr="003A38C7">
        <w:rPr>
          <w:rFonts w:cs="Arial"/>
          <w:i/>
          <w:iCs/>
          <w:sz w:val="20"/>
          <w:szCs w:val="20"/>
          <w:lang w:val="fr-FR"/>
        </w:rPr>
        <w:t>Le Se</w:t>
      </w:r>
      <w:r w:rsidRPr="001C5AA9">
        <w:rPr>
          <w:rFonts w:cs="Arial"/>
          <w:i/>
          <w:iCs/>
          <w:sz w:val="20"/>
          <w:szCs w:val="20"/>
          <w:lang w:val="fr-FR"/>
        </w:rPr>
        <w:t xml:space="preserve">crétariat est invité à : </w:t>
      </w:r>
    </w:p>
    <w:p w14:paraId="01B1CCF0" w14:textId="77777777" w:rsidR="001C5AA9" w:rsidRPr="001C5AA9" w:rsidRDefault="001C5AA9" w:rsidP="001C5AA9">
      <w:pPr>
        <w:ind w:left="709"/>
        <w:rPr>
          <w:rFonts w:cs="Arial"/>
          <w:i/>
          <w:iCs/>
          <w:sz w:val="20"/>
          <w:szCs w:val="20"/>
          <w:lang w:val="fr-FR"/>
        </w:rPr>
      </w:pPr>
    </w:p>
    <w:p w14:paraId="7EB5D6EA" w14:textId="0CBBF82E" w:rsidR="001C5AA9" w:rsidRPr="001C5AA9" w:rsidRDefault="001C5AA9" w:rsidP="003A38C7">
      <w:pPr>
        <w:spacing w:after="80"/>
        <w:ind w:left="1276" w:hanging="425"/>
        <w:rPr>
          <w:rFonts w:cs="Arial"/>
          <w:i/>
          <w:iCs/>
          <w:sz w:val="20"/>
          <w:szCs w:val="20"/>
          <w:lang w:val="fr-FR"/>
        </w:rPr>
      </w:pPr>
      <w:r w:rsidRPr="001C5AA9">
        <w:rPr>
          <w:rFonts w:cs="Arial"/>
          <w:i/>
          <w:iCs/>
          <w:sz w:val="20"/>
          <w:szCs w:val="20"/>
          <w:lang w:val="fr-FR"/>
        </w:rPr>
        <w:t xml:space="preserve">a) </w:t>
      </w:r>
      <w:r>
        <w:rPr>
          <w:rFonts w:cs="Arial"/>
          <w:i/>
          <w:iCs/>
          <w:sz w:val="20"/>
          <w:szCs w:val="20"/>
          <w:lang w:val="fr-FR"/>
        </w:rPr>
        <w:tab/>
      </w:r>
      <w:r w:rsidRPr="001C5AA9">
        <w:rPr>
          <w:rFonts w:cs="Arial"/>
          <w:i/>
          <w:iCs/>
          <w:sz w:val="20"/>
          <w:szCs w:val="20"/>
          <w:lang w:val="fr-FR"/>
        </w:rPr>
        <w:t xml:space="preserve">demander des informations aux Parties sur les politiques nationales concernant les évaluations des effets cumulatifs, notamment, les expériences et les enseignements tirés, et indiquer s’il y a un besoin d'orientation sur les évaluations des effets cumulatifs pour les mammifères marins, en temps opportun pour examen par la 7e réunion du Comité de session du Conseil scientifique ; et </w:t>
      </w:r>
    </w:p>
    <w:p w14:paraId="5A0B4AD9" w14:textId="1A27B688" w:rsidR="00C65EA4" w:rsidRDefault="001C5AA9" w:rsidP="003A38C7">
      <w:pPr>
        <w:ind w:left="1276" w:hanging="425"/>
        <w:rPr>
          <w:rFonts w:cs="Arial"/>
          <w:i/>
          <w:iCs/>
          <w:sz w:val="20"/>
          <w:szCs w:val="20"/>
          <w:lang w:val="fr-FR"/>
        </w:rPr>
      </w:pPr>
      <w:r w:rsidRPr="001C5AA9">
        <w:rPr>
          <w:rFonts w:cs="Arial"/>
          <w:i/>
          <w:iCs/>
          <w:sz w:val="20"/>
          <w:szCs w:val="20"/>
          <w:lang w:val="fr-FR"/>
        </w:rPr>
        <w:t xml:space="preserve">b) </w:t>
      </w:r>
      <w:r>
        <w:rPr>
          <w:rFonts w:cs="Arial"/>
          <w:i/>
          <w:iCs/>
          <w:sz w:val="20"/>
          <w:szCs w:val="20"/>
          <w:lang w:val="fr-FR"/>
        </w:rPr>
        <w:tab/>
      </w:r>
      <w:r w:rsidRPr="001C5AA9">
        <w:rPr>
          <w:rFonts w:cs="Arial"/>
          <w:i/>
          <w:iCs/>
          <w:sz w:val="20"/>
          <w:szCs w:val="20"/>
          <w:lang w:val="fr-FR"/>
        </w:rPr>
        <w:t>soutenir l’élaboration du rapport sur les évaluations des effets cumulatifs et de l’orientation, le cas échéant.</w:t>
      </w:r>
    </w:p>
    <w:p w14:paraId="04C22DC0" w14:textId="77777777" w:rsidR="001C5AA9" w:rsidRPr="001C5AA9" w:rsidRDefault="001C5AA9" w:rsidP="001C5AA9">
      <w:pPr>
        <w:ind w:left="1134" w:hanging="425"/>
        <w:rPr>
          <w:lang w:val="fr-FR"/>
        </w:rPr>
      </w:pPr>
    </w:p>
    <w:p w14:paraId="7E434A8F" w14:textId="4236440D" w:rsidR="00C65EA4" w:rsidRDefault="00646050">
      <w:pPr>
        <w:rPr>
          <w:rFonts w:cs="Arial"/>
          <w:u w:val="single"/>
          <w:lang w:val="fr-FR"/>
        </w:rPr>
      </w:pPr>
      <w:r>
        <w:rPr>
          <w:rFonts w:cs="Arial"/>
          <w:u w:val="single"/>
          <w:lang w:val="fr-FR"/>
        </w:rPr>
        <w:t>Informations soumises par les Parties et élaboration d’un rapport sur les effets cumulatifs</w:t>
      </w:r>
    </w:p>
    <w:p w14:paraId="76904715" w14:textId="77777777" w:rsidR="00C65EA4" w:rsidRDefault="00C65EA4">
      <w:pPr>
        <w:rPr>
          <w:rFonts w:cs="Arial"/>
          <w:u w:val="single"/>
          <w:lang w:val="fr-FR"/>
        </w:rPr>
      </w:pPr>
    </w:p>
    <w:p w14:paraId="1803E9A4" w14:textId="5446BA9A"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3</w:t>
      </w:r>
      <w:r w:rsidR="00DA09F4">
        <w:rPr>
          <w:rFonts w:cs="Arial"/>
          <w:lang w:val="fr-FR"/>
        </w:rPr>
        <w:t> </w:t>
      </w:r>
      <w:r>
        <w:rPr>
          <w:rFonts w:cs="Arial"/>
          <w:lang w:val="fr-FR"/>
        </w:rPr>
        <w:t xml:space="preserve">juin 2024, le Secrétariat a publié la </w:t>
      </w:r>
      <w:hyperlink r:id="rId18" w:history="1">
        <w:r>
          <w:rPr>
            <w:rStyle w:val="Hyperlink"/>
            <w:rFonts w:cs="Arial"/>
            <w:lang w:val="fr-FR"/>
          </w:rPr>
          <w:t>Notification</w:t>
        </w:r>
        <w:r w:rsidR="00DA09F4">
          <w:rPr>
            <w:rStyle w:val="Hyperlink"/>
            <w:rFonts w:cs="Arial"/>
            <w:lang w:val="fr-FR"/>
          </w:rPr>
          <w:t> </w:t>
        </w:r>
        <w:r>
          <w:rPr>
            <w:rStyle w:val="Hyperlink"/>
            <w:rFonts w:cs="Arial"/>
            <w:lang w:val="fr-FR"/>
          </w:rPr>
          <w:t xml:space="preserve">2024/016 </w:t>
        </w:r>
        <w:r>
          <w:rPr>
            <w:rStyle w:val="Hyperlink"/>
            <w:rFonts w:cs="Arial"/>
            <w:i/>
            <w:iCs/>
            <w:lang w:val="fr-FR"/>
          </w:rPr>
          <w:t>Évaluation des effets cumulatifs</w:t>
        </w:r>
      </w:hyperlink>
      <w:r>
        <w:rPr>
          <w:rFonts w:cs="Arial"/>
          <w:lang w:val="fr-FR"/>
        </w:rPr>
        <w:t xml:space="preserve"> adressée à toutes les Parties, les invitant à soumettre des informations sur les politiques nationales concernant les évaluations des effets cumulatifs provenant des Évaluations des impacts sur l’environnement (EIE) et des Évaluations environnementales stratégiques (EES), y compris les expériences et les enseignements tirés. Les Parties ont également été invitées à indiquer si une orientation sur les évaluations des effets cumulatifs pour les mammifères marins était nécessaire.</w:t>
      </w:r>
    </w:p>
    <w:p w14:paraId="6926F98A" w14:textId="0EBB7F4A" w:rsidR="003A38C7" w:rsidRDefault="003A38C7">
      <w:pPr>
        <w:widowControl w:val="0"/>
        <w:autoSpaceDE w:val="0"/>
        <w:autoSpaceDN w:val="0"/>
        <w:adjustRightInd w:val="0"/>
        <w:ind w:left="567"/>
        <w:rPr>
          <w:rFonts w:cs="Arial"/>
          <w:lang w:val="fr-FR"/>
        </w:rPr>
      </w:pPr>
      <w:r>
        <w:rPr>
          <w:rFonts w:cs="Arial"/>
          <w:lang w:val="fr-FR"/>
        </w:rPr>
        <w:br w:type="page"/>
      </w:r>
    </w:p>
    <w:p w14:paraId="17400F7B" w14:textId="3DF5DCB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lastRenderedPageBreak/>
        <w:t xml:space="preserve">Les réponses ont été compilées et présentées au ScC-SC7 dans le document Inf.16 </w:t>
      </w:r>
      <w:r>
        <w:rPr>
          <w:rFonts w:cs="Arial"/>
          <w:i/>
          <w:iCs/>
          <w:lang w:val="fr-FR"/>
        </w:rPr>
        <w:t>Réponses à la Décision</w:t>
      </w:r>
      <w:r w:rsidR="00DA09F4">
        <w:rPr>
          <w:rFonts w:cs="Arial"/>
          <w:i/>
          <w:iCs/>
          <w:lang w:val="fr-FR"/>
        </w:rPr>
        <w:t> </w:t>
      </w:r>
      <w:r>
        <w:rPr>
          <w:rFonts w:cs="Arial"/>
          <w:i/>
          <w:iCs/>
          <w:lang w:val="fr-FR"/>
        </w:rPr>
        <w:t>14.204 sur les évaluations des effets cumulatifs</w:t>
      </w:r>
      <w:r>
        <w:rPr>
          <w:rFonts w:cs="Arial"/>
          <w:lang w:val="fr-FR"/>
        </w:rPr>
        <w:t xml:space="preserve"> (</w:t>
      </w:r>
      <w:hyperlink r:id="rId19" w:history="1">
        <w:r>
          <w:rPr>
            <w:rStyle w:val="Hyperlink"/>
            <w:rFonts w:cs="Arial"/>
            <w:lang w:val="fr-FR"/>
          </w:rPr>
          <w:t>UNEP/CMS/ScC-SC7/Inf.16</w:t>
        </w:r>
      </w:hyperlink>
      <w:r>
        <w:rPr>
          <w:rFonts w:cs="Arial"/>
          <w:lang w:val="fr-FR"/>
        </w:rPr>
        <w:t>). Deux soumissions ont été reçues des Parties, à savoir celles de la Nouvelle-Zélande et de la République dominicaine.</w:t>
      </w:r>
    </w:p>
    <w:p w14:paraId="36A18CE8" w14:textId="77777777" w:rsidR="00AA2B3C" w:rsidRDefault="00AA2B3C" w:rsidP="00AA2B3C">
      <w:pPr>
        <w:widowControl w:val="0"/>
        <w:autoSpaceDE w:val="0"/>
        <w:autoSpaceDN w:val="0"/>
        <w:adjustRightInd w:val="0"/>
        <w:ind w:left="567"/>
        <w:rPr>
          <w:rFonts w:cs="Arial"/>
          <w:lang w:val="fr-FR"/>
        </w:rPr>
      </w:pPr>
    </w:p>
    <w:p w14:paraId="0F9EAE30" w14:textId="3BE6AB00"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Afin de répondre à la demande formulée dans la décision</w:t>
      </w:r>
      <w:r w:rsidR="00DA09F4">
        <w:rPr>
          <w:rFonts w:cs="Arial"/>
          <w:lang w:val="fr-FR"/>
        </w:rPr>
        <w:t> </w:t>
      </w:r>
      <w:r>
        <w:rPr>
          <w:rFonts w:cs="Arial"/>
          <w:lang w:val="fr-FR"/>
        </w:rPr>
        <w:t>14.205, le Secrétariat a complété les informations reçues des Parties à l’aide de ressources supplémentaires, notamment la littérature académique et les documents de politique et d’orientation nationaux et internationaux identifiés par le biais d’une recherche documentaire. Le rapport complet est disponible dans le document</w:t>
      </w:r>
      <w:r w:rsidR="00DA09F4">
        <w:rPr>
          <w:rFonts w:cs="Arial"/>
          <w:lang w:val="fr-FR"/>
        </w:rPr>
        <w:t> </w:t>
      </w:r>
      <w:hyperlink r:id="rId20" w:history="1">
        <w:r w:rsidR="003439CE" w:rsidRPr="003439CE">
          <w:rPr>
            <w:rStyle w:val="Hyperlink"/>
            <w:rFonts w:cs="Arial"/>
            <w:lang w:val="fr-FR"/>
          </w:rPr>
          <w:t>UNEP/CMS/COP15/Inf.28.9</w:t>
        </w:r>
      </w:hyperlink>
      <w:r w:rsidR="00DA09F4">
        <w:rPr>
          <w:rFonts w:cs="Arial"/>
          <w:lang w:val="fr-FR"/>
        </w:rPr>
        <w:t> </w:t>
      </w:r>
      <w:r>
        <w:rPr>
          <w:rFonts w:cs="Arial"/>
          <w:lang w:val="fr-FR"/>
        </w:rPr>
        <w:t>; un résumé et des recommandations clés sont joints en annexe</w:t>
      </w:r>
      <w:r w:rsidR="00DA09F4">
        <w:rPr>
          <w:rFonts w:cs="Arial"/>
          <w:lang w:val="fr-FR"/>
        </w:rPr>
        <w:t> </w:t>
      </w:r>
      <w:r>
        <w:rPr>
          <w:rFonts w:cs="Arial"/>
          <w:lang w:val="fr-FR"/>
        </w:rPr>
        <w:t>1.</w:t>
      </w:r>
    </w:p>
    <w:p w14:paraId="558D2C5F" w14:textId="77777777" w:rsidR="00C65EA4" w:rsidRDefault="00C65EA4">
      <w:pPr>
        <w:widowControl w:val="0"/>
        <w:autoSpaceDE w:val="0"/>
        <w:autoSpaceDN w:val="0"/>
        <w:adjustRightInd w:val="0"/>
        <w:ind w:left="567"/>
        <w:rPr>
          <w:rFonts w:cs="Arial"/>
          <w:lang w:val="fr-FR"/>
        </w:rPr>
      </w:pPr>
    </w:p>
    <w:p w14:paraId="23EC168C" w14:textId="66ECC995"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 xml:space="preserve">Le rapport fournit une vue d’ensemble exhaustive de l’état actuel des Évaluations des effets cumulatifs (EEC), en mettant l’accent sur les espèces marines migratrices et en donnant des exemples provenant de diverses régions géographiques. Il décrit 1) la manière dont les Parties appliquent les EEC et où existe un besoin d’orientation supplémentaire, et 2) la façon dont les EEC sont menées et leur pertinence pour les espèces migratrices. Les meilleures pratiques et les principaux défis sont identifiés, et servent à formuler des recommandations sur la manière d’améliorer l’inclusion des espèces migratrices dans les EEC. </w:t>
      </w:r>
    </w:p>
    <w:p w14:paraId="3329D120" w14:textId="77777777" w:rsidR="00C65EA4" w:rsidRDefault="00C65EA4">
      <w:pPr>
        <w:pStyle w:val="ListParagraph"/>
        <w:contextualSpacing w:val="0"/>
        <w:rPr>
          <w:rFonts w:cs="Arial"/>
          <w:lang w:val="fr-FR"/>
        </w:rPr>
      </w:pPr>
    </w:p>
    <w:p w14:paraId="6648916A" w14:textId="306720B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rapport reconnaît la nécessité d’une orientation concernant l’inclusion des espèces migratrices dans les évaluations des effets cumulatifs. Il propose des recommandations qui pourraient servir de base à l’élaboration d’une telle orientation, au cas où les Parties le souhaiteraient. Le Groupe de travail sur l’infrastructure du Conseil scientifique a eu l’occasion d’examiner le rapport</w:t>
      </w:r>
      <w:r w:rsidR="00DA09F4">
        <w:rPr>
          <w:rFonts w:cs="Arial"/>
          <w:lang w:val="fr-FR"/>
        </w:rPr>
        <w:t> </w:t>
      </w:r>
      <w:r>
        <w:rPr>
          <w:rFonts w:cs="Arial"/>
          <w:lang w:val="fr-FR"/>
        </w:rPr>
        <w:t>; aucun commentaire substantiel n’a été reçu.</w:t>
      </w:r>
    </w:p>
    <w:p w14:paraId="08FF72B7" w14:textId="77777777" w:rsidR="00C65EA4" w:rsidRDefault="00C65EA4">
      <w:pPr>
        <w:rPr>
          <w:rFonts w:cs="Arial"/>
          <w:vanish/>
          <w:highlight w:val="yellow"/>
          <w:lang w:val="fr-FR"/>
        </w:rPr>
      </w:pPr>
    </w:p>
    <w:p w14:paraId="4AE09CD6" w14:textId="56925463" w:rsidR="00C65EA4" w:rsidRDefault="00646050">
      <w:pPr>
        <w:widowControl w:val="0"/>
        <w:autoSpaceDE w:val="0"/>
        <w:autoSpaceDN w:val="0"/>
        <w:adjustRightInd w:val="0"/>
        <w:rPr>
          <w:rFonts w:cs="Arial"/>
          <w:u w:val="single"/>
          <w:lang w:val="fr-FR"/>
        </w:rPr>
      </w:pPr>
      <w:r>
        <w:rPr>
          <w:rFonts w:cs="Arial"/>
          <w:u w:val="single"/>
          <w:lang w:val="fr-FR"/>
        </w:rPr>
        <w:t>Adoption de l’Accord BBNJ et synergies avec les travaux de la CMS sur les Évaluations de l’impact sur l’environnement (EIE)</w:t>
      </w:r>
    </w:p>
    <w:p w14:paraId="25EDAD16" w14:textId="77777777" w:rsidR="00C65EA4" w:rsidRDefault="00C65EA4">
      <w:pPr>
        <w:widowControl w:val="0"/>
        <w:autoSpaceDE w:val="0"/>
        <w:autoSpaceDN w:val="0"/>
        <w:adjustRightInd w:val="0"/>
        <w:rPr>
          <w:rFonts w:cs="Arial"/>
          <w:u w:val="single"/>
          <w:lang w:val="fr-FR"/>
        </w:rPr>
      </w:pPr>
    </w:p>
    <w:p w14:paraId="2A15FBB0" w14:textId="3CD6B8B1" w:rsidR="00C65EA4" w:rsidRDefault="00646050">
      <w:pPr>
        <w:widowControl w:val="0"/>
        <w:numPr>
          <w:ilvl w:val="0"/>
          <w:numId w:val="4"/>
        </w:numPr>
        <w:autoSpaceDE w:val="0"/>
        <w:autoSpaceDN w:val="0"/>
        <w:adjustRightInd w:val="0"/>
        <w:ind w:left="567" w:hanging="567"/>
        <w:rPr>
          <w:rFonts w:cs="Arial"/>
          <w:lang w:val="fr-FR"/>
        </w:rPr>
      </w:pPr>
      <w:r>
        <w:rPr>
          <w:rFonts w:cs="Arial"/>
          <w:iCs/>
          <w:color w:val="000000" w:themeColor="text1"/>
          <w:lang w:val="fr-FR"/>
        </w:rPr>
        <w:t>L’</w:t>
      </w:r>
      <w:hyperlink r:id="rId21" w:history="1">
        <w:r>
          <w:rPr>
            <w:rStyle w:val="Hyperlink"/>
            <w:rFonts w:cs="Arial"/>
            <w:iCs/>
            <w:lang w:val="fr-FR"/>
          </w:rPr>
          <w:t>Accord se rapportant à la Convention des Nations Unies sur le droit de la mer et portant sur la conservation et l’utilisation durable de la diversité biologique marine des zones ne relevant pas de la juridiction nationale</w:t>
        </w:r>
      </w:hyperlink>
      <w:r>
        <w:rPr>
          <w:rFonts w:cs="Arial"/>
          <w:iCs/>
          <w:color w:val="000000" w:themeColor="text1"/>
          <w:lang w:val="fr-FR"/>
        </w:rPr>
        <w:t xml:space="preserve"> (</w:t>
      </w:r>
      <w:r>
        <w:rPr>
          <w:rFonts w:cs="Arial"/>
          <w:color w:val="000000" w:themeColor="text1"/>
          <w:lang w:val="fr-FR"/>
        </w:rPr>
        <w:t>Accord BBNJ</w:t>
      </w:r>
      <w:r>
        <w:rPr>
          <w:rFonts w:cs="Arial"/>
          <w:iCs/>
          <w:color w:val="000000" w:themeColor="text1"/>
          <w:lang w:val="fr-FR"/>
        </w:rPr>
        <w:t>) a été adopté le 19</w:t>
      </w:r>
      <w:r w:rsidR="00DA09F4">
        <w:rPr>
          <w:rFonts w:cs="Arial"/>
          <w:iCs/>
          <w:color w:val="000000" w:themeColor="text1"/>
          <w:lang w:val="fr-FR"/>
        </w:rPr>
        <w:t> </w:t>
      </w:r>
      <w:r>
        <w:rPr>
          <w:rFonts w:cs="Arial"/>
          <w:iCs/>
          <w:color w:val="000000" w:themeColor="text1"/>
          <w:lang w:val="fr-FR"/>
        </w:rPr>
        <w:t xml:space="preserve">juin 2023 par la Conférence intergouvernementale sur la biodiversité marine des zones ne relevant pas de la juridiction nationale, convoquée sous les auspices des Nations Unies. </w:t>
      </w:r>
    </w:p>
    <w:p w14:paraId="2865487C" w14:textId="77777777" w:rsidR="00C65EA4" w:rsidRDefault="00C65EA4">
      <w:pPr>
        <w:widowControl w:val="0"/>
        <w:autoSpaceDE w:val="0"/>
        <w:autoSpaceDN w:val="0"/>
        <w:adjustRightInd w:val="0"/>
        <w:ind w:left="567"/>
        <w:rPr>
          <w:rFonts w:cs="Arial"/>
          <w:lang w:val="fr-FR"/>
        </w:rPr>
      </w:pPr>
    </w:p>
    <w:p w14:paraId="509A83B4" w14:textId="45268DD2"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L’Accord BBNJ rend opérationnelles les dispositions relatives à l’évaluation de l’impact sur l’environnement dans les zones ne relevant pas de la juridiction nationale en établissant des processus, des seuils et d’autres exigences pour la réalisation et la communication d’évaluations par les Parties (PARTIE</w:t>
      </w:r>
      <w:r w:rsidR="00DA09F4">
        <w:rPr>
          <w:rFonts w:cs="Arial"/>
          <w:lang w:val="fr-FR"/>
        </w:rPr>
        <w:t> </w:t>
      </w:r>
      <w:r>
        <w:rPr>
          <w:rFonts w:cs="Arial"/>
          <w:lang w:val="fr-FR"/>
        </w:rPr>
        <w:t>IV Évaluation d’impact sur l’environnement, articles</w:t>
      </w:r>
      <w:r w:rsidR="00DA09F4">
        <w:rPr>
          <w:rFonts w:cs="Arial"/>
          <w:lang w:val="fr-FR"/>
        </w:rPr>
        <w:t> </w:t>
      </w:r>
      <w:r>
        <w:rPr>
          <w:rFonts w:cs="Arial"/>
          <w:lang w:val="fr-FR"/>
        </w:rPr>
        <w:t xml:space="preserve">27-39). Comme les dispositions de la CMS s’appliquent également aux zones ne relevant pas de la juridiction nationale, une fois que l’Accord BBNJ entrera en vigueur, cela </w:t>
      </w:r>
      <w:proofErr w:type="gramStart"/>
      <w:r>
        <w:rPr>
          <w:rFonts w:cs="Arial"/>
          <w:lang w:val="fr-FR"/>
        </w:rPr>
        <w:t>aura</w:t>
      </w:r>
      <w:proofErr w:type="gramEnd"/>
      <w:r>
        <w:rPr>
          <w:rFonts w:cs="Arial"/>
          <w:lang w:val="fr-FR"/>
        </w:rPr>
        <w:t xml:space="preserve"> des conséquences immédiates pour les Parties à la CMS qui entreprennent des activités nécessitant une EIE.  </w:t>
      </w:r>
    </w:p>
    <w:p w14:paraId="52BB753E" w14:textId="77777777" w:rsidR="00C65EA4" w:rsidRDefault="00C65EA4">
      <w:pPr>
        <w:pStyle w:val="ListParagraph"/>
        <w:rPr>
          <w:rFonts w:cs="Arial"/>
          <w:lang w:val="fr-FR"/>
        </w:rPr>
      </w:pPr>
    </w:p>
    <w:p w14:paraId="7C8DB817" w14:textId="32872585"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 xml:space="preserve">La prise en considération des effets cumulatifs est explicitement mentionnée dans l’Accord BBNJ. Il indique que lorsqu’une activité prévue est susceptible d’avoir un effet plus que mineur ou transitoire sur le milieu marin, ou lorsque les effets de l’activité sont inconnus ou mal compris, la Partie ayant juridiction ou contrôle sur l’activité doit procéder à un examen préalable, comprenant notamment une analyse initiale des impacts potentiels ainsi qu’une prise en considération des impacts cumulatifs. Lors de la détermination de la conformité au seuil requis pour une EIE des activités planifiées relevant de leur juridiction ou contrôle, il est impératif de prendre en considération les impacts cumulatifs potentiels de l’activité aux étapes de la vérification préliminaire, de la définition de la portée, de l’étude d’impact et de l’évaluation. </w:t>
      </w:r>
    </w:p>
    <w:p w14:paraId="16477490" w14:textId="64083918"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lastRenderedPageBreak/>
        <w:t>L’organe scientifique et technique de l’Accord BBNJ élaborera des normes ou des lignes directrices pour l’évaluation des impacts cumulatifs dans les zones ne relevant pas de la juridiction nationale, ainsi que pour la manière dont ces impacts doivent être pris en considération dans le processus d’évaluation des impacts sur l’environnement. L’élaboration d’une orientation répondant aux besoins spécifiques des espèces migratrices pourrait constituer une contribution très opportune à ce processus.</w:t>
      </w:r>
    </w:p>
    <w:p w14:paraId="4E4F711C" w14:textId="77777777" w:rsidR="00C65EA4" w:rsidRDefault="00C65EA4">
      <w:pPr>
        <w:rPr>
          <w:rFonts w:cs="Arial"/>
          <w:lang w:val="fr-FR"/>
        </w:rPr>
      </w:pPr>
    </w:p>
    <w:p w14:paraId="58B30CDF" w14:textId="6C2867FA" w:rsidR="00C65EA4" w:rsidRDefault="00646050">
      <w:pPr>
        <w:widowControl w:val="0"/>
        <w:autoSpaceDE w:val="0"/>
        <w:autoSpaceDN w:val="0"/>
        <w:adjustRightInd w:val="0"/>
        <w:rPr>
          <w:rFonts w:cs="Arial"/>
          <w:u w:val="single"/>
          <w:lang w:val="fr-FR"/>
        </w:rPr>
      </w:pPr>
      <w:r>
        <w:rPr>
          <w:rFonts w:cs="Arial"/>
          <w:u w:val="single"/>
          <w:lang w:val="fr-FR"/>
        </w:rPr>
        <w:t xml:space="preserve">Utilisation des méthodologies d’évaluation de l’impact social (EIS) pour les impacts sur la culture animale </w:t>
      </w:r>
    </w:p>
    <w:p w14:paraId="6801AEB6" w14:textId="77777777" w:rsidR="00C65EA4" w:rsidRDefault="00C65EA4">
      <w:pPr>
        <w:widowControl w:val="0"/>
        <w:autoSpaceDE w:val="0"/>
        <w:autoSpaceDN w:val="0"/>
        <w:adjustRightInd w:val="0"/>
        <w:rPr>
          <w:rFonts w:cs="Arial"/>
          <w:u w:val="single"/>
          <w:lang w:val="fr-FR"/>
        </w:rPr>
      </w:pPr>
    </w:p>
    <w:p w14:paraId="239864F2" w14:textId="6CD74A17"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t>Les évaluations de l’impact social font parfois partie de l’EIE, de l’évaluation environnementale stratégique (SEA) ou des EEC. Elles sont utilisées pour analyser, surveiller et gérer les conséquences sociales prévues et imprévues des interventions planifiées (politiques, programmes, plans, projets) ainsi que de tout processus de changement social induit par ces interventions, afin de créer un environnement biophysique et humain plus durable et plus équitable</w:t>
      </w:r>
      <w:r>
        <w:rPr>
          <w:rStyle w:val="FootnoteReference"/>
          <w:rFonts w:cs="Arial"/>
          <w:lang w:val="fr-FR"/>
        </w:rPr>
        <w:footnoteReference w:id="2"/>
      </w:r>
      <w:r w:rsidR="00D71C40">
        <w:rPr>
          <w:rFonts w:cs="Arial"/>
          <w:lang w:val="fr-FR"/>
        </w:rPr>
        <w:t>.</w:t>
      </w:r>
      <w:r>
        <w:rPr>
          <w:rFonts w:cs="Arial"/>
          <w:lang w:val="fr-FR"/>
        </w:rPr>
        <w:t xml:space="preserve"> Cependant, les EIS ont suscité relativement peu d’attention dans le cadre de la CMS. L’Institut international du développement durable présente les exemples suivants d’impacts sociaux</w:t>
      </w:r>
      <w:r>
        <w:rPr>
          <w:vertAlign w:val="superscript"/>
          <w:lang w:val="fr-FR"/>
        </w:rPr>
        <w:footnoteReference w:id="3"/>
      </w:r>
      <w:r w:rsidR="00D71C40">
        <w:rPr>
          <w:rFonts w:cs="Arial"/>
          <w:lang w:val="fr-FR"/>
        </w:rPr>
        <w:t> :</w:t>
      </w:r>
    </w:p>
    <w:p w14:paraId="59105084" w14:textId="2E86C90E"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 mode de vie des personnes — la façon dont elles vivent, travaillent, se divertissent et interagissent au quotidien. </w:t>
      </w:r>
    </w:p>
    <w:p w14:paraId="61EDBA2F" w14:textId="7AF9BDD1"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 culture — les croyances, les coutumes, les valeurs et la langue ou le dialecte qu’elles partagent. </w:t>
      </w:r>
    </w:p>
    <w:p w14:paraId="780C7BEE" w14:textId="76864824"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 communauté — sa cohésion, sa stabilité, son caractère, ses services et ses installations. </w:t>
      </w:r>
    </w:p>
    <w:p w14:paraId="11FB5805" w14:textId="3646D039" w:rsidR="00C65EA4" w:rsidRDefault="00646050">
      <w:pPr>
        <w:pStyle w:val="ListParagraph"/>
        <w:widowControl w:val="0"/>
        <w:numPr>
          <w:ilvl w:val="0"/>
          <w:numId w:val="34"/>
        </w:numPr>
        <w:autoSpaceDE w:val="0"/>
        <w:autoSpaceDN w:val="0"/>
        <w:adjustRightInd w:val="0"/>
        <w:spacing w:after="80"/>
        <w:ind w:hanging="303"/>
        <w:rPr>
          <w:rFonts w:cs="Arial"/>
          <w:i/>
          <w:lang w:val="fr-FR"/>
        </w:rPr>
      </w:pPr>
      <w:r>
        <w:rPr>
          <w:rFonts w:cs="Arial"/>
          <w:i/>
          <w:lang w:val="fr-FR"/>
        </w:rPr>
        <w:t xml:space="preserve">Leurs systèmes politiques — la mesure dans laquelle les personnes peuvent participer aux décisions qui ont une incidence sur leur vie, le niveau de démocratisation en cours et les ressources fournies à cette fin. </w:t>
      </w:r>
    </w:p>
    <w:p w14:paraId="726C6359" w14:textId="6C57801A" w:rsidR="00C65EA4" w:rsidRDefault="00646050">
      <w:pPr>
        <w:pStyle w:val="ListParagraph"/>
        <w:widowControl w:val="0"/>
        <w:numPr>
          <w:ilvl w:val="0"/>
          <w:numId w:val="34"/>
        </w:numPr>
        <w:autoSpaceDE w:val="0"/>
        <w:autoSpaceDN w:val="0"/>
        <w:adjustRightInd w:val="0"/>
        <w:ind w:hanging="303"/>
        <w:rPr>
          <w:rFonts w:cs="Arial"/>
          <w:i/>
          <w:lang w:val="fr-FR"/>
        </w:rPr>
      </w:pPr>
      <w:r>
        <w:rPr>
          <w:rFonts w:cs="Arial"/>
          <w:i/>
          <w:lang w:val="fr-FR"/>
        </w:rPr>
        <w:t>Leur santé et leur bien-être — la santé est un état de bien-être physique, mental, social et spirituel complet et ne consiste pas seulement en l’absence de maladie ou d’infirmité.</w:t>
      </w:r>
    </w:p>
    <w:p w14:paraId="432C3BA0" w14:textId="77777777" w:rsidR="00C65EA4" w:rsidRDefault="00C65EA4">
      <w:pPr>
        <w:widowControl w:val="0"/>
        <w:autoSpaceDE w:val="0"/>
        <w:autoSpaceDN w:val="0"/>
        <w:adjustRightInd w:val="0"/>
        <w:ind w:left="567"/>
        <w:rPr>
          <w:rFonts w:cs="Arial"/>
          <w:lang w:val="fr-FR"/>
        </w:rPr>
      </w:pPr>
    </w:p>
    <w:p w14:paraId="12F8515A" w14:textId="5F9C760F" w:rsidR="00C65EA4" w:rsidRDefault="00646050">
      <w:pPr>
        <w:widowControl w:val="0"/>
        <w:numPr>
          <w:ilvl w:val="0"/>
          <w:numId w:val="4"/>
        </w:numPr>
        <w:autoSpaceDE w:val="0"/>
        <w:autoSpaceDN w:val="0"/>
        <w:adjustRightInd w:val="0"/>
        <w:ind w:left="567" w:hanging="567"/>
        <w:rPr>
          <w:rFonts w:cs="Arial"/>
          <w:lang w:val="fr-FR"/>
        </w:rPr>
      </w:pPr>
      <w:r>
        <w:rPr>
          <w:lang w:val="fr-FR"/>
        </w:rPr>
        <w:t xml:space="preserve">L’intégration des EIS dans l’EIE, l’EES et l’EEC est une étape importante pour améliorer les évaluations d’impact, y compris les mesures d’atténuation proposées, afin de prendre en considération la vie des communautés (locales). Cependant, l’utilisation des EIS pourrait potentiellement dépasser les impacts sur la culture humaine. La compréhension croissante de l’apprentissage social et de la culture chez de nombreuses espèces animales implique que nombre de ces impacts peuvent également être ressentis par les sociétés animales et devraient donc être pris en considération dans les processus d’évaluation d’impact — </w:t>
      </w:r>
      <w:r>
        <w:rPr>
          <w:color w:val="000000" w:themeColor="text1"/>
          <w:lang w:val="fr-FR"/>
        </w:rPr>
        <w:t>ce qui n’a pas encore été fait</w:t>
      </w:r>
      <w:r>
        <w:rPr>
          <w:lang w:val="fr-FR"/>
        </w:rPr>
        <w:t xml:space="preserve">. </w:t>
      </w:r>
      <w:r>
        <w:rPr>
          <w:rFonts w:cs="Arial"/>
          <w:lang w:val="fr-FR"/>
        </w:rPr>
        <w:t>En conséquence, bien que les EIS se concentrent traditionnellement sur les communautés humaines, la compréhension croissante de la culture animale, définie dans la CMS comme une information ou un comportement partagé au sein d’une communauté et acquis auprès de congénères par une forme d’apprentissage social, est de plus en plus reconnue comme un facteur pouvant être affecté par les activités humaines</w:t>
      </w:r>
      <w:r>
        <w:rPr>
          <w:rFonts w:cs="Arial"/>
          <w:vertAlign w:val="superscript"/>
          <w:lang w:val="fr-FR"/>
        </w:rPr>
        <w:footnoteReference w:id="4"/>
      </w:r>
      <w:r>
        <w:rPr>
          <w:rFonts w:cs="Arial"/>
          <w:lang w:val="fr-FR"/>
        </w:rPr>
        <w:t xml:space="preserve"> et devrait donc être prise en considération dans tout type d’évaluation d’impact.  </w:t>
      </w:r>
    </w:p>
    <w:p w14:paraId="0249E6D2" w14:textId="5A8BE34B" w:rsidR="00BA4833" w:rsidRDefault="00BA4833">
      <w:pPr>
        <w:widowControl w:val="0"/>
        <w:autoSpaceDE w:val="0"/>
        <w:autoSpaceDN w:val="0"/>
        <w:adjustRightInd w:val="0"/>
        <w:rPr>
          <w:rFonts w:cs="Arial"/>
          <w:lang w:val="fr-FR"/>
        </w:rPr>
      </w:pPr>
      <w:r>
        <w:rPr>
          <w:rFonts w:cs="Arial"/>
          <w:lang w:val="fr-FR"/>
        </w:rPr>
        <w:br w:type="page"/>
      </w:r>
    </w:p>
    <w:p w14:paraId="6828A95A" w14:textId="1B072E8D"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lastRenderedPageBreak/>
        <w:t>L’utilité potentielle des méthodologies d’EIS en lien avec la culture animale et l’intégration de ces considérations dans les évaluations d’impact pourrait mériter une investigation, conformément aux dispositions de la Résolution</w:t>
      </w:r>
      <w:r w:rsidR="00DA09F4">
        <w:rPr>
          <w:rFonts w:cs="Arial"/>
          <w:lang w:val="fr-FR"/>
        </w:rPr>
        <w:t> </w:t>
      </w:r>
      <w:r>
        <w:rPr>
          <w:rFonts w:cs="Arial"/>
          <w:lang w:val="fr-FR"/>
        </w:rPr>
        <w:t xml:space="preserve">11.23 (Rev.COP12) </w:t>
      </w:r>
      <w:r>
        <w:rPr>
          <w:rFonts w:cs="Arial"/>
          <w:i/>
          <w:iCs/>
          <w:lang w:val="fr-FR"/>
        </w:rPr>
        <w:t>Conséquences de la culture des animaux et complexité sociale</w:t>
      </w:r>
      <w:r>
        <w:rPr>
          <w:rFonts w:cs="Arial"/>
          <w:lang w:val="fr-FR"/>
        </w:rPr>
        <w:t>, qui mettent en évidence l’importance de</w:t>
      </w:r>
      <w:r w:rsidR="00DA09F4">
        <w:rPr>
          <w:rFonts w:cs="Arial"/>
          <w:lang w:val="fr-FR"/>
        </w:rPr>
        <w:t> </w:t>
      </w:r>
      <w:r>
        <w:rPr>
          <w:rFonts w:cs="Arial"/>
          <w:lang w:val="fr-FR"/>
        </w:rPr>
        <w:t>:</w:t>
      </w:r>
    </w:p>
    <w:p w14:paraId="7AF5E232" w14:textId="3F4E5C04"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considérer les comportements transmis de façon culturelle lors de l’établissement de mesures de conservation</w:t>
      </w:r>
      <w:r w:rsidR="00DA09F4">
        <w:rPr>
          <w:rFonts w:cs="Arial"/>
          <w:lang w:val="fr-FR"/>
        </w:rPr>
        <w:t> </w:t>
      </w:r>
      <w:r>
        <w:rPr>
          <w:rFonts w:cs="Arial"/>
          <w:lang w:val="fr-FR"/>
        </w:rPr>
        <w:t>;</w:t>
      </w:r>
    </w:p>
    <w:p w14:paraId="45F39CB6" w14:textId="1634ECC2"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évaluer les menaces d’origine anthropique pesant sur les espèces mammifères socialement complexes, sur la base des évidences des interactions de ces menaces avec la structure sociale et la culture</w:t>
      </w:r>
      <w:r w:rsidR="00DA09F4">
        <w:rPr>
          <w:rFonts w:cs="Arial"/>
          <w:lang w:val="fr-FR"/>
        </w:rPr>
        <w:t> </w:t>
      </w:r>
      <w:r>
        <w:rPr>
          <w:rFonts w:cs="Arial"/>
          <w:lang w:val="fr-FR"/>
        </w:rPr>
        <w:t>;</w:t>
      </w:r>
    </w:p>
    <w:p w14:paraId="2DCFD865" w14:textId="3D3C4503" w:rsidR="00C65EA4" w:rsidRDefault="00646050">
      <w:pPr>
        <w:widowControl w:val="0"/>
        <w:numPr>
          <w:ilvl w:val="1"/>
          <w:numId w:val="28"/>
        </w:numPr>
        <w:autoSpaceDE w:val="0"/>
        <w:autoSpaceDN w:val="0"/>
        <w:adjustRightInd w:val="0"/>
        <w:spacing w:after="80"/>
        <w:ind w:left="1134" w:hanging="283"/>
        <w:rPr>
          <w:rFonts w:cs="Arial"/>
          <w:lang w:val="fr-FR"/>
        </w:rPr>
      </w:pPr>
      <w:r>
        <w:rPr>
          <w:rFonts w:cs="Arial"/>
          <w:lang w:val="fr-FR"/>
        </w:rPr>
        <w:t>appliquer une approche de précaution dans la gestion des populations pour lesquelles il existe des preuves que l’influence de la culture et de la complexité sociale peut être une question de conservation</w:t>
      </w:r>
      <w:r w:rsidR="00DA09F4">
        <w:rPr>
          <w:rFonts w:cs="Arial"/>
          <w:lang w:val="fr-FR"/>
        </w:rPr>
        <w:t> </w:t>
      </w:r>
      <w:r>
        <w:rPr>
          <w:rFonts w:cs="Arial"/>
          <w:lang w:val="fr-FR"/>
        </w:rPr>
        <w:t>;</w:t>
      </w:r>
    </w:p>
    <w:p w14:paraId="19AD7236" w14:textId="77777777" w:rsidR="00C65EA4" w:rsidRDefault="00646050">
      <w:pPr>
        <w:widowControl w:val="0"/>
        <w:numPr>
          <w:ilvl w:val="1"/>
          <w:numId w:val="28"/>
        </w:numPr>
        <w:autoSpaceDE w:val="0"/>
        <w:autoSpaceDN w:val="0"/>
        <w:adjustRightInd w:val="0"/>
        <w:ind w:left="1134" w:hanging="283"/>
        <w:rPr>
          <w:rFonts w:cs="Arial"/>
          <w:lang w:val="fr-FR"/>
        </w:rPr>
      </w:pPr>
      <w:r>
        <w:rPr>
          <w:rFonts w:cs="Arial"/>
          <w:lang w:val="fr-FR"/>
        </w:rPr>
        <w:t xml:space="preserve">recueillir et publier des données pertinentes, pour faire avancer la gestion de la conservation de ces populations et groupes sociaux distincts. </w:t>
      </w:r>
    </w:p>
    <w:p w14:paraId="2E033B17" w14:textId="77777777" w:rsidR="00C65EA4" w:rsidRPr="007A509D" w:rsidRDefault="00C65EA4">
      <w:pPr>
        <w:rPr>
          <w:rFonts w:cs="Arial"/>
          <w:sz w:val="18"/>
          <w:szCs w:val="18"/>
          <w:u w:val="single"/>
          <w:lang w:val="fr-FR"/>
        </w:rPr>
      </w:pPr>
    </w:p>
    <w:p w14:paraId="4CFEA10B" w14:textId="77777777" w:rsidR="00C65EA4" w:rsidRDefault="00646050">
      <w:pPr>
        <w:rPr>
          <w:rFonts w:cs="Arial"/>
          <w:u w:val="single"/>
          <w:lang w:val="fr-FR"/>
        </w:rPr>
      </w:pPr>
      <w:r>
        <w:rPr>
          <w:rFonts w:cs="Arial"/>
          <w:u w:val="single"/>
          <w:lang w:val="fr-FR"/>
        </w:rPr>
        <w:t>Discussion et analyse</w:t>
      </w:r>
    </w:p>
    <w:p w14:paraId="5F750BF8" w14:textId="77777777" w:rsidR="00C65EA4" w:rsidRPr="007A509D" w:rsidRDefault="00C65EA4">
      <w:pPr>
        <w:widowControl w:val="0"/>
        <w:autoSpaceDE w:val="0"/>
        <w:autoSpaceDN w:val="0"/>
        <w:adjustRightInd w:val="0"/>
        <w:rPr>
          <w:rFonts w:cs="Arial"/>
          <w:sz w:val="18"/>
          <w:szCs w:val="18"/>
          <w:lang w:val="fr-FR"/>
        </w:rPr>
      </w:pPr>
    </w:p>
    <w:p w14:paraId="2859154B" w14:textId="5932573C"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En raison de capacités limitées, le rapport sur les EEC et les espèces migratrices contenu dans le document</w:t>
      </w:r>
      <w:r w:rsidR="00DA09F4">
        <w:rPr>
          <w:rFonts w:cs="Arial"/>
          <w:lang w:val="fr-FR"/>
        </w:rPr>
        <w:t> </w:t>
      </w:r>
      <w:hyperlink r:id="rId22" w:history="1">
        <w:r w:rsidR="007B425C" w:rsidRPr="007B425C">
          <w:rPr>
            <w:rStyle w:val="Hyperlink"/>
            <w:rFonts w:cs="Arial"/>
            <w:lang w:val="fr-FR"/>
          </w:rPr>
          <w:t>UNEP/CMS/COP15/Inf.28.9</w:t>
        </w:r>
      </w:hyperlink>
      <w:r>
        <w:rPr>
          <w:rFonts w:cs="Arial"/>
          <w:lang w:val="fr-FR"/>
        </w:rPr>
        <w:t xml:space="preserve"> dépendait principalement de sources en langue anglaise accessibles au public ou, lorsque cela était nécessaire et possible, de traductions automatiques de documents dans d’autres langues. Cela peut avoir conduit à une représentation plus forte des régions comprenant des pays anglophones et ayant une pratique d’EEC plus ancienne, comme l’Amérique du Nord, l’Océanie et l’Europe. Bien que tous les efforts aient été faits pour garantir une vue d’ensemble globale et équilibrée, un engagement supplémentaire de la part des régions moins représentées, notamment l’Amérique centrale et du Sud, l’Afrique et l’Asie, est essentiel à la fois pour partager les expériences d’EEC existantes et pour encourager le développement de telles pratiques là où elles sont encore absentes. La conclusion révèle la nécessité d’harmoniser les nombreuses lignes directrices existantes en matière d’EEC. La CMS peut fournir l’expertise nécessaire concernant les espèces migratrices, celles-ci étant particulièrement vulnérables aux effets cumulatifs, mais gravement sous-représentées dans les politiques et les lignes directrices en matière d’EEC. </w:t>
      </w:r>
    </w:p>
    <w:p w14:paraId="7C929CCF" w14:textId="77777777" w:rsidR="00C65EA4" w:rsidRPr="007A509D" w:rsidRDefault="00C65EA4">
      <w:pPr>
        <w:widowControl w:val="0"/>
        <w:autoSpaceDE w:val="0"/>
        <w:autoSpaceDN w:val="0"/>
        <w:adjustRightInd w:val="0"/>
        <w:ind w:left="567"/>
        <w:rPr>
          <w:rFonts w:cs="Arial"/>
          <w:sz w:val="18"/>
          <w:szCs w:val="18"/>
          <w:lang w:val="fr-FR"/>
        </w:rPr>
      </w:pPr>
    </w:p>
    <w:p w14:paraId="1F96A4BE" w14:textId="0C40AD41" w:rsidR="00C65EA4" w:rsidRDefault="00646050">
      <w:pPr>
        <w:widowControl w:val="0"/>
        <w:numPr>
          <w:ilvl w:val="0"/>
          <w:numId w:val="4"/>
        </w:numPr>
        <w:autoSpaceDE w:val="0"/>
        <w:autoSpaceDN w:val="0"/>
        <w:adjustRightInd w:val="0"/>
        <w:ind w:left="567" w:hanging="567"/>
        <w:rPr>
          <w:rFonts w:cs="Arial"/>
          <w:lang w:val="fr-FR"/>
        </w:rPr>
      </w:pPr>
      <w:r>
        <w:rPr>
          <w:rFonts w:cs="Arial"/>
          <w:lang w:val="fr-FR"/>
        </w:rPr>
        <w:t>Le rapport confirme donc l’importance de l’élaboration d’une orientation sur l’intégration des espèces migratrices dans les EEC, en formulant des recommandations à cet effet, qui sont reflétées dans les projets de décisions figurant à l’annexe</w:t>
      </w:r>
      <w:r w:rsidR="00DA09F4">
        <w:rPr>
          <w:rFonts w:cs="Arial"/>
          <w:lang w:val="fr-FR"/>
        </w:rPr>
        <w:t> </w:t>
      </w:r>
      <w:r w:rsidR="001910CB">
        <w:rPr>
          <w:rFonts w:cs="Arial"/>
          <w:lang w:val="fr-FR"/>
        </w:rPr>
        <w:t>2</w:t>
      </w:r>
      <w:r>
        <w:rPr>
          <w:rFonts w:cs="Arial"/>
          <w:lang w:val="fr-FR"/>
        </w:rPr>
        <w:t xml:space="preserve">. En outre, des activités supplémentaires pourraient être entreprises par les Parties, le Conseil scientifique et le Secrétariat. Celles-ci figurent dans les </w:t>
      </w:r>
      <w:r w:rsidR="001910CB">
        <w:rPr>
          <w:rFonts w:cs="Arial"/>
          <w:lang w:val="fr-FR"/>
        </w:rPr>
        <w:t xml:space="preserve">projets de décision contenus dans l’annexe 2 du présent document et dans les </w:t>
      </w:r>
      <w:r>
        <w:rPr>
          <w:rFonts w:cs="Arial"/>
          <w:lang w:val="fr-FR"/>
        </w:rPr>
        <w:t>amendements proposés à la Résolution</w:t>
      </w:r>
      <w:r w:rsidR="00DA09F4">
        <w:rPr>
          <w:rFonts w:cs="Arial"/>
          <w:lang w:val="fr-FR"/>
        </w:rPr>
        <w:t> </w:t>
      </w:r>
      <w:r>
        <w:rPr>
          <w:rFonts w:cs="Arial"/>
          <w:lang w:val="fr-FR"/>
        </w:rPr>
        <w:t>7.2 (Rev.COP1</w:t>
      </w:r>
      <w:r w:rsidR="001910CB">
        <w:rPr>
          <w:rFonts w:cs="Arial"/>
          <w:lang w:val="fr-FR"/>
        </w:rPr>
        <w:t>4</w:t>
      </w:r>
      <w:r>
        <w:rPr>
          <w:rFonts w:cs="Arial"/>
          <w:lang w:val="fr-FR"/>
        </w:rPr>
        <w:t>).</w:t>
      </w:r>
      <w:r w:rsidR="001910CB">
        <w:rPr>
          <w:rFonts w:cs="Arial"/>
          <w:lang w:val="fr-FR"/>
        </w:rPr>
        <w:t xml:space="preserve"> </w:t>
      </w:r>
      <w:r w:rsidR="001910CB" w:rsidRPr="001910CB">
        <w:rPr>
          <w:rFonts w:cs="Arial"/>
          <w:lang w:val="fr-FR"/>
        </w:rPr>
        <w:t xml:space="preserve">Le groupe de travail de la CMS sur les infrastructures a également examiné la résolution 7.2 (Rev.COP14) et proposé des amendements. Tous les amendements à la résolution 7.2 (Rev.COP14) et les mesures recommandées pertinentes sont présentés à l'annexe 1 du document </w:t>
      </w:r>
      <w:hyperlink r:id="rId23" w:history="1">
        <w:r w:rsidR="001910CB" w:rsidRPr="001910CB">
          <w:rPr>
            <w:rStyle w:val="Hyperlink"/>
            <w:rFonts w:cs="Arial"/>
            <w:lang w:val="fr-FR"/>
          </w:rPr>
          <w:t>UNEP/CMS/COP15/Doc.28.10</w:t>
        </w:r>
      </w:hyperlink>
      <w:r w:rsidR="001910CB" w:rsidRPr="001910CB">
        <w:rPr>
          <w:rFonts w:cs="Arial"/>
          <w:lang w:val="fr-FR"/>
        </w:rPr>
        <w:t xml:space="preserve"> </w:t>
      </w:r>
      <w:r w:rsidR="001910CB" w:rsidRPr="001910CB">
        <w:rPr>
          <w:rFonts w:cs="Arial"/>
          <w:i/>
          <w:iCs/>
          <w:lang w:val="fr-FR"/>
        </w:rPr>
        <w:t>Développement des infrastructures et espèces migratrices</w:t>
      </w:r>
      <w:r w:rsidR="001910CB" w:rsidRPr="001910CB">
        <w:rPr>
          <w:rFonts w:cs="Arial"/>
          <w:lang w:val="fr-FR"/>
        </w:rPr>
        <w:t>.</w:t>
      </w:r>
    </w:p>
    <w:p w14:paraId="713AC418" w14:textId="77777777" w:rsidR="00C65EA4" w:rsidRPr="007A509D" w:rsidRDefault="00C65EA4">
      <w:pPr>
        <w:widowControl w:val="0"/>
        <w:autoSpaceDE w:val="0"/>
        <w:autoSpaceDN w:val="0"/>
        <w:adjustRightInd w:val="0"/>
        <w:rPr>
          <w:rFonts w:cs="Arial"/>
          <w:sz w:val="18"/>
          <w:szCs w:val="18"/>
          <w:lang w:val="fr-FR"/>
        </w:rPr>
      </w:pPr>
    </w:p>
    <w:p w14:paraId="7681B9F6" w14:textId="0967A74F" w:rsidR="00C65EA4" w:rsidRDefault="00646050">
      <w:pPr>
        <w:widowControl w:val="0"/>
        <w:numPr>
          <w:ilvl w:val="0"/>
          <w:numId w:val="4"/>
        </w:numPr>
        <w:autoSpaceDE w:val="0"/>
        <w:autoSpaceDN w:val="0"/>
        <w:adjustRightInd w:val="0"/>
        <w:spacing w:after="80"/>
        <w:ind w:left="567" w:hanging="567"/>
        <w:rPr>
          <w:rFonts w:cs="Arial"/>
          <w:lang w:val="fr-FR"/>
        </w:rPr>
      </w:pPr>
      <w:r>
        <w:rPr>
          <w:rFonts w:cs="Arial"/>
          <w:lang w:val="fr-FR"/>
        </w:rPr>
        <w:t>Les ECC traitent également de nombreuses autres questions abordées dans le cadre de la Convention. Plus précisément, deux nouveaux développements nécessitent une attention particulière</w:t>
      </w:r>
      <w:r w:rsidR="00DA09F4">
        <w:rPr>
          <w:rFonts w:cs="Arial"/>
          <w:lang w:val="fr-FR"/>
        </w:rPr>
        <w:t> </w:t>
      </w:r>
      <w:r>
        <w:rPr>
          <w:rFonts w:cs="Arial"/>
          <w:lang w:val="fr-FR"/>
        </w:rPr>
        <w:t>:</w:t>
      </w:r>
    </w:p>
    <w:p w14:paraId="69C80C46" w14:textId="5A8876CD" w:rsidR="00C65EA4" w:rsidRDefault="00646050">
      <w:pPr>
        <w:widowControl w:val="0"/>
        <w:numPr>
          <w:ilvl w:val="0"/>
          <w:numId w:val="49"/>
        </w:numPr>
        <w:autoSpaceDE w:val="0"/>
        <w:autoSpaceDN w:val="0"/>
        <w:adjustRightInd w:val="0"/>
        <w:spacing w:after="80"/>
        <w:ind w:left="1134" w:hanging="283"/>
        <w:rPr>
          <w:rFonts w:cs="Arial"/>
          <w:lang w:val="fr-FR"/>
        </w:rPr>
      </w:pPr>
      <w:r>
        <w:rPr>
          <w:rFonts w:cs="Arial"/>
          <w:lang w:val="fr-FR"/>
        </w:rPr>
        <w:t>L’Accord BBNJ devrait entrer en vigueur prochainement. Cela a des implications pour la réalisation d’EIE dans des zones ne relevant pas de la juridiction nationale. Il est proposé que le Conseil scientifique étudie ce sujet plus en profondeur et cherche à soutenir</w:t>
      </w:r>
      <w:r>
        <w:rPr>
          <w:rFonts w:cs="Arial"/>
          <w:color w:val="000000" w:themeColor="text1"/>
          <w:lang w:val="fr-FR"/>
        </w:rPr>
        <w:t xml:space="preserve"> </w:t>
      </w:r>
      <w:r>
        <w:rPr>
          <w:rFonts w:cs="Arial"/>
          <w:lang w:val="fr-FR"/>
        </w:rPr>
        <w:t xml:space="preserve">les Parties, le Conseil et le Secrétariat en apportant des </w:t>
      </w:r>
      <w:r>
        <w:rPr>
          <w:rFonts w:cs="Arial"/>
          <w:lang w:val="fr-FR"/>
        </w:rPr>
        <w:lastRenderedPageBreak/>
        <w:t>contributions liées aux espèces migratrices dans le cadre des processus de l’Accord BBNJ. Cela offre également l’occasion de renforcer l’orientation disponible pour les Parties concernant les évaluations d’impact, y compris en ce qui concerne les effets cumulatifs.</w:t>
      </w:r>
    </w:p>
    <w:p w14:paraId="3A8BC7A6" w14:textId="34CCB573" w:rsidR="00C65EA4" w:rsidRDefault="00646050">
      <w:pPr>
        <w:widowControl w:val="0"/>
        <w:numPr>
          <w:ilvl w:val="0"/>
          <w:numId w:val="49"/>
        </w:numPr>
        <w:autoSpaceDE w:val="0"/>
        <w:autoSpaceDN w:val="0"/>
        <w:adjustRightInd w:val="0"/>
        <w:ind w:left="1134" w:hanging="283"/>
        <w:rPr>
          <w:rFonts w:cs="Arial"/>
          <w:lang w:val="fr-FR"/>
        </w:rPr>
      </w:pPr>
      <w:r>
        <w:rPr>
          <w:rFonts w:cs="Arial"/>
          <w:lang w:val="fr-FR"/>
        </w:rPr>
        <w:t>L’importance d’études d’impact exhaustives devient également évidente dans le contexte de la prise de conscience des effets que les activités humaines peuvent avoir sur la culture et l’apprentissage social des animaux, affectant ainsi les résultats en matière de conservation. Jusqu’à présent, les méthodologies d’EIS n’ont été appliquées qu’aux communautés humaines et ont reçu peu d’attention dans le cadre de la CMS. En étudiant l’applicabilité des méthodologies d’EIS à la culture animale, le Groupe de travail d’experts de la CMS sur la culture animale et la complexité sociale peut fournir des orientations importantes sur cette question émergente.</w:t>
      </w:r>
    </w:p>
    <w:p w14:paraId="1F770C90" w14:textId="77777777" w:rsidR="00C65EA4" w:rsidRDefault="00C65EA4">
      <w:pPr>
        <w:widowControl w:val="0"/>
        <w:autoSpaceDE w:val="0"/>
        <w:autoSpaceDN w:val="0"/>
        <w:adjustRightInd w:val="0"/>
        <w:rPr>
          <w:rFonts w:cs="Arial"/>
          <w:lang w:val="fr-FR"/>
        </w:rPr>
      </w:pPr>
    </w:p>
    <w:p w14:paraId="3529C150" w14:textId="77777777" w:rsidR="00C65EA4" w:rsidRDefault="00646050">
      <w:pPr>
        <w:rPr>
          <w:rFonts w:cs="Arial"/>
          <w:lang w:val="fr-FR"/>
        </w:rPr>
      </w:pPr>
      <w:r>
        <w:rPr>
          <w:rFonts w:cs="Arial"/>
          <w:u w:val="single"/>
          <w:lang w:val="fr-FR"/>
        </w:rPr>
        <w:t>Actions recommandées</w:t>
      </w:r>
    </w:p>
    <w:p w14:paraId="1DE9DB1A" w14:textId="77777777" w:rsidR="00C65EA4" w:rsidRDefault="00C65EA4">
      <w:pPr>
        <w:rPr>
          <w:rFonts w:cs="Arial"/>
          <w:lang w:val="fr-FR"/>
        </w:rPr>
      </w:pPr>
    </w:p>
    <w:p w14:paraId="2F874166" w14:textId="2F586420" w:rsidR="00C65EA4" w:rsidRDefault="00646050">
      <w:pPr>
        <w:widowControl w:val="0"/>
        <w:numPr>
          <w:ilvl w:val="0"/>
          <w:numId w:val="4"/>
        </w:numPr>
        <w:autoSpaceDE w:val="0"/>
        <w:autoSpaceDN w:val="0"/>
        <w:adjustRightInd w:val="0"/>
        <w:ind w:left="567" w:hanging="567"/>
        <w:rPr>
          <w:rFonts w:cs="Arial"/>
          <w:lang w:val="fr-FR"/>
        </w:rPr>
      </w:pPr>
      <w:r>
        <w:rPr>
          <w:rFonts w:cs="Arial"/>
          <w:lang w:val="fr-FR" w:eastAsia="en-GB"/>
        </w:rPr>
        <w:t>Il est recommandé à la Conférence des Parties</w:t>
      </w:r>
      <w:r w:rsidR="00DA09F4">
        <w:rPr>
          <w:rFonts w:cs="Arial"/>
          <w:lang w:val="fr-FR"/>
        </w:rPr>
        <w:t> </w:t>
      </w:r>
      <w:r>
        <w:rPr>
          <w:rFonts w:cs="Arial"/>
          <w:lang w:val="fr-FR"/>
        </w:rPr>
        <w:t>:</w:t>
      </w:r>
    </w:p>
    <w:p w14:paraId="72E4AE6F" w14:textId="77777777" w:rsidR="00C65EA4" w:rsidRDefault="00C65EA4">
      <w:pPr>
        <w:pStyle w:val="Secondnumbering"/>
        <w:numPr>
          <w:ilvl w:val="0"/>
          <w:numId w:val="0"/>
        </w:numPr>
        <w:rPr>
          <w:lang w:val="fr-FR"/>
        </w:rPr>
      </w:pPr>
    </w:p>
    <w:p w14:paraId="4A04C3FF" w14:textId="1E8D0B98" w:rsidR="00C65EA4" w:rsidRDefault="00646050">
      <w:pPr>
        <w:pStyle w:val="Secondnumbering"/>
        <w:ind w:left="964" w:hanging="397"/>
        <w:rPr>
          <w:lang w:val="fr-FR"/>
        </w:rPr>
      </w:pPr>
      <w:r>
        <w:rPr>
          <w:rFonts w:cs="Arial"/>
          <w:lang w:val="fr-FR"/>
        </w:rPr>
        <w:t xml:space="preserve">de prendre note </w:t>
      </w:r>
      <w:r w:rsidR="009D2D13">
        <w:rPr>
          <w:rFonts w:cs="Arial"/>
          <w:lang w:val="fr-FR"/>
        </w:rPr>
        <w:t xml:space="preserve">du résumé et des recommandations </w:t>
      </w:r>
      <w:r>
        <w:rPr>
          <w:rFonts w:cs="Arial"/>
          <w:lang w:val="fr-FR"/>
        </w:rPr>
        <w:t xml:space="preserve">du Rapport </w:t>
      </w:r>
      <w:r>
        <w:rPr>
          <w:rFonts w:cs="Arial"/>
          <w:i/>
          <w:lang w:val="fr-FR"/>
        </w:rPr>
        <w:t>Évaluation des effets cumulatifs et des espèces migratrices</w:t>
      </w:r>
      <w:r>
        <w:rPr>
          <w:rFonts w:cs="Arial"/>
          <w:lang w:val="fr-FR"/>
        </w:rPr>
        <w:t xml:space="preserve"> figurant à l’annexe</w:t>
      </w:r>
      <w:r w:rsidR="00DA09F4">
        <w:rPr>
          <w:rFonts w:cs="Arial"/>
          <w:lang w:val="fr-FR"/>
        </w:rPr>
        <w:t> </w:t>
      </w:r>
      <w:r>
        <w:rPr>
          <w:rFonts w:cs="Arial"/>
          <w:lang w:val="fr-FR"/>
        </w:rPr>
        <w:t>1 du présent document</w:t>
      </w:r>
      <w:r w:rsidR="00DA09F4">
        <w:rPr>
          <w:rFonts w:cs="Arial"/>
          <w:lang w:val="fr-FR"/>
        </w:rPr>
        <w:t> </w:t>
      </w:r>
      <w:r>
        <w:rPr>
          <w:rFonts w:cs="Arial"/>
          <w:lang w:val="fr-FR"/>
        </w:rPr>
        <w:t xml:space="preserve">; </w:t>
      </w:r>
    </w:p>
    <w:p w14:paraId="33DFE83A" w14:textId="77777777" w:rsidR="00C65EA4" w:rsidRDefault="00C65EA4">
      <w:pPr>
        <w:pStyle w:val="Secondnumbering"/>
        <w:numPr>
          <w:ilvl w:val="0"/>
          <w:numId w:val="0"/>
        </w:numPr>
        <w:ind w:left="964" w:hanging="397"/>
        <w:rPr>
          <w:lang w:val="fr-FR"/>
        </w:rPr>
      </w:pPr>
    </w:p>
    <w:p w14:paraId="2FDCC3B3" w14:textId="27E3CFAB" w:rsidR="00C65EA4" w:rsidRDefault="00646050">
      <w:pPr>
        <w:pStyle w:val="Secondnumbering"/>
        <w:ind w:left="964" w:hanging="397"/>
        <w:rPr>
          <w:lang w:val="fr-FR"/>
        </w:rPr>
      </w:pPr>
      <w:r>
        <w:rPr>
          <w:rFonts w:cs="Arial"/>
          <w:lang w:val="fr-FR"/>
        </w:rPr>
        <w:t>d’adopter le projet d’amendements de la Résolution</w:t>
      </w:r>
      <w:r w:rsidR="00DA09F4">
        <w:rPr>
          <w:rFonts w:cs="Arial"/>
          <w:lang w:val="fr-FR"/>
        </w:rPr>
        <w:t> </w:t>
      </w:r>
      <w:r>
        <w:rPr>
          <w:rFonts w:cs="Arial"/>
          <w:lang w:val="fr-FR"/>
        </w:rPr>
        <w:t>7.2 (Rev.COP14) figurant à l’annexe</w:t>
      </w:r>
      <w:r w:rsidR="00DA09F4">
        <w:rPr>
          <w:rFonts w:cs="Arial"/>
          <w:lang w:val="fr-FR"/>
        </w:rPr>
        <w:t> </w:t>
      </w:r>
      <w:r w:rsidR="001910CB">
        <w:rPr>
          <w:rFonts w:cs="Arial"/>
          <w:lang w:val="fr-FR"/>
        </w:rPr>
        <w:t>1</w:t>
      </w:r>
      <w:r>
        <w:rPr>
          <w:rFonts w:cs="Arial"/>
          <w:lang w:val="fr-FR"/>
        </w:rPr>
        <w:t xml:space="preserve"> du document</w:t>
      </w:r>
      <w:r w:rsidR="00DA09F4">
        <w:rPr>
          <w:rFonts w:cs="Arial"/>
          <w:lang w:val="fr-FR"/>
        </w:rPr>
        <w:t> </w:t>
      </w:r>
      <w:r w:rsidR="001910CB">
        <w:rPr>
          <w:rFonts w:cs="Arial"/>
          <w:lang w:val="fr-FR"/>
        </w:rPr>
        <w:t>UNEP/CMS/COP15/Doc.28.10</w:t>
      </w:r>
      <w:r>
        <w:rPr>
          <w:rFonts w:cs="Arial"/>
          <w:lang w:val="fr-FR"/>
        </w:rPr>
        <w:t>;</w:t>
      </w:r>
    </w:p>
    <w:p w14:paraId="434C8092" w14:textId="77777777" w:rsidR="00C65EA4" w:rsidRDefault="00C65EA4">
      <w:pPr>
        <w:pStyle w:val="Secondnumbering"/>
        <w:numPr>
          <w:ilvl w:val="0"/>
          <w:numId w:val="0"/>
        </w:numPr>
        <w:ind w:left="964" w:hanging="397"/>
        <w:rPr>
          <w:lang w:val="fr-FR"/>
        </w:rPr>
      </w:pPr>
    </w:p>
    <w:p w14:paraId="68ED3302" w14:textId="2053B0BB" w:rsidR="00C65EA4" w:rsidRDefault="00646050">
      <w:pPr>
        <w:pStyle w:val="Secondnumbering"/>
        <w:ind w:left="964" w:hanging="397"/>
        <w:rPr>
          <w:lang w:val="fr-FR"/>
        </w:rPr>
      </w:pPr>
      <w:r>
        <w:rPr>
          <w:rFonts w:cs="Arial"/>
          <w:lang w:val="fr-FR"/>
        </w:rPr>
        <w:t>d’adopter le projet de Décisions figurant à l’annexe</w:t>
      </w:r>
      <w:r w:rsidR="00DA09F4">
        <w:rPr>
          <w:rFonts w:cs="Arial"/>
          <w:lang w:val="fr-FR"/>
        </w:rPr>
        <w:t> </w:t>
      </w:r>
      <w:r w:rsidR="001910CB">
        <w:rPr>
          <w:rFonts w:cs="Arial"/>
          <w:lang w:val="fr-FR"/>
        </w:rPr>
        <w:t>2</w:t>
      </w:r>
      <w:r>
        <w:rPr>
          <w:rFonts w:cs="Arial"/>
          <w:lang w:val="fr-FR"/>
        </w:rPr>
        <w:t xml:space="preserve"> du présent document</w:t>
      </w:r>
      <w:r w:rsidR="00DA09F4">
        <w:rPr>
          <w:rFonts w:cs="Arial"/>
          <w:lang w:val="fr-FR"/>
        </w:rPr>
        <w:t> </w:t>
      </w:r>
      <w:r>
        <w:rPr>
          <w:rFonts w:cs="Arial"/>
          <w:lang w:val="fr-FR"/>
        </w:rPr>
        <w:t>;</w:t>
      </w:r>
    </w:p>
    <w:p w14:paraId="6ECAC8FD" w14:textId="77777777" w:rsidR="00C65EA4" w:rsidRPr="004845ED" w:rsidRDefault="00646050">
      <w:pPr>
        <w:ind w:left="964" w:hanging="397"/>
        <w:rPr>
          <w:rFonts w:cs="Arial"/>
          <w:lang w:val="fr-FR"/>
        </w:rPr>
      </w:pPr>
      <w:r w:rsidRPr="004845ED">
        <w:rPr>
          <w:lang w:val="fr-FR"/>
        </w:rPr>
        <w:t xml:space="preserve"> </w:t>
      </w:r>
    </w:p>
    <w:p w14:paraId="748D7603" w14:textId="6C221D5E" w:rsidR="00C65EA4" w:rsidRDefault="00646050">
      <w:pPr>
        <w:pStyle w:val="Secondnumbering"/>
        <w:ind w:left="964" w:hanging="397"/>
        <w:rPr>
          <w:rFonts w:cs="Arial"/>
          <w:lang w:val="fr-FR"/>
        </w:rPr>
      </w:pPr>
      <w:r>
        <w:rPr>
          <w:rFonts w:cs="Arial"/>
          <w:lang w:val="fr-FR"/>
        </w:rPr>
        <w:t>de supprimer les décisions</w:t>
      </w:r>
      <w:r w:rsidR="00DA09F4">
        <w:rPr>
          <w:rFonts w:cs="Arial"/>
          <w:lang w:val="fr-FR"/>
        </w:rPr>
        <w:t> </w:t>
      </w:r>
      <w:r>
        <w:rPr>
          <w:rFonts w:cs="Arial"/>
          <w:lang w:val="fr-FR"/>
        </w:rPr>
        <w:t>14.204–14.206.</w:t>
      </w:r>
    </w:p>
    <w:p w14:paraId="786EE02B" w14:textId="77777777" w:rsidR="00C65EA4" w:rsidRDefault="00C65EA4">
      <w:pPr>
        <w:rPr>
          <w:rFonts w:cs="Arial"/>
          <w:lang w:val="fr-FR"/>
        </w:rPr>
        <w:sectPr w:rsidR="00C65EA4">
          <w:headerReference w:type="even" r:id="rId24"/>
          <w:headerReference w:type="default"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509AD44C" w14:textId="7B56E317" w:rsidR="00C65EA4" w:rsidRDefault="00646050">
      <w:pPr>
        <w:jc w:val="right"/>
        <w:rPr>
          <w:rFonts w:cs="Arial"/>
          <w:b/>
          <w:bCs/>
          <w:caps/>
          <w:lang w:val="fr-FR"/>
        </w:rPr>
      </w:pPr>
      <w:r>
        <w:rPr>
          <w:rFonts w:cs="Arial"/>
          <w:b/>
          <w:caps/>
          <w:lang w:val="fr-FR"/>
        </w:rPr>
        <w:lastRenderedPageBreak/>
        <w:t>Annexe</w:t>
      </w:r>
      <w:r w:rsidR="00DA09F4">
        <w:rPr>
          <w:rFonts w:cs="Arial"/>
          <w:b/>
          <w:caps/>
          <w:lang w:val="fr-FR"/>
        </w:rPr>
        <w:t> </w:t>
      </w:r>
      <w:r>
        <w:rPr>
          <w:rFonts w:cs="Arial"/>
          <w:b/>
          <w:caps/>
          <w:lang w:val="fr-FR"/>
        </w:rPr>
        <w:t>1</w:t>
      </w:r>
    </w:p>
    <w:p w14:paraId="5ECF390E" w14:textId="77777777" w:rsidR="00C65EA4" w:rsidRDefault="00C65EA4">
      <w:pPr>
        <w:rPr>
          <w:rFonts w:cs="Arial"/>
          <w:iCs/>
          <w:lang w:val="fr-FR"/>
        </w:rPr>
      </w:pPr>
    </w:p>
    <w:p w14:paraId="4ECCB8EF" w14:textId="77777777" w:rsidR="00C65EA4" w:rsidRDefault="00C65EA4">
      <w:pPr>
        <w:tabs>
          <w:tab w:val="left" w:pos="1020"/>
        </w:tabs>
        <w:rPr>
          <w:rFonts w:cs="Arial"/>
          <w:lang w:val="fr-FR"/>
        </w:rPr>
      </w:pPr>
    </w:p>
    <w:p w14:paraId="1EDF836A" w14:textId="58974387" w:rsidR="00C65EA4" w:rsidRDefault="00646050">
      <w:pPr>
        <w:tabs>
          <w:tab w:val="left" w:pos="1020"/>
        </w:tabs>
        <w:jc w:val="center"/>
        <w:rPr>
          <w:rFonts w:cs="Arial"/>
          <w:b/>
          <w:bCs/>
          <w:lang w:val="fr-FR"/>
        </w:rPr>
      </w:pPr>
      <w:r>
        <w:rPr>
          <w:rFonts w:cs="Arial"/>
          <w:b/>
          <w:bCs/>
          <w:lang w:val="fr-FR"/>
        </w:rPr>
        <w:t>RAPPORT SUR L’ÉVALUATION DES EFFETS CUMULATIFS POUR LES ESPÈCES MIGRATRICES</w:t>
      </w:r>
      <w:r w:rsidR="00DA09F4">
        <w:rPr>
          <w:rFonts w:cs="Arial"/>
          <w:b/>
          <w:bCs/>
          <w:lang w:val="fr-FR"/>
        </w:rPr>
        <w:t> </w:t>
      </w:r>
      <w:r>
        <w:rPr>
          <w:rFonts w:cs="Arial"/>
          <w:b/>
          <w:bCs/>
          <w:lang w:val="fr-FR"/>
        </w:rPr>
        <w:t xml:space="preserve">: </w:t>
      </w:r>
    </w:p>
    <w:p w14:paraId="7FC14422" w14:textId="77777777" w:rsidR="00C65EA4" w:rsidRDefault="00646050">
      <w:pPr>
        <w:tabs>
          <w:tab w:val="left" w:pos="1020"/>
        </w:tabs>
        <w:jc w:val="center"/>
        <w:rPr>
          <w:rFonts w:cs="Arial"/>
          <w:b/>
          <w:bCs/>
          <w:lang w:val="fr-FR"/>
        </w:rPr>
      </w:pPr>
      <w:r>
        <w:rPr>
          <w:rFonts w:cs="Arial"/>
          <w:b/>
          <w:bCs/>
          <w:lang w:val="fr-FR"/>
        </w:rPr>
        <w:t>RÉSUMÉ ET RECOMMANDATIONS</w:t>
      </w:r>
    </w:p>
    <w:p w14:paraId="345FC942" w14:textId="77777777" w:rsidR="00C65EA4" w:rsidRDefault="00C65EA4">
      <w:pPr>
        <w:pStyle w:val="Secondnumbering"/>
        <w:numPr>
          <w:ilvl w:val="0"/>
          <w:numId w:val="0"/>
        </w:numPr>
        <w:rPr>
          <w:lang w:val="fr-FR"/>
        </w:rPr>
      </w:pPr>
    </w:p>
    <w:p w14:paraId="59B8BB06" w14:textId="2B5594C5" w:rsidR="00C65EA4" w:rsidRPr="006A10D3" w:rsidRDefault="00646050">
      <w:pPr>
        <w:pStyle w:val="Secondnumbering"/>
        <w:numPr>
          <w:ilvl w:val="0"/>
          <w:numId w:val="0"/>
        </w:numPr>
        <w:jc w:val="center"/>
        <w:rPr>
          <w:rFonts w:cs="Arial"/>
          <w:lang w:val="fr-FR"/>
        </w:rPr>
      </w:pPr>
      <w:r w:rsidRPr="006A10D3">
        <w:rPr>
          <w:rFonts w:cs="Arial"/>
          <w:lang w:val="fr-FR"/>
        </w:rPr>
        <w:t>Le rapport complet est disponible dans le document</w:t>
      </w:r>
      <w:r w:rsidR="002361B4" w:rsidRPr="006A10D3">
        <w:rPr>
          <w:rFonts w:cs="Arial"/>
          <w:lang w:val="fr-FR"/>
        </w:rPr>
        <w:t xml:space="preserve"> </w:t>
      </w:r>
      <w:hyperlink r:id="rId29" w:history="1">
        <w:r w:rsidRPr="006A10D3">
          <w:rPr>
            <w:rStyle w:val="Hyperlink"/>
            <w:rFonts w:cs="Arial"/>
            <w:lang w:val="fr-FR"/>
          </w:rPr>
          <w:t>UNEP/CMS/COP15/Inf.28.</w:t>
        </w:r>
        <w:r w:rsidR="007F1E6A" w:rsidRPr="006A10D3">
          <w:rPr>
            <w:rStyle w:val="Hyperlink"/>
            <w:rFonts w:cs="Arial"/>
            <w:lang w:val="fr-FR"/>
          </w:rPr>
          <w:t xml:space="preserve">9 </w:t>
        </w:r>
      </w:hyperlink>
    </w:p>
    <w:p w14:paraId="763EBC97" w14:textId="77777777" w:rsidR="00C65EA4" w:rsidRDefault="00C65EA4">
      <w:pPr>
        <w:pStyle w:val="Secondnumbering"/>
        <w:numPr>
          <w:ilvl w:val="0"/>
          <w:numId w:val="0"/>
        </w:numPr>
        <w:jc w:val="center"/>
        <w:rPr>
          <w:lang w:val="fr-FR"/>
        </w:rPr>
      </w:pPr>
    </w:p>
    <w:p w14:paraId="5FD5F3F3" w14:textId="77777777" w:rsidR="00C65EA4" w:rsidRDefault="00646050">
      <w:pPr>
        <w:pStyle w:val="Secondnumbering"/>
        <w:numPr>
          <w:ilvl w:val="0"/>
          <w:numId w:val="0"/>
        </w:numPr>
        <w:rPr>
          <w:u w:val="single"/>
          <w:lang w:val="fr-FR"/>
        </w:rPr>
      </w:pPr>
      <w:r>
        <w:rPr>
          <w:u w:val="single"/>
          <w:lang w:val="fr-FR"/>
        </w:rPr>
        <w:t>Résumé</w:t>
      </w:r>
    </w:p>
    <w:p w14:paraId="2DFC9E4D" w14:textId="77777777" w:rsidR="00C65EA4" w:rsidRDefault="00C65EA4">
      <w:pPr>
        <w:pStyle w:val="Secondnumbering"/>
        <w:numPr>
          <w:ilvl w:val="0"/>
          <w:numId w:val="0"/>
        </w:numPr>
        <w:rPr>
          <w:lang w:val="fr-FR"/>
        </w:rPr>
      </w:pPr>
    </w:p>
    <w:p w14:paraId="4F51AE76" w14:textId="539F3296" w:rsidR="00C65EA4" w:rsidRDefault="00646050">
      <w:pPr>
        <w:pStyle w:val="Secondnumbering"/>
        <w:numPr>
          <w:ilvl w:val="0"/>
          <w:numId w:val="0"/>
        </w:numPr>
        <w:rPr>
          <w:lang w:val="fr-FR"/>
        </w:rPr>
      </w:pPr>
      <w:r>
        <w:rPr>
          <w:rFonts w:cs="Arial"/>
          <w:lang w:val="fr-FR"/>
        </w:rPr>
        <w:t xml:space="preserve">La Convention sur la conservation des espèces migratrices appartenant à la faune sauvage (CMS) reconnaît que les espèces migratrices sont de plus en plus menacées par des pressions environnementales cumulatives telles que les changements climatiques, la dégradation de l’habitat, la pollution et le développement industriel. </w:t>
      </w:r>
      <w:r>
        <w:rPr>
          <w:lang w:val="fr-FR"/>
        </w:rPr>
        <w:t>Les évaluations de l’impact sur l’environnement (EIE) traditionnelles ne parviennent souvent pas à saisir les effets cumulatifs d’activités multiples dans le temps et l’espace, notamment au-delà des frontières nationales</w:t>
      </w:r>
      <w:r>
        <w:rPr>
          <w:color w:val="000000" w:themeColor="text1"/>
          <w:lang w:val="fr-FR"/>
        </w:rPr>
        <w:t xml:space="preserve">. </w:t>
      </w:r>
      <w:r>
        <w:rPr>
          <w:rFonts w:cs="Arial"/>
          <w:color w:val="000000" w:themeColor="text1"/>
          <w:lang w:val="fr-FR"/>
        </w:rPr>
        <w:t>Cela fait de l’</w:t>
      </w:r>
      <w:r>
        <w:rPr>
          <w:rFonts w:cs="Arial"/>
          <w:lang w:val="fr-FR"/>
        </w:rPr>
        <w:t xml:space="preserve">évaluation des effets cumulatifs (EEC) un outil essentiel pour comprendre et atténuer les impacts sur les espèces migratrices. </w:t>
      </w:r>
    </w:p>
    <w:p w14:paraId="0B9ED171" w14:textId="77777777" w:rsidR="00C65EA4" w:rsidRDefault="00C65EA4">
      <w:pPr>
        <w:rPr>
          <w:lang w:val="fr-FR"/>
        </w:rPr>
      </w:pPr>
    </w:p>
    <w:p w14:paraId="66D59718" w14:textId="5769A835" w:rsidR="00C65EA4" w:rsidRDefault="00646050">
      <w:pPr>
        <w:tabs>
          <w:tab w:val="num" w:pos="720"/>
        </w:tabs>
        <w:spacing w:after="80"/>
        <w:rPr>
          <w:lang w:val="fr-FR"/>
        </w:rPr>
      </w:pPr>
      <w:r>
        <w:rPr>
          <w:rFonts w:cs="Arial"/>
          <w:lang w:val="fr-FR"/>
        </w:rPr>
        <w:t>En réponse à la décision</w:t>
      </w:r>
      <w:r w:rsidR="00DA09F4">
        <w:rPr>
          <w:rFonts w:cs="Arial"/>
          <w:lang w:val="fr-FR"/>
        </w:rPr>
        <w:t> </w:t>
      </w:r>
      <w:r>
        <w:rPr>
          <w:rFonts w:cs="Arial"/>
          <w:lang w:val="fr-FR"/>
        </w:rPr>
        <w:t xml:space="preserve">14.205 de la COP14 de la CMS, </w:t>
      </w:r>
      <w:r>
        <w:rPr>
          <w:lang w:val="fr-FR"/>
        </w:rPr>
        <w:t>ce rapport</w:t>
      </w:r>
      <w:r w:rsidR="00DA09F4">
        <w:rPr>
          <w:lang w:val="fr-FR"/>
        </w:rPr>
        <w:t> </w:t>
      </w:r>
      <w:r>
        <w:rPr>
          <w:lang w:val="fr-FR"/>
        </w:rPr>
        <w:t>:</w:t>
      </w:r>
    </w:p>
    <w:p w14:paraId="2B1252A8" w14:textId="1250FFAA" w:rsidR="00C65EA4" w:rsidRDefault="00646050">
      <w:pPr>
        <w:pStyle w:val="ListParagraph"/>
        <w:numPr>
          <w:ilvl w:val="0"/>
          <w:numId w:val="46"/>
        </w:numPr>
        <w:spacing w:after="80"/>
        <w:ind w:left="567" w:hanging="567"/>
        <w:contextualSpacing w:val="0"/>
        <w:rPr>
          <w:rFonts w:cs="Arial"/>
          <w:lang w:val="fr-FR"/>
        </w:rPr>
      </w:pPr>
      <w:r>
        <w:rPr>
          <w:rFonts w:cs="Arial"/>
          <w:lang w:val="fr-FR"/>
        </w:rPr>
        <w:t>Évalue la manière dont les Parties à la CMS appliquent l’ECC dans le cadre de l’EIE et de l’évaluation environnementale stratégique (EES).</w:t>
      </w:r>
    </w:p>
    <w:p w14:paraId="78F9AFD3" w14:textId="77777777" w:rsidR="00C65EA4" w:rsidRDefault="00646050">
      <w:pPr>
        <w:pStyle w:val="ListParagraph"/>
        <w:numPr>
          <w:ilvl w:val="0"/>
          <w:numId w:val="46"/>
        </w:numPr>
        <w:spacing w:after="80"/>
        <w:ind w:left="567" w:hanging="567"/>
        <w:contextualSpacing w:val="0"/>
        <w:rPr>
          <w:rFonts w:cs="Arial"/>
          <w:lang w:val="fr-FR"/>
        </w:rPr>
      </w:pPr>
      <w:r>
        <w:rPr>
          <w:rFonts w:cs="Arial"/>
          <w:lang w:val="fr-FR"/>
        </w:rPr>
        <w:t>Identifie les meilleures pratiques et les défis.</w:t>
      </w:r>
    </w:p>
    <w:p w14:paraId="1DDB25B8" w14:textId="77777777" w:rsidR="00C65EA4" w:rsidRDefault="00646050">
      <w:pPr>
        <w:pStyle w:val="ListParagraph"/>
        <w:numPr>
          <w:ilvl w:val="0"/>
          <w:numId w:val="46"/>
        </w:numPr>
        <w:ind w:left="567" w:hanging="567"/>
        <w:contextualSpacing w:val="0"/>
        <w:rPr>
          <w:rFonts w:cs="Arial"/>
          <w:lang w:val="fr-FR"/>
        </w:rPr>
      </w:pPr>
      <w:r>
        <w:rPr>
          <w:rFonts w:cs="Arial"/>
          <w:lang w:val="fr-FR"/>
        </w:rPr>
        <w:t>Recommande des orientations pour une meilleure inclusion des espèces migratrices dans les EEC.</w:t>
      </w:r>
    </w:p>
    <w:p w14:paraId="7B42C541" w14:textId="77777777" w:rsidR="00C65EA4" w:rsidRDefault="00C65EA4">
      <w:pPr>
        <w:pStyle w:val="Secondnumbering"/>
        <w:numPr>
          <w:ilvl w:val="0"/>
          <w:numId w:val="0"/>
        </w:numPr>
        <w:rPr>
          <w:lang w:val="fr-FR"/>
        </w:rPr>
      </w:pPr>
    </w:p>
    <w:p w14:paraId="4B963E68" w14:textId="618169FD" w:rsidR="00C65EA4" w:rsidRDefault="00646050">
      <w:pPr>
        <w:pStyle w:val="Secondnumbering"/>
        <w:numPr>
          <w:ilvl w:val="0"/>
          <w:numId w:val="0"/>
        </w:numPr>
        <w:rPr>
          <w:lang w:val="fr-FR"/>
        </w:rPr>
      </w:pPr>
      <w:r>
        <w:rPr>
          <w:lang w:val="fr-FR"/>
        </w:rPr>
        <w:t>Le rapport passe en revue les meilleures pratiques et les cadres méthodologiques mondiaux pour la réalisation d’évaluations des effets cumulatifs. Bien que le rapport soit axé sur les EEC et les espèces migratrices en milieu marin, la plupart des recommandations sont applicables aux EEC en général ainsi qu’à d’autres taxons d’espèces migratrices.</w:t>
      </w:r>
    </w:p>
    <w:p w14:paraId="5DE4F5EB" w14:textId="77777777" w:rsidR="00C65EA4" w:rsidRDefault="00C65EA4">
      <w:pPr>
        <w:pStyle w:val="Secondnumbering"/>
        <w:numPr>
          <w:ilvl w:val="0"/>
          <w:numId w:val="0"/>
        </w:numPr>
        <w:rPr>
          <w:lang w:val="fr-FR"/>
        </w:rPr>
      </w:pPr>
    </w:p>
    <w:p w14:paraId="33BB25EB" w14:textId="77777777" w:rsidR="00C65EA4" w:rsidRDefault="00646050">
      <w:pPr>
        <w:pStyle w:val="Secondnumbering"/>
        <w:numPr>
          <w:ilvl w:val="0"/>
          <w:numId w:val="0"/>
        </w:numPr>
        <w:rPr>
          <w:u w:val="single"/>
          <w:lang w:val="fr-FR"/>
        </w:rPr>
      </w:pPr>
      <w:r>
        <w:rPr>
          <w:u w:val="single"/>
          <w:lang w:val="fr-FR"/>
        </w:rPr>
        <w:t>Principales conclusions</w:t>
      </w:r>
    </w:p>
    <w:p w14:paraId="2DAA7147" w14:textId="77777777" w:rsidR="00C65EA4" w:rsidRDefault="00C65EA4">
      <w:pPr>
        <w:rPr>
          <w:rFonts w:cs="Arial"/>
          <w:b/>
          <w:bCs/>
          <w:lang w:val="fr-FR"/>
        </w:rPr>
      </w:pPr>
    </w:p>
    <w:p w14:paraId="7EC88083" w14:textId="77777777" w:rsidR="00C65EA4" w:rsidRDefault="00646050">
      <w:pPr>
        <w:pStyle w:val="ListParagraph"/>
        <w:numPr>
          <w:ilvl w:val="0"/>
          <w:numId w:val="45"/>
        </w:numPr>
        <w:contextualSpacing w:val="0"/>
        <w:rPr>
          <w:rFonts w:cs="Arial"/>
          <w:b/>
          <w:bCs/>
          <w:lang w:val="fr-FR"/>
        </w:rPr>
      </w:pPr>
      <w:r>
        <w:rPr>
          <w:rFonts w:cs="Arial"/>
          <w:b/>
          <w:bCs/>
          <w:lang w:val="fr-FR"/>
        </w:rPr>
        <w:t>Les espèces migratrices sont sous-représentées dans les EEC</w:t>
      </w:r>
    </w:p>
    <w:p w14:paraId="6CF72BFB" w14:textId="3DBAD5A7" w:rsidR="00C65EA4" w:rsidRDefault="00646050">
      <w:pPr>
        <w:rPr>
          <w:rFonts w:cs="Arial"/>
          <w:lang w:val="fr-FR"/>
        </w:rPr>
      </w:pPr>
      <w:r>
        <w:rPr>
          <w:rFonts w:cs="Arial"/>
          <w:lang w:val="fr-FR"/>
        </w:rPr>
        <w:t>Malgré leur vulnérabilité, les espèces migratrices sont rarement prises en considération de manière explicite dans les EEC ni dans la législation ou les lignes directrices en matière d’EEC. Les espèces marines migratrices sont notamment menacées par les pressions qui se chevauchent en raison de l’augmentation des activités dans les environnements marins liées au développement des énergies renouvelables, au transport et à l’exploitation minière des fonds marins, aggravées par l’intensification des effets des changements climatiques tels que le réchauffement et l’acidification des océans. Les défis incluent la rareté des données, la difficulté de suivre les espèces à travers les juridictions, et le manque de coordination internationale.</w:t>
      </w:r>
    </w:p>
    <w:p w14:paraId="615F28E7" w14:textId="77777777" w:rsidR="00C65EA4" w:rsidRDefault="00C65EA4">
      <w:pPr>
        <w:ind w:left="720"/>
        <w:rPr>
          <w:rFonts w:cs="Arial"/>
          <w:lang w:val="fr-FR"/>
        </w:rPr>
      </w:pPr>
    </w:p>
    <w:p w14:paraId="1AB11557" w14:textId="1DC9CA12" w:rsidR="00C65EA4" w:rsidRDefault="00646050">
      <w:pPr>
        <w:pStyle w:val="ListParagraph"/>
        <w:numPr>
          <w:ilvl w:val="0"/>
          <w:numId w:val="45"/>
        </w:numPr>
        <w:contextualSpacing w:val="0"/>
        <w:rPr>
          <w:rFonts w:cs="Arial"/>
          <w:b/>
          <w:bCs/>
          <w:lang w:val="fr-FR"/>
        </w:rPr>
      </w:pPr>
      <w:r>
        <w:rPr>
          <w:rFonts w:cs="Arial"/>
          <w:b/>
          <w:bCs/>
          <w:lang w:val="fr-FR"/>
        </w:rPr>
        <w:t>Les pratiques en matière d’EEC varient considérablement</w:t>
      </w:r>
    </w:p>
    <w:p w14:paraId="3E3204C9" w14:textId="2CE5579F" w:rsidR="00C65EA4" w:rsidRDefault="00646050" w:rsidP="00A01561">
      <w:pPr>
        <w:rPr>
          <w:rFonts w:cs="Arial"/>
          <w:b/>
          <w:bCs/>
          <w:lang w:val="fr-FR"/>
        </w:rPr>
      </w:pPr>
      <w:r>
        <w:rPr>
          <w:rFonts w:cs="Arial"/>
          <w:lang w:val="fr-FR"/>
        </w:rPr>
        <w:t xml:space="preserve">Les EEC sont mises en œuvre de manière incohérente par les Parties à la CMS. Seules deux Parties (la Nouvelle-Zélande et la République dominicaine) ont répondu à la demande d’information de la CMS, la Nouvelle-Zélande ayant fourni une orientation et des outils détaillés. De nombreux pays ne disposent pas de législation nationale ni d’orientation sur la manière de mener des EEC, notamment dans les régions en développement. Lorsque l’EEC fait partie de la législation, il n’existe aucune information sur la mise en œuvre et l’efficacité des EEC ainsi que sur les mesures d’atténuation qui en découlent. </w:t>
      </w:r>
      <w:r>
        <w:rPr>
          <w:rFonts w:cs="Arial"/>
          <w:b/>
          <w:bCs/>
          <w:lang w:val="fr-FR"/>
        </w:rPr>
        <w:br w:type="page"/>
      </w:r>
    </w:p>
    <w:p w14:paraId="1FEE745B" w14:textId="560FC19E" w:rsidR="00C65EA4" w:rsidRDefault="00646050">
      <w:pPr>
        <w:pStyle w:val="ListParagraph"/>
        <w:numPr>
          <w:ilvl w:val="0"/>
          <w:numId w:val="45"/>
        </w:numPr>
        <w:contextualSpacing w:val="0"/>
        <w:rPr>
          <w:rFonts w:cs="Arial"/>
          <w:b/>
          <w:bCs/>
          <w:lang w:val="fr-FR"/>
        </w:rPr>
      </w:pPr>
      <w:r>
        <w:rPr>
          <w:rFonts w:cs="Arial"/>
          <w:b/>
          <w:bCs/>
          <w:lang w:val="fr-FR"/>
        </w:rPr>
        <w:lastRenderedPageBreak/>
        <w:t>Étapes communes de la méthodologie en matière d’EEC</w:t>
      </w:r>
    </w:p>
    <w:p w14:paraId="19F278AA" w14:textId="77777777" w:rsidR="00C65EA4" w:rsidRDefault="00646050">
      <w:pPr>
        <w:rPr>
          <w:rFonts w:cs="Arial"/>
          <w:lang w:val="fr-FR"/>
        </w:rPr>
      </w:pPr>
      <w:r>
        <w:rPr>
          <w:rFonts w:cs="Arial"/>
          <w:lang w:val="fr-FR"/>
        </w:rPr>
        <w:t>Malgré la variabilité, la plupart des EEC adoptent une structure similaire, illustrée dans le schéma ci-dessous.</w:t>
      </w:r>
    </w:p>
    <w:p w14:paraId="060BCEAE" w14:textId="77777777" w:rsidR="00C65EA4" w:rsidRDefault="00C65EA4">
      <w:pPr>
        <w:rPr>
          <w:rFonts w:cs="Arial"/>
          <w:lang w:val="fr-FR"/>
        </w:rPr>
      </w:pPr>
    </w:p>
    <w:p w14:paraId="0E04902D" w14:textId="77777777" w:rsidR="00C65EA4" w:rsidRDefault="00646050">
      <w:pPr>
        <w:rPr>
          <w:rFonts w:cs="Arial"/>
          <w:lang w:val="fr-FR"/>
        </w:rPr>
      </w:pPr>
      <w:r>
        <w:rPr>
          <w:rFonts w:cs="Arial"/>
          <w:noProof/>
          <w:lang w:val="en-US"/>
          <w14:ligatures w14:val="standardContextual"/>
        </w:rPr>
        <w:drawing>
          <wp:inline distT="0" distB="0" distL="0" distR="0" wp14:anchorId="0D725FBA" wp14:editId="57104400">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601BD335" w14:textId="77777777" w:rsidR="00C65EA4" w:rsidRDefault="00C65EA4">
      <w:pPr>
        <w:rPr>
          <w:rFonts w:cs="Arial"/>
          <w:lang w:val="fr-FR"/>
        </w:rPr>
      </w:pPr>
    </w:p>
    <w:p w14:paraId="26826F53" w14:textId="52988863" w:rsidR="00C65EA4" w:rsidRDefault="00646050">
      <w:pPr>
        <w:pStyle w:val="ListParagraph"/>
        <w:numPr>
          <w:ilvl w:val="0"/>
          <w:numId w:val="45"/>
        </w:numPr>
        <w:contextualSpacing w:val="0"/>
        <w:rPr>
          <w:rFonts w:cs="Arial"/>
          <w:b/>
          <w:bCs/>
          <w:lang w:val="fr-FR"/>
        </w:rPr>
      </w:pPr>
      <w:r>
        <w:rPr>
          <w:rFonts w:cs="Arial"/>
          <w:b/>
          <w:bCs/>
          <w:lang w:val="fr-FR"/>
        </w:rPr>
        <w:t>Les principaux défis concernant les EEC et les espèces migratrices sont notamment les suivants</w:t>
      </w:r>
      <w:r w:rsidR="00DA09F4">
        <w:rPr>
          <w:rFonts w:cs="Arial"/>
          <w:b/>
          <w:bCs/>
          <w:lang w:val="fr-FR"/>
        </w:rPr>
        <w:t> </w:t>
      </w:r>
      <w:r>
        <w:rPr>
          <w:rFonts w:cs="Arial"/>
          <w:b/>
          <w:bCs/>
          <w:lang w:val="fr-FR"/>
        </w:rPr>
        <w:t>:</w:t>
      </w:r>
    </w:p>
    <w:p w14:paraId="74F5792C" w14:textId="77777777" w:rsidR="00C65EA4" w:rsidRDefault="00646050">
      <w:pPr>
        <w:numPr>
          <w:ilvl w:val="0"/>
          <w:numId w:val="43"/>
        </w:numPr>
        <w:tabs>
          <w:tab w:val="num" w:pos="720"/>
        </w:tabs>
        <w:rPr>
          <w:rFonts w:cs="Arial"/>
          <w:lang w:val="fr-FR"/>
        </w:rPr>
      </w:pPr>
      <w:r>
        <w:rPr>
          <w:rFonts w:cs="Arial"/>
          <w:lang w:val="fr-FR"/>
        </w:rPr>
        <w:t>Absence de définitions et de méthodologies standardisées</w:t>
      </w:r>
    </w:p>
    <w:p w14:paraId="08368BC4" w14:textId="77777777" w:rsidR="00C65EA4" w:rsidRDefault="00646050">
      <w:pPr>
        <w:numPr>
          <w:ilvl w:val="0"/>
          <w:numId w:val="43"/>
        </w:numPr>
        <w:tabs>
          <w:tab w:val="num" w:pos="720"/>
        </w:tabs>
        <w:rPr>
          <w:rFonts w:cs="Arial"/>
          <w:lang w:val="fr-FR"/>
        </w:rPr>
      </w:pPr>
      <w:r>
        <w:rPr>
          <w:rFonts w:cs="Arial"/>
          <w:lang w:val="fr-FR"/>
        </w:rPr>
        <w:t>Faible disponibilité et partage des données</w:t>
      </w:r>
    </w:p>
    <w:p w14:paraId="2F9C9E91" w14:textId="77777777" w:rsidR="00C65EA4" w:rsidRDefault="00646050">
      <w:pPr>
        <w:numPr>
          <w:ilvl w:val="0"/>
          <w:numId w:val="43"/>
        </w:numPr>
        <w:tabs>
          <w:tab w:val="num" w:pos="720"/>
        </w:tabs>
        <w:rPr>
          <w:rFonts w:cs="Arial"/>
          <w:lang w:val="fr-FR"/>
        </w:rPr>
      </w:pPr>
      <w:r>
        <w:rPr>
          <w:rFonts w:cs="Arial"/>
          <w:lang w:val="fr-FR"/>
        </w:rPr>
        <w:t>Difficulté à évaluer les effets synergétiques et non linéaires</w:t>
      </w:r>
    </w:p>
    <w:p w14:paraId="267BFBA4" w14:textId="4784BA10" w:rsidR="00C65EA4" w:rsidRDefault="00646050">
      <w:pPr>
        <w:numPr>
          <w:ilvl w:val="0"/>
          <w:numId w:val="43"/>
        </w:numPr>
        <w:tabs>
          <w:tab w:val="num" w:pos="720"/>
        </w:tabs>
        <w:rPr>
          <w:rFonts w:cs="Arial"/>
          <w:lang w:val="fr-FR"/>
        </w:rPr>
      </w:pPr>
      <w:r>
        <w:rPr>
          <w:rFonts w:cs="Arial"/>
          <w:lang w:val="fr-FR"/>
        </w:rPr>
        <w:t>Insuffisance de la surveillance et du suivi des EEC ainsi que des mesures d’atténuation</w:t>
      </w:r>
    </w:p>
    <w:p w14:paraId="7D7189AF" w14:textId="77777777" w:rsidR="00C65EA4" w:rsidRDefault="00646050">
      <w:pPr>
        <w:numPr>
          <w:ilvl w:val="0"/>
          <w:numId w:val="43"/>
        </w:numPr>
        <w:rPr>
          <w:rFonts w:cs="Arial"/>
          <w:lang w:val="fr-FR"/>
        </w:rPr>
      </w:pPr>
      <w:r>
        <w:rPr>
          <w:rFonts w:cs="Arial"/>
          <w:lang w:val="fr-FR"/>
        </w:rPr>
        <w:t>Faible intégration des EEC dans les processus de prise de décision</w:t>
      </w:r>
    </w:p>
    <w:p w14:paraId="07BBE6E1" w14:textId="77777777" w:rsidR="00C65EA4" w:rsidRDefault="00646050">
      <w:pPr>
        <w:numPr>
          <w:ilvl w:val="0"/>
          <w:numId w:val="43"/>
        </w:numPr>
        <w:rPr>
          <w:rFonts w:cs="Arial"/>
          <w:lang w:val="fr-FR"/>
        </w:rPr>
      </w:pPr>
      <w:r>
        <w:rPr>
          <w:rFonts w:cs="Arial"/>
          <w:lang w:val="fr-FR"/>
        </w:rPr>
        <w:t>Effets historiques non connus ou non comptabilisés</w:t>
      </w:r>
    </w:p>
    <w:p w14:paraId="4E94F338" w14:textId="2FAF9AAD" w:rsidR="00C65EA4" w:rsidRDefault="00646050">
      <w:pPr>
        <w:numPr>
          <w:ilvl w:val="0"/>
          <w:numId w:val="43"/>
        </w:numPr>
        <w:rPr>
          <w:rFonts w:cs="Arial"/>
          <w:lang w:val="fr-FR"/>
        </w:rPr>
      </w:pPr>
      <w:r>
        <w:rPr>
          <w:rFonts w:cs="Arial"/>
          <w:lang w:val="fr-FR"/>
        </w:rPr>
        <w:t>Incertitude en matière de signalement et d’évaluation</w:t>
      </w:r>
    </w:p>
    <w:p w14:paraId="43438F00" w14:textId="2DE12FB6" w:rsidR="00C65EA4" w:rsidRDefault="00646050">
      <w:pPr>
        <w:numPr>
          <w:ilvl w:val="0"/>
          <w:numId w:val="43"/>
        </w:numPr>
        <w:rPr>
          <w:rFonts w:cs="Arial"/>
          <w:lang w:val="fr-FR"/>
        </w:rPr>
      </w:pPr>
      <w:r>
        <w:rPr>
          <w:rFonts w:cs="Arial"/>
          <w:lang w:val="fr-FR"/>
        </w:rPr>
        <w:t>Manque de rapports sur la mise en œuvre et l’efficacité des EEC</w:t>
      </w:r>
    </w:p>
    <w:p w14:paraId="11D1BCCF" w14:textId="77777777" w:rsidR="00C65EA4" w:rsidRDefault="00C65EA4">
      <w:pPr>
        <w:ind w:left="720"/>
        <w:rPr>
          <w:rFonts w:cs="Arial"/>
          <w:lang w:val="fr-FR"/>
        </w:rPr>
      </w:pPr>
    </w:p>
    <w:p w14:paraId="36450174" w14:textId="3E764F54" w:rsidR="00C65EA4" w:rsidRDefault="00646050">
      <w:pPr>
        <w:pStyle w:val="ListParagraph"/>
        <w:numPr>
          <w:ilvl w:val="0"/>
          <w:numId w:val="45"/>
        </w:numPr>
        <w:contextualSpacing w:val="0"/>
        <w:rPr>
          <w:rFonts w:cs="Arial"/>
          <w:b/>
          <w:bCs/>
          <w:lang w:val="fr-FR"/>
        </w:rPr>
      </w:pPr>
      <w:r>
        <w:rPr>
          <w:rFonts w:cs="Arial"/>
          <w:b/>
          <w:bCs/>
          <w:lang w:val="fr-FR"/>
        </w:rPr>
        <w:t>Les meilleures pratiques pour les EEC et les espèces migratrices sont les suivantes</w:t>
      </w:r>
      <w:r w:rsidR="00DA09F4">
        <w:rPr>
          <w:rFonts w:cs="Arial"/>
          <w:b/>
          <w:bCs/>
          <w:lang w:val="fr-FR"/>
        </w:rPr>
        <w:t> </w:t>
      </w:r>
      <w:r>
        <w:rPr>
          <w:rFonts w:cs="Arial"/>
          <w:b/>
          <w:bCs/>
          <w:lang w:val="fr-FR"/>
        </w:rPr>
        <w:t>:</w:t>
      </w:r>
    </w:p>
    <w:p w14:paraId="10559815" w14:textId="6B4636DA" w:rsidR="00C65EA4" w:rsidRDefault="00646050">
      <w:pPr>
        <w:numPr>
          <w:ilvl w:val="0"/>
          <w:numId w:val="44"/>
        </w:numPr>
        <w:rPr>
          <w:rFonts w:cs="Arial"/>
          <w:lang w:val="fr-FR"/>
        </w:rPr>
      </w:pPr>
      <w:r>
        <w:rPr>
          <w:rFonts w:cs="Arial"/>
          <w:lang w:val="fr-FR"/>
        </w:rPr>
        <w:t>Champ d’application et objectif clairement définis</w:t>
      </w:r>
    </w:p>
    <w:p w14:paraId="3EB82868" w14:textId="77777777" w:rsidR="00C65EA4" w:rsidRDefault="00646050">
      <w:pPr>
        <w:numPr>
          <w:ilvl w:val="0"/>
          <w:numId w:val="44"/>
        </w:numPr>
        <w:rPr>
          <w:rFonts w:cs="Arial"/>
          <w:lang w:val="fr-FR"/>
        </w:rPr>
      </w:pPr>
      <w:r>
        <w:rPr>
          <w:rFonts w:cs="Arial"/>
          <w:lang w:val="fr-FR"/>
        </w:rPr>
        <w:t>Échelles temporelles et spatiales appropriées</w:t>
      </w:r>
    </w:p>
    <w:p w14:paraId="39F30243" w14:textId="77777777" w:rsidR="00C65EA4" w:rsidRDefault="00646050">
      <w:pPr>
        <w:numPr>
          <w:ilvl w:val="0"/>
          <w:numId w:val="44"/>
        </w:numPr>
        <w:rPr>
          <w:rFonts w:cs="Arial"/>
          <w:lang w:val="fr-FR"/>
        </w:rPr>
      </w:pPr>
      <w:r>
        <w:rPr>
          <w:rFonts w:cs="Arial"/>
          <w:lang w:val="fr-FR"/>
        </w:rPr>
        <w:t>Explication des effets, des pressions et des activités pris en considération, ainsi que de ceux qui sont exclus</w:t>
      </w:r>
    </w:p>
    <w:p w14:paraId="3AAA8E12" w14:textId="77777777" w:rsidR="00C65EA4" w:rsidRDefault="00646050">
      <w:pPr>
        <w:numPr>
          <w:ilvl w:val="0"/>
          <w:numId w:val="44"/>
        </w:numPr>
        <w:rPr>
          <w:rFonts w:cs="Arial"/>
          <w:lang w:val="fr-FR"/>
        </w:rPr>
      </w:pPr>
      <w:r>
        <w:rPr>
          <w:rFonts w:cs="Arial"/>
          <w:lang w:val="fr-FR"/>
        </w:rPr>
        <w:t xml:space="preserve">Entente sur une base commune permettant d’évaluer les impacts des pressions exercées </w:t>
      </w:r>
    </w:p>
    <w:p w14:paraId="3C191830" w14:textId="77777777" w:rsidR="00C65EA4" w:rsidRDefault="00646050">
      <w:pPr>
        <w:numPr>
          <w:ilvl w:val="0"/>
          <w:numId w:val="44"/>
        </w:numPr>
        <w:tabs>
          <w:tab w:val="num" w:pos="720"/>
        </w:tabs>
        <w:rPr>
          <w:rFonts w:cs="Arial"/>
          <w:lang w:val="fr-FR"/>
        </w:rPr>
      </w:pPr>
      <w:r>
        <w:rPr>
          <w:rFonts w:cs="Arial"/>
          <w:lang w:val="fr-FR"/>
        </w:rPr>
        <w:t>Utilisation de modèles quantitatifs et prédictifs pour évaluer les effets cumulatifs</w:t>
      </w:r>
    </w:p>
    <w:p w14:paraId="29C1C680" w14:textId="77777777" w:rsidR="00C65EA4" w:rsidRDefault="00646050">
      <w:pPr>
        <w:numPr>
          <w:ilvl w:val="0"/>
          <w:numId w:val="44"/>
        </w:numPr>
        <w:tabs>
          <w:tab w:val="num" w:pos="720"/>
        </w:tabs>
        <w:rPr>
          <w:rFonts w:cs="Arial"/>
          <w:lang w:val="fr-FR"/>
        </w:rPr>
      </w:pPr>
      <w:r>
        <w:rPr>
          <w:rFonts w:cs="Arial"/>
          <w:lang w:val="fr-FR"/>
        </w:rPr>
        <w:t>Intégration des savoirs traditionnels et locaux dans les EEC</w:t>
      </w:r>
    </w:p>
    <w:p w14:paraId="09E8E6E8" w14:textId="40ABF852" w:rsidR="00C65EA4" w:rsidRDefault="00646050">
      <w:pPr>
        <w:numPr>
          <w:ilvl w:val="0"/>
          <w:numId w:val="44"/>
        </w:numPr>
        <w:rPr>
          <w:rFonts w:cs="Arial"/>
          <w:lang w:val="fr-FR"/>
        </w:rPr>
      </w:pPr>
      <w:r>
        <w:rPr>
          <w:rFonts w:cs="Arial"/>
          <w:lang w:val="fr-FR"/>
        </w:rPr>
        <w:t>Utilisation de systèmes d’information géographique et d’outils spatiaux pour visualiser les impacts cumulatifs</w:t>
      </w:r>
    </w:p>
    <w:p w14:paraId="46EF13EB" w14:textId="77777777" w:rsidR="00C65EA4" w:rsidRDefault="00646050">
      <w:pPr>
        <w:numPr>
          <w:ilvl w:val="0"/>
          <w:numId w:val="44"/>
        </w:numPr>
        <w:rPr>
          <w:rFonts w:cs="Arial"/>
          <w:lang w:val="fr-FR"/>
        </w:rPr>
      </w:pPr>
      <w:r>
        <w:rPr>
          <w:rFonts w:cs="Arial"/>
          <w:lang w:val="fr-FR"/>
        </w:rPr>
        <w:t>Élaboration et utilisation systématique des seuils</w:t>
      </w:r>
    </w:p>
    <w:p w14:paraId="5CDBFCB4" w14:textId="77777777" w:rsidR="00C65EA4" w:rsidRDefault="00646050">
      <w:pPr>
        <w:numPr>
          <w:ilvl w:val="0"/>
          <w:numId w:val="44"/>
        </w:numPr>
        <w:rPr>
          <w:rFonts w:cs="Arial"/>
          <w:lang w:val="fr-FR"/>
        </w:rPr>
      </w:pPr>
      <w:r>
        <w:rPr>
          <w:rFonts w:cs="Arial"/>
          <w:lang w:val="fr-FR"/>
        </w:rPr>
        <w:t>Documentation transparente des hypothèses et des incertitudes</w:t>
      </w:r>
    </w:p>
    <w:p w14:paraId="7E7A7987" w14:textId="230AA225" w:rsidR="000248AD" w:rsidRDefault="000248AD">
      <w:pPr>
        <w:rPr>
          <w:rFonts w:cs="Arial"/>
          <w:lang w:val="fr-FR"/>
        </w:rPr>
      </w:pPr>
      <w:r>
        <w:rPr>
          <w:rFonts w:cs="Arial"/>
          <w:lang w:val="fr-FR"/>
        </w:rPr>
        <w:br w:type="page"/>
      </w:r>
    </w:p>
    <w:p w14:paraId="3B951EB6" w14:textId="549F5D21" w:rsidR="00C65EA4" w:rsidRDefault="00646050">
      <w:pPr>
        <w:rPr>
          <w:rFonts w:cs="Arial"/>
          <w:lang w:val="fr-FR"/>
        </w:rPr>
      </w:pPr>
      <w:r>
        <w:rPr>
          <w:rFonts w:cs="Arial"/>
          <w:lang w:val="fr-FR"/>
        </w:rPr>
        <w:lastRenderedPageBreak/>
        <w:t xml:space="preserve">Alors que les EEC sont de plus en plus reconnues comme essentielles pour la gestion de l’environnement, leur application aux espèces migratrices reste limitée. La CMS est idéalement placée pour diriger les efforts d’intégration des espèces migratrices dans les EEC grâce à l’orientation, au renforcement des capacités et à la coopération internationale. </w:t>
      </w:r>
    </w:p>
    <w:p w14:paraId="62C810E5" w14:textId="77777777" w:rsidR="00C65EA4" w:rsidRDefault="00C65EA4">
      <w:pPr>
        <w:pStyle w:val="Secondnumbering"/>
        <w:numPr>
          <w:ilvl w:val="0"/>
          <w:numId w:val="0"/>
        </w:numPr>
        <w:rPr>
          <w:lang w:val="fr-FR"/>
        </w:rPr>
      </w:pPr>
    </w:p>
    <w:p w14:paraId="303A7F46" w14:textId="77777777" w:rsidR="00C65EA4" w:rsidRDefault="00646050">
      <w:pPr>
        <w:pStyle w:val="Secondnumbering"/>
        <w:numPr>
          <w:ilvl w:val="0"/>
          <w:numId w:val="0"/>
        </w:numPr>
        <w:rPr>
          <w:u w:val="single"/>
          <w:lang w:val="fr-FR"/>
        </w:rPr>
      </w:pPr>
      <w:r>
        <w:rPr>
          <w:u w:val="single"/>
          <w:lang w:val="fr-FR"/>
        </w:rPr>
        <w:t>Recommandations</w:t>
      </w:r>
    </w:p>
    <w:p w14:paraId="4F317EFD" w14:textId="77777777" w:rsidR="00C65EA4" w:rsidRDefault="00C65EA4">
      <w:pPr>
        <w:pStyle w:val="Secondnumbering"/>
        <w:numPr>
          <w:ilvl w:val="0"/>
          <w:numId w:val="0"/>
        </w:numPr>
        <w:rPr>
          <w:u w:val="single"/>
          <w:lang w:val="fr-FR"/>
        </w:rPr>
      </w:pPr>
    </w:p>
    <w:p w14:paraId="38E19297" w14:textId="77777777" w:rsidR="00C65EA4" w:rsidRDefault="00646050">
      <w:pPr>
        <w:rPr>
          <w:lang w:val="fr-FR"/>
        </w:rPr>
      </w:pPr>
      <w:r>
        <w:rPr>
          <w:lang w:val="fr-FR"/>
        </w:rPr>
        <w:t xml:space="preserve">Les recommandations ci-dessous ne traitent pas de manière exhaustive toutes les lacunes et tous les défis identifiés dans le rapport, car elles se concentrent uniquement sur les domaines dans lesquels la CMS et ses Parties ont un mandat et peuvent apporter leur contribution. </w:t>
      </w:r>
    </w:p>
    <w:p w14:paraId="40C18D29" w14:textId="77777777" w:rsidR="00C65EA4" w:rsidRDefault="00C65EA4">
      <w:pPr>
        <w:rPr>
          <w:lang w:val="fr-FR"/>
        </w:rPr>
      </w:pPr>
    </w:p>
    <w:p w14:paraId="5C5143B8" w14:textId="77777777" w:rsidR="00C65EA4" w:rsidRDefault="00646050">
      <w:pPr>
        <w:rPr>
          <w:b/>
          <w:bCs/>
          <w:lang w:val="fr-FR"/>
        </w:rPr>
      </w:pPr>
      <w:r>
        <w:rPr>
          <w:b/>
          <w:bCs/>
          <w:lang w:val="fr-FR"/>
        </w:rPr>
        <w:t>(1) Terminologie et méthodologie</w:t>
      </w:r>
    </w:p>
    <w:p w14:paraId="349FE447" w14:textId="77777777" w:rsidR="00C65EA4" w:rsidRDefault="00C65EA4">
      <w:pPr>
        <w:rPr>
          <w:b/>
          <w:bCs/>
          <w:lang w:val="fr-FR"/>
        </w:rPr>
      </w:pPr>
    </w:p>
    <w:p w14:paraId="750549FD" w14:textId="3C7BDCA9" w:rsidR="00C65EA4" w:rsidRDefault="00646050">
      <w:pPr>
        <w:pStyle w:val="ListParagraph"/>
        <w:numPr>
          <w:ilvl w:val="0"/>
          <w:numId w:val="16"/>
        </w:numPr>
        <w:spacing w:after="80"/>
        <w:ind w:hanging="357"/>
        <w:contextualSpacing w:val="0"/>
        <w:rPr>
          <w:lang w:val="fr-FR"/>
        </w:rPr>
      </w:pPr>
      <w:r>
        <w:rPr>
          <w:lang w:val="fr-FR"/>
        </w:rPr>
        <w:t>Les Parties devraient définir des lignes directrices ou des normes communes pour la réalisation de l’EEC, notamment en ce qui concerne quand et comment évaluer les espèces migratrices.</w:t>
      </w:r>
    </w:p>
    <w:p w14:paraId="66F452B6" w14:textId="2A6C5E5E" w:rsidR="00C65EA4" w:rsidRDefault="00646050">
      <w:pPr>
        <w:pStyle w:val="ListParagraph"/>
        <w:numPr>
          <w:ilvl w:val="1"/>
          <w:numId w:val="16"/>
        </w:numPr>
        <w:spacing w:after="80"/>
        <w:ind w:hanging="357"/>
        <w:contextualSpacing w:val="0"/>
        <w:rPr>
          <w:lang w:val="fr-FR"/>
        </w:rPr>
      </w:pPr>
      <w:r>
        <w:rPr>
          <w:lang w:val="fr-FR"/>
        </w:rPr>
        <w:t>En particulier, les Parties devraient donner des orientations sur les méthodologies appropriées pour évaluer les effets cumulatifs sur les espèces migratrices, par exemple sous la forme d’un document d’orientation technique.</w:t>
      </w:r>
    </w:p>
    <w:p w14:paraId="46160E39" w14:textId="008942CF" w:rsidR="00C65EA4" w:rsidRDefault="00646050">
      <w:pPr>
        <w:pStyle w:val="ListParagraph"/>
        <w:numPr>
          <w:ilvl w:val="1"/>
          <w:numId w:val="16"/>
        </w:numPr>
        <w:spacing w:after="80"/>
        <w:ind w:hanging="357"/>
        <w:contextualSpacing w:val="0"/>
        <w:rPr>
          <w:lang w:val="fr-FR"/>
        </w:rPr>
      </w:pPr>
      <w:r>
        <w:rPr>
          <w:rFonts w:cs="Arial"/>
          <w:lang w:val="fr-FR"/>
        </w:rPr>
        <w:t>Lorsque des défis uniques existent ou surgissent dans la réalisation d’EEC, comme pour les espèces marines migratrices, les Parties devraient élaborer des orientations spécifiques pour ces évaluations, adaptées à des groupes particuliers d’espèces migratrices.</w:t>
      </w:r>
    </w:p>
    <w:p w14:paraId="572C6F15" w14:textId="37A08084" w:rsidR="00C65EA4" w:rsidRDefault="00646050">
      <w:pPr>
        <w:pStyle w:val="ListParagraph"/>
        <w:numPr>
          <w:ilvl w:val="0"/>
          <w:numId w:val="16"/>
        </w:numPr>
        <w:spacing w:after="80"/>
        <w:ind w:hanging="357"/>
        <w:contextualSpacing w:val="0"/>
        <w:rPr>
          <w:lang w:val="fr-FR"/>
        </w:rPr>
      </w:pPr>
      <w:r>
        <w:rPr>
          <w:lang w:val="fr-FR"/>
        </w:rPr>
        <w:t>Les Parties devraient communiquer toutes les lignes directrices et normes existantes qui fournissent des orientations pour l’inclusion et l’évaluation des espèces migratrices dans les EEC.</w:t>
      </w:r>
    </w:p>
    <w:p w14:paraId="5EAE5251" w14:textId="332E7134" w:rsidR="00C65EA4" w:rsidRDefault="00646050">
      <w:pPr>
        <w:pStyle w:val="ListParagraph"/>
        <w:numPr>
          <w:ilvl w:val="0"/>
          <w:numId w:val="16"/>
        </w:numPr>
        <w:contextualSpacing w:val="0"/>
        <w:rPr>
          <w:lang w:val="fr-FR"/>
        </w:rPr>
      </w:pPr>
      <w:r>
        <w:rPr>
          <w:lang w:val="fr-FR"/>
        </w:rPr>
        <w:t>Les Parties devraient définir une terminologie commune pour les EEC, notamment une définition des effets cumulatifs, de l’évaluation de ces derniers et d’autres termes clés.</w:t>
      </w:r>
    </w:p>
    <w:p w14:paraId="6098D786" w14:textId="77777777" w:rsidR="00C65EA4" w:rsidRDefault="00C65EA4">
      <w:pPr>
        <w:rPr>
          <w:lang w:val="fr-FR"/>
        </w:rPr>
      </w:pPr>
    </w:p>
    <w:p w14:paraId="6291114F" w14:textId="77777777" w:rsidR="00C65EA4" w:rsidRDefault="00646050">
      <w:pPr>
        <w:rPr>
          <w:b/>
          <w:bCs/>
          <w:lang w:val="fr-FR"/>
        </w:rPr>
      </w:pPr>
      <w:r>
        <w:rPr>
          <w:b/>
          <w:bCs/>
          <w:lang w:val="fr-FR"/>
        </w:rPr>
        <w:t>(2) Législation et politique</w:t>
      </w:r>
    </w:p>
    <w:p w14:paraId="7251F789" w14:textId="77777777" w:rsidR="00C65EA4" w:rsidRDefault="00C65EA4">
      <w:pPr>
        <w:rPr>
          <w:b/>
          <w:bCs/>
          <w:lang w:val="fr-FR"/>
        </w:rPr>
      </w:pPr>
    </w:p>
    <w:p w14:paraId="4D923BEE" w14:textId="163F6C99" w:rsidR="00C65EA4" w:rsidRDefault="00646050">
      <w:pPr>
        <w:pStyle w:val="ListParagraph"/>
        <w:numPr>
          <w:ilvl w:val="0"/>
          <w:numId w:val="17"/>
        </w:numPr>
        <w:spacing w:after="80"/>
        <w:ind w:left="714" w:hanging="357"/>
        <w:contextualSpacing w:val="0"/>
        <w:rPr>
          <w:lang w:val="fr-FR"/>
        </w:rPr>
      </w:pPr>
      <w:r>
        <w:rPr>
          <w:lang w:val="fr-FR"/>
        </w:rPr>
        <w:t>Les Parties qui n’ont pas intégré l’EEC dans leur législation peuvent tirer des enseignements des Parties qui ont déjà mis en place l’EEC dans leur législation nationale. Elles devraient élaborer une politique nationale sur la réalisation d’EEC, en accordant une attention particulière aux espèces migratrices.</w:t>
      </w:r>
    </w:p>
    <w:p w14:paraId="7E11E85B" w14:textId="71DF23A0" w:rsidR="00C65EA4" w:rsidRDefault="00646050">
      <w:pPr>
        <w:pStyle w:val="ListParagraph"/>
        <w:numPr>
          <w:ilvl w:val="0"/>
          <w:numId w:val="17"/>
        </w:numPr>
        <w:contextualSpacing w:val="0"/>
        <w:rPr>
          <w:lang w:val="fr-FR"/>
        </w:rPr>
      </w:pPr>
      <w:r>
        <w:rPr>
          <w:lang w:val="fr-FR"/>
        </w:rPr>
        <w:t>Les Parties qui ont intégré l’EEC dans leur législation nationale sont encouragées à fournir du matériel de renforcement des capacités et à soutenir l’élaboration de législations et de politiques relatives à l’ECC dans les pays qui ne l’ont pas encore fait, en portant une attention particulière aux espèces migratrices.</w:t>
      </w:r>
    </w:p>
    <w:p w14:paraId="100BF588" w14:textId="77777777" w:rsidR="00C65EA4" w:rsidRDefault="00C65EA4">
      <w:pPr>
        <w:pStyle w:val="ListParagraph"/>
        <w:contextualSpacing w:val="0"/>
        <w:rPr>
          <w:lang w:val="fr-FR"/>
        </w:rPr>
      </w:pPr>
    </w:p>
    <w:p w14:paraId="35D7094C" w14:textId="77777777" w:rsidR="00C65EA4" w:rsidRDefault="00646050">
      <w:pPr>
        <w:rPr>
          <w:b/>
          <w:bCs/>
          <w:lang w:val="fr-FR"/>
        </w:rPr>
      </w:pPr>
      <w:r>
        <w:rPr>
          <w:b/>
          <w:bCs/>
          <w:lang w:val="fr-FR"/>
        </w:rPr>
        <w:t>(3) Mise en œuvre</w:t>
      </w:r>
    </w:p>
    <w:p w14:paraId="158C6681" w14:textId="77777777" w:rsidR="00C65EA4" w:rsidRDefault="00C65EA4">
      <w:pPr>
        <w:rPr>
          <w:b/>
          <w:bCs/>
          <w:lang w:val="fr-FR"/>
        </w:rPr>
      </w:pPr>
    </w:p>
    <w:p w14:paraId="464517B0" w14:textId="746707FD" w:rsidR="00C65EA4" w:rsidRDefault="00646050">
      <w:pPr>
        <w:pStyle w:val="ListParagraph"/>
        <w:numPr>
          <w:ilvl w:val="0"/>
          <w:numId w:val="17"/>
        </w:numPr>
        <w:spacing w:after="80"/>
        <w:ind w:left="714" w:hanging="357"/>
        <w:contextualSpacing w:val="0"/>
        <w:rPr>
          <w:lang w:val="fr-FR"/>
        </w:rPr>
      </w:pPr>
      <w:r>
        <w:rPr>
          <w:lang w:val="fr-FR"/>
        </w:rPr>
        <w:t>Les Parties qui ont déjà intégré l’EEC dans leur législation nationale devraient évaluer le degré de mise en œuvre des EEC, ainsi qu’évaluer et, le cas échéant, améliorer l’évaluation des espèces migratrices dans les EEC.</w:t>
      </w:r>
    </w:p>
    <w:p w14:paraId="63AA96F3" w14:textId="72B64563" w:rsidR="00C65EA4" w:rsidRDefault="00646050">
      <w:pPr>
        <w:pStyle w:val="ListParagraph"/>
        <w:numPr>
          <w:ilvl w:val="0"/>
          <w:numId w:val="17"/>
        </w:numPr>
        <w:contextualSpacing w:val="0"/>
        <w:rPr>
          <w:lang w:val="fr-FR"/>
        </w:rPr>
      </w:pPr>
      <w:r>
        <w:rPr>
          <w:lang w:val="fr-FR"/>
        </w:rPr>
        <w:t>Les Parties devraient surveiller la mise en œuvre des EEC dans la politique et la pratique nationales, notamment l’inclusion des espèces migratrices et tout défi entravant la mise en œuvre.</w:t>
      </w:r>
    </w:p>
    <w:p w14:paraId="226DC437" w14:textId="6AB0C8ED" w:rsidR="00BB1C65" w:rsidRDefault="00BB1C65">
      <w:pPr>
        <w:rPr>
          <w:lang w:val="fr-FR"/>
        </w:rPr>
      </w:pPr>
      <w:r>
        <w:rPr>
          <w:lang w:val="fr-FR"/>
        </w:rPr>
        <w:br w:type="page"/>
      </w:r>
    </w:p>
    <w:p w14:paraId="680D46F2" w14:textId="77777777" w:rsidR="00C65EA4" w:rsidRDefault="00646050">
      <w:pPr>
        <w:rPr>
          <w:b/>
          <w:bCs/>
          <w:lang w:val="fr-FR"/>
        </w:rPr>
      </w:pPr>
      <w:r>
        <w:rPr>
          <w:b/>
          <w:bCs/>
          <w:lang w:val="fr-FR"/>
        </w:rPr>
        <w:lastRenderedPageBreak/>
        <w:t xml:space="preserve">(4) Recherche </w:t>
      </w:r>
    </w:p>
    <w:p w14:paraId="6067B15E" w14:textId="77777777" w:rsidR="00C65EA4" w:rsidRDefault="00C65EA4">
      <w:pPr>
        <w:rPr>
          <w:b/>
          <w:bCs/>
          <w:lang w:val="fr-FR"/>
        </w:rPr>
      </w:pPr>
    </w:p>
    <w:p w14:paraId="050C3BDE" w14:textId="187E989E" w:rsidR="00C65EA4" w:rsidRDefault="00646050">
      <w:pPr>
        <w:pStyle w:val="ListParagraph"/>
        <w:numPr>
          <w:ilvl w:val="0"/>
          <w:numId w:val="18"/>
        </w:numPr>
        <w:spacing w:after="80"/>
        <w:ind w:left="714" w:hanging="357"/>
        <w:contextualSpacing w:val="0"/>
        <w:rPr>
          <w:lang w:val="fr-FR"/>
        </w:rPr>
      </w:pPr>
      <w:r>
        <w:rPr>
          <w:lang w:val="fr-FR"/>
        </w:rPr>
        <w:t xml:space="preserve">Les Parties devraient remédier au manque de compréhension de l’évaluation des effets cumulatifs en étudiant les interactions entre les pressions et les récepteurs, en particulier les manières non linéaires (par exemple, antagonistes, </w:t>
      </w:r>
      <w:proofErr w:type="spellStart"/>
      <w:r>
        <w:rPr>
          <w:lang w:val="fr-FR"/>
        </w:rPr>
        <w:t>synergiétques</w:t>
      </w:r>
      <w:proofErr w:type="spellEnd"/>
      <w:r>
        <w:rPr>
          <w:lang w:val="fr-FR"/>
        </w:rPr>
        <w:t xml:space="preserve">, additives) dont les effets cumulatifs se manifestent. </w:t>
      </w:r>
    </w:p>
    <w:p w14:paraId="41616986" w14:textId="55BEDFDE" w:rsidR="00C65EA4" w:rsidRDefault="00646050">
      <w:pPr>
        <w:pStyle w:val="ListParagraph"/>
        <w:numPr>
          <w:ilvl w:val="0"/>
          <w:numId w:val="18"/>
        </w:numPr>
        <w:spacing w:after="80"/>
        <w:ind w:left="714" w:hanging="357"/>
        <w:contextualSpacing w:val="0"/>
        <w:rPr>
          <w:lang w:val="fr-FR"/>
        </w:rPr>
      </w:pPr>
      <w:r>
        <w:rPr>
          <w:lang w:val="fr-FR"/>
        </w:rPr>
        <w:t>Les Parties devraient mener des recherches sur la législation, la politique et les méthodes employées pour entreprendre les EEC par l’ensemble des 133</w:t>
      </w:r>
      <w:r w:rsidR="00DA09F4">
        <w:rPr>
          <w:lang w:val="fr-FR"/>
        </w:rPr>
        <w:t> </w:t>
      </w:r>
      <w:r>
        <w:rPr>
          <w:lang w:val="fr-FR"/>
        </w:rPr>
        <w:t xml:space="preserve">Parties à la CMS afin de fournir des informations détaillées sur les défis régionaux, les lacunes dans la législation et les politiques, ainsi que sur l’inclusion des espèces migratrices dans les EEC, et partager ces recherches avec les autres Parties. </w:t>
      </w:r>
    </w:p>
    <w:p w14:paraId="511A0428" w14:textId="263BA0B9" w:rsidR="00C65EA4" w:rsidRDefault="00646050">
      <w:pPr>
        <w:pStyle w:val="ListParagraph"/>
        <w:numPr>
          <w:ilvl w:val="0"/>
          <w:numId w:val="18"/>
        </w:numPr>
        <w:contextualSpacing w:val="0"/>
        <w:rPr>
          <w:lang w:val="fr-FR"/>
        </w:rPr>
      </w:pPr>
      <w:r>
        <w:rPr>
          <w:lang w:val="fr-FR"/>
        </w:rPr>
        <w:t xml:space="preserve">Afin d’étoffer ce rapport, qui porte principalement sur les EEC dans l’environnement marin, les Parties devraient mener des recherches sur les EEC dans des environnements, des écosystèmes ou des habitats uniques ou spécifiques présentant un intérêt pour les espèces migratrices. </w:t>
      </w:r>
    </w:p>
    <w:p w14:paraId="6E1E617F" w14:textId="61CDE95A" w:rsidR="00C65EA4" w:rsidRDefault="00646050">
      <w:pPr>
        <w:pStyle w:val="ListParagraph"/>
        <w:numPr>
          <w:ilvl w:val="0"/>
          <w:numId w:val="18"/>
        </w:numPr>
        <w:contextualSpacing w:val="0"/>
        <w:rPr>
          <w:lang w:val="fr-FR"/>
        </w:rPr>
      </w:pPr>
      <w:r>
        <w:rPr>
          <w:lang w:val="fr-FR"/>
        </w:rPr>
        <w:t>Les Parties devraient étudier les avancées technologiques dans les méthodes d’EEC et la collecte de données, y compris, mais sans s’y limiter, l’intelligence artificielle et les approches d’apprentissage automatique pour soutenir les EEC.</w:t>
      </w:r>
    </w:p>
    <w:p w14:paraId="1E8F45B7" w14:textId="77777777" w:rsidR="00C65EA4" w:rsidRDefault="00C65EA4">
      <w:pPr>
        <w:rPr>
          <w:lang w:val="fr-FR"/>
        </w:rPr>
      </w:pPr>
    </w:p>
    <w:p w14:paraId="79724BA1" w14:textId="77777777" w:rsidR="00C65EA4" w:rsidRDefault="00646050">
      <w:pPr>
        <w:rPr>
          <w:b/>
          <w:bCs/>
          <w:lang w:val="fr-FR"/>
        </w:rPr>
      </w:pPr>
      <w:r>
        <w:rPr>
          <w:b/>
          <w:bCs/>
          <w:lang w:val="fr-FR"/>
        </w:rPr>
        <w:t xml:space="preserve">(5) Partage des données et des informations </w:t>
      </w:r>
    </w:p>
    <w:p w14:paraId="30CC4AA3" w14:textId="77777777" w:rsidR="00C65EA4" w:rsidRDefault="00C65EA4">
      <w:pPr>
        <w:rPr>
          <w:b/>
          <w:bCs/>
          <w:lang w:val="fr-FR"/>
        </w:rPr>
      </w:pPr>
    </w:p>
    <w:p w14:paraId="28581F77" w14:textId="104FBA78" w:rsidR="00C65EA4" w:rsidRDefault="00646050">
      <w:pPr>
        <w:pStyle w:val="ListParagraph"/>
        <w:numPr>
          <w:ilvl w:val="0"/>
          <w:numId w:val="15"/>
        </w:numPr>
        <w:spacing w:after="80"/>
        <w:ind w:hanging="357"/>
        <w:contextualSpacing w:val="0"/>
        <w:rPr>
          <w:lang w:val="fr-FR"/>
        </w:rPr>
      </w:pPr>
      <w:r>
        <w:rPr>
          <w:lang w:val="fr-FR"/>
        </w:rPr>
        <w:t xml:space="preserve">Afin d’alléger le fardeau lié à la collecte des données ainsi que les défis associés à la rareté de celles-ci, les Parties devraient partager les données et informations nécessaires pour éclairer les EEC, notamment, mais sans s’y limiter, les données sur les espèces (populations, taux, routes migratoires), les données de référence sur les écosystèmes et les habitats, les seuils, les pressions, les sources et les effets, en particulier lorsqu’ils concernent les espèces inscrites aux Annexes I et II de la CMS. </w:t>
      </w:r>
    </w:p>
    <w:p w14:paraId="57BBE04F" w14:textId="36EA3129" w:rsidR="00C65EA4" w:rsidRDefault="00646050">
      <w:pPr>
        <w:pStyle w:val="ListParagraph"/>
        <w:numPr>
          <w:ilvl w:val="1"/>
          <w:numId w:val="15"/>
        </w:numPr>
        <w:spacing w:after="80"/>
        <w:ind w:hanging="357"/>
        <w:contextualSpacing w:val="0"/>
        <w:rPr>
          <w:lang w:val="fr-FR"/>
        </w:rPr>
      </w:pPr>
      <w:r>
        <w:rPr>
          <w:lang w:val="fr-FR"/>
        </w:rPr>
        <w:t>Dans un premier temps, les Parties qui sont des États de l’aire de répartition de la même espèce et les Parties qui partagent une frontière commune devraient échanger les données régionales sur les espèces migratrices, ainsi que les EEC locales et régionales qui ont été et seront réalisées.</w:t>
      </w:r>
    </w:p>
    <w:p w14:paraId="5D992CDC" w14:textId="1B2F93D8" w:rsidR="00C65EA4" w:rsidRDefault="00646050">
      <w:pPr>
        <w:pStyle w:val="ListParagraph"/>
        <w:numPr>
          <w:ilvl w:val="0"/>
          <w:numId w:val="15"/>
        </w:numPr>
        <w:contextualSpacing w:val="0"/>
        <w:rPr>
          <w:lang w:val="fr-FR"/>
        </w:rPr>
      </w:pPr>
      <w:r>
        <w:rPr>
          <w:lang w:val="fr-FR"/>
        </w:rPr>
        <w:t>Les Parties devraient surveiller au fil du temps l’état et la condition des composantes vulnérables de l’écosystème (CVE), en particulier celles associées aux espèces migratrices, et partager ces données afin d’informer les autres EEC actuelles et futures, dans le but de contribuer au maintien d’un état de conservation favorable des espèces migratrices.</w:t>
      </w:r>
    </w:p>
    <w:p w14:paraId="585ADEEB" w14:textId="77777777" w:rsidR="00C65EA4" w:rsidRDefault="00C65EA4">
      <w:pPr>
        <w:rPr>
          <w:lang w:val="fr-FR"/>
        </w:rPr>
      </w:pPr>
    </w:p>
    <w:p w14:paraId="3126C5E6" w14:textId="77777777" w:rsidR="00C65EA4" w:rsidRDefault="00646050">
      <w:pPr>
        <w:rPr>
          <w:b/>
          <w:bCs/>
          <w:lang w:val="fr-FR"/>
        </w:rPr>
      </w:pPr>
      <w:r>
        <w:rPr>
          <w:b/>
          <w:bCs/>
          <w:lang w:val="fr-FR"/>
        </w:rPr>
        <w:t xml:space="preserve">(6) Communication de données </w:t>
      </w:r>
    </w:p>
    <w:p w14:paraId="3782CAF1" w14:textId="77777777" w:rsidR="00C65EA4" w:rsidRDefault="00C65EA4">
      <w:pPr>
        <w:rPr>
          <w:b/>
          <w:bCs/>
          <w:lang w:val="fr-FR"/>
        </w:rPr>
      </w:pPr>
    </w:p>
    <w:p w14:paraId="2FB056D8" w14:textId="16720371" w:rsidR="00C65EA4" w:rsidRDefault="00646050">
      <w:pPr>
        <w:pStyle w:val="ListParagraph"/>
        <w:numPr>
          <w:ilvl w:val="0"/>
          <w:numId w:val="19"/>
        </w:numPr>
        <w:contextualSpacing w:val="0"/>
        <w:rPr>
          <w:lang w:val="fr-FR"/>
        </w:rPr>
      </w:pPr>
      <w:r>
        <w:rPr>
          <w:lang w:val="fr-FR"/>
        </w:rPr>
        <w:t xml:space="preserve">Les Parties devraient fournir des informations sur la manière dont elles réalisent des EEC, y compris, mais sans s’y limiter, en ajoutant une question spécifique sur les EEC dans la section existante relative à l’EIE et à l’EES du questionnaire du rapport national. Ces informations peuvent servir à évaluer l’état actuel et, par la suite, à mesurer les progrès réalisés dans l’intégration des espèces migratrices dans les EEC en tant que composante des EIE et des EES, ainsi que dans la mise en œuvre des mesures.  </w:t>
      </w:r>
    </w:p>
    <w:p w14:paraId="1B006766" w14:textId="3F4A039C" w:rsidR="00C03092" w:rsidRDefault="00C03092">
      <w:pPr>
        <w:rPr>
          <w:lang w:val="fr-FR"/>
        </w:rPr>
      </w:pPr>
      <w:r>
        <w:rPr>
          <w:lang w:val="fr-FR"/>
        </w:rPr>
        <w:br w:type="page"/>
      </w:r>
    </w:p>
    <w:p w14:paraId="798B801B" w14:textId="77777777" w:rsidR="00C65EA4" w:rsidRDefault="00646050">
      <w:pPr>
        <w:rPr>
          <w:b/>
          <w:bCs/>
        </w:rPr>
      </w:pPr>
      <w:r>
        <w:rPr>
          <w:b/>
          <w:bCs/>
        </w:rPr>
        <w:lastRenderedPageBreak/>
        <w:t xml:space="preserve">(7) Collaboration </w:t>
      </w:r>
    </w:p>
    <w:p w14:paraId="77BE73A8" w14:textId="77777777" w:rsidR="00C65EA4" w:rsidRDefault="00C65EA4">
      <w:pPr>
        <w:rPr>
          <w:b/>
          <w:bCs/>
          <w:lang w:val="fr-FR"/>
        </w:rPr>
      </w:pPr>
    </w:p>
    <w:p w14:paraId="6067EAF1" w14:textId="69702C2A" w:rsidR="00C65EA4" w:rsidRDefault="00646050">
      <w:pPr>
        <w:pStyle w:val="ListParagraph"/>
        <w:numPr>
          <w:ilvl w:val="0"/>
          <w:numId w:val="20"/>
        </w:numPr>
        <w:spacing w:after="80"/>
        <w:ind w:left="714" w:hanging="357"/>
        <w:contextualSpacing w:val="0"/>
        <w:rPr>
          <w:rFonts w:cs="Arial"/>
          <w:b/>
          <w:color w:val="000000" w:themeColor="text1"/>
          <w:lang w:val="fr-FR"/>
        </w:rPr>
      </w:pPr>
      <w:r>
        <w:rPr>
          <w:lang w:val="fr-FR"/>
        </w:rPr>
        <w:t xml:space="preserve">Pour s’éloigner d’une approche cloisonnée de l’EEC et s’appuyer sur les travaux déjà entrepris par d’autres institutions, les Parties devraient consulter l’industrie, le milieu universitaire et d’autres Parties afin de se tenir informées des pratiques les plus récentes, </w:t>
      </w:r>
      <w:r>
        <w:rPr>
          <w:color w:val="000000" w:themeColor="text1"/>
          <w:lang w:val="fr-FR"/>
        </w:rPr>
        <w:t>et intégrer les informations fragmentées à un niveau stratégique ou sous la conduite du gouvernement.</w:t>
      </w:r>
    </w:p>
    <w:p w14:paraId="416F3169" w14:textId="399C40E7" w:rsidR="00C65EA4" w:rsidRPr="00A01561" w:rsidRDefault="00646050" w:rsidP="00A01561">
      <w:pPr>
        <w:pStyle w:val="ListParagraph"/>
        <w:numPr>
          <w:ilvl w:val="0"/>
          <w:numId w:val="20"/>
        </w:numPr>
        <w:contextualSpacing w:val="0"/>
        <w:rPr>
          <w:lang w:val="fr-FR"/>
        </w:rPr>
      </w:pPr>
      <w:r w:rsidRPr="00A01561">
        <w:rPr>
          <w:lang w:val="fr-FR"/>
        </w:rPr>
        <w:t xml:space="preserve">Les Parties devraient collaborer avec des organisations telles que le </w:t>
      </w:r>
      <w:r w:rsidRPr="00A01561">
        <w:rPr>
          <w:rFonts w:cs="Arial"/>
          <w:lang w:val="fr-FR"/>
        </w:rPr>
        <w:t>Conseil International pour l’Exploration de la Mer (</w:t>
      </w:r>
      <w:r w:rsidRPr="00A01561">
        <w:rPr>
          <w:lang w:val="fr-FR"/>
        </w:rPr>
        <w:t xml:space="preserve">CIEM) et l’Union internationale pour la conservation de la nature (UICN) afin de s’impliquer dans les développements actuels et futurs des lignes directrices en matière d’EEC, de promouvoir l’inclusion explicite des espèces migratrices dans ces lignes directrices, et de surveiller leur mise en œuvre et d’y participer. </w:t>
      </w:r>
    </w:p>
    <w:p w14:paraId="61C77185" w14:textId="77777777" w:rsidR="00C65EA4" w:rsidRDefault="00C65EA4">
      <w:pPr>
        <w:rPr>
          <w:rFonts w:cs="Arial"/>
          <w:caps/>
          <w:lang w:val="fr-FR"/>
        </w:rPr>
      </w:pPr>
    </w:p>
    <w:p w14:paraId="03EAA7D9" w14:textId="77777777" w:rsidR="00C65EA4" w:rsidRDefault="00C65EA4">
      <w:pPr>
        <w:rPr>
          <w:rFonts w:cs="Arial"/>
          <w:caps/>
          <w:lang w:val="fr-FR"/>
        </w:rPr>
        <w:sectPr w:rsidR="00C65EA4">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554C9402" w14:textId="22E3AEA1" w:rsidR="00C65EA4" w:rsidRDefault="00646050">
      <w:pPr>
        <w:pStyle w:val="Secondnumbering"/>
        <w:numPr>
          <w:ilvl w:val="0"/>
          <w:numId w:val="0"/>
        </w:numPr>
        <w:ind w:left="360" w:hanging="360"/>
        <w:jc w:val="right"/>
        <w:rPr>
          <w:rFonts w:cs="Arial"/>
          <w:b/>
          <w:bCs/>
          <w:caps/>
          <w:lang w:val="fr-FR"/>
        </w:rPr>
      </w:pPr>
      <w:r>
        <w:rPr>
          <w:rFonts w:cs="Arial"/>
          <w:b/>
          <w:caps/>
          <w:lang w:val="fr-FR"/>
        </w:rPr>
        <w:lastRenderedPageBreak/>
        <w:t>Annexe</w:t>
      </w:r>
      <w:r w:rsidR="00DA09F4">
        <w:rPr>
          <w:rFonts w:cs="Arial"/>
          <w:b/>
          <w:caps/>
          <w:lang w:val="fr-FR"/>
        </w:rPr>
        <w:t> </w:t>
      </w:r>
      <w:r w:rsidR="00210A6E">
        <w:rPr>
          <w:rFonts w:cs="Arial"/>
          <w:b/>
          <w:caps/>
          <w:lang w:val="fr-FR"/>
        </w:rPr>
        <w:t>2</w:t>
      </w:r>
    </w:p>
    <w:p w14:paraId="75D6E4CB" w14:textId="77777777" w:rsidR="00C65EA4" w:rsidRDefault="00C65EA4">
      <w:pPr>
        <w:rPr>
          <w:rFonts w:cs="Arial"/>
          <w:lang w:val="fr-FR"/>
        </w:rPr>
      </w:pPr>
    </w:p>
    <w:p w14:paraId="5014384E" w14:textId="77777777" w:rsidR="00C65EA4" w:rsidRDefault="00C65EA4">
      <w:pPr>
        <w:rPr>
          <w:rFonts w:cs="Arial"/>
          <w:lang w:val="fr-FR"/>
        </w:rPr>
      </w:pPr>
    </w:p>
    <w:p w14:paraId="32C0EC37" w14:textId="77777777" w:rsidR="00C65EA4" w:rsidRDefault="00646050">
      <w:pPr>
        <w:pBdr>
          <w:top w:val="single" w:sz="6" w:space="0" w:color="FFFFFF"/>
          <w:left w:val="single" w:sz="6" w:space="0" w:color="FFFFFF"/>
          <w:bottom w:val="single" w:sz="6" w:space="0" w:color="FFFFFF"/>
          <w:right w:val="single" w:sz="6" w:space="0" w:color="FFFFFF"/>
        </w:pBdr>
        <w:jc w:val="center"/>
        <w:outlineLvl w:val="1"/>
        <w:rPr>
          <w:rFonts w:cs="Arial"/>
          <w:bCs/>
          <w:caps/>
          <w:lang w:val="fr-FR"/>
        </w:rPr>
      </w:pPr>
      <w:r>
        <w:rPr>
          <w:rFonts w:cs="Arial"/>
          <w:bCs/>
          <w:caps/>
          <w:lang w:val="fr-FR"/>
        </w:rPr>
        <w:t>PROJET DE DÉCISIONS</w:t>
      </w:r>
    </w:p>
    <w:p w14:paraId="2E32D8B1" w14:textId="77777777" w:rsidR="00C65EA4" w:rsidRDefault="00C65EA4">
      <w:pPr>
        <w:pBdr>
          <w:top w:val="single" w:sz="6" w:space="0" w:color="FFFFFF"/>
          <w:left w:val="single" w:sz="6" w:space="0" w:color="FFFFFF"/>
          <w:bottom w:val="single" w:sz="6" w:space="0" w:color="FFFFFF"/>
          <w:right w:val="single" w:sz="6" w:space="0" w:color="FFFFFF"/>
        </w:pBdr>
        <w:jc w:val="center"/>
        <w:outlineLvl w:val="1"/>
        <w:rPr>
          <w:rFonts w:cs="Arial"/>
          <w:bCs/>
          <w:caps/>
          <w:lang w:val="fr-FR"/>
        </w:rPr>
      </w:pPr>
    </w:p>
    <w:p w14:paraId="6FAFC88D" w14:textId="77777777" w:rsidR="00C65EA4" w:rsidRDefault="00646050">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r>
        <w:rPr>
          <w:rFonts w:cs="Arial"/>
          <w:b/>
          <w:caps/>
          <w:lang w:val="fr-FR"/>
        </w:rPr>
        <w:t>ÉVALUATIONS DES EFFETS CUMULATIFS</w:t>
      </w:r>
    </w:p>
    <w:p w14:paraId="45ADC9A6" w14:textId="77777777" w:rsidR="00C65EA4" w:rsidRDefault="00C65EA4">
      <w:pPr>
        <w:rPr>
          <w:rFonts w:cs="Arial"/>
          <w:i/>
          <w:lang w:val="fr-FR"/>
        </w:rPr>
      </w:pPr>
    </w:p>
    <w:p w14:paraId="371DCC08" w14:textId="38419777" w:rsidR="00C65EA4" w:rsidRDefault="00646050">
      <w:pPr>
        <w:rPr>
          <w:rFonts w:cs="Arial"/>
          <w:b/>
          <w:i/>
          <w:lang w:val="fr-FR"/>
        </w:rPr>
      </w:pPr>
      <w:r>
        <w:rPr>
          <w:rFonts w:cs="Arial"/>
          <w:b/>
          <w:i/>
          <w:lang w:val="fr-FR"/>
        </w:rPr>
        <w:t xml:space="preserve">À l’adresse des Parties </w:t>
      </w:r>
    </w:p>
    <w:p w14:paraId="0D2929DF" w14:textId="77777777" w:rsidR="00C65EA4" w:rsidRDefault="00C65EA4">
      <w:pPr>
        <w:widowControl w:val="0"/>
        <w:autoSpaceDE w:val="0"/>
        <w:autoSpaceDN w:val="0"/>
        <w:adjustRightInd w:val="0"/>
        <w:rPr>
          <w:rFonts w:cs="Arial"/>
          <w:iCs/>
          <w:lang w:val="fr-FR"/>
        </w:rPr>
      </w:pPr>
    </w:p>
    <w:p w14:paraId="7F38171D" w14:textId="74CE1C4F" w:rsidR="00C65EA4" w:rsidRDefault="00646050">
      <w:pPr>
        <w:widowControl w:val="0"/>
        <w:autoSpaceDE w:val="0"/>
        <w:autoSpaceDN w:val="0"/>
        <w:adjustRightInd w:val="0"/>
        <w:ind w:left="709" w:hanging="709"/>
        <w:rPr>
          <w:rFonts w:cs="Arial"/>
          <w:iCs/>
          <w:lang w:val="fr-FR"/>
        </w:rPr>
      </w:pPr>
      <w:r>
        <w:rPr>
          <w:rFonts w:cs="Arial"/>
          <w:iCs/>
          <w:lang w:val="fr-FR"/>
        </w:rPr>
        <w:t xml:space="preserve">15.AA </w:t>
      </w:r>
      <w:r>
        <w:rPr>
          <w:rFonts w:cs="Arial"/>
          <w:iCs/>
          <w:lang w:val="fr-FR"/>
        </w:rPr>
        <w:tab/>
        <w:t>Les Parties sont invitées à</w:t>
      </w:r>
      <w:r w:rsidR="00DA09F4">
        <w:rPr>
          <w:rFonts w:cs="Arial"/>
          <w:iCs/>
          <w:lang w:val="fr-FR"/>
        </w:rPr>
        <w:t> </w:t>
      </w:r>
      <w:r>
        <w:rPr>
          <w:rFonts w:cs="Arial"/>
          <w:iCs/>
          <w:lang w:val="fr-FR"/>
        </w:rPr>
        <w:t>:</w:t>
      </w:r>
    </w:p>
    <w:p w14:paraId="25DBC233" w14:textId="77777777" w:rsidR="00C65EA4" w:rsidRDefault="00C65EA4">
      <w:pPr>
        <w:widowControl w:val="0"/>
        <w:autoSpaceDE w:val="0"/>
        <w:autoSpaceDN w:val="0"/>
        <w:adjustRightInd w:val="0"/>
        <w:rPr>
          <w:rFonts w:cs="Arial"/>
          <w:iCs/>
          <w:lang w:val="fr-FR"/>
        </w:rPr>
      </w:pPr>
    </w:p>
    <w:p w14:paraId="7AB5F25E" w14:textId="7081BF4F" w:rsidR="00C65EA4" w:rsidRDefault="00646050">
      <w:pPr>
        <w:pStyle w:val="ListParagraph"/>
        <w:widowControl w:val="0"/>
        <w:numPr>
          <w:ilvl w:val="0"/>
          <w:numId w:val="38"/>
        </w:numPr>
        <w:autoSpaceDE w:val="0"/>
        <w:autoSpaceDN w:val="0"/>
        <w:adjustRightInd w:val="0"/>
        <w:ind w:left="1276"/>
        <w:rPr>
          <w:rFonts w:cs="Arial"/>
          <w:iCs/>
          <w:lang w:val="fr-FR"/>
        </w:rPr>
      </w:pPr>
      <w:r>
        <w:rPr>
          <w:rFonts w:cs="Arial"/>
          <w:iCs/>
          <w:lang w:val="fr-FR"/>
        </w:rPr>
        <w:t>intégrer des dispositions relatives à l’évaluation des effets cumulatifs (EEC) dans la législation nationale pertinente en matière d’environnement, en accordant une attention particulière aux espèces migratrices, notamment celles inscrites aux Annexes I et II de la CMS</w:t>
      </w:r>
      <w:r w:rsidR="00DA09F4">
        <w:rPr>
          <w:rFonts w:cs="Arial"/>
          <w:iCs/>
          <w:lang w:val="fr-FR"/>
        </w:rPr>
        <w:t> </w:t>
      </w:r>
      <w:r>
        <w:rPr>
          <w:rFonts w:cs="Arial"/>
          <w:iCs/>
          <w:lang w:val="fr-FR"/>
        </w:rPr>
        <w:t>;</w:t>
      </w:r>
    </w:p>
    <w:p w14:paraId="31200A2B" w14:textId="77777777" w:rsidR="00C65EA4" w:rsidRDefault="00C65EA4">
      <w:pPr>
        <w:pStyle w:val="ListParagraph"/>
        <w:widowControl w:val="0"/>
        <w:autoSpaceDE w:val="0"/>
        <w:autoSpaceDN w:val="0"/>
        <w:adjustRightInd w:val="0"/>
        <w:ind w:left="1276" w:hanging="567"/>
        <w:rPr>
          <w:rFonts w:cs="Arial"/>
          <w:iCs/>
          <w:lang w:val="fr-FR"/>
        </w:rPr>
      </w:pPr>
    </w:p>
    <w:p w14:paraId="3532DD94" w14:textId="34002FCC" w:rsidR="00C65EA4" w:rsidRDefault="00646050">
      <w:pPr>
        <w:pStyle w:val="ListParagraph"/>
        <w:widowControl w:val="0"/>
        <w:numPr>
          <w:ilvl w:val="0"/>
          <w:numId w:val="38"/>
        </w:numPr>
        <w:autoSpaceDE w:val="0"/>
        <w:autoSpaceDN w:val="0"/>
        <w:adjustRightInd w:val="0"/>
        <w:ind w:left="1276"/>
        <w:rPr>
          <w:rFonts w:cs="Arial"/>
          <w:iCs/>
          <w:lang w:val="fr-FR"/>
        </w:rPr>
      </w:pPr>
      <w:r>
        <w:rPr>
          <w:rFonts w:cs="Arial"/>
          <w:iCs/>
          <w:lang w:val="fr-FR"/>
        </w:rPr>
        <w:t>élaborer et mettre en œuvre une politique et une orientation nationales concernant l’application des EEC, en veillant à ce que les impacts sur les espèces migratrices soient systématiquement évalués et pris en considération</w:t>
      </w:r>
      <w:r w:rsidR="00DA09F4">
        <w:rPr>
          <w:rFonts w:cs="Arial"/>
          <w:iCs/>
          <w:lang w:val="fr-FR"/>
        </w:rPr>
        <w:t> </w:t>
      </w:r>
      <w:r>
        <w:rPr>
          <w:rFonts w:cs="Arial"/>
          <w:iCs/>
          <w:lang w:val="fr-FR"/>
        </w:rPr>
        <w:t>;</w:t>
      </w:r>
    </w:p>
    <w:p w14:paraId="7B6B34F4" w14:textId="77777777" w:rsidR="00C65EA4" w:rsidRDefault="00C65EA4">
      <w:pPr>
        <w:pStyle w:val="ListParagraph"/>
        <w:ind w:left="1276" w:hanging="567"/>
        <w:rPr>
          <w:rFonts w:cs="Arial"/>
          <w:iCs/>
          <w:lang w:val="fr-FR"/>
        </w:rPr>
      </w:pPr>
    </w:p>
    <w:p w14:paraId="5ADB6BB3" w14:textId="33D4D532" w:rsidR="00C65EA4" w:rsidRDefault="00646050">
      <w:pPr>
        <w:pStyle w:val="ListParagraph"/>
        <w:widowControl w:val="0"/>
        <w:numPr>
          <w:ilvl w:val="0"/>
          <w:numId w:val="38"/>
        </w:numPr>
        <w:autoSpaceDE w:val="0"/>
        <w:autoSpaceDN w:val="0"/>
        <w:adjustRightInd w:val="0"/>
        <w:ind w:left="1276"/>
        <w:rPr>
          <w:rFonts w:cs="Arial"/>
          <w:iCs/>
          <w:lang w:val="fr-FR"/>
        </w:rPr>
      </w:pPr>
      <w:r>
        <w:rPr>
          <w:rFonts w:cs="Arial"/>
          <w:iCs/>
          <w:lang w:val="fr-FR"/>
        </w:rPr>
        <w:t>évaluer l’efficacité de la mise en œuvre de l’EEC dans la pratique, y compris la mesure dans laquelle les impacts sur les espèces migratrices sont pris en considération et traités</w:t>
      </w:r>
      <w:r w:rsidR="00DA09F4">
        <w:rPr>
          <w:rFonts w:cs="Arial"/>
          <w:iCs/>
          <w:lang w:val="fr-FR"/>
        </w:rPr>
        <w:t> </w:t>
      </w:r>
      <w:r>
        <w:rPr>
          <w:rFonts w:cs="Arial"/>
          <w:iCs/>
          <w:lang w:val="fr-FR"/>
        </w:rPr>
        <w:t>;</w:t>
      </w:r>
    </w:p>
    <w:p w14:paraId="2EBFA3FF" w14:textId="77777777" w:rsidR="00C65EA4" w:rsidRDefault="00C65EA4">
      <w:pPr>
        <w:pStyle w:val="ListParagraph"/>
        <w:ind w:left="1276" w:hanging="567"/>
        <w:rPr>
          <w:rFonts w:cs="Arial"/>
          <w:lang w:val="fr-FR"/>
        </w:rPr>
      </w:pPr>
    </w:p>
    <w:p w14:paraId="09032BAE" w14:textId="021A9EC9" w:rsidR="00C65EA4" w:rsidRDefault="00646050">
      <w:pPr>
        <w:pStyle w:val="ListParagraph"/>
        <w:widowControl w:val="0"/>
        <w:numPr>
          <w:ilvl w:val="0"/>
          <w:numId w:val="38"/>
        </w:numPr>
        <w:autoSpaceDE w:val="0"/>
        <w:autoSpaceDN w:val="0"/>
        <w:adjustRightInd w:val="0"/>
        <w:ind w:left="1276"/>
        <w:rPr>
          <w:rFonts w:cs="Arial"/>
          <w:iCs/>
          <w:lang w:val="fr-FR"/>
        </w:rPr>
      </w:pPr>
      <w:r>
        <w:rPr>
          <w:rFonts w:cs="Arial"/>
          <w:iCs/>
          <w:lang w:val="fr-FR"/>
        </w:rPr>
        <w:t>soutenir l’élaboration d’évaluations d’impact environnemental solides, modernes et uniformes pour les activités susceptibles d’avoir une incidence sur les espèces migratrices dans les zones situées à l’intérieur et au-delà des juridictions nationales, dans le cadre de l’Accord se rapportant à la Convention des Nations Unies sur le droit de la mer et portant sur la conservation et l’utilisation durable de la diversité biologique marine des zones ne relevant pas de la juridiction nationale (Accord BBNJ).</w:t>
      </w:r>
    </w:p>
    <w:p w14:paraId="59AF74F9" w14:textId="77777777" w:rsidR="00C65EA4" w:rsidRDefault="00C65EA4">
      <w:pPr>
        <w:rPr>
          <w:rFonts w:cs="Arial"/>
          <w:lang w:val="fr-FR"/>
        </w:rPr>
      </w:pPr>
    </w:p>
    <w:p w14:paraId="3B27483A" w14:textId="010FBC5C" w:rsidR="00C65EA4" w:rsidRDefault="00646050">
      <w:pPr>
        <w:rPr>
          <w:rFonts w:cs="Arial"/>
          <w:b/>
          <w:i/>
          <w:lang w:val="fr-FR"/>
        </w:rPr>
      </w:pPr>
      <w:r>
        <w:rPr>
          <w:rFonts w:cs="Arial"/>
          <w:b/>
          <w:i/>
          <w:lang w:val="fr-FR"/>
        </w:rPr>
        <w:t>À l’adresse des Parties</w:t>
      </w:r>
    </w:p>
    <w:p w14:paraId="6D0AB5C1" w14:textId="77777777" w:rsidR="00C65EA4" w:rsidRDefault="00C65EA4">
      <w:pPr>
        <w:rPr>
          <w:rFonts w:cs="Arial"/>
          <w:lang w:val="fr-FR"/>
        </w:rPr>
      </w:pPr>
    </w:p>
    <w:p w14:paraId="4EEBA167" w14:textId="35213F26" w:rsidR="00C65EA4" w:rsidRDefault="00646050">
      <w:pPr>
        <w:ind w:left="709" w:hanging="709"/>
        <w:rPr>
          <w:rFonts w:cs="Arial"/>
          <w:lang w:val="fr-FR"/>
        </w:rPr>
      </w:pPr>
      <w:r>
        <w:rPr>
          <w:rFonts w:cs="Arial"/>
          <w:lang w:val="fr-FR"/>
        </w:rPr>
        <w:t>15.BB</w:t>
      </w:r>
      <w:r>
        <w:rPr>
          <w:rFonts w:cs="Arial"/>
          <w:lang w:val="fr-FR"/>
        </w:rPr>
        <w:tab/>
        <w:t>Les Parties sont encouragées à</w:t>
      </w:r>
      <w:r w:rsidR="00DA09F4">
        <w:rPr>
          <w:rFonts w:cs="Arial"/>
          <w:lang w:val="fr-FR"/>
        </w:rPr>
        <w:t> </w:t>
      </w:r>
      <w:r>
        <w:rPr>
          <w:rFonts w:cs="Arial"/>
          <w:lang w:val="fr-FR"/>
        </w:rPr>
        <w:t>:</w:t>
      </w:r>
    </w:p>
    <w:p w14:paraId="409BC2A9" w14:textId="77777777" w:rsidR="00C65EA4" w:rsidRDefault="00C65EA4">
      <w:pPr>
        <w:ind w:left="851" w:hanging="851"/>
        <w:rPr>
          <w:rFonts w:cs="Arial"/>
          <w:lang w:val="fr-FR"/>
        </w:rPr>
      </w:pPr>
    </w:p>
    <w:p w14:paraId="3287A9DB" w14:textId="447D8AD9" w:rsidR="00C65EA4" w:rsidRDefault="00646050">
      <w:pPr>
        <w:pStyle w:val="ListParagraph"/>
        <w:numPr>
          <w:ilvl w:val="0"/>
          <w:numId w:val="51"/>
        </w:numPr>
        <w:ind w:left="1276"/>
        <w:rPr>
          <w:rFonts w:cs="Arial"/>
          <w:lang w:val="fr-FR"/>
        </w:rPr>
      </w:pPr>
      <w:r>
        <w:rPr>
          <w:rFonts w:cs="Arial"/>
          <w:iCs/>
          <w:lang w:val="fr-FR"/>
        </w:rPr>
        <w:t>c</w:t>
      </w:r>
      <w:r>
        <w:rPr>
          <w:rFonts w:cs="Arial"/>
          <w:lang w:val="fr-FR"/>
        </w:rPr>
        <w:t>ollaborer et échanger des informations afin de concevoir et mettre en œuvre conjointement des cadres d’EEC destinés à une application locale, nationale, régionale ou internationale,</w:t>
      </w:r>
      <w:r>
        <w:rPr>
          <w:rFonts w:ascii="Segoe UI" w:hAnsi="Segoe UI" w:cs="Segoe UI"/>
          <w:sz w:val="18"/>
          <w:szCs w:val="18"/>
          <w:lang w:val="fr-FR"/>
        </w:rPr>
        <w:t xml:space="preserve"> </w:t>
      </w:r>
      <w:r>
        <w:rPr>
          <w:rFonts w:cs="Arial"/>
          <w:lang w:val="fr-FR"/>
        </w:rPr>
        <w:t>ainsi que collaborer et partager des informations avec des organisations intergouvernementales et non gouvernementales afin de soutenir ces initiatives</w:t>
      </w:r>
      <w:r w:rsidR="00DA09F4">
        <w:rPr>
          <w:rFonts w:cs="Arial"/>
          <w:lang w:val="fr-FR"/>
        </w:rPr>
        <w:t> </w:t>
      </w:r>
      <w:r>
        <w:rPr>
          <w:rFonts w:cs="Arial"/>
          <w:lang w:val="fr-FR"/>
        </w:rPr>
        <w:t>;</w:t>
      </w:r>
    </w:p>
    <w:p w14:paraId="198C15F2" w14:textId="77777777" w:rsidR="00C65EA4" w:rsidRDefault="00C65EA4">
      <w:pPr>
        <w:pStyle w:val="ListParagraph"/>
        <w:ind w:left="1276"/>
        <w:rPr>
          <w:rFonts w:cs="Arial"/>
          <w:lang w:val="fr-FR"/>
        </w:rPr>
      </w:pPr>
    </w:p>
    <w:p w14:paraId="2E32A128" w14:textId="6FB9FDB4" w:rsidR="00C65EA4" w:rsidRDefault="00646050">
      <w:pPr>
        <w:pStyle w:val="ListParagraph"/>
        <w:numPr>
          <w:ilvl w:val="0"/>
          <w:numId w:val="51"/>
        </w:numPr>
        <w:ind w:left="1276"/>
        <w:rPr>
          <w:rFonts w:cs="Arial"/>
          <w:lang w:val="fr-FR"/>
        </w:rPr>
      </w:pPr>
      <w:r>
        <w:rPr>
          <w:rFonts w:cs="Arial"/>
          <w:iCs/>
          <w:lang w:val="fr-FR"/>
        </w:rPr>
        <w:t>renforcer les méthodologies et les critères d’identification, d’évaluation et d’atténuation des impacts cumulatifs sur les espèces migratrices inscrites aux Annexes de la CMS et leurs habitats, y compris les effets cumulatifs transfrontaliers et les effets dans les écosystèmes sous-représentés.</w:t>
      </w:r>
    </w:p>
    <w:p w14:paraId="675D56DE" w14:textId="77777777" w:rsidR="00C65EA4" w:rsidRDefault="00C65EA4">
      <w:pPr>
        <w:rPr>
          <w:rFonts w:cs="Arial"/>
          <w:lang w:val="fr-FR"/>
        </w:rPr>
      </w:pPr>
    </w:p>
    <w:p w14:paraId="02DA6C9A" w14:textId="0245A026" w:rsidR="00C65EA4" w:rsidRDefault="00646050">
      <w:pPr>
        <w:rPr>
          <w:rFonts w:cs="Arial"/>
          <w:lang w:val="fr-FR"/>
        </w:rPr>
      </w:pPr>
      <w:r>
        <w:rPr>
          <w:rFonts w:cs="Arial"/>
          <w:b/>
          <w:i/>
          <w:lang w:val="fr-FR"/>
        </w:rPr>
        <w:t xml:space="preserve">À l’adresse du Conseil scientifique </w:t>
      </w:r>
    </w:p>
    <w:p w14:paraId="1084FD48" w14:textId="77777777" w:rsidR="00C65EA4" w:rsidRDefault="00C65EA4">
      <w:pPr>
        <w:rPr>
          <w:rFonts w:cs="Arial"/>
          <w:lang w:val="fr-FR"/>
        </w:rPr>
      </w:pPr>
    </w:p>
    <w:p w14:paraId="58F56283" w14:textId="57050FA5" w:rsidR="00C65EA4" w:rsidRDefault="00646050">
      <w:pPr>
        <w:ind w:left="709" w:hanging="709"/>
        <w:rPr>
          <w:rFonts w:cs="Arial"/>
          <w:lang w:val="fr-FR"/>
        </w:rPr>
      </w:pPr>
      <w:r>
        <w:rPr>
          <w:rFonts w:cs="Arial"/>
          <w:lang w:val="fr-FR"/>
        </w:rPr>
        <w:t>15.CC</w:t>
      </w:r>
      <w:r>
        <w:rPr>
          <w:rFonts w:cs="Arial"/>
          <w:lang w:val="fr-FR"/>
        </w:rPr>
        <w:tab/>
        <w:t>Le Conseil scientifique est invité à</w:t>
      </w:r>
      <w:r w:rsidR="00DA09F4">
        <w:rPr>
          <w:rFonts w:cs="Arial"/>
          <w:lang w:val="fr-FR"/>
        </w:rPr>
        <w:t> </w:t>
      </w:r>
      <w:r>
        <w:rPr>
          <w:rFonts w:cs="Arial"/>
          <w:lang w:val="fr-FR"/>
        </w:rPr>
        <w:t>:</w:t>
      </w:r>
    </w:p>
    <w:p w14:paraId="58D124A3" w14:textId="77777777" w:rsidR="00C65EA4" w:rsidRDefault="00C65EA4">
      <w:pPr>
        <w:widowControl w:val="0"/>
        <w:autoSpaceDE w:val="0"/>
        <w:autoSpaceDN w:val="0"/>
        <w:adjustRightInd w:val="0"/>
        <w:rPr>
          <w:rFonts w:cs="Arial"/>
          <w:lang w:val="fr-FR"/>
        </w:rPr>
      </w:pPr>
    </w:p>
    <w:p w14:paraId="6A777461" w14:textId="007D925E" w:rsidR="00C65EA4" w:rsidRDefault="00646050">
      <w:pPr>
        <w:widowControl w:val="0"/>
        <w:numPr>
          <w:ilvl w:val="0"/>
          <w:numId w:val="37"/>
        </w:numPr>
        <w:autoSpaceDE w:val="0"/>
        <w:autoSpaceDN w:val="0"/>
        <w:adjustRightInd w:val="0"/>
        <w:ind w:left="1276"/>
        <w:rPr>
          <w:rFonts w:cs="Arial"/>
          <w:lang w:val="fr-FR"/>
        </w:rPr>
      </w:pPr>
      <w:r>
        <w:rPr>
          <w:rFonts w:cs="Arial"/>
          <w:bCs/>
          <w:iCs/>
          <w:lang w:val="fr-FR"/>
        </w:rPr>
        <w:t>élaborer, sous réserve de la disponibilité des ressources, des orientations pour l’évaluation des effets cumulatifs sur les espèces migratrices, notamment l’établissement de normes et de méthodologies communes pouvant être appliquées par les Parties à la CMS, ce qui devrait inclure</w:t>
      </w:r>
      <w:r w:rsidR="00DA09F4">
        <w:rPr>
          <w:rFonts w:cs="Arial"/>
          <w:bCs/>
          <w:iCs/>
          <w:lang w:val="fr-FR"/>
        </w:rPr>
        <w:t> </w:t>
      </w:r>
      <w:r>
        <w:rPr>
          <w:rFonts w:cs="Arial"/>
          <w:bCs/>
          <w:iCs/>
          <w:lang w:val="fr-FR"/>
        </w:rPr>
        <w:t>:</w:t>
      </w:r>
    </w:p>
    <w:p w14:paraId="03B88E0D" w14:textId="47996F00" w:rsidR="00C65EA4" w:rsidRDefault="00646050">
      <w:pPr>
        <w:widowControl w:val="0"/>
        <w:numPr>
          <w:ilvl w:val="1"/>
          <w:numId w:val="39"/>
        </w:numPr>
        <w:autoSpaceDE w:val="0"/>
        <w:autoSpaceDN w:val="0"/>
        <w:adjustRightInd w:val="0"/>
        <w:spacing w:after="80"/>
        <w:ind w:left="1843" w:hanging="425"/>
        <w:rPr>
          <w:rFonts w:cs="Arial"/>
          <w:lang w:val="fr-FR"/>
        </w:rPr>
      </w:pPr>
      <w:r>
        <w:rPr>
          <w:rFonts w:cs="Arial"/>
          <w:lang w:val="fr-FR"/>
        </w:rPr>
        <w:lastRenderedPageBreak/>
        <w:t>une évaluation de la terminologie actuelle utilisée dans le cadre des EEC et des recommandations pour un vocabulaire harmonisé, notamment des définitions précises de «</w:t>
      </w:r>
      <w:r w:rsidR="00DA09F4">
        <w:rPr>
          <w:rFonts w:cs="Arial"/>
          <w:lang w:val="fr-FR"/>
        </w:rPr>
        <w:t> </w:t>
      </w:r>
      <w:r>
        <w:rPr>
          <w:rFonts w:cs="Arial"/>
          <w:lang w:val="fr-FR"/>
        </w:rPr>
        <w:t>effets cumulatifs</w:t>
      </w:r>
      <w:r w:rsidR="00DA09F4">
        <w:rPr>
          <w:rFonts w:cs="Arial"/>
          <w:lang w:val="fr-FR"/>
        </w:rPr>
        <w:t> </w:t>
      </w:r>
      <w:r>
        <w:rPr>
          <w:rFonts w:cs="Arial"/>
          <w:lang w:val="fr-FR"/>
        </w:rPr>
        <w:t>», «</w:t>
      </w:r>
      <w:r w:rsidR="00DA09F4">
        <w:rPr>
          <w:rFonts w:cs="Arial"/>
          <w:lang w:val="fr-FR"/>
        </w:rPr>
        <w:t> </w:t>
      </w:r>
      <w:r>
        <w:rPr>
          <w:rFonts w:cs="Arial"/>
          <w:lang w:val="fr-FR"/>
        </w:rPr>
        <w:t>évaluation des effets cumulatifs</w:t>
      </w:r>
      <w:r w:rsidR="00DA09F4">
        <w:rPr>
          <w:rFonts w:cs="Arial"/>
          <w:lang w:val="fr-FR"/>
        </w:rPr>
        <w:t> </w:t>
      </w:r>
      <w:r>
        <w:rPr>
          <w:rFonts w:cs="Arial"/>
          <w:lang w:val="fr-FR"/>
        </w:rPr>
        <w:t>», «</w:t>
      </w:r>
      <w:r w:rsidR="00DA09F4">
        <w:rPr>
          <w:rFonts w:cs="Arial"/>
          <w:lang w:val="fr-FR"/>
        </w:rPr>
        <w:t> </w:t>
      </w:r>
      <w:r>
        <w:rPr>
          <w:rFonts w:cs="Arial"/>
          <w:lang w:val="fr-FR"/>
        </w:rPr>
        <w:t>pressions</w:t>
      </w:r>
      <w:r w:rsidR="00DA09F4">
        <w:rPr>
          <w:rFonts w:cs="Arial"/>
          <w:lang w:val="fr-FR"/>
        </w:rPr>
        <w:t> </w:t>
      </w:r>
      <w:r>
        <w:rPr>
          <w:rFonts w:cs="Arial"/>
          <w:lang w:val="fr-FR"/>
        </w:rPr>
        <w:t>» et d’autres termes clés, à utiliser dans les orientations de la CMS et d’autres cadres internationaux</w:t>
      </w:r>
      <w:r w:rsidR="00DA09F4">
        <w:rPr>
          <w:rFonts w:cs="Arial"/>
          <w:lang w:val="fr-FR"/>
        </w:rPr>
        <w:t> </w:t>
      </w:r>
      <w:r>
        <w:rPr>
          <w:rFonts w:cs="Arial"/>
          <w:lang w:val="fr-FR"/>
        </w:rPr>
        <w:t>;</w:t>
      </w:r>
    </w:p>
    <w:p w14:paraId="5A2E2FE9" w14:textId="54E9C9E0" w:rsidR="00C65EA4" w:rsidRDefault="00646050">
      <w:pPr>
        <w:widowControl w:val="0"/>
        <w:numPr>
          <w:ilvl w:val="1"/>
          <w:numId w:val="39"/>
        </w:numPr>
        <w:autoSpaceDE w:val="0"/>
        <w:autoSpaceDN w:val="0"/>
        <w:adjustRightInd w:val="0"/>
        <w:spacing w:after="80"/>
        <w:ind w:left="1843" w:hanging="425"/>
        <w:rPr>
          <w:rFonts w:cs="Arial"/>
          <w:lang w:val="fr-FR"/>
        </w:rPr>
      </w:pPr>
      <w:r>
        <w:rPr>
          <w:rFonts w:cs="Arial"/>
          <w:bCs/>
          <w:iCs/>
          <w:lang w:val="fr-FR"/>
        </w:rPr>
        <w:t>des conseils sur le moment et la manière dont les espèces migratrices devraient être évaluées dans le cadre des EEC, ainsi que les meilleures pratiques, y compris celles spécifiques à des contextes difficiles tels que les environnements marins, ou à des défis propres à certaines espèces ou secteurs</w:t>
      </w:r>
      <w:r w:rsidR="00DA09F4">
        <w:rPr>
          <w:rFonts w:cs="Arial"/>
          <w:bCs/>
          <w:iCs/>
          <w:lang w:val="fr-FR"/>
        </w:rPr>
        <w:t> </w:t>
      </w:r>
      <w:r>
        <w:rPr>
          <w:rFonts w:cs="Arial"/>
          <w:bCs/>
          <w:iCs/>
          <w:lang w:val="fr-FR"/>
        </w:rPr>
        <w:t>;</w:t>
      </w:r>
    </w:p>
    <w:p w14:paraId="38F0D769" w14:textId="6A3927FA" w:rsidR="00C65EA4" w:rsidRDefault="00646050">
      <w:pPr>
        <w:widowControl w:val="0"/>
        <w:numPr>
          <w:ilvl w:val="1"/>
          <w:numId w:val="39"/>
        </w:numPr>
        <w:autoSpaceDE w:val="0"/>
        <w:autoSpaceDN w:val="0"/>
        <w:adjustRightInd w:val="0"/>
        <w:spacing w:after="80"/>
        <w:ind w:left="1843" w:hanging="425"/>
        <w:rPr>
          <w:rFonts w:cs="Arial"/>
          <w:lang w:val="fr-FR"/>
        </w:rPr>
      </w:pPr>
      <w:r>
        <w:rPr>
          <w:rFonts w:cs="Arial"/>
          <w:lang w:val="fr-FR"/>
        </w:rPr>
        <w:t>la prise en considération des avancées technologiques pertinentes pour les méthodologies d’EEC, notamment l’utilisation potentielle de l’intelligence artificielle, de l’apprentissage automatique et d’autres outils innovants pour soutenir l’évaluation et l’interprétation des effets cumulatifs, ainsi que des conseils sur l’applicabilité et les limites de ces technologies, en décrivant les cas d’utilisation potentiels et les exigences en matière de données ou de capacités associées</w:t>
      </w:r>
      <w:r w:rsidR="00DA09F4">
        <w:rPr>
          <w:rFonts w:cs="Arial"/>
          <w:lang w:val="fr-FR"/>
        </w:rPr>
        <w:t> </w:t>
      </w:r>
      <w:r>
        <w:rPr>
          <w:rFonts w:cs="Arial"/>
          <w:lang w:val="fr-FR"/>
        </w:rPr>
        <w:t>;</w:t>
      </w:r>
    </w:p>
    <w:p w14:paraId="0A84A1DA" w14:textId="72E8EF39" w:rsidR="00C65EA4" w:rsidRDefault="00646050">
      <w:pPr>
        <w:widowControl w:val="0"/>
        <w:numPr>
          <w:ilvl w:val="1"/>
          <w:numId w:val="39"/>
        </w:numPr>
        <w:autoSpaceDE w:val="0"/>
        <w:autoSpaceDN w:val="0"/>
        <w:adjustRightInd w:val="0"/>
        <w:ind w:left="1843" w:hanging="425"/>
        <w:rPr>
          <w:rFonts w:cs="Arial"/>
          <w:lang w:val="fr-FR"/>
        </w:rPr>
      </w:pPr>
      <w:r>
        <w:rPr>
          <w:rFonts w:cs="Arial"/>
          <w:lang w:val="fr-FR"/>
        </w:rPr>
        <w:t>des recommandations visant à adapter les cadres d’EEC existants afin de mieux tenir compte des besoins des espèces migratrices</w:t>
      </w:r>
      <w:r w:rsidR="00DA09F4">
        <w:rPr>
          <w:rFonts w:cs="Arial"/>
          <w:lang w:val="fr-FR"/>
        </w:rPr>
        <w:t> </w:t>
      </w:r>
      <w:r>
        <w:rPr>
          <w:rFonts w:cs="Arial"/>
          <w:lang w:val="fr-FR"/>
        </w:rPr>
        <w:t>;</w:t>
      </w:r>
    </w:p>
    <w:p w14:paraId="1D41DF58" w14:textId="77777777" w:rsidR="00C65EA4" w:rsidRDefault="00C65EA4">
      <w:pPr>
        <w:pStyle w:val="ListParagraph"/>
        <w:ind w:left="1843" w:hanging="425"/>
        <w:rPr>
          <w:rFonts w:cs="Arial"/>
          <w:lang w:val="fr-FR"/>
        </w:rPr>
      </w:pPr>
    </w:p>
    <w:p w14:paraId="032200D3" w14:textId="7C5E55A7" w:rsidR="00C65EA4" w:rsidRDefault="00646050">
      <w:pPr>
        <w:widowControl w:val="0"/>
        <w:numPr>
          <w:ilvl w:val="0"/>
          <w:numId w:val="37"/>
        </w:numPr>
        <w:autoSpaceDE w:val="0"/>
        <w:autoSpaceDN w:val="0"/>
        <w:adjustRightInd w:val="0"/>
        <w:ind w:left="1276"/>
        <w:rPr>
          <w:rFonts w:cs="Arial"/>
          <w:lang w:val="fr-FR"/>
        </w:rPr>
      </w:pPr>
      <w:r>
        <w:rPr>
          <w:rFonts w:cs="Arial"/>
          <w:lang w:val="fr-FR"/>
        </w:rPr>
        <w:t>en collaboration avec son Groupe de travail d’experts sur la culture animale et la complexité sociale, examiner le potentiel des méthodologies d’évaluation de l’impact social pour une meilleure compréhension des impacts des activités humaines sur la structure sociale et la culture des espèces migratrices.</w:t>
      </w:r>
    </w:p>
    <w:p w14:paraId="4A864790" w14:textId="77777777" w:rsidR="00C65EA4" w:rsidRDefault="00C65EA4">
      <w:pPr>
        <w:rPr>
          <w:rFonts w:cs="Arial"/>
          <w:b/>
          <w:iCs/>
          <w:lang w:val="fr-FR"/>
        </w:rPr>
      </w:pPr>
    </w:p>
    <w:p w14:paraId="1C743FE6" w14:textId="1658CF29" w:rsidR="00C65EA4" w:rsidRDefault="00646050">
      <w:pPr>
        <w:rPr>
          <w:rFonts w:cs="Arial"/>
          <w:b/>
          <w:i/>
          <w:lang w:val="fr-FR"/>
        </w:rPr>
      </w:pPr>
      <w:r>
        <w:rPr>
          <w:rFonts w:cs="Arial"/>
          <w:b/>
          <w:i/>
          <w:lang w:val="fr-FR"/>
        </w:rPr>
        <w:t>À l’adresse du Secrétariat</w:t>
      </w:r>
    </w:p>
    <w:p w14:paraId="32C42A34" w14:textId="77777777" w:rsidR="00C65EA4" w:rsidRDefault="00C65EA4">
      <w:pPr>
        <w:rPr>
          <w:rFonts w:cs="Arial"/>
          <w:lang w:val="fr-FR"/>
        </w:rPr>
      </w:pPr>
    </w:p>
    <w:p w14:paraId="2A93E9F4" w14:textId="4CF1F4FE" w:rsidR="00C65EA4" w:rsidRDefault="00646050">
      <w:pPr>
        <w:ind w:left="709" w:hanging="709"/>
        <w:rPr>
          <w:rFonts w:cs="Arial"/>
          <w:iCs/>
          <w:lang w:val="fr-FR"/>
        </w:rPr>
      </w:pPr>
      <w:r>
        <w:rPr>
          <w:rFonts w:cs="Arial"/>
          <w:lang w:val="fr-FR"/>
        </w:rPr>
        <w:t>15.DD</w:t>
      </w:r>
      <w:r>
        <w:rPr>
          <w:rFonts w:cs="Arial"/>
          <w:lang w:val="fr-FR"/>
        </w:rPr>
        <w:tab/>
        <w:t>Le Secrétariat est chargé, sous réserve de la disponibilité des ressources, de</w:t>
      </w:r>
      <w:r w:rsidR="00DA09F4">
        <w:rPr>
          <w:rFonts w:cs="Arial"/>
          <w:lang w:val="fr-FR"/>
        </w:rPr>
        <w:t> </w:t>
      </w:r>
      <w:r>
        <w:rPr>
          <w:rFonts w:cs="Arial"/>
          <w:lang w:val="fr-FR"/>
        </w:rPr>
        <w:t>:</w:t>
      </w:r>
    </w:p>
    <w:p w14:paraId="0783000C" w14:textId="77777777" w:rsidR="00C65EA4" w:rsidRDefault="00C65EA4">
      <w:pPr>
        <w:widowControl w:val="0"/>
        <w:autoSpaceDE w:val="0"/>
        <w:autoSpaceDN w:val="0"/>
        <w:adjustRightInd w:val="0"/>
        <w:rPr>
          <w:rFonts w:cs="Arial"/>
          <w:lang w:val="fr-FR"/>
        </w:rPr>
      </w:pPr>
    </w:p>
    <w:p w14:paraId="47A58DFF" w14:textId="47E627C5" w:rsidR="00C65EA4" w:rsidRDefault="00646050">
      <w:pPr>
        <w:widowControl w:val="0"/>
        <w:numPr>
          <w:ilvl w:val="0"/>
          <w:numId w:val="41"/>
        </w:numPr>
        <w:autoSpaceDE w:val="0"/>
        <w:autoSpaceDN w:val="0"/>
        <w:adjustRightInd w:val="0"/>
        <w:ind w:left="1276"/>
        <w:rPr>
          <w:rFonts w:cs="Arial"/>
          <w:lang w:val="fr-FR"/>
        </w:rPr>
      </w:pPr>
      <w:r>
        <w:rPr>
          <w:rFonts w:cs="Arial"/>
          <w:lang w:val="fr-FR"/>
        </w:rPr>
        <w:t>soutenir l’élaboration de documents d’orientation concernant la mise en œuvre de l’EEC pour les espèces migratrices, en collaboration avec les parties prenantes et les organismes d’experts concernés</w:t>
      </w:r>
      <w:r w:rsidR="00DA09F4">
        <w:rPr>
          <w:rFonts w:cs="Arial"/>
          <w:lang w:val="fr-FR"/>
        </w:rPr>
        <w:t> </w:t>
      </w:r>
      <w:r>
        <w:rPr>
          <w:rFonts w:cs="Arial"/>
          <w:lang w:val="fr-FR"/>
        </w:rPr>
        <w:t>;</w:t>
      </w:r>
    </w:p>
    <w:p w14:paraId="35454DF9" w14:textId="77777777" w:rsidR="00C65EA4" w:rsidRDefault="00C65EA4">
      <w:pPr>
        <w:widowControl w:val="0"/>
        <w:autoSpaceDE w:val="0"/>
        <w:autoSpaceDN w:val="0"/>
        <w:adjustRightInd w:val="0"/>
        <w:ind w:left="1276" w:hanging="567"/>
        <w:rPr>
          <w:rFonts w:cs="Arial"/>
          <w:lang w:val="fr-FR"/>
        </w:rPr>
      </w:pPr>
    </w:p>
    <w:p w14:paraId="3ECD173C" w14:textId="7CC47AC1" w:rsidR="00C65EA4" w:rsidRDefault="00646050">
      <w:pPr>
        <w:widowControl w:val="0"/>
        <w:numPr>
          <w:ilvl w:val="0"/>
          <w:numId w:val="41"/>
        </w:numPr>
        <w:autoSpaceDE w:val="0"/>
        <w:autoSpaceDN w:val="0"/>
        <w:adjustRightInd w:val="0"/>
        <w:ind w:left="1276"/>
        <w:rPr>
          <w:rFonts w:cs="Arial"/>
          <w:lang w:val="fr-FR"/>
        </w:rPr>
      </w:pPr>
      <w:r>
        <w:rPr>
          <w:rFonts w:cs="Arial"/>
          <w:lang w:val="fr-FR"/>
        </w:rPr>
        <w:t>promouvoir et faciliter la collaboration entre les Parties et les organisations compétentes telles que le Comité International pour l’Exploration de la Mer (CIEM), l’Union internationale pour la conservation de la nature (UICN) et d’autres organismes scientifiques ou techniques participant à l’élaboration ou à la mise en œuvre de cadres d’EEC</w:t>
      </w:r>
      <w:r w:rsidR="00DA09F4">
        <w:rPr>
          <w:rFonts w:cs="Arial"/>
          <w:lang w:val="fr-FR"/>
        </w:rPr>
        <w:t> </w:t>
      </w:r>
      <w:r>
        <w:rPr>
          <w:rFonts w:cs="Arial"/>
          <w:lang w:val="fr-FR"/>
        </w:rPr>
        <w:t>;</w:t>
      </w:r>
    </w:p>
    <w:p w14:paraId="5D01211A" w14:textId="77777777" w:rsidR="00C65EA4" w:rsidRDefault="00C65EA4">
      <w:pPr>
        <w:widowControl w:val="0"/>
        <w:autoSpaceDE w:val="0"/>
        <w:autoSpaceDN w:val="0"/>
        <w:adjustRightInd w:val="0"/>
        <w:ind w:left="1276" w:hanging="567"/>
        <w:rPr>
          <w:rFonts w:cs="Arial"/>
          <w:lang w:val="fr-FR"/>
        </w:rPr>
      </w:pPr>
    </w:p>
    <w:p w14:paraId="0F5FC727" w14:textId="3416BE05" w:rsidR="00C65EA4" w:rsidRDefault="00646050">
      <w:pPr>
        <w:widowControl w:val="0"/>
        <w:numPr>
          <w:ilvl w:val="0"/>
          <w:numId w:val="41"/>
        </w:numPr>
        <w:autoSpaceDE w:val="0"/>
        <w:autoSpaceDN w:val="0"/>
        <w:adjustRightInd w:val="0"/>
        <w:ind w:left="1276"/>
        <w:rPr>
          <w:rFonts w:cs="Arial"/>
          <w:lang w:val="fr-FR"/>
        </w:rPr>
      </w:pPr>
      <w:r>
        <w:rPr>
          <w:rFonts w:cs="Arial"/>
          <w:lang w:val="fr-FR"/>
        </w:rPr>
        <w:t xml:space="preserve">entreprendre des processus pour rendre opérationnel </w:t>
      </w:r>
      <w:r>
        <w:rPr>
          <w:rFonts w:cs="Arial"/>
          <w:bCs/>
          <w:iCs/>
          <w:lang w:val="fr-FR"/>
        </w:rPr>
        <w:t xml:space="preserve">l’Accord BBNJ [une fois celui-ci entré en vigueur], afin de favoriser la cohérence et d’assurer la prise en considération des espèces migratrices, et explorer les moyens pour que le Conseil scientifique contribue à ces processus. </w:t>
      </w:r>
    </w:p>
    <w:p w14:paraId="6867DB70" w14:textId="77777777" w:rsidR="00C65EA4" w:rsidRDefault="00C65EA4">
      <w:pPr>
        <w:rPr>
          <w:rFonts w:cs="Arial"/>
          <w:lang w:val="fr-FR"/>
        </w:rPr>
      </w:pPr>
    </w:p>
    <w:sectPr w:rsidR="00C65EA4">
      <w:headerReference w:type="even" r:id="rId38"/>
      <w:headerReference w:type="default" r:id="rId39"/>
      <w:head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F5F9" w14:textId="77777777" w:rsidR="00A267F9" w:rsidRDefault="00A267F9">
      <w:pPr>
        <w:rPr>
          <w:lang w:val="fr-FR"/>
        </w:rPr>
      </w:pPr>
      <w:r>
        <w:rPr>
          <w:lang w:val="fr-FR"/>
        </w:rPr>
        <w:separator/>
      </w:r>
    </w:p>
  </w:endnote>
  <w:endnote w:type="continuationSeparator" w:id="0">
    <w:p w14:paraId="4A0387AA" w14:textId="77777777" w:rsidR="00A267F9" w:rsidRDefault="00A267F9">
      <w:pPr>
        <w:rPr>
          <w:lang w:val="fr-FR"/>
        </w:rPr>
      </w:pPr>
      <w:r>
        <w:rPr>
          <w:lang w:val="fr-FR"/>
        </w:rPr>
        <w:continuationSeparator/>
      </w:r>
    </w:p>
  </w:endnote>
  <w:endnote w:type="continuationNotice" w:id="1">
    <w:p w14:paraId="186A69EA" w14:textId="77777777" w:rsidR="00A267F9" w:rsidRDefault="00A267F9">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26FC8571" w:rsidR="00646050" w:rsidRPr="00F71B2D" w:rsidRDefault="00646050">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16</w:t>
    </w:r>
    <w:r w:rsidRPr="00F71B2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D984" w14:textId="77777777" w:rsidR="00210A6E" w:rsidRDefault="00210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84C" w14:textId="77777777" w:rsidR="00210A6E" w:rsidRDefault="00210A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2437A7BF" w:rsidR="00646050" w:rsidRPr="00F71B2D" w:rsidRDefault="00646050" w:rsidP="002D6582">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17</w:t>
        </w:r>
        <w:r w:rsidRPr="00F71B2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64452DED" w:rsidR="00646050" w:rsidRPr="00F71B2D" w:rsidRDefault="00646050" w:rsidP="002D6582">
    <w:pPr>
      <w:pStyle w:val="Footer"/>
      <w:jc w:val="center"/>
      <w:rPr>
        <w:sz w:val="18"/>
        <w:szCs w:val="18"/>
      </w:rPr>
    </w:pPr>
    <w:r w:rsidRPr="00F71B2D">
      <w:rPr>
        <w:sz w:val="18"/>
        <w:szCs w:val="18"/>
      </w:rPr>
      <w:fldChar w:fldCharType="begin"/>
    </w:r>
    <w:r w:rsidRPr="00F71B2D">
      <w:rPr>
        <w:sz w:val="18"/>
        <w:szCs w:val="18"/>
      </w:rPr>
      <w:instrText xml:space="preserve"> PAGE   \* MERGEFORMAT </w:instrText>
    </w:r>
    <w:r w:rsidRPr="00F71B2D">
      <w:rPr>
        <w:sz w:val="18"/>
        <w:szCs w:val="18"/>
      </w:rPr>
      <w:fldChar w:fldCharType="separate"/>
    </w:r>
    <w:r w:rsidR="00EB5CAA">
      <w:rPr>
        <w:noProof/>
        <w:sz w:val="18"/>
        <w:szCs w:val="18"/>
      </w:rPr>
      <w:t>14</w:t>
    </w:r>
    <w:r w:rsidRPr="00F71B2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8BBB" w14:textId="77777777" w:rsidR="00A267F9" w:rsidRDefault="00A267F9">
      <w:pPr>
        <w:rPr>
          <w:lang w:val="fr-FR"/>
        </w:rPr>
      </w:pPr>
      <w:r>
        <w:rPr>
          <w:lang w:val="fr-FR"/>
        </w:rPr>
        <w:separator/>
      </w:r>
    </w:p>
  </w:footnote>
  <w:footnote w:type="continuationSeparator" w:id="0">
    <w:p w14:paraId="38149972" w14:textId="77777777" w:rsidR="00A267F9" w:rsidRDefault="00A267F9">
      <w:pPr>
        <w:rPr>
          <w:lang w:val="fr-FR"/>
        </w:rPr>
      </w:pPr>
      <w:r>
        <w:rPr>
          <w:lang w:val="fr-FR"/>
        </w:rPr>
        <w:continuationSeparator/>
      </w:r>
    </w:p>
  </w:footnote>
  <w:footnote w:type="continuationNotice" w:id="1">
    <w:p w14:paraId="47C003BF" w14:textId="77777777" w:rsidR="00A267F9" w:rsidRDefault="00A267F9">
      <w:pPr>
        <w:rPr>
          <w:lang w:val="fr-FR"/>
        </w:rPr>
      </w:pPr>
    </w:p>
  </w:footnote>
  <w:footnote w:id="2">
    <w:p w14:paraId="3B13E116" w14:textId="1959AABB" w:rsidR="00646050" w:rsidRDefault="00646050">
      <w:pPr>
        <w:pStyle w:val="FootnoteText"/>
        <w:rPr>
          <w:sz w:val="16"/>
          <w:szCs w:val="16"/>
          <w:lang w:val="fr-FR"/>
        </w:rPr>
      </w:pPr>
      <w:r>
        <w:rPr>
          <w:rStyle w:val="FootnoteReference"/>
          <w:sz w:val="16"/>
          <w:szCs w:val="16"/>
          <w:lang w:val="fr-FR"/>
        </w:rPr>
        <w:footnoteRef/>
      </w:r>
      <w:r>
        <w:rPr>
          <w:sz w:val="16"/>
          <w:szCs w:val="16"/>
          <w:lang w:val="fr-FR"/>
        </w:rPr>
        <w:t xml:space="preserve"> Agence internationale pour l’évaluation d’impacts (IAIA). </w:t>
      </w:r>
      <w:r>
        <w:rPr>
          <w:i/>
          <w:sz w:val="16"/>
          <w:szCs w:val="16"/>
          <w:lang w:val="fr-FR"/>
        </w:rPr>
        <w:t>Évaluation de l’impact social</w:t>
      </w:r>
      <w:r>
        <w:rPr>
          <w:sz w:val="16"/>
          <w:szCs w:val="16"/>
          <w:lang w:val="fr-FR"/>
        </w:rPr>
        <w:t xml:space="preserve">. </w:t>
      </w:r>
      <w:hyperlink r:id="rId1" w:history="1">
        <w:r>
          <w:rPr>
            <w:rStyle w:val="Hyperlink"/>
            <w:sz w:val="16"/>
            <w:szCs w:val="16"/>
            <w:lang w:val="fr-FR"/>
          </w:rPr>
          <w:t>https://www.iaia.org/wiki-details.php?ID=23</w:t>
        </w:r>
      </w:hyperlink>
      <w:r>
        <w:rPr>
          <w:sz w:val="16"/>
          <w:szCs w:val="16"/>
          <w:lang w:val="fr-FR"/>
        </w:rPr>
        <w:t xml:space="preserve"> </w:t>
      </w:r>
    </w:p>
  </w:footnote>
  <w:footnote w:id="3">
    <w:p w14:paraId="04AEDFEA" w14:textId="77777777" w:rsidR="00646050" w:rsidRPr="0038489E" w:rsidRDefault="00646050">
      <w:pPr>
        <w:pStyle w:val="FootnoteText"/>
        <w:rPr>
          <w:sz w:val="16"/>
          <w:szCs w:val="16"/>
        </w:rPr>
      </w:pPr>
      <w:r>
        <w:rPr>
          <w:rStyle w:val="FootnoteReference"/>
          <w:sz w:val="16"/>
          <w:szCs w:val="16"/>
          <w:lang w:val="fr-FR"/>
        </w:rPr>
        <w:footnoteRef/>
      </w:r>
      <w:r>
        <w:rPr>
          <w:sz w:val="16"/>
          <w:szCs w:val="16"/>
          <w:lang w:val="fr-FR"/>
        </w:rPr>
        <w:t xml:space="preserve"> Institut international du développement durable (IIDD). </w:t>
      </w:r>
      <w:r>
        <w:fldChar w:fldCharType="begin"/>
      </w:r>
      <w:r w:rsidRPr="00BA0094">
        <w:rPr>
          <w:lang w:val="fr-FR"/>
        </w:rPr>
        <w:instrText>HYPERLINK "https://www.iisd.org/learning/eia/wp-content/uploads/2016/05/SIA.pdf"</w:instrText>
      </w:r>
      <w:r>
        <w:fldChar w:fldCharType="separate"/>
      </w:r>
      <w:r w:rsidRPr="0038489E">
        <w:rPr>
          <w:rStyle w:val="Hyperlink"/>
          <w:sz w:val="16"/>
          <w:szCs w:val="16"/>
        </w:rPr>
        <w:t>https://www.iisd.org/learning/eia/wp-content/uploads/2016/05/SIA.pdf</w:t>
      </w:r>
      <w:r>
        <w:fldChar w:fldCharType="end"/>
      </w:r>
      <w:r w:rsidRPr="0038489E">
        <w:rPr>
          <w:sz w:val="16"/>
          <w:szCs w:val="16"/>
        </w:rPr>
        <w:t xml:space="preserve"> </w:t>
      </w:r>
    </w:p>
  </w:footnote>
  <w:footnote w:id="4">
    <w:p w14:paraId="43D0BC18" w14:textId="7ECE0BA1" w:rsidR="00646050" w:rsidRDefault="00646050">
      <w:pPr>
        <w:pStyle w:val="FootnoteText"/>
        <w:rPr>
          <w:sz w:val="16"/>
          <w:szCs w:val="16"/>
        </w:rPr>
      </w:pPr>
      <w:r>
        <w:rPr>
          <w:rStyle w:val="FootnoteReference"/>
          <w:sz w:val="16"/>
          <w:szCs w:val="16"/>
        </w:rPr>
        <w:footnoteRef/>
      </w:r>
      <w:r>
        <w:rPr>
          <w:sz w:val="16"/>
          <w:szCs w:val="16"/>
        </w:rPr>
        <w:t xml:space="preserve"> Brakes et al. (2025). Animal culture</w:t>
      </w:r>
      <w:r w:rsidR="00DA09F4">
        <w:rPr>
          <w:sz w:val="16"/>
          <w:szCs w:val="16"/>
        </w:rPr>
        <w:t> </w:t>
      </w:r>
      <w:r>
        <w:rPr>
          <w:sz w:val="16"/>
          <w:szCs w:val="16"/>
        </w:rPr>
        <w:t xml:space="preserve">: conservation in a changing world. </w:t>
      </w:r>
      <w:r>
        <w:rPr>
          <w:i/>
          <w:sz w:val="16"/>
          <w:szCs w:val="16"/>
        </w:rPr>
        <w:t>Philosophical Transactions of the Royal Society B.</w:t>
      </w:r>
      <w:r>
        <w:rPr>
          <w:sz w:val="16"/>
          <w:szCs w:val="16"/>
        </w:rPr>
        <w:t xml:space="preserve"> </w:t>
      </w:r>
      <w:hyperlink r:id="rId2" w:history="1">
        <w:r>
          <w:rPr>
            <w:rStyle w:val="Hyperlink"/>
            <w:sz w:val="16"/>
            <w:szCs w:val="16"/>
          </w:rPr>
          <w:t>https://royalsocietypublishing.org/toc/rstb/2025/380/1925</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646050" w:rsidRPr="00F71B2D" w:rsidRDefault="00646050" w:rsidP="002E0DE9">
    <w:pPr>
      <w:pStyle w:val="Header"/>
      <w:pBdr>
        <w:bottom w:val="single" w:sz="4" w:space="1" w:color="auto"/>
      </w:pBdr>
      <w:rPr>
        <w:i/>
        <w:sz w:val="18"/>
        <w:szCs w:val="18"/>
      </w:rPr>
    </w:pPr>
    <w:r w:rsidRPr="00F71B2D">
      <w:rPr>
        <w:rFonts w:eastAsia="Times New Roman" w:cs="Arial"/>
        <w:i/>
        <w:sz w:val="18"/>
        <w:szCs w:val="18"/>
      </w:rPr>
      <w:t>UNEP/CMS/COP13/</w:t>
    </w:r>
    <w:proofErr w:type="spellStart"/>
    <w:r w:rsidRPr="00F71B2D">
      <w:rPr>
        <w:rFonts w:eastAsia="Times New Roman" w:cs="Arial"/>
        <w:i/>
        <w:sz w:val="18"/>
        <w:szCs w:val="18"/>
      </w:rPr>
      <w:t>Doc.</w:t>
    </w:r>
    <w:r w:rsidRPr="00F71B2D">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5E6D" w14:textId="77777777" w:rsidR="00646050" w:rsidRDefault="00646050">
    <w:pPr>
      <w:pStyle w:val="Header"/>
      <w:pBdr>
        <w:bottom w:val="single" w:sz="4" w:space="1" w:color="auto"/>
      </w:pBdr>
      <w:rPr>
        <w:rFonts w:cs="Arial"/>
        <w:i/>
        <w:sz w:val="18"/>
        <w:szCs w:val="18"/>
        <w:lang w:val="fr-FR"/>
      </w:rPr>
    </w:pPr>
    <w:r>
      <w:rPr>
        <w:rFonts w:cs="Arial"/>
        <w:i/>
        <w:sz w:val="18"/>
        <w:szCs w:val="18"/>
        <w:lang w:val="fr-FR"/>
      </w:rPr>
      <w:t>UNEP/CMS/COP15/Doc.28.9/Annexe 3</w:t>
    </w:r>
  </w:p>
  <w:p w14:paraId="78F861DF" w14:textId="77777777" w:rsidR="00646050" w:rsidRDefault="00646050">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A762" w14:textId="35FC6889" w:rsidR="00210A6E" w:rsidRDefault="00210A6E">
    <w:pPr>
      <w:pStyle w:val="Header"/>
      <w:pBdr>
        <w:bottom w:val="single" w:sz="4" w:space="1" w:color="auto"/>
      </w:pBdr>
      <w:jc w:val="right"/>
      <w:rPr>
        <w:rFonts w:cs="Arial"/>
        <w:i/>
        <w:sz w:val="18"/>
        <w:szCs w:val="18"/>
        <w:lang w:val="fr-FR"/>
      </w:rPr>
    </w:pPr>
    <w:r>
      <w:rPr>
        <w:rFonts w:cs="Arial"/>
        <w:i/>
        <w:sz w:val="18"/>
        <w:szCs w:val="18"/>
        <w:lang w:val="fr-FR"/>
      </w:rPr>
      <w:t>UNEP/CMS/COP15/Doc.28.9/Annexe 2</w:t>
    </w:r>
  </w:p>
  <w:p w14:paraId="5F07223B" w14:textId="77777777" w:rsidR="00210A6E" w:rsidRDefault="00210A6E">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FBAA" w14:textId="32BD8F81" w:rsidR="00646050" w:rsidRDefault="00646050">
    <w:pPr>
      <w:pStyle w:val="Header"/>
      <w:pBdr>
        <w:bottom w:val="single" w:sz="4" w:space="1" w:color="auto"/>
      </w:pBdr>
      <w:rPr>
        <w:rFonts w:cs="Arial"/>
        <w:i/>
        <w:sz w:val="18"/>
        <w:szCs w:val="18"/>
        <w:lang w:val="fr-FR"/>
      </w:rPr>
    </w:pPr>
    <w:r>
      <w:rPr>
        <w:rFonts w:cs="Arial"/>
        <w:i/>
        <w:sz w:val="18"/>
        <w:szCs w:val="18"/>
        <w:lang w:val="fr-FR"/>
      </w:rPr>
      <w:t xml:space="preserve">UNEP/CMS/COP15/Doc.28.9/Annexe </w:t>
    </w:r>
    <w:r w:rsidR="00210A6E">
      <w:rPr>
        <w:rFonts w:cs="Arial"/>
        <w:i/>
        <w:sz w:val="18"/>
        <w:szCs w:val="18"/>
        <w:lang w:val="fr-FR"/>
      </w:rPr>
      <w:t>2</w:t>
    </w:r>
  </w:p>
  <w:p w14:paraId="04926887" w14:textId="77777777" w:rsidR="00646050" w:rsidRDefault="00646050">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646050" w:rsidRPr="00F71B2D" w:rsidRDefault="00646050" w:rsidP="002E0DE9">
    <w:pPr>
      <w:pStyle w:val="Header"/>
      <w:pBdr>
        <w:bottom w:val="single" w:sz="4" w:space="1" w:color="auto"/>
      </w:pBdr>
      <w:rPr>
        <w:i/>
        <w:sz w:val="18"/>
        <w:szCs w:val="18"/>
      </w:rPr>
    </w:pPr>
    <w:r w:rsidRPr="00F71B2D">
      <w:rPr>
        <w:rFonts w:eastAsia="Times New Roman" w:cs="Arial"/>
        <w:i/>
        <w:sz w:val="18"/>
        <w:szCs w:val="18"/>
      </w:rPr>
      <w:t>UNEP/CMS/COP14/</w:t>
    </w:r>
    <w:proofErr w:type="spellStart"/>
    <w:r w:rsidRPr="00F71B2D">
      <w:rPr>
        <w:rFonts w:eastAsia="Times New Roman" w:cs="Arial"/>
        <w:i/>
        <w:sz w:val="18"/>
        <w:szCs w:val="18"/>
      </w:rPr>
      <w:t>Doc.</w:t>
    </w:r>
    <w:r w:rsidRPr="00F71B2D">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CE20" w14:textId="77777777" w:rsidR="0038489E" w:rsidRPr="00EC2A58" w:rsidRDefault="0038489E" w:rsidP="0038489E">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58242" behindDoc="0" locked="0" layoutInCell="1" allowOverlap="1" wp14:anchorId="176B61B1" wp14:editId="0D8F826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58A0DEB" wp14:editId="7ACC341E">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67FF94EA" wp14:editId="5300BE5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5AE743EE" w14:textId="77777777" w:rsidR="00EB5CAA" w:rsidRDefault="00EB5C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91B8" w14:textId="77777777" w:rsidR="00646050" w:rsidRDefault="00646050">
    <w:pPr>
      <w:pStyle w:val="Header"/>
      <w:pBdr>
        <w:bottom w:val="single" w:sz="4" w:space="1" w:color="auto"/>
      </w:pBdr>
      <w:rPr>
        <w:rFonts w:cs="Arial"/>
        <w:i/>
        <w:sz w:val="18"/>
        <w:szCs w:val="18"/>
        <w:lang w:val="de-DE"/>
      </w:rPr>
    </w:pPr>
    <w:r>
      <w:rPr>
        <w:rFonts w:cs="Arial"/>
        <w:i/>
        <w:sz w:val="18"/>
        <w:szCs w:val="18"/>
        <w:lang w:val="de-DE"/>
      </w:rPr>
      <w:t>UNEP/CMS/COP15/Doc.28.9</w:t>
    </w:r>
  </w:p>
  <w:p w14:paraId="2C382214" w14:textId="77777777" w:rsidR="00646050" w:rsidRDefault="0064605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3E08" w14:textId="77777777" w:rsidR="00646050" w:rsidRDefault="00646050">
    <w:pPr>
      <w:pStyle w:val="Header"/>
      <w:pBdr>
        <w:bottom w:val="single" w:sz="4" w:space="1" w:color="auto"/>
      </w:pBdr>
      <w:jc w:val="right"/>
      <w:rPr>
        <w:rFonts w:cs="Arial"/>
        <w:i/>
        <w:sz w:val="18"/>
        <w:szCs w:val="18"/>
        <w:lang w:val="de-DE"/>
      </w:rPr>
    </w:pPr>
    <w:r>
      <w:rPr>
        <w:rFonts w:cs="Arial"/>
        <w:i/>
        <w:sz w:val="18"/>
        <w:szCs w:val="18"/>
        <w:lang w:val="de-DE"/>
      </w:rPr>
      <w:t>UNEP/CMS/COP15/Doc.28.9</w:t>
    </w:r>
  </w:p>
  <w:p w14:paraId="57F68ABA" w14:textId="77777777" w:rsidR="00646050" w:rsidRDefault="00646050">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B4D3184" w:rsidR="00646050" w:rsidRPr="00F71B2D" w:rsidRDefault="00646050" w:rsidP="002D6582">
    <w:pPr>
      <w:pStyle w:val="Header"/>
      <w:pBdr>
        <w:bottom w:val="single" w:sz="4" w:space="1" w:color="auto"/>
      </w:pBdr>
      <w:rPr>
        <w:rFonts w:cs="Arial"/>
        <w:i/>
        <w:sz w:val="18"/>
        <w:szCs w:val="18"/>
        <w:lang w:val="de-DE"/>
      </w:rPr>
    </w:pPr>
    <w:r w:rsidRPr="00F71B2D">
      <w:rPr>
        <w:rFonts w:cs="Arial"/>
        <w:i/>
        <w:sz w:val="18"/>
        <w:szCs w:val="18"/>
        <w:lang w:val="de-DE"/>
      </w:rPr>
      <w:t>UNEP/CMS/COP15/Doc.28.9</w:t>
    </w:r>
  </w:p>
  <w:p w14:paraId="5FEC35DB" w14:textId="77777777" w:rsidR="00646050" w:rsidRPr="00F71B2D" w:rsidRDefault="00646050"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8F86" w14:textId="77777777" w:rsidR="00646050" w:rsidRDefault="00646050">
    <w:pPr>
      <w:pStyle w:val="Header"/>
      <w:pBdr>
        <w:bottom w:val="single" w:sz="4" w:space="1" w:color="auto"/>
      </w:pBdr>
      <w:rPr>
        <w:rFonts w:cs="Arial"/>
        <w:i/>
        <w:sz w:val="18"/>
        <w:szCs w:val="18"/>
        <w:lang w:val="fr-FR"/>
      </w:rPr>
    </w:pPr>
    <w:r>
      <w:rPr>
        <w:rFonts w:cs="Arial"/>
        <w:i/>
        <w:sz w:val="18"/>
        <w:szCs w:val="18"/>
        <w:lang w:val="fr-FR"/>
      </w:rPr>
      <w:t>UNEP/CMS/COP15/Doc.28.9/Annexe 1</w:t>
    </w:r>
  </w:p>
  <w:p w14:paraId="69EFD1DB" w14:textId="77777777" w:rsidR="00646050" w:rsidRDefault="00646050">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5C26" w14:textId="1DCB53EC" w:rsidR="00646050" w:rsidRDefault="00646050">
    <w:pPr>
      <w:pStyle w:val="Header"/>
      <w:pBdr>
        <w:bottom w:val="single" w:sz="4" w:space="1" w:color="auto"/>
      </w:pBdr>
      <w:jc w:val="right"/>
      <w:rPr>
        <w:rFonts w:cs="Arial"/>
        <w:i/>
        <w:sz w:val="18"/>
        <w:szCs w:val="18"/>
        <w:lang w:val="fr-FR"/>
      </w:rPr>
    </w:pPr>
    <w:r>
      <w:rPr>
        <w:rFonts w:cs="Arial"/>
        <w:i/>
        <w:sz w:val="18"/>
        <w:szCs w:val="18"/>
        <w:lang w:val="fr-FR"/>
      </w:rPr>
      <w:t>UNEP/CMS/COP15/Doc.28.9/Annexe</w:t>
    </w:r>
    <w:r w:rsidR="00DA09F4">
      <w:rPr>
        <w:rFonts w:cs="Arial"/>
        <w:i/>
        <w:sz w:val="18"/>
        <w:szCs w:val="18"/>
        <w:lang w:val="fr-FR"/>
      </w:rPr>
      <w:t> </w:t>
    </w:r>
    <w:r>
      <w:rPr>
        <w:rFonts w:cs="Arial"/>
        <w:i/>
        <w:sz w:val="18"/>
        <w:szCs w:val="18"/>
        <w:lang w:val="fr-FR"/>
      </w:rPr>
      <w:t>1</w:t>
    </w:r>
  </w:p>
  <w:p w14:paraId="3B5E10D2" w14:textId="77777777" w:rsidR="00646050" w:rsidRDefault="0064605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A990" w14:textId="77777777" w:rsidR="00646050" w:rsidRDefault="00646050" w:rsidP="0048665E">
    <w:pPr>
      <w:pStyle w:val="Header"/>
      <w:pBdr>
        <w:bottom w:val="single" w:sz="4" w:space="1" w:color="auto"/>
      </w:pBdr>
      <w:jc w:val="right"/>
      <w:rPr>
        <w:rFonts w:cs="Arial"/>
        <w:i/>
        <w:sz w:val="18"/>
        <w:szCs w:val="18"/>
        <w:lang w:val="fr-FR"/>
      </w:rPr>
    </w:pPr>
    <w:r>
      <w:rPr>
        <w:rFonts w:cs="Arial"/>
        <w:i/>
        <w:sz w:val="18"/>
        <w:szCs w:val="18"/>
        <w:lang w:val="fr-FR"/>
      </w:rPr>
      <w:t>UNEP/CMS/COP15/Doc.28.9/Annexe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017E49"/>
    <w:multiLevelType w:val="hybridMultilevel"/>
    <w:tmpl w:val="5FC8DB88"/>
    <w:lvl w:ilvl="0" w:tplc="20000001">
      <w:start w:val="1"/>
      <w:numFmt w:val="bullet"/>
      <w:lvlText w:val=""/>
      <w:lvlJc w:val="left"/>
      <w:pPr>
        <w:ind w:left="1154" w:hanging="360"/>
      </w:pPr>
      <w:rPr>
        <w:rFonts w:ascii="Symbol" w:hAnsi="Symbol" w:hint="default"/>
      </w:rPr>
    </w:lvl>
    <w:lvl w:ilvl="1" w:tplc="FFFFFFFF">
      <w:numFmt w:val="bullet"/>
      <w:lvlText w:val=""/>
      <w:lvlJc w:val="left"/>
      <w:pPr>
        <w:ind w:left="1874" w:hanging="360"/>
      </w:pPr>
      <w:rPr>
        <w:rFonts w:ascii="Symbol" w:eastAsiaTheme="minorHAnsi" w:hAnsi="Symbol" w:cs="Arial" w:hint="default"/>
      </w:r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C12FC5"/>
    <w:multiLevelType w:val="hybridMultilevel"/>
    <w:tmpl w:val="C1CE7502"/>
    <w:lvl w:ilvl="0" w:tplc="34F4CE40">
      <w:start w:val="1"/>
      <w:numFmt w:val="decimal"/>
      <w:lvlText w:val="%1."/>
      <w:lvlJc w:val="left"/>
      <w:pPr>
        <w:ind w:left="1020" w:hanging="360"/>
      </w:pPr>
    </w:lvl>
    <w:lvl w:ilvl="1" w:tplc="16D8CB6A">
      <w:start w:val="1"/>
      <w:numFmt w:val="decimal"/>
      <w:lvlText w:val="%2."/>
      <w:lvlJc w:val="left"/>
      <w:pPr>
        <w:ind w:left="1020" w:hanging="360"/>
      </w:pPr>
    </w:lvl>
    <w:lvl w:ilvl="2" w:tplc="467C7E52">
      <w:start w:val="1"/>
      <w:numFmt w:val="decimal"/>
      <w:lvlText w:val="%3."/>
      <w:lvlJc w:val="left"/>
      <w:pPr>
        <w:ind w:left="1020" w:hanging="360"/>
      </w:pPr>
    </w:lvl>
    <w:lvl w:ilvl="3" w:tplc="912A6E2E">
      <w:start w:val="1"/>
      <w:numFmt w:val="decimal"/>
      <w:lvlText w:val="%4."/>
      <w:lvlJc w:val="left"/>
      <w:pPr>
        <w:ind w:left="1020" w:hanging="360"/>
      </w:pPr>
    </w:lvl>
    <w:lvl w:ilvl="4" w:tplc="6DD02042">
      <w:start w:val="1"/>
      <w:numFmt w:val="decimal"/>
      <w:lvlText w:val="%5."/>
      <w:lvlJc w:val="left"/>
      <w:pPr>
        <w:ind w:left="1020" w:hanging="360"/>
      </w:pPr>
    </w:lvl>
    <w:lvl w:ilvl="5" w:tplc="CEB454D8">
      <w:start w:val="1"/>
      <w:numFmt w:val="decimal"/>
      <w:lvlText w:val="%6."/>
      <w:lvlJc w:val="left"/>
      <w:pPr>
        <w:ind w:left="1020" w:hanging="360"/>
      </w:pPr>
    </w:lvl>
    <w:lvl w:ilvl="6" w:tplc="4E4883EA">
      <w:start w:val="1"/>
      <w:numFmt w:val="decimal"/>
      <w:lvlText w:val="%7."/>
      <w:lvlJc w:val="left"/>
      <w:pPr>
        <w:ind w:left="1020" w:hanging="360"/>
      </w:pPr>
    </w:lvl>
    <w:lvl w:ilvl="7" w:tplc="0D84ED1E">
      <w:start w:val="1"/>
      <w:numFmt w:val="decimal"/>
      <w:lvlText w:val="%8."/>
      <w:lvlJc w:val="left"/>
      <w:pPr>
        <w:ind w:left="1020" w:hanging="360"/>
      </w:pPr>
    </w:lvl>
    <w:lvl w:ilvl="8" w:tplc="1F183A2C">
      <w:start w:val="1"/>
      <w:numFmt w:val="decimal"/>
      <w:lvlText w:val="%9."/>
      <w:lvlJc w:val="left"/>
      <w:pPr>
        <w:ind w:left="1020" w:hanging="36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C27B1"/>
    <w:multiLevelType w:val="hybridMultilevel"/>
    <w:tmpl w:val="0CA6B7BC"/>
    <w:lvl w:ilvl="0" w:tplc="FFFFFFFF">
      <w:start w:val="1"/>
      <w:numFmt w:val="decimal"/>
      <w:lvlText w:val="%1."/>
      <w:lvlJc w:val="left"/>
      <w:pPr>
        <w:ind w:left="360" w:hanging="360"/>
      </w:pPr>
      <w:rPr>
        <w:color w:val="auto"/>
      </w:rPr>
    </w:lvl>
    <w:lvl w:ilvl="1" w:tplc="B32E601A">
      <w:start w:val="15"/>
      <w:numFmt w:val="bullet"/>
      <w:lvlText w:val=""/>
      <w:lvlJc w:val="left"/>
      <w:pPr>
        <w:ind w:left="1080" w:hanging="360"/>
      </w:pPr>
      <w:rPr>
        <w:rFonts w:ascii="Wingdings" w:eastAsiaTheme="minorHAnsi" w:hAnsi="Wingdings"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E62C10"/>
    <w:multiLevelType w:val="hybridMultilevel"/>
    <w:tmpl w:val="470882B2"/>
    <w:lvl w:ilvl="0" w:tplc="5F6E95FA">
      <w:start w:val="1"/>
      <w:numFmt w:val="lowerLetter"/>
      <w:lvlText w:val="%1)"/>
      <w:lvlJc w:val="left"/>
      <w:pPr>
        <w:ind w:left="720" w:hanging="360"/>
      </w:pPr>
    </w:lvl>
    <w:lvl w:ilvl="1" w:tplc="1BC26570">
      <w:start w:val="1"/>
      <w:numFmt w:val="lowerLetter"/>
      <w:lvlText w:val="%2)"/>
      <w:lvlJc w:val="left"/>
      <w:pPr>
        <w:ind w:left="720" w:hanging="360"/>
      </w:pPr>
    </w:lvl>
    <w:lvl w:ilvl="2" w:tplc="FE081EE4">
      <w:start w:val="1"/>
      <w:numFmt w:val="lowerLetter"/>
      <w:lvlText w:val="%3)"/>
      <w:lvlJc w:val="left"/>
      <w:pPr>
        <w:ind w:left="720" w:hanging="360"/>
      </w:pPr>
    </w:lvl>
    <w:lvl w:ilvl="3" w:tplc="5A54BDC2">
      <w:start w:val="1"/>
      <w:numFmt w:val="lowerLetter"/>
      <w:lvlText w:val="%4)"/>
      <w:lvlJc w:val="left"/>
      <w:pPr>
        <w:ind w:left="720" w:hanging="360"/>
      </w:pPr>
    </w:lvl>
    <w:lvl w:ilvl="4" w:tplc="41D4B9BE">
      <w:start w:val="1"/>
      <w:numFmt w:val="lowerLetter"/>
      <w:lvlText w:val="%5)"/>
      <w:lvlJc w:val="left"/>
      <w:pPr>
        <w:ind w:left="720" w:hanging="360"/>
      </w:pPr>
    </w:lvl>
    <w:lvl w:ilvl="5" w:tplc="6532AA58">
      <w:start w:val="1"/>
      <w:numFmt w:val="lowerLetter"/>
      <w:lvlText w:val="%6)"/>
      <w:lvlJc w:val="left"/>
      <w:pPr>
        <w:ind w:left="720" w:hanging="360"/>
      </w:pPr>
    </w:lvl>
    <w:lvl w:ilvl="6" w:tplc="6C5EAAD6">
      <w:start w:val="1"/>
      <w:numFmt w:val="lowerLetter"/>
      <w:lvlText w:val="%7)"/>
      <w:lvlJc w:val="left"/>
      <w:pPr>
        <w:ind w:left="720" w:hanging="360"/>
      </w:pPr>
    </w:lvl>
    <w:lvl w:ilvl="7" w:tplc="517A09BC">
      <w:start w:val="1"/>
      <w:numFmt w:val="lowerLetter"/>
      <w:lvlText w:val="%8)"/>
      <w:lvlJc w:val="left"/>
      <w:pPr>
        <w:ind w:left="720" w:hanging="360"/>
      </w:pPr>
    </w:lvl>
    <w:lvl w:ilvl="8" w:tplc="E33886D6">
      <w:start w:val="1"/>
      <w:numFmt w:val="lowerLetter"/>
      <w:lvlText w:val="%9)"/>
      <w:lvlJc w:val="left"/>
      <w:pPr>
        <w:ind w:left="720" w:hanging="360"/>
      </w:pPr>
    </w:lvl>
  </w:abstractNum>
  <w:abstractNum w:abstractNumId="18"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44D6A"/>
    <w:multiLevelType w:val="hybridMultilevel"/>
    <w:tmpl w:val="5B7E59B6"/>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2"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E9E5344"/>
    <w:multiLevelType w:val="hybridMultilevel"/>
    <w:tmpl w:val="48205920"/>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3121D71"/>
    <w:multiLevelType w:val="multilevel"/>
    <w:tmpl w:val="6D7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9" w15:restartNumberingAfterBreak="0">
    <w:nsid w:val="568043B3"/>
    <w:multiLevelType w:val="hybridMultilevel"/>
    <w:tmpl w:val="0AB4124A"/>
    <w:lvl w:ilvl="0" w:tplc="20000017">
      <w:start w:val="1"/>
      <w:numFmt w:val="lowerLetter"/>
      <w:lvlText w:val="%1)"/>
      <w:lvlJc w:val="left"/>
      <w:pPr>
        <w:ind w:left="360" w:hanging="360"/>
      </w:pPr>
      <w:rPr>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5BA648F2"/>
    <w:multiLevelType w:val="hybridMultilevel"/>
    <w:tmpl w:val="4526589E"/>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2"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2E81FD8"/>
    <w:multiLevelType w:val="hybridMultilevel"/>
    <w:tmpl w:val="B1082A4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35"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3C80"/>
    <w:multiLevelType w:val="hybridMultilevel"/>
    <w:tmpl w:val="787A7EBA"/>
    <w:lvl w:ilvl="0" w:tplc="2000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40" w15:restartNumberingAfterBreak="0">
    <w:nsid w:val="731E0A05"/>
    <w:multiLevelType w:val="hybridMultilevel"/>
    <w:tmpl w:val="5F3021DA"/>
    <w:lvl w:ilvl="0" w:tplc="FFFFFFFF">
      <w:start w:val="1"/>
      <w:numFmt w:val="lowerLetter"/>
      <w:lvlText w:val="%1)"/>
      <w:lvlJc w:val="left"/>
      <w:pPr>
        <w:ind w:left="1418"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42"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57C0F"/>
    <w:multiLevelType w:val="hybridMultilevel"/>
    <w:tmpl w:val="4B9609A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762E1C26"/>
    <w:multiLevelType w:val="hybridMultilevel"/>
    <w:tmpl w:val="4748E39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45"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A94DBA"/>
    <w:multiLevelType w:val="hybridMultilevel"/>
    <w:tmpl w:val="208630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3E77A3"/>
    <w:multiLevelType w:val="hybridMultilevel"/>
    <w:tmpl w:val="F5B84904"/>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num w:numId="1" w16cid:durableId="1798833243">
    <w:abstractNumId w:val="38"/>
  </w:num>
  <w:num w:numId="2" w16cid:durableId="349911428">
    <w:abstractNumId w:val="24"/>
  </w:num>
  <w:num w:numId="3" w16cid:durableId="2023965890">
    <w:abstractNumId w:val="4"/>
  </w:num>
  <w:num w:numId="4" w16cid:durableId="515891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799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1800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854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4532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965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203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7566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153713">
    <w:abstractNumId w:val="32"/>
  </w:num>
  <w:num w:numId="13" w16cid:durableId="1994023559">
    <w:abstractNumId w:val="11"/>
  </w:num>
  <w:num w:numId="14" w16cid:durableId="308675533">
    <w:abstractNumId w:val="5"/>
  </w:num>
  <w:num w:numId="15" w16cid:durableId="437792866">
    <w:abstractNumId w:val="12"/>
  </w:num>
  <w:num w:numId="16" w16cid:durableId="1706708453">
    <w:abstractNumId w:val="9"/>
  </w:num>
  <w:num w:numId="17" w16cid:durableId="1101485077">
    <w:abstractNumId w:val="16"/>
  </w:num>
  <w:num w:numId="18" w16cid:durableId="1617562542">
    <w:abstractNumId w:val="35"/>
  </w:num>
  <w:num w:numId="19" w16cid:durableId="1020667133">
    <w:abstractNumId w:val="42"/>
  </w:num>
  <w:num w:numId="20" w16cid:durableId="1166356287">
    <w:abstractNumId w:val="23"/>
  </w:num>
  <w:num w:numId="21" w16cid:durableId="1937320877">
    <w:abstractNumId w:val="44"/>
  </w:num>
  <w:num w:numId="22" w16cid:durableId="922254145">
    <w:abstractNumId w:val="34"/>
  </w:num>
  <w:num w:numId="23" w16cid:durableId="2053074018">
    <w:abstractNumId w:val="19"/>
  </w:num>
  <w:num w:numId="24" w16cid:durableId="1029793595">
    <w:abstractNumId w:val="17"/>
  </w:num>
  <w:num w:numId="25" w16cid:durableId="2016568952">
    <w:abstractNumId w:val="18"/>
  </w:num>
  <w:num w:numId="26" w16cid:durableId="408430477">
    <w:abstractNumId w:val="36"/>
  </w:num>
  <w:num w:numId="27" w16cid:durableId="1938295311">
    <w:abstractNumId w:val="13"/>
  </w:num>
  <w:num w:numId="28" w16cid:durableId="1878274853">
    <w:abstractNumId w:val="33"/>
  </w:num>
  <w:num w:numId="29" w16cid:durableId="1278096479">
    <w:abstractNumId w:val="46"/>
  </w:num>
  <w:num w:numId="30" w16cid:durableId="1272585544">
    <w:abstractNumId w:val="47"/>
  </w:num>
  <w:num w:numId="31" w16cid:durableId="1452506167">
    <w:abstractNumId w:val="14"/>
  </w:num>
  <w:num w:numId="32" w16cid:durableId="1856142710">
    <w:abstractNumId w:val="43"/>
  </w:num>
  <w:num w:numId="33" w16cid:durableId="1307198477">
    <w:abstractNumId w:val="3"/>
  </w:num>
  <w:num w:numId="34" w16cid:durableId="1904368176">
    <w:abstractNumId w:val="7"/>
  </w:num>
  <w:num w:numId="35" w16cid:durableId="787166074">
    <w:abstractNumId w:val="30"/>
  </w:num>
  <w:num w:numId="36" w16cid:durableId="361170340">
    <w:abstractNumId w:val="1"/>
  </w:num>
  <w:num w:numId="37" w16cid:durableId="97415758">
    <w:abstractNumId w:val="31"/>
  </w:num>
  <w:num w:numId="38" w16cid:durableId="778186651">
    <w:abstractNumId w:val="8"/>
  </w:num>
  <w:num w:numId="39" w16cid:durableId="775054870">
    <w:abstractNumId w:val="6"/>
  </w:num>
  <w:num w:numId="40" w16cid:durableId="1666740856">
    <w:abstractNumId w:val="39"/>
  </w:num>
  <w:num w:numId="41" w16cid:durableId="680012084">
    <w:abstractNumId w:val="41"/>
  </w:num>
  <w:num w:numId="42" w16cid:durableId="1752003983">
    <w:abstractNumId w:val="25"/>
  </w:num>
  <w:num w:numId="43" w16cid:durableId="2089383036">
    <w:abstractNumId w:val="10"/>
  </w:num>
  <w:num w:numId="44" w16cid:durableId="1525631202">
    <w:abstractNumId w:val="28"/>
  </w:num>
  <w:num w:numId="45" w16cid:durableId="31537651">
    <w:abstractNumId w:val="2"/>
  </w:num>
  <w:num w:numId="46" w16cid:durableId="667175771">
    <w:abstractNumId w:val="45"/>
  </w:num>
  <w:num w:numId="47" w16cid:durableId="1577131867">
    <w:abstractNumId w:val="0"/>
  </w:num>
  <w:num w:numId="48" w16cid:durableId="1939633296">
    <w:abstractNumId w:val="29"/>
  </w:num>
  <w:num w:numId="49" w16cid:durableId="1562054501">
    <w:abstractNumId w:val="22"/>
  </w:num>
  <w:num w:numId="50" w16cid:durableId="956107117">
    <w:abstractNumId w:val="40"/>
  </w:num>
  <w:num w:numId="51" w16cid:durableId="16968616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02147"/>
    <w:rsid w:val="000024C8"/>
    <w:rsid w:val="00002A1A"/>
    <w:rsid w:val="00002A8B"/>
    <w:rsid w:val="000041DA"/>
    <w:rsid w:val="00004218"/>
    <w:rsid w:val="00004AC6"/>
    <w:rsid w:val="00004E24"/>
    <w:rsid w:val="00004EA4"/>
    <w:rsid w:val="00006301"/>
    <w:rsid w:val="00006628"/>
    <w:rsid w:val="00006833"/>
    <w:rsid w:val="000069D1"/>
    <w:rsid w:val="00006C47"/>
    <w:rsid w:val="00007ADC"/>
    <w:rsid w:val="00011836"/>
    <w:rsid w:val="00011BDE"/>
    <w:rsid w:val="0001212C"/>
    <w:rsid w:val="0001219A"/>
    <w:rsid w:val="000123C8"/>
    <w:rsid w:val="00012A16"/>
    <w:rsid w:val="00012F0F"/>
    <w:rsid w:val="0001687D"/>
    <w:rsid w:val="00021A13"/>
    <w:rsid w:val="00022107"/>
    <w:rsid w:val="0002210E"/>
    <w:rsid w:val="00022F03"/>
    <w:rsid w:val="0002427E"/>
    <w:rsid w:val="000248AD"/>
    <w:rsid w:val="00024A57"/>
    <w:rsid w:val="00024B0F"/>
    <w:rsid w:val="000250CC"/>
    <w:rsid w:val="0002519B"/>
    <w:rsid w:val="00025C6E"/>
    <w:rsid w:val="00025D01"/>
    <w:rsid w:val="00025DDC"/>
    <w:rsid w:val="0002709D"/>
    <w:rsid w:val="00027DDF"/>
    <w:rsid w:val="00033A75"/>
    <w:rsid w:val="000359A2"/>
    <w:rsid w:val="00035CB2"/>
    <w:rsid w:val="00035DD5"/>
    <w:rsid w:val="00041776"/>
    <w:rsid w:val="000424C6"/>
    <w:rsid w:val="00042704"/>
    <w:rsid w:val="00043389"/>
    <w:rsid w:val="00043DEE"/>
    <w:rsid w:val="00045A31"/>
    <w:rsid w:val="00045D6C"/>
    <w:rsid w:val="00047393"/>
    <w:rsid w:val="0004796E"/>
    <w:rsid w:val="00047F97"/>
    <w:rsid w:val="00047FA5"/>
    <w:rsid w:val="00050985"/>
    <w:rsid w:val="000512EF"/>
    <w:rsid w:val="00052636"/>
    <w:rsid w:val="00053147"/>
    <w:rsid w:val="00053325"/>
    <w:rsid w:val="000534B5"/>
    <w:rsid w:val="00053EE0"/>
    <w:rsid w:val="00054042"/>
    <w:rsid w:val="00056D98"/>
    <w:rsid w:val="00056F6F"/>
    <w:rsid w:val="000570D4"/>
    <w:rsid w:val="00057CFA"/>
    <w:rsid w:val="00057EE2"/>
    <w:rsid w:val="000612D0"/>
    <w:rsid w:val="00062686"/>
    <w:rsid w:val="000629BF"/>
    <w:rsid w:val="000634B1"/>
    <w:rsid w:val="00063B37"/>
    <w:rsid w:val="000649BF"/>
    <w:rsid w:val="00066A5F"/>
    <w:rsid w:val="00067C15"/>
    <w:rsid w:val="0007330C"/>
    <w:rsid w:val="0007338D"/>
    <w:rsid w:val="00073934"/>
    <w:rsid w:val="00073F34"/>
    <w:rsid w:val="000758C6"/>
    <w:rsid w:val="00075A31"/>
    <w:rsid w:val="00075B40"/>
    <w:rsid w:val="000762D2"/>
    <w:rsid w:val="000767E4"/>
    <w:rsid w:val="0008002A"/>
    <w:rsid w:val="00080832"/>
    <w:rsid w:val="0008293C"/>
    <w:rsid w:val="00083232"/>
    <w:rsid w:val="000836D7"/>
    <w:rsid w:val="0008409D"/>
    <w:rsid w:val="00084BCB"/>
    <w:rsid w:val="00084F19"/>
    <w:rsid w:val="00085523"/>
    <w:rsid w:val="000872EE"/>
    <w:rsid w:val="000906BA"/>
    <w:rsid w:val="00090D14"/>
    <w:rsid w:val="00091E06"/>
    <w:rsid w:val="000939DA"/>
    <w:rsid w:val="00093D15"/>
    <w:rsid w:val="00094577"/>
    <w:rsid w:val="00094616"/>
    <w:rsid w:val="0009494E"/>
    <w:rsid w:val="00094AB7"/>
    <w:rsid w:val="00094FA9"/>
    <w:rsid w:val="00095A97"/>
    <w:rsid w:val="00095DBE"/>
    <w:rsid w:val="00095E0E"/>
    <w:rsid w:val="00097A00"/>
    <w:rsid w:val="000A0422"/>
    <w:rsid w:val="000A0C26"/>
    <w:rsid w:val="000A0CBE"/>
    <w:rsid w:val="000A1981"/>
    <w:rsid w:val="000A3497"/>
    <w:rsid w:val="000A4016"/>
    <w:rsid w:val="000A4056"/>
    <w:rsid w:val="000A4C50"/>
    <w:rsid w:val="000A537E"/>
    <w:rsid w:val="000A5A1E"/>
    <w:rsid w:val="000A640F"/>
    <w:rsid w:val="000A782B"/>
    <w:rsid w:val="000A7BED"/>
    <w:rsid w:val="000A7CEA"/>
    <w:rsid w:val="000A7D0F"/>
    <w:rsid w:val="000B05DC"/>
    <w:rsid w:val="000B1024"/>
    <w:rsid w:val="000B1084"/>
    <w:rsid w:val="000B1A95"/>
    <w:rsid w:val="000B2919"/>
    <w:rsid w:val="000B32AD"/>
    <w:rsid w:val="000B35E8"/>
    <w:rsid w:val="000B389D"/>
    <w:rsid w:val="000B38BE"/>
    <w:rsid w:val="000B4408"/>
    <w:rsid w:val="000B474E"/>
    <w:rsid w:val="000B47A8"/>
    <w:rsid w:val="000B50AD"/>
    <w:rsid w:val="000B55E6"/>
    <w:rsid w:val="000B676D"/>
    <w:rsid w:val="000B7D58"/>
    <w:rsid w:val="000C04BC"/>
    <w:rsid w:val="000C12C8"/>
    <w:rsid w:val="000C1837"/>
    <w:rsid w:val="000C23BD"/>
    <w:rsid w:val="000C25FE"/>
    <w:rsid w:val="000C322F"/>
    <w:rsid w:val="000C349E"/>
    <w:rsid w:val="000C3B3B"/>
    <w:rsid w:val="000C3B74"/>
    <w:rsid w:val="000C3E86"/>
    <w:rsid w:val="000C434C"/>
    <w:rsid w:val="000C4461"/>
    <w:rsid w:val="000C4523"/>
    <w:rsid w:val="000C6090"/>
    <w:rsid w:val="000C6B2F"/>
    <w:rsid w:val="000C6D62"/>
    <w:rsid w:val="000C6FB7"/>
    <w:rsid w:val="000C7CBB"/>
    <w:rsid w:val="000D0EB1"/>
    <w:rsid w:val="000D2BDD"/>
    <w:rsid w:val="000D318F"/>
    <w:rsid w:val="000D44A8"/>
    <w:rsid w:val="000D4965"/>
    <w:rsid w:val="000D4F61"/>
    <w:rsid w:val="000D55D5"/>
    <w:rsid w:val="000D5656"/>
    <w:rsid w:val="000D5C95"/>
    <w:rsid w:val="000D6415"/>
    <w:rsid w:val="000D6D7A"/>
    <w:rsid w:val="000E0325"/>
    <w:rsid w:val="000E0412"/>
    <w:rsid w:val="000E061A"/>
    <w:rsid w:val="000E122F"/>
    <w:rsid w:val="000E1883"/>
    <w:rsid w:val="000E1D8A"/>
    <w:rsid w:val="000E1E79"/>
    <w:rsid w:val="000E1FB4"/>
    <w:rsid w:val="000E2A88"/>
    <w:rsid w:val="000E345D"/>
    <w:rsid w:val="000E3692"/>
    <w:rsid w:val="000E3F4F"/>
    <w:rsid w:val="000E465E"/>
    <w:rsid w:val="000E471E"/>
    <w:rsid w:val="000E5257"/>
    <w:rsid w:val="000E65DB"/>
    <w:rsid w:val="000E668E"/>
    <w:rsid w:val="000E6B9A"/>
    <w:rsid w:val="000E7018"/>
    <w:rsid w:val="000E778D"/>
    <w:rsid w:val="000F0F16"/>
    <w:rsid w:val="000F1830"/>
    <w:rsid w:val="000F1C3A"/>
    <w:rsid w:val="000F1C66"/>
    <w:rsid w:val="000F1E2C"/>
    <w:rsid w:val="000F40C2"/>
    <w:rsid w:val="000F47D9"/>
    <w:rsid w:val="000F69CB"/>
    <w:rsid w:val="000F6D54"/>
    <w:rsid w:val="000F7286"/>
    <w:rsid w:val="001000C2"/>
    <w:rsid w:val="00100A08"/>
    <w:rsid w:val="00100AF1"/>
    <w:rsid w:val="001011AE"/>
    <w:rsid w:val="001046E6"/>
    <w:rsid w:val="00106463"/>
    <w:rsid w:val="00107667"/>
    <w:rsid w:val="0010769B"/>
    <w:rsid w:val="0011005E"/>
    <w:rsid w:val="00111131"/>
    <w:rsid w:val="00111886"/>
    <w:rsid w:val="00111987"/>
    <w:rsid w:val="00111C86"/>
    <w:rsid w:val="00112A28"/>
    <w:rsid w:val="00112D9A"/>
    <w:rsid w:val="00114E45"/>
    <w:rsid w:val="00115B67"/>
    <w:rsid w:val="00116BBB"/>
    <w:rsid w:val="001173B8"/>
    <w:rsid w:val="00117747"/>
    <w:rsid w:val="00117E96"/>
    <w:rsid w:val="00117EEC"/>
    <w:rsid w:val="00120096"/>
    <w:rsid w:val="00120752"/>
    <w:rsid w:val="00121A91"/>
    <w:rsid w:val="001226B1"/>
    <w:rsid w:val="00122A61"/>
    <w:rsid w:val="00123968"/>
    <w:rsid w:val="00124C2D"/>
    <w:rsid w:val="00125656"/>
    <w:rsid w:val="0012578E"/>
    <w:rsid w:val="001258D4"/>
    <w:rsid w:val="001259D0"/>
    <w:rsid w:val="001266CA"/>
    <w:rsid w:val="00126BD3"/>
    <w:rsid w:val="00126E2A"/>
    <w:rsid w:val="001306E4"/>
    <w:rsid w:val="001317B6"/>
    <w:rsid w:val="001325FD"/>
    <w:rsid w:val="0013284A"/>
    <w:rsid w:val="00132F74"/>
    <w:rsid w:val="00133D7B"/>
    <w:rsid w:val="001343B1"/>
    <w:rsid w:val="00134B58"/>
    <w:rsid w:val="00134CC3"/>
    <w:rsid w:val="001351B6"/>
    <w:rsid w:val="00136D58"/>
    <w:rsid w:val="0013732D"/>
    <w:rsid w:val="0014089D"/>
    <w:rsid w:val="001410BF"/>
    <w:rsid w:val="0014123C"/>
    <w:rsid w:val="00141D1C"/>
    <w:rsid w:val="0014203B"/>
    <w:rsid w:val="00142531"/>
    <w:rsid w:val="00142801"/>
    <w:rsid w:val="00142B76"/>
    <w:rsid w:val="001433F6"/>
    <w:rsid w:val="00145AF5"/>
    <w:rsid w:val="00145BAB"/>
    <w:rsid w:val="00145C9B"/>
    <w:rsid w:val="00145DCE"/>
    <w:rsid w:val="001463BB"/>
    <w:rsid w:val="0014672D"/>
    <w:rsid w:val="00146E23"/>
    <w:rsid w:val="0015003D"/>
    <w:rsid w:val="001508C7"/>
    <w:rsid w:val="00151C98"/>
    <w:rsid w:val="0015307E"/>
    <w:rsid w:val="00155833"/>
    <w:rsid w:val="0015668B"/>
    <w:rsid w:val="00156F8D"/>
    <w:rsid w:val="0016083A"/>
    <w:rsid w:val="00160C29"/>
    <w:rsid w:val="001617C3"/>
    <w:rsid w:val="001618E7"/>
    <w:rsid w:val="00162819"/>
    <w:rsid w:val="001631C4"/>
    <w:rsid w:val="001639ED"/>
    <w:rsid w:val="001644D1"/>
    <w:rsid w:val="00167FED"/>
    <w:rsid w:val="00171065"/>
    <w:rsid w:val="001717FC"/>
    <w:rsid w:val="0017266D"/>
    <w:rsid w:val="00172EC4"/>
    <w:rsid w:val="0017356C"/>
    <w:rsid w:val="00174B23"/>
    <w:rsid w:val="00175163"/>
    <w:rsid w:val="001755FD"/>
    <w:rsid w:val="00175F67"/>
    <w:rsid w:val="00175FE1"/>
    <w:rsid w:val="00177046"/>
    <w:rsid w:val="001773C7"/>
    <w:rsid w:val="00177839"/>
    <w:rsid w:val="00180BD5"/>
    <w:rsid w:val="00180D4D"/>
    <w:rsid w:val="00181463"/>
    <w:rsid w:val="00181832"/>
    <w:rsid w:val="0018243E"/>
    <w:rsid w:val="00182591"/>
    <w:rsid w:val="00182DE6"/>
    <w:rsid w:val="00183350"/>
    <w:rsid w:val="00183768"/>
    <w:rsid w:val="00185445"/>
    <w:rsid w:val="001855DC"/>
    <w:rsid w:val="00187723"/>
    <w:rsid w:val="001878D6"/>
    <w:rsid w:val="00187A72"/>
    <w:rsid w:val="00187B83"/>
    <w:rsid w:val="00187BCA"/>
    <w:rsid w:val="00187DA9"/>
    <w:rsid w:val="001901D2"/>
    <w:rsid w:val="001910CB"/>
    <w:rsid w:val="00191A00"/>
    <w:rsid w:val="00191EE8"/>
    <w:rsid w:val="001926F2"/>
    <w:rsid w:val="00193239"/>
    <w:rsid w:val="0019379D"/>
    <w:rsid w:val="0019381B"/>
    <w:rsid w:val="0019537A"/>
    <w:rsid w:val="0019594F"/>
    <w:rsid w:val="00196EE9"/>
    <w:rsid w:val="00197F4A"/>
    <w:rsid w:val="001A0272"/>
    <w:rsid w:val="001A08C9"/>
    <w:rsid w:val="001A144D"/>
    <w:rsid w:val="001A2ED9"/>
    <w:rsid w:val="001A33F1"/>
    <w:rsid w:val="001A3920"/>
    <w:rsid w:val="001A4755"/>
    <w:rsid w:val="001A490C"/>
    <w:rsid w:val="001A4980"/>
    <w:rsid w:val="001A54AB"/>
    <w:rsid w:val="001A572D"/>
    <w:rsid w:val="001A5C62"/>
    <w:rsid w:val="001A5DEC"/>
    <w:rsid w:val="001A5F70"/>
    <w:rsid w:val="001A6776"/>
    <w:rsid w:val="001A685C"/>
    <w:rsid w:val="001A6B98"/>
    <w:rsid w:val="001A6C13"/>
    <w:rsid w:val="001A7527"/>
    <w:rsid w:val="001A76CA"/>
    <w:rsid w:val="001A7E04"/>
    <w:rsid w:val="001B219C"/>
    <w:rsid w:val="001B242B"/>
    <w:rsid w:val="001B35FD"/>
    <w:rsid w:val="001B3FC8"/>
    <w:rsid w:val="001B45BE"/>
    <w:rsid w:val="001B4BA5"/>
    <w:rsid w:val="001B59BE"/>
    <w:rsid w:val="001B5A42"/>
    <w:rsid w:val="001B6FCA"/>
    <w:rsid w:val="001B7A66"/>
    <w:rsid w:val="001C093E"/>
    <w:rsid w:val="001C1B77"/>
    <w:rsid w:val="001C1E72"/>
    <w:rsid w:val="001C2B0B"/>
    <w:rsid w:val="001C2FE0"/>
    <w:rsid w:val="001C346E"/>
    <w:rsid w:val="001C384A"/>
    <w:rsid w:val="001C4906"/>
    <w:rsid w:val="001C5AA9"/>
    <w:rsid w:val="001C5D94"/>
    <w:rsid w:val="001C769E"/>
    <w:rsid w:val="001C7D32"/>
    <w:rsid w:val="001D0A3D"/>
    <w:rsid w:val="001D143D"/>
    <w:rsid w:val="001D19FF"/>
    <w:rsid w:val="001D1BD1"/>
    <w:rsid w:val="001D1CBA"/>
    <w:rsid w:val="001D3402"/>
    <w:rsid w:val="001D379B"/>
    <w:rsid w:val="001D4FD8"/>
    <w:rsid w:val="001D5148"/>
    <w:rsid w:val="001D5522"/>
    <w:rsid w:val="001D5CBA"/>
    <w:rsid w:val="001D5CCB"/>
    <w:rsid w:val="001D6499"/>
    <w:rsid w:val="001D66D1"/>
    <w:rsid w:val="001D66E1"/>
    <w:rsid w:val="001D678B"/>
    <w:rsid w:val="001D79FE"/>
    <w:rsid w:val="001D7FCE"/>
    <w:rsid w:val="001E0430"/>
    <w:rsid w:val="001E0741"/>
    <w:rsid w:val="001E272B"/>
    <w:rsid w:val="001E2BA6"/>
    <w:rsid w:val="001E2D5B"/>
    <w:rsid w:val="001E5402"/>
    <w:rsid w:val="001E5933"/>
    <w:rsid w:val="001E68B5"/>
    <w:rsid w:val="001E6DA6"/>
    <w:rsid w:val="001F1D53"/>
    <w:rsid w:val="001F1EF5"/>
    <w:rsid w:val="001F2DE5"/>
    <w:rsid w:val="001F3018"/>
    <w:rsid w:val="001F352C"/>
    <w:rsid w:val="001F35CE"/>
    <w:rsid w:val="001F3D4C"/>
    <w:rsid w:val="001F4F83"/>
    <w:rsid w:val="001F50C1"/>
    <w:rsid w:val="001F57D8"/>
    <w:rsid w:val="001F5C18"/>
    <w:rsid w:val="002000BB"/>
    <w:rsid w:val="00200A6C"/>
    <w:rsid w:val="00201989"/>
    <w:rsid w:val="00201DFA"/>
    <w:rsid w:val="0020293F"/>
    <w:rsid w:val="00202EC4"/>
    <w:rsid w:val="00203C6E"/>
    <w:rsid w:val="002047D8"/>
    <w:rsid w:val="00204E7C"/>
    <w:rsid w:val="00205E20"/>
    <w:rsid w:val="002108C3"/>
    <w:rsid w:val="00210A6E"/>
    <w:rsid w:val="00210BC2"/>
    <w:rsid w:val="00212B18"/>
    <w:rsid w:val="00213A37"/>
    <w:rsid w:val="00214F91"/>
    <w:rsid w:val="00215178"/>
    <w:rsid w:val="0021517B"/>
    <w:rsid w:val="00215715"/>
    <w:rsid w:val="00216146"/>
    <w:rsid w:val="002173AC"/>
    <w:rsid w:val="00217459"/>
    <w:rsid w:val="002176A9"/>
    <w:rsid w:val="00217D5A"/>
    <w:rsid w:val="00217E03"/>
    <w:rsid w:val="00220536"/>
    <w:rsid w:val="00221119"/>
    <w:rsid w:val="00221778"/>
    <w:rsid w:val="00221A93"/>
    <w:rsid w:val="00221B43"/>
    <w:rsid w:val="00222684"/>
    <w:rsid w:val="002227A2"/>
    <w:rsid w:val="00222D7B"/>
    <w:rsid w:val="002233A3"/>
    <w:rsid w:val="002239FD"/>
    <w:rsid w:val="0022403E"/>
    <w:rsid w:val="00224091"/>
    <w:rsid w:val="00224365"/>
    <w:rsid w:val="0022443B"/>
    <w:rsid w:val="0022444F"/>
    <w:rsid w:val="00224462"/>
    <w:rsid w:val="00224EC2"/>
    <w:rsid w:val="0022519F"/>
    <w:rsid w:val="00225920"/>
    <w:rsid w:val="002262F6"/>
    <w:rsid w:val="00226B1D"/>
    <w:rsid w:val="00226F41"/>
    <w:rsid w:val="00227183"/>
    <w:rsid w:val="00227321"/>
    <w:rsid w:val="00227B1D"/>
    <w:rsid w:val="002300F6"/>
    <w:rsid w:val="0023253D"/>
    <w:rsid w:val="00232F65"/>
    <w:rsid w:val="002331B9"/>
    <w:rsid w:val="002332D2"/>
    <w:rsid w:val="00233327"/>
    <w:rsid w:val="002343EF"/>
    <w:rsid w:val="002358B4"/>
    <w:rsid w:val="00235E6E"/>
    <w:rsid w:val="002361B4"/>
    <w:rsid w:val="0023673F"/>
    <w:rsid w:val="00237E89"/>
    <w:rsid w:val="00237FF3"/>
    <w:rsid w:val="00240164"/>
    <w:rsid w:val="00240F90"/>
    <w:rsid w:val="002410D8"/>
    <w:rsid w:val="002416E5"/>
    <w:rsid w:val="00241DAA"/>
    <w:rsid w:val="00242242"/>
    <w:rsid w:val="00242F07"/>
    <w:rsid w:val="00243D8D"/>
    <w:rsid w:val="00243EAE"/>
    <w:rsid w:val="002443EF"/>
    <w:rsid w:val="002451E2"/>
    <w:rsid w:val="002453CB"/>
    <w:rsid w:val="002460C7"/>
    <w:rsid w:val="00246448"/>
    <w:rsid w:val="00246C33"/>
    <w:rsid w:val="00246C53"/>
    <w:rsid w:val="00247FB6"/>
    <w:rsid w:val="0025303B"/>
    <w:rsid w:val="00253753"/>
    <w:rsid w:val="002546AE"/>
    <w:rsid w:val="002547FC"/>
    <w:rsid w:val="00254956"/>
    <w:rsid w:val="002550B9"/>
    <w:rsid w:val="0025681D"/>
    <w:rsid w:val="00256AC8"/>
    <w:rsid w:val="00261624"/>
    <w:rsid w:val="00261E19"/>
    <w:rsid w:val="00261ECD"/>
    <w:rsid w:val="0026332A"/>
    <w:rsid w:val="002633F4"/>
    <w:rsid w:val="002639A1"/>
    <w:rsid w:val="00263B3D"/>
    <w:rsid w:val="00264EED"/>
    <w:rsid w:val="002652F3"/>
    <w:rsid w:val="00267C6B"/>
    <w:rsid w:val="00271DBD"/>
    <w:rsid w:val="0027215C"/>
    <w:rsid w:val="002721EE"/>
    <w:rsid w:val="002758EF"/>
    <w:rsid w:val="00276100"/>
    <w:rsid w:val="0027617B"/>
    <w:rsid w:val="0027689A"/>
    <w:rsid w:val="00276D4B"/>
    <w:rsid w:val="0027711B"/>
    <w:rsid w:val="0027722C"/>
    <w:rsid w:val="00277633"/>
    <w:rsid w:val="0028005D"/>
    <w:rsid w:val="00280D78"/>
    <w:rsid w:val="00281B9F"/>
    <w:rsid w:val="00281BAF"/>
    <w:rsid w:val="00282D5F"/>
    <w:rsid w:val="0028319F"/>
    <w:rsid w:val="0028396C"/>
    <w:rsid w:val="00285234"/>
    <w:rsid w:val="002859DD"/>
    <w:rsid w:val="00285FF8"/>
    <w:rsid w:val="002863D5"/>
    <w:rsid w:val="00286F9C"/>
    <w:rsid w:val="00290632"/>
    <w:rsid w:val="00291FAD"/>
    <w:rsid w:val="00292F47"/>
    <w:rsid w:val="00293122"/>
    <w:rsid w:val="00294F01"/>
    <w:rsid w:val="0029559E"/>
    <w:rsid w:val="00295D4B"/>
    <w:rsid w:val="00296AD9"/>
    <w:rsid w:val="00297802"/>
    <w:rsid w:val="00297E92"/>
    <w:rsid w:val="002A012C"/>
    <w:rsid w:val="002A0A6B"/>
    <w:rsid w:val="002A13D2"/>
    <w:rsid w:val="002A1FD6"/>
    <w:rsid w:val="002A20AA"/>
    <w:rsid w:val="002A2429"/>
    <w:rsid w:val="002A27D5"/>
    <w:rsid w:val="002A2D44"/>
    <w:rsid w:val="002A323A"/>
    <w:rsid w:val="002A3364"/>
    <w:rsid w:val="002A440F"/>
    <w:rsid w:val="002A647F"/>
    <w:rsid w:val="002A66A2"/>
    <w:rsid w:val="002A6FD3"/>
    <w:rsid w:val="002A7680"/>
    <w:rsid w:val="002A7F53"/>
    <w:rsid w:val="002B0E18"/>
    <w:rsid w:val="002B194B"/>
    <w:rsid w:val="002B1C6F"/>
    <w:rsid w:val="002B2AED"/>
    <w:rsid w:val="002B2DBC"/>
    <w:rsid w:val="002B59B9"/>
    <w:rsid w:val="002B7681"/>
    <w:rsid w:val="002B7D09"/>
    <w:rsid w:val="002C0614"/>
    <w:rsid w:val="002C1066"/>
    <w:rsid w:val="002C1135"/>
    <w:rsid w:val="002C1E39"/>
    <w:rsid w:val="002C3886"/>
    <w:rsid w:val="002C3A75"/>
    <w:rsid w:val="002C45C9"/>
    <w:rsid w:val="002C6BD6"/>
    <w:rsid w:val="002C7D50"/>
    <w:rsid w:val="002D00B4"/>
    <w:rsid w:val="002D0943"/>
    <w:rsid w:val="002D0BC0"/>
    <w:rsid w:val="002D10FA"/>
    <w:rsid w:val="002D2101"/>
    <w:rsid w:val="002D3E4B"/>
    <w:rsid w:val="002D6582"/>
    <w:rsid w:val="002D65F6"/>
    <w:rsid w:val="002D7492"/>
    <w:rsid w:val="002E002C"/>
    <w:rsid w:val="002E0DE9"/>
    <w:rsid w:val="002E0ECB"/>
    <w:rsid w:val="002E1753"/>
    <w:rsid w:val="002E1A82"/>
    <w:rsid w:val="002E1DC0"/>
    <w:rsid w:val="002E2061"/>
    <w:rsid w:val="002E20F2"/>
    <w:rsid w:val="002E22FB"/>
    <w:rsid w:val="002E3355"/>
    <w:rsid w:val="002E536E"/>
    <w:rsid w:val="002E54EF"/>
    <w:rsid w:val="002E5636"/>
    <w:rsid w:val="002E5872"/>
    <w:rsid w:val="002E5BE2"/>
    <w:rsid w:val="002E613C"/>
    <w:rsid w:val="002E6646"/>
    <w:rsid w:val="002E6A6C"/>
    <w:rsid w:val="002E6CE5"/>
    <w:rsid w:val="002F23CC"/>
    <w:rsid w:val="002F3056"/>
    <w:rsid w:val="002F31CC"/>
    <w:rsid w:val="002F439B"/>
    <w:rsid w:val="002F48F1"/>
    <w:rsid w:val="002F5B06"/>
    <w:rsid w:val="002F6F48"/>
    <w:rsid w:val="002F7E38"/>
    <w:rsid w:val="00300412"/>
    <w:rsid w:val="00302B40"/>
    <w:rsid w:val="00303628"/>
    <w:rsid w:val="00303F26"/>
    <w:rsid w:val="0030410D"/>
    <w:rsid w:val="00304B2C"/>
    <w:rsid w:val="00304FA0"/>
    <w:rsid w:val="00305918"/>
    <w:rsid w:val="00306152"/>
    <w:rsid w:val="00307531"/>
    <w:rsid w:val="0030765A"/>
    <w:rsid w:val="003109DF"/>
    <w:rsid w:val="00310B43"/>
    <w:rsid w:val="00311BA5"/>
    <w:rsid w:val="00311C1E"/>
    <w:rsid w:val="00312E74"/>
    <w:rsid w:val="003131ED"/>
    <w:rsid w:val="00315A5A"/>
    <w:rsid w:val="00315C7A"/>
    <w:rsid w:val="003171EE"/>
    <w:rsid w:val="00317F7D"/>
    <w:rsid w:val="003202AC"/>
    <w:rsid w:val="003204D6"/>
    <w:rsid w:val="003212FB"/>
    <w:rsid w:val="003215B5"/>
    <w:rsid w:val="00322248"/>
    <w:rsid w:val="003224A0"/>
    <w:rsid w:val="003224D7"/>
    <w:rsid w:val="003229AE"/>
    <w:rsid w:val="003230F1"/>
    <w:rsid w:val="003233BC"/>
    <w:rsid w:val="00324448"/>
    <w:rsid w:val="00324C33"/>
    <w:rsid w:val="00326074"/>
    <w:rsid w:val="00326FE6"/>
    <w:rsid w:val="003274A9"/>
    <w:rsid w:val="00330C5A"/>
    <w:rsid w:val="00331167"/>
    <w:rsid w:val="003324A1"/>
    <w:rsid w:val="0033277A"/>
    <w:rsid w:val="00333950"/>
    <w:rsid w:val="00334D11"/>
    <w:rsid w:val="00334FC9"/>
    <w:rsid w:val="00335E2E"/>
    <w:rsid w:val="003363B0"/>
    <w:rsid w:val="00336417"/>
    <w:rsid w:val="0033652B"/>
    <w:rsid w:val="0033785C"/>
    <w:rsid w:val="003378DA"/>
    <w:rsid w:val="00337C9D"/>
    <w:rsid w:val="00340BD2"/>
    <w:rsid w:val="00342921"/>
    <w:rsid w:val="0034343F"/>
    <w:rsid w:val="003434A3"/>
    <w:rsid w:val="00343715"/>
    <w:rsid w:val="003438AD"/>
    <w:rsid w:val="003439CE"/>
    <w:rsid w:val="00343FFF"/>
    <w:rsid w:val="00344195"/>
    <w:rsid w:val="00344493"/>
    <w:rsid w:val="00344557"/>
    <w:rsid w:val="00345E5F"/>
    <w:rsid w:val="00346169"/>
    <w:rsid w:val="00346406"/>
    <w:rsid w:val="0034647C"/>
    <w:rsid w:val="003467BC"/>
    <w:rsid w:val="00346A87"/>
    <w:rsid w:val="00346D15"/>
    <w:rsid w:val="00347C51"/>
    <w:rsid w:val="003504F4"/>
    <w:rsid w:val="0035175C"/>
    <w:rsid w:val="003518D0"/>
    <w:rsid w:val="003528A5"/>
    <w:rsid w:val="003528FD"/>
    <w:rsid w:val="003531B9"/>
    <w:rsid w:val="003537F2"/>
    <w:rsid w:val="00353EE1"/>
    <w:rsid w:val="00354175"/>
    <w:rsid w:val="00354839"/>
    <w:rsid w:val="0035488B"/>
    <w:rsid w:val="00354966"/>
    <w:rsid w:val="00354EA6"/>
    <w:rsid w:val="00356C4C"/>
    <w:rsid w:val="00360079"/>
    <w:rsid w:val="00360838"/>
    <w:rsid w:val="00361A1B"/>
    <w:rsid w:val="00361EDF"/>
    <w:rsid w:val="003622DF"/>
    <w:rsid w:val="00362B87"/>
    <w:rsid w:val="00362D44"/>
    <w:rsid w:val="00362E36"/>
    <w:rsid w:val="003637D5"/>
    <w:rsid w:val="00364C7E"/>
    <w:rsid w:val="003654C7"/>
    <w:rsid w:val="00366199"/>
    <w:rsid w:val="00366636"/>
    <w:rsid w:val="00367990"/>
    <w:rsid w:val="00367CC3"/>
    <w:rsid w:val="00371373"/>
    <w:rsid w:val="00371D55"/>
    <w:rsid w:val="00371DE1"/>
    <w:rsid w:val="00372EC3"/>
    <w:rsid w:val="003734A8"/>
    <w:rsid w:val="003744DD"/>
    <w:rsid w:val="00374E55"/>
    <w:rsid w:val="00375CC5"/>
    <w:rsid w:val="003769D2"/>
    <w:rsid w:val="003779B3"/>
    <w:rsid w:val="00377A65"/>
    <w:rsid w:val="00380652"/>
    <w:rsid w:val="003807E9"/>
    <w:rsid w:val="00380BBA"/>
    <w:rsid w:val="00381478"/>
    <w:rsid w:val="00381D71"/>
    <w:rsid w:val="00383651"/>
    <w:rsid w:val="00384207"/>
    <w:rsid w:val="00384563"/>
    <w:rsid w:val="0038489E"/>
    <w:rsid w:val="00386A00"/>
    <w:rsid w:val="00386CBF"/>
    <w:rsid w:val="00387C34"/>
    <w:rsid w:val="0039115A"/>
    <w:rsid w:val="003912E6"/>
    <w:rsid w:val="00391381"/>
    <w:rsid w:val="00391979"/>
    <w:rsid w:val="00391DDC"/>
    <w:rsid w:val="00392513"/>
    <w:rsid w:val="00392989"/>
    <w:rsid w:val="00393C98"/>
    <w:rsid w:val="0039487A"/>
    <w:rsid w:val="00394AFB"/>
    <w:rsid w:val="00395777"/>
    <w:rsid w:val="00396275"/>
    <w:rsid w:val="003963DB"/>
    <w:rsid w:val="0039652B"/>
    <w:rsid w:val="0039722A"/>
    <w:rsid w:val="003A017E"/>
    <w:rsid w:val="003A0555"/>
    <w:rsid w:val="003A2880"/>
    <w:rsid w:val="003A2ED9"/>
    <w:rsid w:val="003A38A5"/>
    <w:rsid w:val="003A38C7"/>
    <w:rsid w:val="003A3AF0"/>
    <w:rsid w:val="003A4281"/>
    <w:rsid w:val="003A489A"/>
    <w:rsid w:val="003A53C7"/>
    <w:rsid w:val="003A5942"/>
    <w:rsid w:val="003A5C59"/>
    <w:rsid w:val="003A6070"/>
    <w:rsid w:val="003A608F"/>
    <w:rsid w:val="003A66FD"/>
    <w:rsid w:val="003A6CE3"/>
    <w:rsid w:val="003B0390"/>
    <w:rsid w:val="003B09FA"/>
    <w:rsid w:val="003B13DB"/>
    <w:rsid w:val="003B16DA"/>
    <w:rsid w:val="003B2055"/>
    <w:rsid w:val="003B210B"/>
    <w:rsid w:val="003B25AB"/>
    <w:rsid w:val="003B3050"/>
    <w:rsid w:val="003B3B01"/>
    <w:rsid w:val="003B5013"/>
    <w:rsid w:val="003B5022"/>
    <w:rsid w:val="003B52BC"/>
    <w:rsid w:val="003B5E3C"/>
    <w:rsid w:val="003B6574"/>
    <w:rsid w:val="003C021B"/>
    <w:rsid w:val="003C034A"/>
    <w:rsid w:val="003C041A"/>
    <w:rsid w:val="003C08E7"/>
    <w:rsid w:val="003C131D"/>
    <w:rsid w:val="003C1534"/>
    <w:rsid w:val="003C1854"/>
    <w:rsid w:val="003C2606"/>
    <w:rsid w:val="003C3497"/>
    <w:rsid w:val="003C3E6C"/>
    <w:rsid w:val="003C5684"/>
    <w:rsid w:val="003C74AB"/>
    <w:rsid w:val="003C7FC2"/>
    <w:rsid w:val="003D1BD6"/>
    <w:rsid w:val="003D22AB"/>
    <w:rsid w:val="003D230D"/>
    <w:rsid w:val="003D2514"/>
    <w:rsid w:val="003D26D9"/>
    <w:rsid w:val="003D2CA6"/>
    <w:rsid w:val="003D3091"/>
    <w:rsid w:val="003D387F"/>
    <w:rsid w:val="003D3CE3"/>
    <w:rsid w:val="003D4574"/>
    <w:rsid w:val="003D5869"/>
    <w:rsid w:val="003D5BEC"/>
    <w:rsid w:val="003D5EA2"/>
    <w:rsid w:val="003D6731"/>
    <w:rsid w:val="003D71D1"/>
    <w:rsid w:val="003D76A7"/>
    <w:rsid w:val="003E0726"/>
    <w:rsid w:val="003E0A6F"/>
    <w:rsid w:val="003E0F1E"/>
    <w:rsid w:val="003E1B95"/>
    <w:rsid w:val="003E29DD"/>
    <w:rsid w:val="003E2F3D"/>
    <w:rsid w:val="003E4505"/>
    <w:rsid w:val="003E4BF3"/>
    <w:rsid w:val="003E5D36"/>
    <w:rsid w:val="003E62B3"/>
    <w:rsid w:val="003E79B8"/>
    <w:rsid w:val="003E7DB2"/>
    <w:rsid w:val="003F0031"/>
    <w:rsid w:val="003F0AED"/>
    <w:rsid w:val="003F0C48"/>
    <w:rsid w:val="003F0E94"/>
    <w:rsid w:val="003F0F62"/>
    <w:rsid w:val="003F1998"/>
    <w:rsid w:val="003F271B"/>
    <w:rsid w:val="003F5FF7"/>
    <w:rsid w:val="003F6B67"/>
    <w:rsid w:val="003F7AC3"/>
    <w:rsid w:val="0040049A"/>
    <w:rsid w:val="0040175D"/>
    <w:rsid w:val="004017A3"/>
    <w:rsid w:val="004021FE"/>
    <w:rsid w:val="004026B8"/>
    <w:rsid w:val="004058C3"/>
    <w:rsid w:val="00406E6F"/>
    <w:rsid w:val="00410297"/>
    <w:rsid w:val="00410A22"/>
    <w:rsid w:val="00410B40"/>
    <w:rsid w:val="00411A7D"/>
    <w:rsid w:val="00411B5C"/>
    <w:rsid w:val="00412866"/>
    <w:rsid w:val="00413B72"/>
    <w:rsid w:val="00413EF3"/>
    <w:rsid w:val="00414A1E"/>
    <w:rsid w:val="00415896"/>
    <w:rsid w:val="00417239"/>
    <w:rsid w:val="00417A5C"/>
    <w:rsid w:val="00420420"/>
    <w:rsid w:val="004204B7"/>
    <w:rsid w:val="004208D2"/>
    <w:rsid w:val="0042232A"/>
    <w:rsid w:val="00424105"/>
    <w:rsid w:val="00425433"/>
    <w:rsid w:val="00425A09"/>
    <w:rsid w:val="00425B45"/>
    <w:rsid w:val="00425E88"/>
    <w:rsid w:val="004265BB"/>
    <w:rsid w:val="00426731"/>
    <w:rsid w:val="00426BC6"/>
    <w:rsid w:val="00430078"/>
    <w:rsid w:val="00430706"/>
    <w:rsid w:val="00431FB0"/>
    <w:rsid w:val="00432503"/>
    <w:rsid w:val="00432987"/>
    <w:rsid w:val="0043353C"/>
    <w:rsid w:val="00433641"/>
    <w:rsid w:val="00434BAB"/>
    <w:rsid w:val="0043513E"/>
    <w:rsid w:val="004355D7"/>
    <w:rsid w:val="0043602E"/>
    <w:rsid w:val="0043643E"/>
    <w:rsid w:val="0043782D"/>
    <w:rsid w:val="00437ABB"/>
    <w:rsid w:val="00440218"/>
    <w:rsid w:val="00442160"/>
    <w:rsid w:val="00443448"/>
    <w:rsid w:val="004434CC"/>
    <w:rsid w:val="00443751"/>
    <w:rsid w:val="00443820"/>
    <w:rsid w:val="00445907"/>
    <w:rsid w:val="00445CB7"/>
    <w:rsid w:val="00446447"/>
    <w:rsid w:val="0044687F"/>
    <w:rsid w:val="00446CC3"/>
    <w:rsid w:val="004470AD"/>
    <w:rsid w:val="0044745A"/>
    <w:rsid w:val="00447FBA"/>
    <w:rsid w:val="00450065"/>
    <w:rsid w:val="00451764"/>
    <w:rsid w:val="00451956"/>
    <w:rsid w:val="004519C9"/>
    <w:rsid w:val="00452179"/>
    <w:rsid w:val="0045225A"/>
    <w:rsid w:val="004522FE"/>
    <w:rsid w:val="00452C31"/>
    <w:rsid w:val="00452CF8"/>
    <w:rsid w:val="00453B71"/>
    <w:rsid w:val="004540A2"/>
    <w:rsid w:val="00454159"/>
    <w:rsid w:val="0045489D"/>
    <w:rsid w:val="00455B44"/>
    <w:rsid w:val="00456A6F"/>
    <w:rsid w:val="00456D2F"/>
    <w:rsid w:val="0045729B"/>
    <w:rsid w:val="00457567"/>
    <w:rsid w:val="00460375"/>
    <w:rsid w:val="00460A67"/>
    <w:rsid w:val="004627D9"/>
    <w:rsid w:val="00462A14"/>
    <w:rsid w:val="00462DF6"/>
    <w:rsid w:val="004634D2"/>
    <w:rsid w:val="0046394B"/>
    <w:rsid w:val="00463E07"/>
    <w:rsid w:val="00463E5A"/>
    <w:rsid w:val="00464038"/>
    <w:rsid w:val="00465E4B"/>
    <w:rsid w:val="004660BF"/>
    <w:rsid w:val="0047261D"/>
    <w:rsid w:val="00472F15"/>
    <w:rsid w:val="004740DC"/>
    <w:rsid w:val="004744A1"/>
    <w:rsid w:val="00474A4F"/>
    <w:rsid w:val="00474CD0"/>
    <w:rsid w:val="00475A2A"/>
    <w:rsid w:val="0048070B"/>
    <w:rsid w:val="00480F22"/>
    <w:rsid w:val="0048118D"/>
    <w:rsid w:val="00483800"/>
    <w:rsid w:val="004845ED"/>
    <w:rsid w:val="00484FCB"/>
    <w:rsid w:val="0048543C"/>
    <w:rsid w:val="0048665E"/>
    <w:rsid w:val="0048712B"/>
    <w:rsid w:val="00490CBC"/>
    <w:rsid w:val="0049148C"/>
    <w:rsid w:val="004915D1"/>
    <w:rsid w:val="00491F71"/>
    <w:rsid w:val="00492194"/>
    <w:rsid w:val="00492D6F"/>
    <w:rsid w:val="00493430"/>
    <w:rsid w:val="004934E5"/>
    <w:rsid w:val="004937F6"/>
    <w:rsid w:val="00494B37"/>
    <w:rsid w:val="00495683"/>
    <w:rsid w:val="004A0DF5"/>
    <w:rsid w:val="004A21BC"/>
    <w:rsid w:val="004A3915"/>
    <w:rsid w:val="004A57D5"/>
    <w:rsid w:val="004A6C98"/>
    <w:rsid w:val="004B010E"/>
    <w:rsid w:val="004B0FC5"/>
    <w:rsid w:val="004B113D"/>
    <w:rsid w:val="004B1166"/>
    <w:rsid w:val="004B20AF"/>
    <w:rsid w:val="004B2485"/>
    <w:rsid w:val="004B4469"/>
    <w:rsid w:val="004B6FC5"/>
    <w:rsid w:val="004B7071"/>
    <w:rsid w:val="004B74BE"/>
    <w:rsid w:val="004B75E8"/>
    <w:rsid w:val="004C0BCE"/>
    <w:rsid w:val="004C0F0F"/>
    <w:rsid w:val="004C1D02"/>
    <w:rsid w:val="004C2477"/>
    <w:rsid w:val="004C3B88"/>
    <w:rsid w:val="004C40C7"/>
    <w:rsid w:val="004C44DA"/>
    <w:rsid w:val="004C4B51"/>
    <w:rsid w:val="004D03EE"/>
    <w:rsid w:val="004D0527"/>
    <w:rsid w:val="004D12BB"/>
    <w:rsid w:val="004D131D"/>
    <w:rsid w:val="004D1E9A"/>
    <w:rsid w:val="004D1EDC"/>
    <w:rsid w:val="004D2C56"/>
    <w:rsid w:val="004D309C"/>
    <w:rsid w:val="004D3829"/>
    <w:rsid w:val="004D3C90"/>
    <w:rsid w:val="004D419E"/>
    <w:rsid w:val="004D5747"/>
    <w:rsid w:val="004D582E"/>
    <w:rsid w:val="004D5DEA"/>
    <w:rsid w:val="004D7606"/>
    <w:rsid w:val="004D7736"/>
    <w:rsid w:val="004D7A46"/>
    <w:rsid w:val="004D7BCF"/>
    <w:rsid w:val="004D7F3B"/>
    <w:rsid w:val="004E05C8"/>
    <w:rsid w:val="004E195B"/>
    <w:rsid w:val="004E1F71"/>
    <w:rsid w:val="004E299B"/>
    <w:rsid w:val="004E4774"/>
    <w:rsid w:val="004E5225"/>
    <w:rsid w:val="004E5793"/>
    <w:rsid w:val="004E5DDD"/>
    <w:rsid w:val="004E74A2"/>
    <w:rsid w:val="004E7931"/>
    <w:rsid w:val="004F109E"/>
    <w:rsid w:val="004F1B5A"/>
    <w:rsid w:val="004F2D93"/>
    <w:rsid w:val="004F33EA"/>
    <w:rsid w:val="004F3BB1"/>
    <w:rsid w:val="004F3D91"/>
    <w:rsid w:val="004F406A"/>
    <w:rsid w:val="004F41FC"/>
    <w:rsid w:val="004F438A"/>
    <w:rsid w:val="004F4DFD"/>
    <w:rsid w:val="004F5C10"/>
    <w:rsid w:val="004F6FE9"/>
    <w:rsid w:val="005009FE"/>
    <w:rsid w:val="005015AD"/>
    <w:rsid w:val="005029F9"/>
    <w:rsid w:val="005035AC"/>
    <w:rsid w:val="00504338"/>
    <w:rsid w:val="005043C9"/>
    <w:rsid w:val="00504A23"/>
    <w:rsid w:val="00504AF1"/>
    <w:rsid w:val="00505052"/>
    <w:rsid w:val="00505CEA"/>
    <w:rsid w:val="00506131"/>
    <w:rsid w:val="00507669"/>
    <w:rsid w:val="005104DD"/>
    <w:rsid w:val="00511956"/>
    <w:rsid w:val="00512D07"/>
    <w:rsid w:val="00512F92"/>
    <w:rsid w:val="0051316B"/>
    <w:rsid w:val="00513C91"/>
    <w:rsid w:val="0051456A"/>
    <w:rsid w:val="00514B4E"/>
    <w:rsid w:val="005168DC"/>
    <w:rsid w:val="005179A8"/>
    <w:rsid w:val="00520AA2"/>
    <w:rsid w:val="005214E3"/>
    <w:rsid w:val="00521EE1"/>
    <w:rsid w:val="00522468"/>
    <w:rsid w:val="0052340B"/>
    <w:rsid w:val="0052356F"/>
    <w:rsid w:val="00525886"/>
    <w:rsid w:val="00525AA1"/>
    <w:rsid w:val="00525E02"/>
    <w:rsid w:val="00526308"/>
    <w:rsid w:val="005267DF"/>
    <w:rsid w:val="00526AB7"/>
    <w:rsid w:val="00527125"/>
    <w:rsid w:val="00530000"/>
    <w:rsid w:val="005305AF"/>
    <w:rsid w:val="005309D1"/>
    <w:rsid w:val="00532A41"/>
    <w:rsid w:val="00532AFF"/>
    <w:rsid w:val="00533070"/>
    <w:rsid w:val="005330F7"/>
    <w:rsid w:val="00533A57"/>
    <w:rsid w:val="00534589"/>
    <w:rsid w:val="00536069"/>
    <w:rsid w:val="00537668"/>
    <w:rsid w:val="00537D06"/>
    <w:rsid w:val="00540449"/>
    <w:rsid w:val="00540623"/>
    <w:rsid w:val="00540C89"/>
    <w:rsid w:val="005414F7"/>
    <w:rsid w:val="00541D9E"/>
    <w:rsid w:val="0054255D"/>
    <w:rsid w:val="0054456C"/>
    <w:rsid w:val="00544B5A"/>
    <w:rsid w:val="00544DB5"/>
    <w:rsid w:val="005452E2"/>
    <w:rsid w:val="0054555B"/>
    <w:rsid w:val="005462D7"/>
    <w:rsid w:val="0054689E"/>
    <w:rsid w:val="0054696B"/>
    <w:rsid w:val="00547439"/>
    <w:rsid w:val="005474F3"/>
    <w:rsid w:val="00547E28"/>
    <w:rsid w:val="00547FCD"/>
    <w:rsid w:val="00550467"/>
    <w:rsid w:val="00551219"/>
    <w:rsid w:val="005513C9"/>
    <w:rsid w:val="00552ED9"/>
    <w:rsid w:val="005530D1"/>
    <w:rsid w:val="0055383A"/>
    <w:rsid w:val="00554255"/>
    <w:rsid w:val="00554CA2"/>
    <w:rsid w:val="005551C0"/>
    <w:rsid w:val="00555E59"/>
    <w:rsid w:val="005560B0"/>
    <w:rsid w:val="00556FB8"/>
    <w:rsid w:val="00557471"/>
    <w:rsid w:val="0055749A"/>
    <w:rsid w:val="00557D5E"/>
    <w:rsid w:val="0056026D"/>
    <w:rsid w:val="00561438"/>
    <w:rsid w:val="00562348"/>
    <w:rsid w:val="00562A3C"/>
    <w:rsid w:val="00563598"/>
    <w:rsid w:val="005638C2"/>
    <w:rsid w:val="00565814"/>
    <w:rsid w:val="00565D24"/>
    <w:rsid w:val="00566ABE"/>
    <w:rsid w:val="005670A9"/>
    <w:rsid w:val="00567BC2"/>
    <w:rsid w:val="00570435"/>
    <w:rsid w:val="005706F3"/>
    <w:rsid w:val="005706F5"/>
    <w:rsid w:val="00571AE1"/>
    <w:rsid w:val="00571E6C"/>
    <w:rsid w:val="0057247D"/>
    <w:rsid w:val="005728BC"/>
    <w:rsid w:val="00572C72"/>
    <w:rsid w:val="00573C6D"/>
    <w:rsid w:val="00573F94"/>
    <w:rsid w:val="00574484"/>
    <w:rsid w:val="00574F0F"/>
    <w:rsid w:val="005755E2"/>
    <w:rsid w:val="00575A8A"/>
    <w:rsid w:val="00575B36"/>
    <w:rsid w:val="00575C21"/>
    <w:rsid w:val="005778DA"/>
    <w:rsid w:val="00577DD0"/>
    <w:rsid w:val="00577F20"/>
    <w:rsid w:val="00581F1D"/>
    <w:rsid w:val="00581FEF"/>
    <w:rsid w:val="00583374"/>
    <w:rsid w:val="00584F45"/>
    <w:rsid w:val="00585182"/>
    <w:rsid w:val="005851F2"/>
    <w:rsid w:val="0058568C"/>
    <w:rsid w:val="005859B5"/>
    <w:rsid w:val="005865BF"/>
    <w:rsid w:val="00586BAD"/>
    <w:rsid w:val="00591632"/>
    <w:rsid w:val="00592284"/>
    <w:rsid w:val="00593A41"/>
    <w:rsid w:val="00593D80"/>
    <w:rsid w:val="0059448A"/>
    <w:rsid w:val="005950B7"/>
    <w:rsid w:val="00595372"/>
    <w:rsid w:val="00597232"/>
    <w:rsid w:val="00597CA0"/>
    <w:rsid w:val="005A0474"/>
    <w:rsid w:val="005A0BE6"/>
    <w:rsid w:val="005A0EB6"/>
    <w:rsid w:val="005A124C"/>
    <w:rsid w:val="005A1704"/>
    <w:rsid w:val="005A1883"/>
    <w:rsid w:val="005A1C26"/>
    <w:rsid w:val="005A1DFA"/>
    <w:rsid w:val="005A251E"/>
    <w:rsid w:val="005A2573"/>
    <w:rsid w:val="005A2951"/>
    <w:rsid w:val="005A3801"/>
    <w:rsid w:val="005A3E04"/>
    <w:rsid w:val="005A4973"/>
    <w:rsid w:val="005A4BD9"/>
    <w:rsid w:val="005A4CC2"/>
    <w:rsid w:val="005A54CA"/>
    <w:rsid w:val="005A62F2"/>
    <w:rsid w:val="005A6497"/>
    <w:rsid w:val="005A6AA2"/>
    <w:rsid w:val="005A723E"/>
    <w:rsid w:val="005A7782"/>
    <w:rsid w:val="005B075A"/>
    <w:rsid w:val="005B0DD4"/>
    <w:rsid w:val="005B17D3"/>
    <w:rsid w:val="005B2045"/>
    <w:rsid w:val="005B2528"/>
    <w:rsid w:val="005B3003"/>
    <w:rsid w:val="005B3B99"/>
    <w:rsid w:val="005B419A"/>
    <w:rsid w:val="005B4BFD"/>
    <w:rsid w:val="005B57A3"/>
    <w:rsid w:val="005B5815"/>
    <w:rsid w:val="005B5B46"/>
    <w:rsid w:val="005B6406"/>
    <w:rsid w:val="005B68B3"/>
    <w:rsid w:val="005B72F4"/>
    <w:rsid w:val="005B77B9"/>
    <w:rsid w:val="005B7BFF"/>
    <w:rsid w:val="005C006B"/>
    <w:rsid w:val="005C182B"/>
    <w:rsid w:val="005C18E1"/>
    <w:rsid w:val="005C1E35"/>
    <w:rsid w:val="005C200E"/>
    <w:rsid w:val="005C283A"/>
    <w:rsid w:val="005C2D15"/>
    <w:rsid w:val="005C3711"/>
    <w:rsid w:val="005C40FF"/>
    <w:rsid w:val="005C4233"/>
    <w:rsid w:val="005C42E3"/>
    <w:rsid w:val="005C5075"/>
    <w:rsid w:val="005C53B1"/>
    <w:rsid w:val="005C570B"/>
    <w:rsid w:val="005C6784"/>
    <w:rsid w:val="005D0BFA"/>
    <w:rsid w:val="005D0EAB"/>
    <w:rsid w:val="005D0FD9"/>
    <w:rsid w:val="005D13E1"/>
    <w:rsid w:val="005D1D51"/>
    <w:rsid w:val="005D1DAA"/>
    <w:rsid w:val="005D2258"/>
    <w:rsid w:val="005D23EA"/>
    <w:rsid w:val="005D3326"/>
    <w:rsid w:val="005D345E"/>
    <w:rsid w:val="005D488F"/>
    <w:rsid w:val="005D4E11"/>
    <w:rsid w:val="005D5AB5"/>
    <w:rsid w:val="005D5BEC"/>
    <w:rsid w:val="005D6AC0"/>
    <w:rsid w:val="005D7F62"/>
    <w:rsid w:val="005E1032"/>
    <w:rsid w:val="005E17D7"/>
    <w:rsid w:val="005E1DAD"/>
    <w:rsid w:val="005E1F08"/>
    <w:rsid w:val="005E354B"/>
    <w:rsid w:val="005E35DF"/>
    <w:rsid w:val="005E56DD"/>
    <w:rsid w:val="005E5A53"/>
    <w:rsid w:val="005E5EA5"/>
    <w:rsid w:val="005E6F65"/>
    <w:rsid w:val="005E74EE"/>
    <w:rsid w:val="005E77F3"/>
    <w:rsid w:val="005E7800"/>
    <w:rsid w:val="005F0808"/>
    <w:rsid w:val="005F1F45"/>
    <w:rsid w:val="005F2360"/>
    <w:rsid w:val="005F26E0"/>
    <w:rsid w:val="005F2B17"/>
    <w:rsid w:val="005F2B85"/>
    <w:rsid w:val="005F31EC"/>
    <w:rsid w:val="005F38D3"/>
    <w:rsid w:val="005F39AE"/>
    <w:rsid w:val="005F4B08"/>
    <w:rsid w:val="005F530B"/>
    <w:rsid w:val="005F5B05"/>
    <w:rsid w:val="005F6F0F"/>
    <w:rsid w:val="005F7306"/>
    <w:rsid w:val="005F7E9E"/>
    <w:rsid w:val="006000DD"/>
    <w:rsid w:val="00600218"/>
    <w:rsid w:val="006005F8"/>
    <w:rsid w:val="006006C3"/>
    <w:rsid w:val="0060096B"/>
    <w:rsid w:val="00600A15"/>
    <w:rsid w:val="00600B90"/>
    <w:rsid w:val="0060124A"/>
    <w:rsid w:val="006018D4"/>
    <w:rsid w:val="00602E98"/>
    <w:rsid w:val="006033DA"/>
    <w:rsid w:val="0060353D"/>
    <w:rsid w:val="006054D8"/>
    <w:rsid w:val="006057F7"/>
    <w:rsid w:val="00605A70"/>
    <w:rsid w:val="006067A8"/>
    <w:rsid w:val="006071CB"/>
    <w:rsid w:val="006100C4"/>
    <w:rsid w:val="00610A17"/>
    <w:rsid w:val="00611630"/>
    <w:rsid w:val="00611FC1"/>
    <w:rsid w:val="00612463"/>
    <w:rsid w:val="006125E9"/>
    <w:rsid w:val="006128C5"/>
    <w:rsid w:val="00612B57"/>
    <w:rsid w:val="006136F1"/>
    <w:rsid w:val="00613C48"/>
    <w:rsid w:val="00613FB6"/>
    <w:rsid w:val="00615E82"/>
    <w:rsid w:val="0061633A"/>
    <w:rsid w:val="00616BD7"/>
    <w:rsid w:val="00617CE4"/>
    <w:rsid w:val="006212AD"/>
    <w:rsid w:val="00621895"/>
    <w:rsid w:val="0062253C"/>
    <w:rsid w:val="006242FA"/>
    <w:rsid w:val="00624FB9"/>
    <w:rsid w:val="006256BD"/>
    <w:rsid w:val="00626209"/>
    <w:rsid w:val="00626519"/>
    <w:rsid w:val="00626DC5"/>
    <w:rsid w:val="006270B0"/>
    <w:rsid w:val="006301D0"/>
    <w:rsid w:val="0063026B"/>
    <w:rsid w:val="00631BB0"/>
    <w:rsid w:val="00632188"/>
    <w:rsid w:val="0063464C"/>
    <w:rsid w:val="00634911"/>
    <w:rsid w:val="006352AA"/>
    <w:rsid w:val="00635587"/>
    <w:rsid w:val="006356BD"/>
    <w:rsid w:val="00636111"/>
    <w:rsid w:val="0063785C"/>
    <w:rsid w:val="006414C2"/>
    <w:rsid w:val="00643BE0"/>
    <w:rsid w:val="006445BF"/>
    <w:rsid w:val="006454E2"/>
    <w:rsid w:val="00646050"/>
    <w:rsid w:val="00652364"/>
    <w:rsid w:val="006525BE"/>
    <w:rsid w:val="00653C69"/>
    <w:rsid w:val="00653EC6"/>
    <w:rsid w:val="00654770"/>
    <w:rsid w:val="00654B62"/>
    <w:rsid w:val="006551C2"/>
    <w:rsid w:val="0065545A"/>
    <w:rsid w:val="00655466"/>
    <w:rsid w:val="006566E2"/>
    <w:rsid w:val="00656F39"/>
    <w:rsid w:val="006570E3"/>
    <w:rsid w:val="0065715A"/>
    <w:rsid w:val="0065793B"/>
    <w:rsid w:val="00660219"/>
    <w:rsid w:val="00660372"/>
    <w:rsid w:val="006603C2"/>
    <w:rsid w:val="0066048D"/>
    <w:rsid w:val="0066056E"/>
    <w:rsid w:val="00660A58"/>
    <w:rsid w:val="00661875"/>
    <w:rsid w:val="00661C36"/>
    <w:rsid w:val="0066246B"/>
    <w:rsid w:val="006624D6"/>
    <w:rsid w:val="006638C1"/>
    <w:rsid w:val="00665585"/>
    <w:rsid w:val="00665600"/>
    <w:rsid w:val="00665975"/>
    <w:rsid w:val="00666B5D"/>
    <w:rsid w:val="00666CC0"/>
    <w:rsid w:val="0067001F"/>
    <w:rsid w:val="00670235"/>
    <w:rsid w:val="006706AA"/>
    <w:rsid w:val="0067179B"/>
    <w:rsid w:val="00672525"/>
    <w:rsid w:val="006742D7"/>
    <w:rsid w:val="00675217"/>
    <w:rsid w:val="00675386"/>
    <w:rsid w:val="006754F1"/>
    <w:rsid w:val="00676A36"/>
    <w:rsid w:val="00676BBD"/>
    <w:rsid w:val="006778B2"/>
    <w:rsid w:val="0068097D"/>
    <w:rsid w:val="0068148F"/>
    <w:rsid w:val="00681B6C"/>
    <w:rsid w:val="006825F0"/>
    <w:rsid w:val="00682ECA"/>
    <w:rsid w:val="00683C9F"/>
    <w:rsid w:val="006850F7"/>
    <w:rsid w:val="00685C10"/>
    <w:rsid w:val="00690442"/>
    <w:rsid w:val="00690FAE"/>
    <w:rsid w:val="00692C3D"/>
    <w:rsid w:val="006950E0"/>
    <w:rsid w:val="00695AAD"/>
    <w:rsid w:val="00696257"/>
    <w:rsid w:val="006969E7"/>
    <w:rsid w:val="00696F05"/>
    <w:rsid w:val="0069735F"/>
    <w:rsid w:val="00697510"/>
    <w:rsid w:val="006976AA"/>
    <w:rsid w:val="0069797E"/>
    <w:rsid w:val="00697998"/>
    <w:rsid w:val="00697F0D"/>
    <w:rsid w:val="006A0651"/>
    <w:rsid w:val="006A0F38"/>
    <w:rsid w:val="006A10D3"/>
    <w:rsid w:val="006A137E"/>
    <w:rsid w:val="006A14BC"/>
    <w:rsid w:val="006A1B57"/>
    <w:rsid w:val="006A25EE"/>
    <w:rsid w:val="006A2CD9"/>
    <w:rsid w:val="006A30C2"/>
    <w:rsid w:val="006A32BF"/>
    <w:rsid w:val="006A4287"/>
    <w:rsid w:val="006A5ACE"/>
    <w:rsid w:val="006A5CF0"/>
    <w:rsid w:val="006A5EA8"/>
    <w:rsid w:val="006A73AF"/>
    <w:rsid w:val="006B0B4A"/>
    <w:rsid w:val="006B1197"/>
    <w:rsid w:val="006B162F"/>
    <w:rsid w:val="006B1A68"/>
    <w:rsid w:val="006B2F75"/>
    <w:rsid w:val="006B4049"/>
    <w:rsid w:val="006B40A4"/>
    <w:rsid w:val="006B4A27"/>
    <w:rsid w:val="006B5A15"/>
    <w:rsid w:val="006B60BC"/>
    <w:rsid w:val="006B68FD"/>
    <w:rsid w:val="006B75FA"/>
    <w:rsid w:val="006B7815"/>
    <w:rsid w:val="006C0EC4"/>
    <w:rsid w:val="006C130B"/>
    <w:rsid w:val="006C16B5"/>
    <w:rsid w:val="006C23AE"/>
    <w:rsid w:val="006C2675"/>
    <w:rsid w:val="006C26A5"/>
    <w:rsid w:val="006C2794"/>
    <w:rsid w:val="006C375D"/>
    <w:rsid w:val="006C4352"/>
    <w:rsid w:val="006C4636"/>
    <w:rsid w:val="006C5413"/>
    <w:rsid w:val="006C5998"/>
    <w:rsid w:val="006C7112"/>
    <w:rsid w:val="006C73E0"/>
    <w:rsid w:val="006C754B"/>
    <w:rsid w:val="006C7AA2"/>
    <w:rsid w:val="006D0A44"/>
    <w:rsid w:val="006D0F6F"/>
    <w:rsid w:val="006D16B0"/>
    <w:rsid w:val="006D1E49"/>
    <w:rsid w:val="006D20F4"/>
    <w:rsid w:val="006D2477"/>
    <w:rsid w:val="006D3231"/>
    <w:rsid w:val="006D4144"/>
    <w:rsid w:val="006D53FD"/>
    <w:rsid w:val="006D55C0"/>
    <w:rsid w:val="006D5B9C"/>
    <w:rsid w:val="006D5D57"/>
    <w:rsid w:val="006D5F6B"/>
    <w:rsid w:val="006D66B3"/>
    <w:rsid w:val="006D6FE3"/>
    <w:rsid w:val="006D72E1"/>
    <w:rsid w:val="006E0580"/>
    <w:rsid w:val="006E0CEF"/>
    <w:rsid w:val="006E0FF0"/>
    <w:rsid w:val="006E167C"/>
    <w:rsid w:val="006E192D"/>
    <w:rsid w:val="006E1B5F"/>
    <w:rsid w:val="006E2F9D"/>
    <w:rsid w:val="006E4D4C"/>
    <w:rsid w:val="006E4F41"/>
    <w:rsid w:val="006E5314"/>
    <w:rsid w:val="006E57BA"/>
    <w:rsid w:val="006E5EA3"/>
    <w:rsid w:val="006E779D"/>
    <w:rsid w:val="006F05FE"/>
    <w:rsid w:val="006F1FE5"/>
    <w:rsid w:val="006F38D7"/>
    <w:rsid w:val="006F40E4"/>
    <w:rsid w:val="006F436C"/>
    <w:rsid w:val="006F45EB"/>
    <w:rsid w:val="006F5169"/>
    <w:rsid w:val="006F7CCE"/>
    <w:rsid w:val="0070029C"/>
    <w:rsid w:val="007003AA"/>
    <w:rsid w:val="00700824"/>
    <w:rsid w:val="00700E4F"/>
    <w:rsid w:val="0070129F"/>
    <w:rsid w:val="007017F4"/>
    <w:rsid w:val="00701833"/>
    <w:rsid w:val="007039B8"/>
    <w:rsid w:val="00703A91"/>
    <w:rsid w:val="00703DE3"/>
    <w:rsid w:val="00704731"/>
    <w:rsid w:val="00705D5C"/>
    <w:rsid w:val="00707D2E"/>
    <w:rsid w:val="00707F50"/>
    <w:rsid w:val="00710544"/>
    <w:rsid w:val="00711A29"/>
    <w:rsid w:val="00711B87"/>
    <w:rsid w:val="00711E2A"/>
    <w:rsid w:val="00711E76"/>
    <w:rsid w:val="007128B9"/>
    <w:rsid w:val="0071299B"/>
    <w:rsid w:val="00712E09"/>
    <w:rsid w:val="0071314F"/>
    <w:rsid w:val="00713501"/>
    <w:rsid w:val="00713B8E"/>
    <w:rsid w:val="00715C15"/>
    <w:rsid w:val="00716051"/>
    <w:rsid w:val="00716E2B"/>
    <w:rsid w:val="00716ED1"/>
    <w:rsid w:val="00717464"/>
    <w:rsid w:val="007211A0"/>
    <w:rsid w:val="007216F4"/>
    <w:rsid w:val="0072199F"/>
    <w:rsid w:val="00722016"/>
    <w:rsid w:val="00722559"/>
    <w:rsid w:val="007225FB"/>
    <w:rsid w:val="00722A3D"/>
    <w:rsid w:val="00722AE9"/>
    <w:rsid w:val="00722E65"/>
    <w:rsid w:val="00724344"/>
    <w:rsid w:val="0072483D"/>
    <w:rsid w:val="00724D31"/>
    <w:rsid w:val="00724DDE"/>
    <w:rsid w:val="007255C1"/>
    <w:rsid w:val="00725A05"/>
    <w:rsid w:val="007267AD"/>
    <w:rsid w:val="00726F94"/>
    <w:rsid w:val="007277EA"/>
    <w:rsid w:val="00730025"/>
    <w:rsid w:val="0073168A"/>
    <w:rsid w:val="00731E09"/>
    <w:rsid w:val="007329BD"/>
    <w:rsid w:val="00732F89"/>
    <w:rsid w:val="0073325B"/>
    <w:rsid w:val="00733CCE"/>
    <w:rsid w:val="00734DCD"/>
    <w:rsid w:val="00735643"/>
    <w:rsid w:val="0073656A"/>
    <w:rsid w:val="007378DA"/>
    <w:rsid w:val="0074071F"/>
    <w:rsid w:val="0074110A"/>
    <w:rsid w:val="00741533"/>
    <w:rsid w:val="00741A3E"/>
    <w:rsid w:val="0074301D"/>
    <w:rsid w:val="007433AD"/>
    <w:rsid w:val="007436A3"/>
    <w:rsid w:val="0074432A"/>
    <w:rsid w:val="00745272"/>
    <w:rsid w:val="0074598F"/>
    <w:rsid w:val="0074634C"/>
    <w:rsid w:val="00746363"/>
    <w:rsid w:val="00746D3E"/>
    <w:rsid w:val="007509A8"/>
    <w:rsid w:val="00750AAD"/>
    <w:rsid w:val="00751EA7"/>
    <w:rsid w:val="00751FF0"/>
    <w:rsid w:val="00752577"/>
    <w:rsid w:val="00753165"/>
    <w:rsid w:val="00753D8E"/>
    <w:rsid w:val="007545DE"/>
    <w:rsid w:val="007546B3"/>
    <w:rsid w:val="00755340"/>
    <w:rsid w:val="00755507"/>
    <w:rsid w:val="00756442"/>
    <w:rsid w:val="00756748"/>
    <w:rsid w:val="00756BA4"/>
    <w:rsid w:val="007572E4"/>
    <w:rsid w:val="00757481"/>
    <w:rsid w:val="007574AF"/>
    <w:rsid w:val="00760645"/>
    <w:rsid w:val="00760F4C"/>
    <w:rsid w:val="00761406"/>
    <w:rsid w:val="00761481"/>
    <w:rsid w:val="00761BF8"/>
    <w:rsid w:val="007623F5"/>
    <w:rsid w:val="00762C59"/>
    <w:rsid w:val="00763249"/>
    <w:rsid w:val="00763745"/>
    <w:rsid w:val="00764DBC"/>
    <w:rsid w:val="00764DBE"/>
    <w:rsid w:val="007651D9"/>
    <w:rsid w:val="007658C0"/>
    <w:rsid w:val="00766185"/>
    <w:rsid w:val="00766B17"/>
    <w:rsid w:val="00770AB3"/>
    <w:rsid w:val="00775DAF"/>
    <w:rsid w:val="007763FC"/>
    <w:rsid w:val="007765A7"/>
    <w:rsid w:val="00777B9C"/>
    <w:rsid w:val="007801A4"/>
    <w:rsid w:val="00780C1A"/>
    <w:rsid w:val="007845E5"/>
    <w:rsid w:val="00784917"/>
    <w:rsid w:val="00786115"/>
    <w:rsid w:val="00786C62"/>
    <w:rsid w:val="00787BA2"/>
    <w:rsid w:val="007902CE"/>
    <w:rsid w:val="00791B4E"/>
    <w:rsid w:val="00792313"/>
    <w:rsid w:val="0079291B"/>
    <w:rsid w:val="00792FB3"/>
    <w:rsid w:val="00793043"/>
    <w:rsid w:val="00793C09"/>
    <w:rsid w:val="00793CDF"/>
    <w:rsid w:val="00795117"/>
    <w:rsid w:val="007951AC"/>
    <w:rsid w:val="007957EE"/>
    <w:rsid w:val="00795B5F"/>
    <w:rsid w:val="00795B9A"/>
    <w:rsid w:val="007964F9"/>
    <w:rsid w:val="00797982"/>
    <w:rsid w:val="007A0344"/>
    <w:rsid w:val="007A14FA"/>
    <w:rsid w:val="007A27C6"/>
    <w:rsid w:val="007A2F3C"/>
    <w:rsid w:val="007A375D"/>
    <w:rsid w:val="007A3F7D"/>
    <w:rsid w:val="007A4D5D"/>
    <w:rsid w:val="007A509D"/>
    <w:rsid w:val="007A5939"/>
    <w:rsid w:val="007A6228"/>
    <w:rsid w:val="007B0E5F"/>
    <w:rsid w:val="007B152A"/>
    <w:rsid w:val="007B1E13"/>
    <w:rsid w:val="007B249B"/>
    <w:rsid w:val="007B2989"/>
    <w:rsid w:val="007B2998"/>
    <w:rsid w:val="007B2C96"/>
    <w:rsid w:val="007B425C"/>
    <w:rsid w:val="007B4B8E"/>
    <w:rsid w:val="007B5055"/>
    <w:rsid w:val="007B597D"/>
    <w:rsid w:val="007B59C9"/>
    <w:rsid w:val="007B59CF"/>
    <w:rsid w:val="007B5CED"/>
    <w:rsid w:val="007B5E2B"/>
    <w:rsid w:val="007B64F1"/>
    <w:rsid w:val="007B6D51"/>
    <w:rsid w:val="007B6E92"/>
    <w:rsid w:val="007B6FB1"/>
    <w:rsid w:val="007B7089"/>
    <w:rsid w:val="007B72AD"/>
    <w:rsid w:val="007B74EF"/>
    <w:rsid w:val="007B7629"/>
    <w:rsid w:val="007B7CAB"/>
    <w:rsid w:val="007B7D9F"/>
    <w:rsid w:val="007C024D"/>
    <w:rsid w:val="007C0889"/>
    <w:rsid w:val="007C1024"/>
    <w:rsid w:val="007C112E"/>
    <w:rsid w:val="007C203E"/>
    <w:rsid w:val="007C3524"/>
    <w:rsid w:val="007C4D03"/>
    <w:rsid w:val="007C5536"/>
    <w:rsid w:val="007C55FA"/>
    <w:rsid w:val="007C565C"/>
    <w:rsid w:val="007C6267"/>
    <w:rsid w:val="007C666D"/>
    <w:rsid w:val="007C6C95"/>
    <w:rsid w:val="007C7454"/>
    <w:rsid w:val="007D10D9"/>
    <w:rsid w:val="007D2261"/>
    <w:rsid w:val="007D2873"/>
    <w:rsid w:val="007D31F4"/>
    <w:rsid w:val="007D331D"/>
    <w:rsid w:val="007D358F"/>
    <w:rsid w:val="007D5238"/>
    <w:rsid w:val="007D5864"/>
    <w:rsid w:val="007D598A"/>
    <w:rsid w:val="007D77D9"/>
    <w:rsid w:val="007E1751"/>
    <w:rsid w:val="007E208B"/>
    <w:rsid w:val="007E2B3E"/>
    <w:rsid w:val="007E2F77"/>
    <w:rsid w:val="007E3376"/>
    <w:rsid w:val="007E3704"/>
    <w:rsid w:val="007E391F"/>
    <w:rsid w:val="007E39BC"/>
    <w:rsid w:val="007E47BF"/>
    <w:rsid w:val="007E491E"/>
    <w:rsid w:val="007E4C1C"/>
    <w:rsid w:val="007E4F8A"/>
    <w:rsid w:val="007E5865"/>
    <w:rsid w:val="007E595E"/>
    <w:rsid w:val="007E5A81"/>
    <w:rsid w:val="007E5E3D"/>
    <w:rsid w:val="007E641E"/>
    <w:rsid w:val="007E77AE"/>
    <w:rsid w:val="007E7AD0"/>
    <w:rsid w:val="007F0113"/>
    <w:rsid w:val="007F03C3"/>
    <w:rsid w:val="007F06FC"/>
    <w:rsid w:val="007F0EFB"/>
    <w:rsid w:val="007F0FA5"/>
    <w:rsid w:val="007F1277"/>
    <w:rsid w:val="007F13A6"/>
    <w:rsid w:val="007F16AB"/>
    <w:rsid w:val="007F1CAC"/>
    <w:rsid w:val="007F1E6A"/>
    <w:rsid w:val="007F201C"/>
    <w:rsid w:val="007F3C57"/>
    <w:rsid w:val="007F3E86"/>
    <w:rsid w:val="007F426A"/>
    <w:rsid w:val="007F4AF8"/>
    <w:rsid w:val="007F528C"/>
    <w:rsid w:val="007F56FA"/>
    <w:rsid w:val="007F609A"/>
    <w:rsid w:val="007F7266"/>
    <w:rsid w:val="007F753C"/>
    <w:rsid w:val="008000B5"/>
    <w:rsid w:val="0080025C"/>
    <w:rsid w:val="00800826"/>
    <w:rsid w:val="00800ED8"/>
    <w:rsid w:val="00801F92"/>
    <w:rsid w:val="0080200A"/>
    <w:rsid w:val="00802A0C"/>
    <w:rsid w:val="008038B5"/>
    <w:rsid w:val="00803CE1"/>
    <w:rsid w:val="0080435F"/>
    <w:rsid w:val="00804967"/>
    <w:rsid w:val="00804ADE"/>
    <w:rsid w:val="00804B5F"/>
    <w:rsid w:val="00805386"/>
    <w:rsid w:val="00805EBE"/>
    <w:rsid w:val="0080629B"/>
    <w:rsid w:val="00806431"/>
    <w:rsid w:val="00806E5F"/>
    <w:rsid w:val="008107D9"/>
    <w:rsid w:val="00810AE8"/>
    <w:rsid w:val="00811C0E"/>
    <w:rsid w:val="00812494"/>
    <w:rsid w:val="0081339E"/>
    <w:rsid w:val="00813525"/>
    <w:rsid w:val="00813672"/>
    <w:rsid w:val="008140A1"/>
    <w:rsid w:val="00814739"/>
    <w:rsid w:val="008156DF"/>
    <w:rsid w:val="008157CD"/>
    <w:rsid w:val="008157CE"/>
    <w:rsid w:val="0081655C"/>
    <w:rsid w:val="0081777D"/>
    <w:rsid w:val="0082004D"/>
    <w:rsid w:val="008208AE"/>
    <w:rsid w:val="0082195E"/>
    <w:rsid w:val="00821BDC"/>
    <w:rsid w:val="008226C3"/>
    <w:rsid w:val="00822CC3"/>
    <w:rsid w:val="00824017"/>
    <w:rsid w:val="008249E2"/>
    <w:rsid w:val="0082585F"/>
    <w:rsid w:val="00825C3A"/>
    <w:rsid w:val="00826008"/>
    <w:rsid w:val="00826747"/>
    <w:rsid w:val="00826D4A"/>
    <w:rsid w:val="00827060"/>
    <w:rsid w:val="00827D5B"/>
    <w:rsid w:val="00830539"/>
    <w:rsid w:val="008306E9"/>
    <w:rsid w:val="00830C58"/>
    <w:rsid w:val="00831057"/>
    <w:rsid w:val="008311A3"/>
    <w:rsid w:val="0083153B"/>
    <w:rsid w:val="00831DC2"/>
    <w:rsid w:val="008329D7"/>
    <w:rsid w:val="00832C5F"/>
    <w:rsid w:val="00832DB8"/>
    <w:rsid w:val="00834B45"/>
    <w:rsid w:val="0083514F"/>
    <w:rsid w:val="008355C0"/>
    <w:rsid w:val="0083603C"/>
    <w:rsid w:val="00836C4E"/>
    <w:rsid w:val="00840DAC"/>
    <w:rsid w:val="00841232"/>
    <w:rsid w:val="00841566"/>
    <w:rsid w:val="00841C7D"/>
    <w:rsid w:val="00841FF0"/>
    <w:rsid w:val="00842226"/>
    <w:rsid w:val="00843044"/>
    <w:rsid w:val="00843A47"/>
    <w:rsid w:val="008449FC"/>
    <w:rsid w:val="00845558"/>
    <w:rsid w:val="00845785"/>
    <w:rsid w:val="00845BF2"/>
    <w:rsid w:val="00845F3D"/>
    <w:rsid w:val="00846F1C"/>
    <w:rsid w:val="00851ECC"/>
    <w:rsid w:val="00853577"/>
    <w:rsid w:val="0085390E"/>
    <w:rsid w:val="00853FE4"/>
    <w:rsid w:val="00854541"/>
    <w:rsid w:val="008547B0"/>
    <w:rsid w:val="0085511D"/>
    <w:rsid w:val="0085526D"/>
    <w:rsid w:val="00855DFF"/>
    <w:rsid w:val="00855F94"/>
    <w:rsid w:val="0085699F"/>
    <w:rsid w:val="00856E6C"/>
    <w:rsid w:val="008574D5"/>
    <w:rsid w:val="0085768C"/>
    <w:rsid w:val="00857850"/>
    <w:rsid w:val="008605FD"/>
    <w:rsid w:val="00860B72"/>
    <w:rsid w:val="00860D22"/>
    <w:rsid w:val="00861A94"/>
    <w:rsid w:val="008624AD"/>
    <w:rsid w:val="008628F5"/>
    <w:rsid w:val="00862C04"/>
    <w:rsid w:val="00863CF0"/>
    <w:rsid w:val="00864586"/>
    <w:rsid w:val="00865450"/>
    <w:rsid w:val="008668EF"/>
    <w:rsid w:val="00867C7D"/>
    <w:rsid w:val="00870055"/>
    <w:rsid w:val="0087028E"/>
    <w:rsid w:val="00870F35"/>
    <w:rsid w:val="0087128D"/>
    <w:rsid w:val="00872734"/>
    <w:rsid w:val="00872FFD"/>
    <w:rsid w:val="008737B6"/>
    <w:rsid w:val="00873A23"/>
    <w:rsid w:val="008745D6"/>
    <w:rsid w:val="00874671"/>
    <w:rsid w:val="008753D6"/>
    <w:rsid w:val="008755A7"/>
    <w:rsid w:val="00875837"/>
    <w:rsid w:val="00876449"/>
    <w:rsid w:val="00876C6C"/>
    <w:rsid w:val="00877F0A"/>
    <w:rsid w:val="008809FF"/>
    <w:rsid w:val="00880A80"/>
    <w:rsid w:val="00880DC4"/>
    <w:rsid w:val="00881287"/>
    <w:rsid w:val="0088312C"/>
    <w:rsid w:val="00884804"/>
    <w:rsid w:val="00885144"/>
    <w:rsid w:val="008867FD"/>
    <w:rsid w:val="00886F26"/>
    <w:rsid w:val="00886FCB"/>
    <w:rsid w:val="00887220"/>
    <w:rsid w:val="00890745"/>
    <w:rsid w:val="00890CAF"/>
    <w:rsid w:val="00890D96"/>
    <w:rsid w:val="00890F6F"/>
    <w:rsid w:val="0089151E"/>
    <w:rsid w:val="008921E8"/>
    <w:rsid w:val="00893827"/>
    <w:rsid w:val="00893BA2"/>
    <w:rsid w:val="00894119"/>
    <w:rsid w:val="008943B2"/>
    <w:rsid w:val="00895065"/>
    <w:rsid w:val="00896B22"/>
    <w:rsid w:val="00896CB9"/>
    <w:rsid w:val="00897450"/>
    <w:rsid w:val="00897A2D"/>
    <w:rsid w:val="00897D98"/>
    <w:rsid w:val="00897FFB"/>
    <w:rsid w:val="008A08DC"/>
    <w:rsid w:val="008A097D"/>
    <w:rsid w:val="008A0ABD"/>
    <w:rsid w:val="008A0C5D"/>
    <w:rsid w:val="008A1BD6"/>
    <w:rsid w:val="008A21C5"/>
    <w:rsid w:val="008A2730"/>
    <w:rsid w:val="008A319B"/>
    <w:rsid w:val="008A33B6"/>
    <w:rsid w:val="008A42B6"/>
    <w:rsid w:val="008A53BC"/>
    <w:rsid w:val="008A5D05"/>
    <w:rsid w:val="008A72A1"/>
    <w:rsid w:val="008A74E2"/>
    <w:rsid w:val="008B0AC3"/>
    <w:rsid w:val="008B1154"/>
    <w:rsid w:val="008B1420"/>
    <w:rsid w:val="008B18C5"/>
    <w:rsid w:val="008B1B57"/>
    <w:rsid w:val="008B27EC"/>
    <w:rsid w:val="008B2B09"/>
    <w:rsid w:val="008B46A0"/>
    <w:rsid w:val="008B528E"/>
    <w:rsid w:val="008B5B78"/>
    <w:rsid w:val="008B67BE"/>
    <w:rsid w:val="008B7C5F"/>
    <w:rsid w:val="008C0A9A"/>
    <w:rsid w:val="008C1B76"/>
    <w:rsid w:val="008C20C6"/>
    <w:rsid w:val="008C220D"/>
    <w:rsid w:val="008C33E2"/>
    <w:rsid w:val="008C3429"/>
    <w:rsid w:val="008C3546"/>
    <w:rsid w:val="008C4101"/>
    <w:rsid w:val="008C4172"/>
    <w:rsid w:val="008C501B"/>
    <w:rsid w:val="008C5D68"/>
    <w:rsid w:val="008C6300"/>
    <w:rsid w:val="008C758C"/>
    <w:rsid w:val="008C7D1C"/>
    <w:rsid w:val="008C7EDF"/>
    <w:rsid w:val="008D1F68"/>
    <w:rsid w:val="008D2276"/>
    <w:rsid w:val="008D2632"/>
    <w:rsid w:val="008D3811"/>
    <w:rsid w:val="008D3D2B"/>
    <w:rsid w:val="008D5169"/>
    <w:rsid w:val="008D5C9F"/>
    <w:rsid w:val="008D66E6"/>
    <w:rsid w:val="008D797A"/>
    <w:rsid w:val="008D7B85"/>
    <w:rsid w:val="008E010C"/>
    <w:rsid w:val="008E04E8"/>
    <w:rsid w:val="008E099C"/>
    <w:rsid w:val="008E0B56"/>
    <w:rsid w:val="008E0C45"/>
    <w:rsid w:val="008E0D44"/>
    <w:rsid w:val="008E255E"/>
    <w:rsid w:val="008E31FB"/>
    <w:rsid w:val="008E325B"/>
    <w:rsid w:val="008E3434"/>
    <w:rsid w:val="008E569F"/>
    <w:rsid w:val="008E5E46"/>
    <w:rsid w:val="008E5F84"/>
    <w:rsid w:val="008E6FCF"/>
    <w:rsid w:val="008E719E"/>
    <w:rsid w:val="008F07E3"/>
    <w:rsid w:val="008F13EA"/>
    <w:rsid w:val="008F176A"/>
    <w:rsid w:val="008F394E"/>
    <w:rsid w:val="008F39D8"/>
    <w:rsid w:val="008F49B9"/>
    <w:rsid w:val="008F7362"/>
    <w:rsid w:val="009004F7"/>
    <w:rsid w:val="0090139C"/>
    <w:rsid w:val="0090199B"/>
    <w:rsid w:val="00901A12"/>
    <w:rsid w:val="0090362D"/>
    <w:rsid w:val="00903D5B"/>
    <w:rsid w:val="00904FBE"/>
    <w:rsid w:val="009059FB"/>
    <w:rsid w:val="00905EF6"/>
    <w:rsid w:val="0090648C"/>
    <w:rsid w:val="00911582"/>
    <w:rsid w:val="00911AC0"/>
    <w:rsid w:val="00912393"/>
    <w:rsid w:val="00913736"/>
    <w:rsid w:val="009151CB"/>
    <w:rsid w:val="00915A8F"/>
    <w:rsid w:val="00916162"/>
    <w:rsid w:val="00916B0D"/>
    <w:rsid w:val="0092011B"/>
    <w:rsid w:val="009204D4"/>
    <w:rsid w:val="00920BB5"/>
    <w:rsid w:val="00920FC1"/>
    <w:rsid w:val="0092134E"/>
    <w:rsid w:val="00921891"/>
    <w:rsid w:val="00922EBF"/>
    <w:rsid w:val="00925A85"/>
    <w:rsid w:val="00925E46"/>
    <w:rsid w:val="00926087"/>
    <w:rsid w:val="009261D3"/>
    <w:rsid w:val="00926B4B"/>
    <w:rsid w:val="00926C67"/>
    <w:rsid w:val="00927341"/>
    <w:rsid w:val="009273A5"/>
    <w:rsid w:val="00930FC1"/>
    <w:rsid w:val="00931139"/>
    <w:rsid w:val="00931143"/>
    <w:rsid w:val="00931ED5"/>
    <w:rsid w:val="00931FCA"/>
    <w:rsid w:val="00932C9C"/>
    <w:rsid w:val="00933025"/>
    <w:rsid w:val="00933173"/>
    <w:rsid w:val="00933A49"/>
    <w:rsid w:val="009368AA"/>
    <w:rsid w:val="00936F61"/>
    <w:rsid w:val="0093700B"/>
    <w:rsid w:val="00937AFD"/>
    <w:rsid w:val="009415CD"/>
    <w:rsid w:val="00941888"/>
    <w:rsid w:val="009433B9"/>
    <w:rsid w:val="009433F2"/>
    <w:rsid w:val="00944247"/>
    <w:rsid w:val="00945A75"/>
    <w:rsid w:val="009469B3"/>
    <w:rsid w:val="00946B63"/>
    <w:rsid w:val="00947FE4"/>
    <w:rsid w:val="009502FD"/>
    <w:rsid w:val="00950C1B"/>
    <w:rsid w:val="00952023"/>
    <w:rsid w:val="00952141"/>
    <w:rsid w:val="00952CB4"/>
    <w:rsid w:val="00952CEC"/>
    <w:rsid w:val="009542DA"/>
    <w:rsid w:val="00954644"/>
    <w:rsid w:val="00955C7A"/>
    <w:rsid w:val="009561DD"/>
    <w:rsid w:val="00956B9C"/>
    <w:rsid w:val="00956D33"/>
    <w:rsid w:val="00957A2B"/>
    <w:rsid w:val="0096066B"/>
    <w:rsid w:val="00961411"/>
    <w:rsid w:val="00961DD6"/>
    <w:rsid w:val="00962328"/>
    <w:rsid w:val="00962825"/>
    <w:rsid w:val="0096316B"/>
    <w:rsid w:val="0096442B"/>
    <w:rsid w:val="00964B52"/>
    <w:rsid w:val="00964C43"/>
    <w:rsid w:val="009654C0"/>
    <w:rsid w:val="00965D9F"/>
    <w:rsid w:val="0096610C"/>
    <w:rsid w:val="009716B6"/>
    <w:rsid w:val="00971B82"/>
    <w:rsid w:val="0097216C"/>
    <w:rsid w:val="00972519"/>
    <w:rsid w:val="00972B2A"/>
    <w:rsid w:val="00972EA5"/>
    <w:rsid w:val="009734BF"/>
    <w:rsid w:val="00973EA0"/>
    <w:rsid w:val="00975EC3"/>
    <w:rsid w:val="0098092F"/>
    <w:rsid w:val="0098101F"/>
    <w:rsid w:val="0098109B"/>
    <w:rsid w:val="0098157F"/>
    <w:rsid w:val="00981871"/>
    <w:rsid w:val="00981C2B"/>
    <w:rsid w:val="00981D50"/>
    <w:rsid w:val="00983156"/>
    <w:rsid w:val="009837D3"/>
    <w:rsid w:val="009837E7"/>
    <w:rsid w:val="009863DD"/>
    <w:rsid w:val="009867AE"/>
    <w:rsid w:val="00986991"/>
    <w:rsid w:val="009905F4"/>
    <w:rsid w:val="00990A85"/>
    <w:rsid w:val="00991090"/>
    <w:rsid w:val="0099140C"/>
    <w:rsid w:val="0099242B"/>
    <w:rsid w:val="0099290B"/>
    <w:rsid w:val="00993AB9"/>
    <w:rsid w:val="00993E34"/>
    <w:rsid w:val="009947EB"/>
    <w:rsid w:val="00995222"/>
    <w:rsid w:val="009952A9"/>
    <w:rsid w:val="0099641F"/>
    <w:rsid w:val="0099798A"/>
    <w:rsid w:val="00997CE9"/>
    <w:rsid w:val="00997FEA"/>
    <w:rsid w:val="009A10C0"/>
    <w:rsid w:val="009A1C7A"/>
    <w:rsid w:val="009A3A29"/>
    <w:rsid w:val="009A416B"/>
    <w:rsid w:val="009A449D"/>
    <w:rsid w:val="009A48E1"/>
    <w:rsid w:val="009A5426"/>
    <w:rsid w:val="009A555D"/>
    <w:rsid w:val="009A6E4F"/>
    <w:rsid w:val="009A72B5"/>
    <w:rsid w:val="009A76F8"/>
    <w:rsid w:val="009A7B06"/>
    <w:rsid w:val="009B0CB2"/>
    <w:rsid w:val="009B1551"/>
    <w:rsid w:val="009B18FF"/>
    <w:rsid w:val="009B1CE5"/>
    <w:rsid w:val="009B31FB"/>
    <w:rsid w:val="009B4731"/>
    <w:rsid w:val="009B4D07"/>
    <w:rsid w:val="009B4DE6"/>
    <w:rsid w:val="009B58DB"/>
    <w:rsid w:val="009B602F"/>
    <w:rsid w:val="009B64FA"/>
    <w:rsid w:val="009B6713"/>
    <w:rsid w:val="009B6888"/>
    <w:rsid w:val="009B7F78"/>
    <w:rsid w:val="009C022F"/>
    <w:rsid w:val="009C0332"/>
    <w:rsid w:val="009C1079"/>
    <w:rsid w:val="009C1BE3"/>
    <w:rsid w:val="009C1E17"/>
    <w:rsid w:val="009C27D7"/>
    <w:rsid w:val="009C29A5"/>
    <w:rsid w:val="009C35AD"/>
    <w:rsid w:val="009C39F5"/>
    <w:rsid w:val="009C4AB6"/>
    <w:rsid w:val="009C532F"/>
    <w:rsid w:val="009C6CA4"/>
    <w:rsid w:val="009C7011"/>
    <w:rsid w:val="009C7178"/>
    <w:rsid w:val="009C72CA"/>
    <w:rsid w:val="009C72FB"/>
    <w:rsid w:val="009C7DAE"/>
    <w:rsid w:val="009D0F22"/>
    <w:rsid w:val="009D0F5E"/>
    <w:rsid w:val="009D109B"/>
    <w:rsid w:val="009D10B3"/>
    <w:rsid w:val="009D1208"/>
    <w:rsid w:val="009D1A6D"/>
    <w:rsid w:val="009D1BCA"/>
    <w:rsid w:val="009D1BDE"/>
    <w:rsid w:val="009D21E5"/>
    <w:rsid w:val="009D2D13"/>
    <w:rsid w:val="009D42B7"/>
    <w:rsid w:val="009D4587"/>
    <w:rsid w:val="009D49BC"/>
    <w:rsid w:val="009D4B35"/>
    <w:rsid w:val="009D4D1F"/>
    <w:rsid w:val="009D4EB6"/>
    <w:rsid w:val="009D5EE9"/>
    <w:rsid w:val="009D76A6"/>
    <w:rsid w:val="009D7907"/>
    <w:rsid w:val="009E0ABC"/>
    <w:rsid w:val="009E16CD"/>
    <w:rsid w:val="009E3B6B"/>
    <w:rsid w:val="009E4B76"/>
    <w:rsid w:val="009E4D23"/>
    <w:rsid w:val="009E67F1"/>
    <w:rsid w:val="009E6CEA"/>
    <w:rsid w:val="009E7314"/>
    <w:rsid w:val="009E74B0"/>
    <w:rsid w:val="009E7C39"/>
    <w:rsid w:val="009E7C84"/>
    <w:rsid w:val="009F022C"/>
    <w:rsid w:val="009F0CFE"/>
    <w:rsid w:val="009F1370"/>
    <w:rsid w:val="009F1592"/>
    <w:rsid w:val="009F17BA"/>
    <w:rsid w:val="009F18D9"/>
    <w:rsid w:val="009F2C2F"/>
    <w:rsid w:val="009F3474"/>
    <w:rsid w:val="009F34AB"/>
    <w:rsid w:val="009F356D"/>
    <w:rsid w:val="009F3770"/>
    <w:rsid w:val="009F3B6F"/>
    <w:rsid w:val="009F481A"/>
    <w:rsid w:val="009F4CFF"/>
    <w:rsid w:val="009F4FB6"/>
    <w:rsid w:val="009F6B92"/>
    <w:rsid w:val="009F6D36"/>
    <w:rsid w:val="009F70E6"/>
    <w:rsid w:val="00A0063A"/>
    <w:rsid w:val="00A01561"/>
    <w:rsid w:val="00A02B01"/>
    <w:rsid w:val="00A02BE3"/>
    <w:rsid w:val="00A03088"/>
    <w:rsid w:val="00A03099"/>
    <w:rsid w:val="00A04FF9"/>
    <w:rsid w:val="00A05C7B"/>
    <w:rsid w:val="00A05DFC"/>
    <w:rsid w:val="00A05E3B"/>
    <w:rsid w:val="00A06C34"/>
    <w:rsid w:val="00A06E69"/>
    <w:rsid w:val="00A070DB"/>
    <w:rsid w:val="00A07889"/>
    <w:rsid w:val="00A07D60"/>
    <w:rsid w:val="00A07F58"/>
    <w:rsid w:val="00A10F09"/>
    <w:rsid w:val="00A10F3C"/>
    <w:rsid w:val="00A122B5"/>
    <w:rsid w:val="00A1368F"/>
    <w:rsid w:val="00A13FB9"/>
    <w:rsid w:val="00A14155"/>
    <w:rsid w:val="00A14E4A"/>
    <w:rsid w:val="00A15555"/>
    <w:rsid w:val="00A16FF7"/>
    <w:rsid w:val="00A17AEC"/>
    <w:rsid w:val="00A17D6E"/>
    <w:rsid w:val="00A201CF"/>
    <w:rsid w:val="00A2020F"/>
    <w:rsid w:val="00A214D3"/>
    <w:rsid w:val="00A21813"/>
    <w:rsid w:val="00A2193F"/>
    <w:rsid w:val="00A21C4B"/>
    <w:rsid w:val="00A22682"/>
    <w:rsid w:val="00A22F7C"/>
    <w:rsid w:val="00A230E3"/>
    <w:rsid w:val="00A23D69"/>
    <w:rsid w:val="00A23F6E"/>
    <w:rsid w:val="00A240FD"/>
    <w:rsid w:val="00A245D4"/>
    <w:rsid w:val="00A257A2"/>
    <w:rsid w:val="00A25C66"/>
    <w:rsid w:val="00A267F9"/>
    <w:rsid w:val="00A310C0"/>
    <w:rsid w:val="00A31748"/>
    <w:rsid w:val="00A324CC"/>
    <w:rsid w:val="00A34291"/>
    <w:rsid w:val="00A3494F"/>
    <w:rsid w:val="00A34B42"/>
    <w:rsid w:val="00A34CFA"/>
    <w:rsid w:val="00A35520"/>
    <w:rsid w:val="00A35DB4"/>
    <w:rsid w:val="00A36E4C"/>
    <w:rsid w:val="00A3761D"/>
    <w:rsid w:val="00A40D98"/>
    <w:rsid w:val="00A40F76"/>
    <w:rsid w:val="00A4156B"/>
    <w:rsid w:val="00A41B17"/>
    <w:rsid w:val="00A4248F"/>
    <w:rsid w:val="00A428F5"/>
    <w:rsid w:val="00A445BF"/>
    <w:rsid w:val="00A44C1F"/>
    <w:rsid w:val="00A45273"/>
    <w:rsid w:val="00A452AD"/>
    <w:rsid w:val="00A45EE9"/>
    <w:rsid w:val="00A46767"/>
    <w:rsid w:val="00A471F0"/>
    <w:rsid w:val="00A47CF3"/>
    <w:rsid w:val="00A50B73"/>
    <w:rsid w:val="00A51EA1"/>
    <w:rsid w:val="00A535FB"/>
    <w:rsid w:val="00A539BF"/>
    <w:rsid w:val="00A54005"/>
    <w:rsid w:val="00A54384"/>
    <w:rsid w:val="00A54944"/>
    <w:rsid w:val="00A54B1C"/>
    <w:rsid w:val="00A55955"/>
    <w:rsid w:val="00A574B1"/>
    <w:rsid w:val="00A57CC0"/>
    <w:rsid w:val="00A57F3A"/>
    <w:rsid w:val="00A61390"/>
    <w:rsid w:val="00A632E2"/>
    <w:rsid w:val="00A64494"/>
    <w:rsid w:val="00A64C3B"/>
    <w:rsid w:val="00A64FC1"/>
    <w:rsid w:val="00A65B14"/>
    <w:rsid w:val="00A672FE"/>
    <w:rsid w:val="00A674A4"/>
    <w:rsid w:val="00A7055A"/>
    <w:rsid w:val="00A70BE2"/>
    <w:rsid w:val="00A72FA4"/>
    <w:rsid w:val="00A7407B"/>
    <w:rsid w:val="00A74E7F"/>
    <w:rsid w:val="00A74EE2"/>
    <w:rsid w:val="00A76723"/>
    <w:rsid w:val="00A81354"/>
    <w:rsid w:val="00A81D59"/>
    <w:rsid w:val="00A836DB"/>
    <w:rsid w:val="00A83830"/>
    <w:rsid w:val="00A85B02"/>
    <w:rsid w:val="00A86681"/>
    <w:rsid w:val="00A86792"/>
    <w:rsid w:val="00A8684B"/>
    <w:rsid w:val="00A8720A"/>
    <w:rsid w:val="00A907D6"/>
    <w:rsid w:val="00A92EFB"/>
    <w:rsid w:val="00A96635"/>
    <w:rsid w:val="00A96CB8"/>
    <w:rsid w:val="00A96F34"/>
    <w:rsid w:val="00A97704"/>
    <w:rsid w:val="00AA0055"/>
    <w:rsid w:val="00AA023E"/>
    <w:rsid w:val="00AA0386"/>
    <w:rsid w:val="00AA0521"/>
    <w:rsid w:val="00AA15F5"/>
    <w:rsid w:val="00AA1676"/>
    <w:rsid w:val="00AA2B3C"/>
    <w:rsid w:val="00AA4C79"/>
    <w:rsid w:val="00AA4FDA"/>
    <w:rsid w:val="00AA5151"/>
    <w:rsid w:val="00AB0721"/>
    <w:rsid w:val="00AB1816"/>
    <w:rsid w:val="00AB3CB7"/>
    <w:rsid w:val="00AB4327"/>
    <w:rsid w:val="00AB4428"/>
    <w:rsid w:val="00AB4896"/>
    <w:rsid w:val="00AB5301"/>
    <w:rsid w:val="00AB5436"/>
    <w:rsid w:val="00AB5994"/>
    <w:rsid w:val="00AB5C18"/>
    <w:rsid w:val="00AB62E0"/>
    <w:rsid w:val="00AB6F23"/>
    <w:rsid w:val="00AC01C1"/>
    <w:rsid w:val="00AC039F"/>
    <w:rsid w:val="00AC0E7B"/>
    <w:rsid w:val="00AC1178"/>
    <w:rsid w:val="00AC17F6"/>
    <w:rsid w:val="00AC181D"/>
    <w:rsid w:val="00AC18F8"/>
    <w:rsid w:val="00AC2E67"/>
    <w:rsid w:val="00AC2FE7"/>
    <w:rsid w:val="00AC3CB1"/>
    <w:rsid w:val="00AC3D73"/>
    <w:rsid w:val="00AC4488"/>
    <w:rsid w:val="00AC50B6"/>
    <w:rsid w:val="00AC55D0"/>
    <w:rsid w:val="00AC5759"/>
    <w:rsid w:val="00AC60C4"/>
    <w:rsid w:val="00AC73BE"/>
    <w:rsid w:val="00AC7C4D"/>
    <w:rsid w:val="00AC7CA3"/>
    <w:rsid w:val="00AC7CED"/>
    <w:rsid w:val="00AD047A"/>
    <w:rsid w:val="00AD17EB"/>
    <w:rsid w:val="00AD1939"/>
    <w:rsid w:val="00AD1B5E"/>
    <w:rsid w:val="00AD24C3"/>
    <w:rsid w:val="00AD2B15"/>
    <w:rsid w:val="00AD2B4F"/>
    <w:rsid w:val="00AD2D44"/>
    <w:rsid w:val="00AD2DD6"/>
    <w:rsid w:val="00AD2DDA"/>
    <w:rsid w:val="00AD338A"/>
    <w:rsid w:val="00AD4508"/>
    <w:rsid w:val="00AD4A8C"/>
    <w:rsid w:val="00AD4D67"/>
    <w:rsid w:val="00AD53E0"/>
    <w:rsid w:val="00AD6D0B"/>
    <w:rsid w:val="00AD70DE"/>
    <w:rsid w:val="00AD73A9"/>
    <w:rsid w:val="00AE0933"/>
    <w:rsid w:val="00AE280E"/>
    <w:rsid w:val="00AE3FCD"/>
    <w:rsid w:val="00AE4122"/>
    <w:rsid w:val="00AE4A25"/>
    <w:rsid w:val="00AE4B4B"/>
    <w:rsid w:val="00AE4CED"/>
    <w:rsid w:val="00AE56F7"/>
    <w:rsid w:val="00AE5CA3"/>
    <w:rsid w:val="00AE69DA"/>
    <w:rsid w:val="00AE6F92"/>
    <w:rsid w:val="00AE7853"/>
    <w:rsid w:val="00AE78BB"/>
    <w:rsid w:val="00AF00BF"/>
    <w:rsid w:val="00AF00D0"/>
    <w:rsid w:val="00AF05D9"/>
    <w:rsid w:val="00AF0E13"/>
    <w:rsid w:val="00AF0F7A"/>
    <w:rsid w:val="00AF13C7"/>
    <w:rsid w:val="00AF1621"/>
    <w:rsid w:val="00AF16B4"/>
    <w:rsid w:val="00AF33FF"/>
    <w:rsid w:val="00AF678E"/>
    <w:rsid w:val="00AF6E3B"/>
    <w:rsid w:val="00AF73DA"/>
    <w:rsid w:val="00AF7664"/>
    <w:rsid w:val="00B00ED8"/>
    <w:rsid w:val="00B0145B"/>
    <w:rsid w:val="00B0304F"/>
    <w:rsid w:val="00B03789"/>
    <w:rsid w:val="00B04409"/>
    <w:rsid w:val="00B04792"/>
    <w:rsid w:val="00B055FA"/>
    <w:rsid w:val="00B060FF"/>
    <w:rsid w:val="00B062E9"/>
    <w:rsid w:val="00B063AC"/>
    <w:rsid w:val="00B07394"/>
    <w:rsid w:val="00B0758F"/>
    <w:rsid w:val="00B0768A"/>
    <w:rsid w:val="00B07A92"/>
    <w:rsid w:val="00B1057C"/>
    <w:rsid w:val="00B10C3F"/>
    <w:rsid w:val="00B1115D"/>
    <w:rsid w:val="00B11471"/>
    <w:rsid w:val="00B1177B"/>
    <w:rsid w:val="00B1221E"/>
    <w:rsid w:val="00B12B6F"/>
    <w:rsid w:val="00B14A50"/>
    <w:rsid w:val="00B1520F"/>
    <w:rsid w:val="00B15FD7"/>
    <w:rsid w:val="00B167F4"/>
    <w:rsid w:val="00B16CB7"/>
    <w:rsid w:val="00B17785"/>
    <w:rsid w:val="00B20360"/>
    <w:rsid w:val="00B20C3D"/>
    <w:rsid w:val="00B20CE9"/>
    <w:rsid w:val="00B215BE"/>
    <w:rsid w:val="00B22296"/>
    <w:rsid w:val="00B23B08"/>
    <w:rsid w:val="00B23EBC"/>
    <w:rsid w:val="00B24318"/>
    <w:rsid w:val="00B243F3"/>
    <w:rsid w:val="00B24D6C"/>
    <w:rsid w:val="00B25C02"/>
    <w:rsid w:val="00B26E51"/>
    <w:rsid w:val="00B2707F"/>
    <w:rsid w:val="00B27DDA"/>
    <w:rsid w:val="00B31287"/>
    <w:rsid w:val="00B31CDB"/>
    <w:rsid w:val="00B32083"/>
    <w:rsid w:val="00B322EC"/>
    <w:rsid w:val="00B333AB"/>
    <w:rsid w:val="00B337E5"/>
    <w:rsid w:val="00B33C99"/>
    <w:rsid w:val="00B33FD8"/>
    <w:rsid w:val="00B342AD"/>
    <w:rsid w:val="00B343FD"/>
    <w:rsid w:val="00B34F60"/>
    <w:rsid w:val="00B36052"/>
    <w:rsid w:val="00B36077"/>
    <w:rsid w:val="00B361F9"/>
    <w:rsid w:val="00B3670B"/>
    <w:rsid w:val="00B36BC5"/>
    <w:rsid w:val="00B36D75"/>
    <w:rsid w:val="00B36F20"/>
    <w:rsid w:val="00B3782F"/>
    <w:rsid w:val="00B37E93"/>
    <w:rsid w:val="00B41205"/>
    <w:rsid w:val="00B437E9"/>
    <w:rsid w:val="00B44981"/>
    <w:rsid w:val="00B476C9"/>
    <w:rsid w:val="00B503A8"/>
    <w:rsid w:val="00B50644"/>
    <w:rsid w:val="00B5065D"/>
    <w:rsid w:val="00B507CA"/>
    <w:rsid w:val="00B5118D"/>
    <w:rsid w:val="00B5142A"/>
    <w:rsid w:val="00B53567"/>
    <w:rsid w:val="00B53A52"/>
    <w:rsid w:val="00B53D81"/>
    <w:rsid w:val="00B567F0"/>
    <w:rsid w:val="00B56D82"/>
    <w:rsid w:val="00B572E6"/>
    <w:rsid w:val="00B57B33"/>
    <w:rsid w:val="00B57E93"/>
    <w:rsid w:val="00B57FDE"/>
    <w:rsid w:val="00B606D0"/>
    <w:rsid w:val="00B61EF0"/>
    <w:rsid w:val="00B63B1D"/>
    <w:rsid w:val="00B6411A"/>
    <w:rsid w:val="00B645BA"/>
    <w:rsid w:val="00B64B38"/>
    <w:rsid w:val="00B64E1C"/>
    <w:rsid w:val="00B64F90"/>
    <w:rsid w:val="00B65569"/>
    <w:rsid w:val="00B65C78"/>
    <w:rsid w:val="00B65CCE"/>
    <w:rsid w:val="00B66027"/>
    <w:rsid w:val="00B660A6"/>
    <w:rsid w:val="00B66F5B"/>
    <w:rsid w:val="00B67CB4"/>
    <w:rsid w:val="00B67F5B"/>
    <w:rsid w:val="00B706AE"/>
    <w:rsid w:val="00B708FF"/>
    <w:rsid w:val="00B70C17"/>
    <w:rsid w:val="00B71177"/>
    <w:rsid w:val="00B7150D"/>
    <w:rsid w:val="00B71D26"/>
    <w:rsid w:val="00B72B10"/>
    <w:rsid w:val="00B72D0B"/>
    <w:rsid w:val="00B736BC"/>
    <w:rsid w:val="00B7378D"/>
    <w:rsid w:val="00B74B02"/>
    <w:rsid w:val="00B74D30"/>
    <w:rsid w:val="00B76C5C"/>
    <w:rsid w:val="00B80B10"/>
    <w:rsid w:val="00B80D42"/>
    <w:rsid w:val="00B82A74"/>
    <w:rsid w:val="00B83074"/>
    <w:rsid w:val="00B83DB3"/>
    <w:rsid w:val="00B84DC9"/>
    <w:rsid w:val="00B84DD2"/>
    <w:rsid w:val="00B867A5"/>
    <w:rsid w:val="00B86FEB"/>
    <w:rsid w:val="00B872EA"/>
    <w:rsid w:val="00B91262"/>
    <w:rsid w:val="00B91848"/>
    <w:rsid w:val="00B9221C"/>
    <w:rsid w:val="00B926AE"/>
    <w:rsid w:val="00B935B2"/>
    <w:rsid w:val="00B94C7A"/>
    <w:rsid w:val="00B94CE5"/>
    <w:rsid w:val="00B95698"/>
    <w:rsid w:val="00B96424"/>
    <w:rsid w:val="00B96481"/>
    <w:rsid w:val="00BA0094"/>
    <w:rsid w:val="00BA091B"/>
    <w:rsid w:val="00BA120C"/>
    <w:rsid w:val="00BA1283"/>
    <w:rsid w:val="00BA139F"/>
    <w:rsid w:val="00BA1B64"/>
    <w:rsid w:val="00BA23C3"/>
    <w:rsid w:val="00BA3A11"/>
    <w:rsid w:val="00BA44EC"/>
    <w:rsid w:val="00BA4833"/>
    <w:rsid w:val="00BA5378"/>
    <w:rsid w:val="00BA6C31"/>
    <w:rsid w:val="00BA732B"/>
    <w:rsid w:val="00BA742C"/>
    <w:rsid w:val="00BB00DE"/>
    <w:rsid w:val="00BB0A40"/>
    <w:rsid w:val="00BB104B"/>
    <w:rsid w:val="00BB1C65"/>
    <w:rsid w:val="00BB1F4E"/>
    <w:rsid w:val="00BB2683"/>
    <w:rsid w:val="00BB2D6D"/>
    <w:rsid w:val="00BB2F90"/>
    <w:rsid w:val="00BB344A"/>
    <w:rsid w:val="00BB4C3C"/>
    <w:rsid w:val="00BB4E17"/>
    <w:rsid w:val="00BB5C08"/>
    <w:rsid w:val="00BB5F0F"/>
    <w:rsid w:val="00BB7293"/>
    <w:rsid w:val="00BB7C62"/>
    <w:rsid w:val="00BC02FA"/>
    <w:rsid w:val="00BC1FF2"/>
    <w:rsid w:val="00BC2D18"/>
    <w:rsid w:val="00BC2ED3"/>
    <w:rsid w:val="00BC584C"/>
    <w:rsid w:val="00BC6C21"/>
    <w:rsid w:val="00BC74BC"/>
    <w:rsid w:val="00BC7BE5"/>
    <w:rsid w:val="00BD010B"/>
    <w:rsid w:val="00BD13A7"/>
    <w:rsid w:val="00BD1C5C"/>
    <w:rsid w:val="00BD1DC9"/>
    <w:rsid w:val="00BD30CA"/>
    <w:rsid w:val="00BD4011"/>
    <w:rsid w:val="00BD40FC"/>
    <w:rsid w:val="00BD48CF"/>
    <w:rsid w:val="00BD57AA"/>
    <w:rsid w:val="00BD6E37"/>
    <w:rsid w:val="00BE01AF"/>
    <w:rsid w:val="00BE0230"/>
    <w:rsid w:val="00BE0EA7"/>
    <w:rsid w:val="00BE140F"/>
    <w:rsid w:val="00BE310A"/>
    <w:rsid w:val="00BE31F8"/>
    <w:rsid w:val="00BE3530"/>
    <w:rsid w:val="00BE3D51"/>
    <w:rsid w:val="00BE504C"/>
    <w:rsid w:val="00BE50EB"/>
    <w:rsid w:val="00BE50EF"/>
    <w:rsid w:val="00BE556B"/>
    <w:rsid w:val="00BE55EF"/>
    <w:rsid w:val="00BE56EC"/>
    <w:rsid w:val="00BE605D"/>
    <w:rsid w:val="00BE6F3B"/>
    <w:rsid w:val="00BE724F"/>
    <w:rsid w:val="00BE743D"/>
    <w:rsid w:val="00BE74F1"/>
    <w:rsid w:val="00BF024F"/>
    <w:rsid w:val="00BF0BFA"/>
    <w:rsid w:val="00BF0DBE"/>
    <w:rsid w:val="00BF2D5C"/>
    <w:rsid w:val="00BF2F5A"/>
    <w:rsid w:val="00BF3159"/>
    <w:rsid w:val="00BF3266"/>
    <w:rsid w:val="00BF3743"/>
    <w:rsid w:val="00BF3A3D"/>
    <w:rsid w:val="00BF4401"/>
    <w:rsid w:val="00BF4444"/>
    <w:rsid w:val="00BF5DC8"/>
    <w:rsid w:val="00BF781D"/>
    <w:rsid w:val="00BF7D47"/>
    <w:rsid w:val="00C00713"/>
    <w:rsid w:val="00C007D1"/>
    <w:rsid w:val="00C01350"/>
    <w:rsid w:val="00C019B5"/>
    <w:rsid w:val="00C03092"/>
    <w:rsid w:val="00C034E7"/>
    <w:rsid w:val="00C043EE"/>
    <w:rsid w:val="00C04E1C"/>
    <w:rsid w:val="00C050FE"/>
    <w:rsid w:val="00C05DEC"/>
    <w:rsid w:val="00C066AF"/>
    <w:rsid w:val="00C06840"/>
    <w:rsid w:val="00C074AA"/>
    <w:rsid w:val="00C07606"/>
    <w:rsid w:val="00C07F54"/>
    <w:rsid w:val="00C07FCC"/>
    <w:rsid w:val="00C1160B"/>
    <w:rsid w:val="00C11A7A"/>
    <w:rsid w:val="00C1354F"/>
    <w:rsid w:val="00C1377C"/>
    <w:rsid w:val="00C15145"/>
    <w:rsid w:val="00C15318"/>
    <w:rsid w:val="00C1542C"/>
    <w:rsid w:val="00C15971"/>
    <w:rsid w:val="00C168E1"/>
    <w:rsid w:val="00C2025E"/>
    <w:rsid w:val="00C20A0C"/>
    <w:rsid w:val="00C20DA6"/>
    <w:rsid w:val="00C20E8B"/>
    <w:rsid w:val="00C216C1"/>
    <w:rsid w:val="00C22602"/>
    <w:rsid w:val="00C229C4"/>
    <w:rsid w:val="00C2407E"/>
    <w:rsid w:val="00C244E9"/>
    <w:rsid w:val="00C24FD3"/>
    <w:rsid w:val="00C25E64"/>
    <w:rsid w:val="00C266B1"/>
    <w:rsid w:val="00C26FCD"/>
    <w:rsid w:val="00C2719B"/>
    <w:rsid w:val="00C301F0"/>
    <w:rsid w:val="00C31F85"/>
    <w:rsid w:val="00C3280D"/>
    <w:rsid w:val="00C32BBA"/>
    <w:rsid w:val="00C32ED9"/>
    <w:rsid w:val="00C3335F"/>
    <w:rsid w:val="00C33659"/>
    <w:rsid w:val="00C341BD"/>
    <w:rsid w:val="00C34432"/>
    <w:rsid w:val="00C35A98"/>
    <w:rsid w:val="00C37C2C"/>
    <w:rsid w:val="00C40D31"/>
    <w:rsid w:val="00C4176F"/>
    <w:rsid w:val="00C41873"/>
    <w:rsid w:val="00C42083"/>
    <w:rsid w:val="00C426EA"/>
    <w:rsid w:val="00C42E20"/>
    <w:rsid w:val="00C43039"/>
    <w:rsid w:val="00C431F5"/>
    <w:rsid w:val="00C43756"/>
    <w:rsid w:val="00C43AB5"/>
    <w:rsid w:val="00C44845"/>
    <w:rsid w:val="00C45914"/>
    <w:rsid w:val="00C463AF"/>
    <w:rsid w:val="00C46C47"/>
    <w:rsid w:val="00C475E3"/>
    <w:rsid w:val="00C47BAE"/>
    <w:rsid w:val="00C508F9"/>
    <w:rsid w:val="00C511F4"/>
    <w:rsid w:val="00C5186A"/>
    <w:rsid w:val="00C51F10"/>
    <w:rsid w:val="00C521B3"/>
    <w:rsid w:val="00C5231D"/>
    <w:rsid w:val="00C526F2"/>
    <w:rsid w:val="00C52C70"/>
    <w:rsid w:val="00C53034"/>
    <w:rsid w:val="00C56661"/>
    <w:rsid w:val="00C60512"/>
    <w:rsid w:val="00C60B80"/>
    <w:rsid w:val="00C61582"/>
    <w:rsid w:val="00C629EC"/>
    <w:rsid w:val="00C62C1F"/>
    <w:rsid w:val="00C63664"/>
    <w:rsid w:val="00C64CE5"/>
    <w:rsid w:val="00C65EA4"/>
    <w:rsid w:val="00C66AE9"/>
    <w:rsid w:val="00C66CE3"/>
    <w:rsid w:val="00C677BF"/>
    <w:rsid w:val="00C71F3D"/>
    <w:rsid w:val="00C726B9"/>
    <w:rsid w:val="00C726CA"/>
    <w:rsid w:val="00C72E9E"/>
    <w:rsid w:val="00C736D7"/>
    <w:rsid w:val="00C739F2"/>
    <w:rsid w:val="00C75967"/>
    <w:rsid w:val="00C75D43"/>
    <w:rsid w:val="00C75D5A"/>
    <w:rsid w:val="00C76462"/>
    <w:rsid w:val="00C77053"/>
    <w:rsid w:val="00C80368"/>
    <w:rsid w:val="00C8161C"/>
    <w:rsid w:val="00C8172D"/>
    <w:rsid w:val="00C82184"/>
    <w:rsid w:val="00C822F7"/>
    <w:rsid w:val="00C8242B"/>
    <w:rsid w:val="00C828EF"/>
    <w:rsid w:val="00C829A0"/>
    <w:rsid w:val="00C82DA5"/>
    <w:rsid w:val="00C82E11"/>
    <w:rsid w:val="00C83180"/>
    <w:rsid w:val="00C8357E"/>
    <w:rsid w:val="00C83A58"/>
    <w:rsid w:val="00C85B12"/>
    <w:rsid w:val="00C87980"/>
    <w:rsid w:val="00C87E82"/>
    <w:rsid w:val="00C91A95"/>
    <w:rsid w:val="00C921DB"/>
    <w:rsid w:val="00C938D4"/>
    <w:rsid w:val="00C939AF"/>
    <w:rsid w:val="00C93C78"/>
    <w:rsid w:val="00C93CF5"/>
    <w:rsid w:val="00C94751"/>
    <w:rsid w:val="00C9485E"/>
    <w:rsid w:val="00C95592"/>
    <w:rsid w:val="00C9645E"/>
    <w:rsid w:val="00C9754D"/>
    <w:rsid w:val="00C9799D"/>
    <w:rsid w:val="00CA13DF"/>
    <w:rsid w:val="00CA1BCF"/>
    <w:rsid w:val="00CA1D98"/>
    <w:rsid w:val="00CA211C"/>
    <w:rsid w:val="00CA219C"/>
    <w:rsid w:val="00CA23AE"/>
    <w:rsid w:val="00CA324D"/>
    <w:rsid w:val="00CA4B06"/>
    <w:rsid w:val="00CA5018"/>
    <w:rsid w:val="00CA56B0"/>
    <w:rsid w:val="00CA585E"/>
    <w:rsid w:val="00CA674F"/>
    <w:rsid w:val="00CA7AC6"/>
    <w:rsid w:val="00CB0746"/>
    <w:rsid w:val="00CB13ED"/>
    <w:rsid w:val="00CB1745"/>
    <w:rsid w:val="00CB33D3"/>
    <w:rsid w:val="00CB33DF"/>
    <w:rsid w:val="00CB3E44"/>
    <w:rsid w:val="00CB4CDA"/>
    <w:rsid w:val="00CB5E3D"/>
    <w:rsid w:val="00CB790E"/>
    <w:rsid w:val="00CC07AC"/>
    <w:rsid w:val="00CC0932"/>
    <w:rsid w:val="00CC16B7"/>
    <w:rsid w:val="00CC17BA"/>
    <w:rsid w:val="00CC1D06"/>
    <w:rsid w:val="00CC1D41"/>
    <w:rsid w:val="00CC2106"/>
    <w:rsid w:val="00CC2BDD"/>
    <w:rsid w:val="00CC3401"/>
    <w:rsid w:val="00CC3577"/>
    <w:rsid w:val="00CC3D38"/>
    <w:rsid w:val="00CC4731"/>
    <w:rsid w:val="00CC485A"/>
    <w:rsid w:val="00CC5548"/>
    <w:rsid w:val="00CC5E46"/>
    <w:rsid w:val="00CC5ED5"/>
    <w:rsid w:val="00CC5F82"/>
    <w:rsid w:val="00CC6EFF"/>
    <w:rsid w:val="00CC7F68"/>
    <w:rsid w:val="00CD0D91"/>
    <w:rsid w:val="00CD0E62"/>
    <w:rsid w:val="00CD1661"/>
    <w:rsid w:val="00CD1761"/>
    <w:rsid w:val="00CD2244"/>
    <w:rsid w:val="00CD295F"/>
    <w:rsid w:val="00CD34F3"/>
    <w:rsid w:val="00CD366B"/>
    <w:rsid w:val="00CD3F7C"/>
    <w:rsid w:val="00CD49A3"/>
    <w:rsid w:val="00CD50C0"/>
    <w:rsid w:val="00CD52D2"/>
    <w:rsid w:val="00CD53EE"/>
    <w:rsid w:val="00CD554B"/>
    <w:rsid w:val="00CD6F1E"/>
    <w:rsid w:val="00CE0123"/>
    <w:rsid w:val="00CE0FDC"/>
    <w:rsid w:val="00CE1183"/>
    <w:rsid w:val="00CE1AA3"/>
    <w:rsid w:val="00CE22D8"/>
    <w:rsid w:val="00CE2FD2"/>
    <w:rsid w:val="00CE4234"/>
    <w:rsid w:val="00CE43D8"/>
    <w:rsid w:val="00CE6284"/>
    <w:rsid w:val="00CE656F"/>
    <w:rsid w:val="00CE6791"/>
    <w:rsid w:val="00CE6D87"/>
    <w:rsid w:val="00CF1156"/>
    <w:rsid w:val="00CF11DD"/>
    <w:rsid w:val="00CF1567"/>
    <w:rsid w:val="00CF1BE3"/>
    <w:rsid w:val="00CF2ABA"/>
    <w:rsid w:val="00CF3A26"/>
    <w:rsid w:val="00CF4260"/>
    <w:rsid w:val="00CF430F"/>
    <w:rsid w:val="00CF4B55"/>
    <w:rsid w:val="00CF53F9"/>
    <w:rsid w:val="00CF627B"/>
    <w:rsid w:val="00CF6CA9"/>
    <w:rsid w:val="00CF6E5C"/>
    <w:rsid w:val="00CF7958"/>
    <w:rsid w:val="00D005F9"/>
    <w:rsid w:val="00D0065F"/>
    <w:rsid w:val="00D00F0F"/>
    <w:rsid w:val="00D010D8"/>
    <w:rsid w:val="00D022CE"/>
    <w:rsid w:val="00D0256B"/>
    <w:rsid w:val="00D0269A"/>
    <w:rsid w:val="00D02A28"/>
    <w:rsid w:val="00D02ADB"/>
    <w:rsid w:val="00D031F9"/>
    <w:rsid w:val="00D05310"/>
    <w:rsid w:val="00D05FF0"/>
    <w:rsid w:val="00D06542"/>
    <w:rsid w:val="00D07753"/>
    <w:rsid w:val="00D077CD"/>
    <w:rsid w:val="00D07E04"/>
    <w:rsid w:val="00D12DA7"/>
    <w:rsid w:val="00D13129"/>
    <w:rsid w:val="00D132B3"/>
    <w:rsid w:val="00D13ED0"/>
    <w:rsid w:val="00D1586C"/>
    <w:rsid w:val="00D15E97"/>
    <w:rsid w:val="00D16E17"/>
    <w:rsid w:val="00D17054"/>
    <w:rsid w:val="00D1720D"/>
    <w:rsid w:val="00D201CB"/>
    <w:rsid w:val="00D223C0"/>
    <w:rsid w:val="00D2371E"/>
    <w:rsid w:val="00D2382F"/>
    <w:rsid w:val="00D238EA"/>
    <w:rsid w:val="00D23B5D"/>
    <w:rsid w:val="00D24376"/>
    <w:rsid w:val="00D25165"/>
    <w:rsid w:val="00D25181"/>
    <w:rsid w:val="00D26074"/>
    <w:rsid w:val="00D26501"/>
    <w:rsid w:val="00D26772"/>
    <w:rsid w:val="00D26C2C"/>
    <w:rsid w:val="00D3061E"/>
    <w:rsid w:val="00D309B9"/>
    <w:rsid w:val="00D317C6"/>
    <w:rsid w:val="00D3261F"/>
    <w:rsid w:val="00D328C1"/>
    <w:rsid w:val="00D34393"/>
    <w:rsid w:val="00D34629"/>
    <w:rsid w:val="00D3479B"/>
    <w:rsid w:val="00D3480C"/>
    <w:rsid w:val="00D34974"/>
    <w:rsid w:val="00D3519B"/>
    <w:rsid w:val="00D3608B"/>
    <w:rsid w:val="00D3624E"/>
    <w:rsid w:val="00D374DD"/>
    <w:rsid w:val="00D401C4"/>
    <w:rsid w:val="00D4043F"/>
    <w:rsid w:val="00D40787"/>
    <w:rsid w:val="00D41485"/>
    <w:rsid w:val="00D423A9"/>
    <w:rsid w:val="00D4296B"/>
    <w:rsid w:val="00D42D99"/>
    <w:rsid w:val="00D44C7D"/>
    <w:rsid w:val="00D44E54"/>
    <w:rsid w:val="00D45091"/>
    <w:rsid w:val="00D45234"/>
    <w:rsid w:val="00D467D3"/>
    <w:rsid w:val="00D46862"/>
    <w:rsid w:val="00D5244B"/>
    <w:rsid w:val="00D52E84"/>
    <w:rsid w:val="00D537E4"/>
    <w:rsid w:val="00D53DD3"/>
    <w:rsid w:val="00D54170"/>
    <w:rsid w:val="00D56D18"/>
    <w:rsid w:val="00D56F6F"/>
    <w:rsid w:val="00D57B30"/>
    <w:rsid w:val="00D602A3"/>
    <w:rsid w:val="00D60FE8"/>
    <w:rsid w:val="00D616E9"/>
    <w:rsid w:val="00D61A67"/>
    <w:rsid w:val="00D61B53"/>
    <w:rsid w:val="00D6201B"/>
    <w:rsid w:val="00D621A3"/>
    <w:rsid w:val="00D66ADF"/>
    <w:rsid w:val="00D66B27"/>
    <w:rsid w:val="00D67344"/>
    <w:rsid w:val="00D677F6"/>
    <w:rsid w:val="00D7032C"/>
    <w:rsid w:val="00D716F5"/>
    <w:rsid w:val="00D71C40"/>
    <w:rsid w:val="00D71F9D"/>
    <w:rsid w:val="00D739F4"/>
    <w:rsid w:val="00D73EF9"/>
    <w:rsid w:val="00D73F88"/>
    <w:rsid w:val="00D745BC"/>
    <w:rsid w:val="00D74775"/>
    <w:rsid w:val="00D74CE9"/>
    <w:rsid w:val="00D76419"/>
    <w:rsid w:val="00D76B7E"/>
    <w:rsid w:val="00D803D8"/>
    <w:rsid w:val="00D8049E"/>
    <w:rsid w:val="00D8204F"/>
    <w:rsid w:val="00D82BBE"/>
    <w:rsid w:val="00D835BD"/>
    <w:rsid w:val="00D85A28"/>
    <w:rsid w:val="00D85D6A"/>
    <w:rsid w:val="00D8740A"/>
    <w:rsid w:val="00D874C2"/>
    <w:rsid w:val="00D90C58"/>
    <w:rsid w:val="00D91469"/>
    <w:rsid w:val="00D915D3"/>
    <w:rsid w:val="00D918D5"/>
    <w:rsid w:val="00D93A10"/>
    <w:rsid w:val="00D9449F"/>
    <w:rsid w:val="00D945DE"/>
    <w:rsid w:val="00D96460"/>
    <w:rsid w:val="00D96B68"/>
    <w:rsid w:val="00D96F87"/>
    <w:rsid w:val="00DA0653"/>
    <w:rsid w:val="00DA09F4"/>
    <w:rsid w:val="00DA0A1A"/>
    <w:rsid w:val="00DA1C8C"/>
    <w:rsid w:val="00DA4544"/>
    <w:rsid w:val="00DA4589"/>
    <w:rsid w:val="00DA5FDA"/>
    <w:rsid w:val="00DA76A3"/>
    <w:rsid w:val="00DB06AB"/>
    <w:rsid w:val="00DB1DCA"/>
    <w:rsid w:val="00DB281E"/>
    <w:rsid w:val="00DB47DF"/>
    <w:rsid w:val="00DB4AF3"/>
    <w:rsid w:val="00DB4D76"/>
    <w:rsid w:val="00DB50C4"/>
    <w:rsid w:val="00DB5227"/>
    <w:rsid w:val="00DB5372"/>
    <w:rsid w:val="00DB6AFA"/>
    <w:rsid w:val="00DC041C"/>
    <w:rsid w:val="00DC09AE"/>
    <w:rsid w:val="00DC0D3C"/>
    <w:rsid w:val="00DC1394"/>
    <w:rsid w:val="00DC2711"/>
    <w:rsid w:val="00DC4B9A"/>
    <w:rsid w:val="00DC6E75"/>
    <w:rsid w:val="00DC70DB"/>
    <w:rsid w:val="00DC7F4C"/>
    <w:rsid w:val="00DD02E6"/>
    <w:rsid w:val="00DD037A"/>
    <w:rsid w:val="00DD0425"/>
    <w:rsid w:val="00DD07E9"/>
    <w:rsid w:val="00DD07FD"/>
    <w:rsid w:val="00DD0DA6"/>
    <w:rsid w:val="00DD1753"/>
    <w:rsid w:val="00DD17F4"/>
    <w:rsid w:val="00DD32D1"/>
    <w:rsid w:val="00DD3E44"/>
    <w:rsid w:val="00DD4437"/>
    <w:rsid w:val="00DD45DC"/>
    <w:rsid w:val="00DD64AB"/>
    <w:rsid w:val="00DD6F10"/>
    <w:rsid w:val="00DD79A1"/>
    <w:rsid w:val="00DE0358"/>
    <w:rsid w:val="00DE0617"/>
    <w:rsid w:val="00DE090B"/>
    <w:rsid w:val="00DE0E06"/>
    <w:rsid w:val="00DE10E8"/>
    <w:rsid w:val="00DE144A"/>
    <w:rsid w:val="00DE1992"/>
    <w:rsid w:val="00DE1AD5"/>
    <w:rsid w:val="00DE247B"/>
    <w:rsid w:val="00DE262E"/>
    <w:rsid w:val="00DE2828"/>
    <w:rsid w:val="00DE46B1"/>
    <w:rsid w:val="00DE4BDD"/>
    <w:rsid w:val="00DE5F3D"/>
    <w:rsid w:val="00DE68FF"/>
    <w:rsid w:val="00DE7878"/>
    <w:rsid w:val="00DE7C78"/>
    <w:rsid w:val="00DE7F65"/>
    <w:rsid w:val="00DF0114"/>
    <w:rsid w:val="00DF024A"/>
    <w:rsid w:val="00DF0479"/>
    <w:rsid w:val="00DF0770"/>
    <w:rsid w:val="00DF2AE1"/>
    <w:rsid w:val="00DF51DD"/>
    <w:rsid w:val="00DF6027"/>
    <w:rsid w:val="00DF602F"/>
    <w:rsid w:val="00DF6258"/>
    <w:rsid w:val="00DF698B"/>
    <w:rsid w:val="00E00015"/>
    <w:rsid w:val="00E00418"/>
    <w:rsid w:val="00E006DC"/>
    <w:rsid w:val="00E00D3B"/>
    <w:rsid w:val="00E016FD"/>
    <w:rsid w:val="00E0174D"/>
    <w:rsid w:val="00E01ACF"/>
    <w:rsid w:val="00E01AFF"/>
    <w:rsid w:val="00E02DBF"/>
    <w:rsid w:val="00E04F2D"/>
    <w:rsid w:val="00E05F27"/>
    <w:rsid w:val="00E061D1"/>
    <w:rsid w:val="00E06547"/>
    <w:rsid w:val="00E06D86"/>
    <w:rsid w:val="00E0713A"/>
    <w:rsid w:val="00E07C1A"/>
    <w:rsid w:val="00E10571"/>
    <w:rsid w:val="00E108E4"/>
    <w:rsid w:val="00E1212A"/>
    <w:rsid w:val="00E133F0"/>
    <w:rsid w:val="00E13865"/>
    <w:rsid w:val="00E13EA0"/>
    <w:rsid w:val="00E14411"/>
    <w:rsid w:val="00E15427"/>
    <w:rsid w:val="00E15870"/>
    <w:rsid w:val="00E15CB5"/>
    <w:rsid w:val="00E1618D"/>
    <w:rsid w:val="00E16BDD"/>
    <w:rsid w:val="00E16F75"/>
    <w:rsid w:val="00E17127"/>
    <w:rsid w:val="00E20269"/>
    <w:rsid w:val="00E20FAA"/>
    <w:rsid w:val="00E2112A"/>
    <w:rsid w:val="00E2125D"/>
    <w:rsid w:val="00E22179"/>
    <w:rsid w:val="00E22191"/>
    <w:rsid w:val="00E228B4"/>
    <w:rsid w:val="00E234BF"/>
    <w:rsid w:val="00E244C4"/>
    <w:rsid w:val="00E24564"/>
    <w:rsid w:val="00E25699"/>
    <w:rsid w:val="00E27267"/>
    <w:rsid w:val="00E273B1"/>
    <w:rsid w:val="00E30EEA"/>
    <w:rsid w:val="00E32613"/>
    <w:rsid w:val="00E32639"/>
    <w:rsid w:val="00E340A1"/>
    <w:rsid w:val="00E34C1C"/>
    <w:rsid w:val="00E34E3A"/>
    <w:rsid w:val="00E353D8"/>
    <w:rsid w:val="00E357B1"/>
    <w:rsid w:val="00E35B0D"/>
    <w:rsid w:val="00E36239"/>
    <w:rsid w:val="00E36794"/>
    <w:rsid w:val="00E36D45"/>
    <w:rsid w:val="00E37A10"/>
    <w:rsid w:val="00E40A34"/>
    <w:rsid w:val="00E40B70"/>
    <w:rsid w:val="00E41322"/>
    <w:rsid w:val="00E418F1"/>
    <w:rsid w:val="00E41FDA"/>
    <w:rsid w:val="00E4386B"/>
    <w:rsid w:val="00E444D0"/>
    <w:rsid w:val="00E44E54"/>
    <w:rsid w:val="00E46197"/>
    <w:rsid w:val="00E47034"/>
    <w:rsid w:val="00E4794F"/>
    <w:rsid w:val="00E47C9A"/>
    <w:rsid w:val="00E5188E"/>
    <w:rsid w:val="00E53269"/>
    <w:rsid w:val="00E53774"/>
    <w:rsid w:val="00E53B5D"/>
    <w:rsid w:val="00E544F7"/>
    <w:rsid w:val="00E55CDD"/>
    <w:rsid w:val="00E57C49"/>
    <w:rsid w:val="00E57E90"/>
    <w:rsid w:val="00E6033E"/>
    <w:rsid w:val="00E615B7"/>
    <w:rsid w:val="00E6174D"/>
    <w:rsid w:val="00E6282A"/>
    <w:rsid w:val="00E63258"/>
    <w:rsid w:val="00E636E8"/>
    <w:rsid w:val="00E63AA9"/>
    <w:rsid w:val="00E64BA1"/>
    <w:rsid w:val="00E6542A"/>
    <w:rsid w:val="00E6565C"/>
    <w:rsid w:val="00E66CB9"/>
    <w:rsid w:val="00E67380"/>
    <w:rsid w:val="00E70813"/>
    <w:rsid w:val="00E7107B"/>
    <w:rsid w:val="00E71362"/>
    <w:rsid w:val="00E720E8"/>
    <w:rsid w:val="00E72178"/>
    <w:rsid w:val="00E730D5"/>
    <w:rsid w:val="00E73124"/>
    <w:rsid w:val="00E74F0C"/>
    <w:rsid w:val="00E75068"/>
    <w:rsid w:val="00E76646"/>
    <w:rsid w:val="00E7674A"/>
    <w:rsid w:val="00E76BBA"/>
    <w:rsid w:val="00E76D05"/>
    <w:rsid w:val="00E7744B"/>
    <w:rsid w:val="00E77A9E"/>
    <w:rsid w:val="00E801C3"/>
    <w:rsid w:val="00E817A3"/>
    <w:rsid w:val="00E818D4"/>
    <w:rsid w:val="00E82057"/>
    <w:rsid w:val="00E834C1"/>
    <w:rsid w:val="00E846B8"/>
    <w:rsid w:val="00E86054"/>
    <w:rsid w:val="00E867A2"/>
    <w:rsid w:val="00E868D3"/>
    <w:rsid w:val="00E87F62"/>
    <w:rsid w:val="00E87FAF"/>
    <w:rsid w:val="00E9023D"/>
    <w:rsid w:val="00E907B2"/>
    <w:rsid w:val="00E90F32"/>
    <w:rsid w:val="00E9233F"/>
    <w:rsid w:val="00E935D4"/>
    <w:rsid w:val="00E93BFD"/>
    <w:rsid w:val="00E94B91"/>
    <w:rsid w:val="00E9527B"/>
    <w:rsid w:val="00E95DBA"/>
    <w:rsid w:val="00E97F40"/>
    <w:rsid w:val="00EA1133"/>
    <w:rsid w:val="00EA154F"/>
    <w:rsid w:val="00EA36A3"/>
    <w:rsid w:val="00EA44AD"/>
    <w:rsid w:val="00EA4C5F"/>
    <w:rsid w:val="00EA57C8"/>
    <w:rsid w:val="00EA5A83"/>
    <w:rsid w:val="00EA5CEB"/>
    <w:rsid w:val="00EA60C2"/>
    <w:rsid w:val="00EA653A"/>
    <w:rsid w:val="00EA6BE5"/>
    <w:rsid w:val="00EA6C3C"/>
    <w:rsid w:val="00EA6FFA"/>
    <w:rsid w:val="00EA7126"/>
    <w:rsid w:val="00EA72D7"/>
    <w:rsid w:val="00EA7424"/>
    <w:rsid w:val="00EB03C0"/>
    <w:rsid w:val="00EB052E"/>
    <w:rsid w:val="00EB0C7D"/>
    <w:rsid w:val="00EB152A"/>
    <w:rsid w:val="00EB1ED8"/>
    <w:rsid w:val="00EB217B"/>
    <w:rsid w:val="00EB232A"/>
    <w:rsid w:val="00EB318F"/>
    <w:rsid w:val="00EB46E0"/>
    <w:rsid w:val="00EB4AA9"/>
    <w:rsid w:val="00EB4FCA"/>
    <w:rsid w:val="00EB55BD"/>
    <w:rsid w:val="00EB5A4C"/>
    <w:rsid w:val="00EB5CAA"/>
    <w:rsid w:val="00EC0774"/>
    <w:rsid w:val="00EC07D4"/>
    <w:rsid w:val="00EC0AB5"/>
    <w:rsid w:val="00EC1657"/>
    <w:rsid w:val="00EC1BC1"/>
    <w:rsid w:val="00EC23AE"/>
    <w:rsid w:val="00EC24DE"/>
    <w:rsid w:val="00EC26C8"/>
    <w:rsid w:val="00EC32BB"/>
    <w:rsid w:val="00EC3E4D"/>
    <w:rsid w:val="00EC4F04"/>
    <w:rsid w:val="00EC5020"/>
    <w:rsid w:val="00EC55E4"/>
    <w:rsid w:val="00EC585A"/>
    <w:rsid w:val="00EC5BF5"/>
    <w:rsid w:val="00EC67B5"/>
    <w:rsid w:val="00EC6EE1"/>
    <w:rsid w:val="00EC7EA6"/>
    <w:rsid w:val="00ED0707"/>
    <w:rsid w:val="00ED08E4"/>
    <w:rsid w:val="00ED3195"/>
    <w:rsid w:val="00ED3804"/>
    <w:rsid w:val="00ED46AF"/>
    <w:rsid w:val="00ED5266"/>
    <w:rsid w:val="00ED5C91"/>
    <w:rsid w:val="00ED5EDD"/>
    <w:rsid w:val="00ED60A8"/>
    <w:rsid w:val="00ED6273"/>
    <w:rsid w:val="00ED6612"/>
    <w:rsid w:val="00ED693E"/>
    <w:rsid w:val="00ED7CEE"/>
    <w:rsid w:val="00EE4363"/>
    <w:rsid w:val="00EE4E90"/>
    <w:rsid w:val="00EE59C9"/>
    <w:rsid w:val="00EE613E"/>
    <w:rsid w:val="00EE6FD4"/>
    <w:rsid w:val="00EE7676"/>
    <w:rsid w:val="00EE7D9B"/>
    <w:rsid w:val="00EF0111"/>
    <w:rsid w:val="00EF0E71"/>
    <w:rsid w:val="00EF3B2D"/>
    <w:rsid w:val="00EF5341"/>
    <w:rsid w:val="00EF5BD7"/>
    <w:rsid w:val="00EF5D14"/>
    <w:rsid w:val="00EF6078"/>
    <w:rsid w:val="00EF6485"/>
    <w:rsid w:val="00EF64AD"/>
    <w:rsid w:val="00EF7153"/>
    <w:rsid w:val="00F012BE"/>
    <w:rsid w:val="00F0151D"/>
    <w:rsid w:val="00F01E4C"/>
    <w:rsid w:val="00F03265"/>
    <w:rsid w:val="00F04030"/>
    <w:rsid w:val="00F04260"/>
    <w:rsid w:val="00F04497"/>
    <w:rsid w:val="00F05E00"/>
    <w:rsid w:val="00F07D5D"/>
    <w:rsid w:val="00F10412"/>
    <w:rsid w:val="00F10B32"/>
    <w:rsid w:val="00F118AA"/>
    <w:rsid w:val="00F118DB"/>
    <w:rsid w:val="00F12683"/>
    <w:rsid w:val="00F145AE"/>
    <w:rsid w:val="00F14DD3"/>
    <w:rsid w:val="00F15B17"/>
    <w:rsid w:val="00F17510"/>
    <w:rsid w:val="00F1767F"/>
    <w:rsid w:val="00F203AD"/>
    <w:rsid w:val="00F2072D"/>
    <w:rsid w:val="00F2099E"/>
    <w:rsid w:val="00F21A4F"/>
    <w:rsid w:val="00F21EAD"/>
    <w:rsid w:val="00F223C3"/>
    <w:rsid w:val="00F235D8"/>
    <w:rsid w:val="00F23DD7"/>
    <w:rsid w:val="00F23E69"/>
    <w:rsid w:val="00F2452B"/>
    <w:rsid w:val="00F25E90"/>
    <w:rsid w:val="00F2747A"/>
    <w:rsid w:val="00F2769B"/>
    <w:rsid w:val="00F31CD4"/>
    <w:rsid w:val="00F31CD8"/>
    <w:rsid w:val="00F3226B"/>
    <w:rsid w:val="00F32AB2"/>
    <w:rsid w:val="00F33BD9"/>
    <w:rsid w:val="00F33D7F"/>
    <w:rsid w:val="00F34C5D"/>
    <w:rsid w:val="00F358A5"/>
    <w:rsid w:val="00F37A8E"/>
    <w:rsid w:val="00F40F93"/>
    <w:rsid w:val="00F41EA6"/>
    <w:rsid w:val="00F424FB"/>
    <w:rsid w:val="00F426F4"/>
    <w:rsid w:val="00F42D67"/>
    <w:rsid w:val="00F437E8"/>
    <w:rsid w:val="00F43A8B"/>
    <w:rsid w:val="00F44373"/>
    <w:rsid w:val="00F44553"/>
    <w:rsid w:val="00F4553B"/>
    <w:rsid w:val="00F45E71"/>
    <w:rsid w:val="00F46588"/>
    <w:rsid w:val="00F50569"/>
    <w:rsid w:val="00F52B31"/>
    <w:rsid w:val="00F5340D"/>
    <w:rsid w:val="00F54EF0"/>
    <w:rsid w:val="00F55168"/>
    <w:rsid w:val="00F55FF3"/>
    <w:rsid w:val="00F5684E"/>
    <w:rsid w:val="00F60A34"/>
    <w:rsid w:val="00F61341"/>
    <w:rsid w:val="00F621E4"/>
    <w:rsid w:val="00F62291"/>
    <w:rsid w:val="00F6394D"/>
    <w:rsid w:val="00F643B1"/>
    <w:rsid w:val="00F64C57"/>
    <w:rsid w:val="00F659FB"/>
    <w:rsid w:val="00F66736"/>
    <w:rsid w:val="00F66DE6"/>
    <w:rsid w:val="00F67B71"/>
    <w:rsid w:val="00F67E91"/>
    <w:rsid w:val="00F70BBE"/>
    <w:rsid w:val="00F70BDB"/>
    <w:rsid w:val="00F70C29"/>
    <w:rsid w:val="00F71B2D"/>
    <w:rsid w:val="00F720A8"/>
    <w:rsid w:val="00F72C55"/>
    <w:rsid w:val="00F72E7C"/>
    <w:rsid w:val="00F73A01"/>
    <w:rsid w:val="00F74B8B"/>
    <w:rsid w:val="00F753F1"/>
    <w:rsid w:val="00F75526"/>
    <w:rsid w:val="00F764C7"/>
    <w:rsid w:val="00F767D1"/>
    <w:rsid w:val="00F76D0D"/>
    <w:rsid w:val="00F774DD"/>
    <w:rsid w:val="00F77B18"/>
    <w:rsid w:val="00F77C25"/>
    <w:rsid w:val="00F77EC3"/>
    <w:rsid w:val="00F805BE"/>
    <w:rsid w:val="00F806C2"/>
    <w:rsid w:val="00F809FE"/>
    <w:rsid w:val="00F81B4A"/>
    <w:rsid w:val="00F82790"/>
    <w:rsid w:val="00F82DB9"/>
    <w:rsid w:val="00F833C5"/>
    <w:rsid w:val="00F838B6"/>
    <w:rsid w:val="00F8483C"/>
    <w:rsid w:val="00F85A94"/>
    <w:rsid w:val="00F86E8F"/>
    <w:rsid w:val="00F87525"/>
    <w:rsid w:val="00F87892"/>
    <w:rsid w:val="00F90F43"/>
    <w:rsid w:val="00F9219B"/>
    <w:rsid w:val="00F928DC"/>
    <w:rsid w:val="00F928F8"/>
    <w:rsid w:val="00F9305F"/>
    <w:rsid w:val="00F94924"/>
    <w:rsid w:val="00F94C1D"/>
    <w:rsid w:val="00F97A3C"/>
    <w:rsid w:val="00FA11C8"/>
    <w:rsid w:val="00FA2197"/>
    <w:rsid w:val="00FA2F0A"/>
    <w:rsid w:val="00FA3C85"/>
    <w:rsid w:val="00FA4815"/>
    <w:rsid w:val="00FA4A2B"/>
    <w:rsid w:val="00FA6138"/>
    <w:rsid w:val="00FA6969"/>
    <w:rsid w:val="00FA755A"/>
    <w:rsid w:val="00FA7AEE"/>
    <w:rsid w:val="00FB0A73"/>
    <w:rsid w:val="00FB0ACE"/>
    <w:rsid w:val="00FB1CA5"/>
    <w:rsid w:val="00FB1D1E"/>
    <w:rsid w:val="00FB20DB"/>
    <w:rsid w:val="00FB2905"/>
    <w:rsid w:val="00FB3215"/>
    <w:rsid w:val="00FB357A"/>
    <w:rsid w:val="00FB49B3"/>
    <w:rsid w:val="00FB5488"/>
    <w:rsid w:val="00FB68EB"/>
    <w:rsid w:val="00FB6AE6"/>
    <w:rsid w:val="00FB6FA9"/>
    <w:rsid w:val="00FB754B"/>
    <w:rsid w:val="00FB7BB5"/>
    <w:rsid w:val="00FC18A5"/>
    <w:rsid w:val="00FC1BF2"/>
    <w:rsid w:val="00FC2283"/>
    <w:rsid w:val="00FC272C"/>
    <w:rsid w:val="00FC2D37"/>
    <w:rsid w:val="00FC31A4"/>
    <w:rsid w:val="00FC3593"/>
    <w:rsid w:val="00FC4B19"/>
    <w:rsid w:val="00FC51F7"/>
    <w:rsid w:val="00FC6429"/>
    <w:rsid w:val="00FC7041"/>
    <w:rsid w:val="00FC79C9"/>
    <w:rsid w:val="00FD0442"/>
    <w:rsid w:val="00FD04D8"/>
    <w:rsid w:val="00FD0783"/>
    <w:rsid w:val="00FD0A38"/>
    <w:rsid w:val="00FD0D25"/>
    <w:rsid w:val="00FD1457"/>
    <w:rsid w:val="00FD1793"/>
    <w:rsid w:val="00FD1E00"/>
    <w:rsid w:val="00FD2A00"/>
    <w:rsid w:val="00FD2B7C"/>
    <w:rsid w:val="00FD3734"/>
    <w:rsid w:val="00FD478B"/>
    <w:rsid w:val="00FD4EAD"/>
    <w:rsid w:val="00FD5246"/>
    <w:rsid w:val="00FD57E8"/>
    <w:rsid w:val="00FD6BAA"/>
    <w:rsid w:val="00FD7EC8"/>
    <w:rsid w:val="00FE00E5"/>
    <w:rsid w:val="00FE0843"/>
    <w:rsid w:val="00FE10DE"/>
    <w:rsid w:val="00FE1D6C"/>
    <w:rsid w:val="00FE31F6"/>
    <w:rsid w:val="00FE3BF0"/>
    <w:rsid w:val="00FE3BFF"/>
    <w:rsid w:val="00FE484F"/>
    <w:rsid w:val="00FE4A68"/>
    <w:rsid w:val="00FE5014"/>
    <w:rsid w:val="00FE55B4"/>
    <w:rsid w:val="00FE5A0C"/>
    <w:rsid w:val="00FE779B"/>
    <w:rsid w:val="00FF1167"/>
    <w:rsid w:val="00FF15BD"/>
    <w:rsid w:val="00FF23A0"/>
    <w:rsid w:val="00FF424A"/>
    <w:rsid w:val="00FF48B5"/>
    <w:rsid w:val="00FF48F0"/>
    <w:rsid w:val="00FF4D84"/>
    <w:rsid w:val="00FF515B"/>
    <w:rsid w:val="00FF57F6"/>
    <w:rsid w:val="00FF703D"/>
    <w:rsid w:val="00FF7149"/>
    <w:rsid w:val="00FF72DB"/>
    <w:rsid w:val="00FF7320"/>
    <w:rsid w:val="051539C0"/>
    <w:rsid w:val="06799A9A"/>
    <w:rsid w:val="0AAA3E0E"/>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4C9103BF"/>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DCE3E0-7871-47FF-9FAA-DD05EC7C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11"/>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styleId="UnresolvedMention">
    <w:name w:val="Unresolved Mention"/>
    <w:basedOn w:val="DefaultParagraphFont"/>
    <w:uiPriority w:val="99"/>
    <w:semiHidden/>
    <w:unhideWhenUsed/>
    <w:rsid w:val="00236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1660036">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950208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14725044">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4840532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ews/2024016-%C3%A9valuation-des-effets-cumulatifs" TargetMode="External"/><Relationship Id="rId26" Type="http://schemas.openxmlformats.org/officeDocument/2006/relationships/footer" Target="footer4.xml"/><Relationship Id="rId39" Type="http://schemas.openxmlformats.org/officeDocument/2006/relationships/header" Target="header11.xml"/><Relationship Id="rId21" Type="http://schemas.openxmlformats.org/officeDocument/2006/relationships/hyperlink" Target="https://treaties.un.org/Pages/ViewDetails.aspx?src=TREATY&amp;mtdsg_no=XXI-10&amp;chapter=21&amp;clang=_fr" TargetMode="External"/><Relationship Id="rId34" Type="http://schemas.microsoft.com/office/2007/relationships/diagramDrawing" Target="diagrams/drawing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cumulative-effects-assessment-migratory-species" TargetMode="External"/><Relationship Id="rId29" Type="http://schemas.openxmlformats.org/officeDocument/2006/relationships/hyperlink" Target="https://www.cms.int/en/document/cumulative-effects-assessment-migratory-spec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diagramQuickStyle" Target="diagrams/quickStyle1.xml"/><Relationship Id="rId37" Type="http://schemas.openxmlformats.org/officeDocument/2006/relationships/header" Target="header9.xml"/><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document/infrastructure" TargetMode="External"/><Relationship Id="rId28" Type="http://schemas.openxmlformats.org/officeDocument/2006/relationships/footer" Target="foot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fr/node/25555"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cumulative-effects-assessment-migratory-species" TargetMode="External"/><Relationship Id="rId27" Type="http://schemas.openxmlformats.org/officeDocument/2006/relationships/header" Target="header6.xml"/><Relationship Id="rId30" Type="http://schemas.openxmlformats.org/officeDocument/2006/relationships/diagramData" Target="diagrams/data1.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diagramColors" Target="diagrams/colors1.xm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royalsocietypublishing.org/toc/rstb/2025/380/1925" TargetMode="External"/><Relationship Id="rId1" Type="http://schemas.openxmlformats.org/officeDocument/2006/relationships/hyperlink" Target="https://www.iaia.org/wiki-details.php?ID=23"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n-DE"/>
            <a:t>Définir l'objectif ou le problème de l'EEC</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n-DE"/>
            <a:t>Sélectionner les composantes vulnérables de l'écosystème (VEC)</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n-DE"/>
            <a:t>Définir la portée, c'est-à-dire les limites spatiales et temporelles de l'évaluation</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n-DE"/>
            <a:t>Identifier les activités passées, présentes et futures (prévisibles) susceptibles d'avoir une incidence sur les VEC</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n-DE"/>
            <a:t>Établir une base de référence : description des conditions environnementales, sélection d'indicateurs et identification des parties prenantes qui doivent être impliquées</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8CA1329-E4BB-449A-ACD8-CFF1EE5E1EC5}">
      <dgm:prSet/>
      <dgm:spPr/>
      <dgm:t>
        <a:bodyPr/>
        <a:lstStyle/>
        <a:p>
          <a:pPr>
            <a:buFont typeface="+mj-lt"/>
            <a:buAutoNum type="arabicPeriod"/>
          </a:pPr>
          <a:r>
            <a:rPr lang="en-DE"/>
            <a:t>Déterminer l'importance des effets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n-DE"/>
            <a:t>Prise de décision et gestion</a:t>
          </a:r>
          <a:r>
            <a:rPr lang="en-GB"/>
            <a:t> </a:t>
          </a:r>
          <a:r>
            <a:rPr lang="en-US"/>
            <a:t>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n-DE"/>
            <a:t>Surveiller les résultats et les performances de l'analyse coût-efficacité</a:t>
          </a:r>
          <a:r>
            <a:rPr lang="en-GB"/>
            <a:t>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F957C881-F319-4D0E-A592-BE06B580FA6B}">
      <dgm:prSet/>
      <dgm:spPr/>
      <dgm:t>
        <a:bodyPr/>
        <a:lstStyle/>
        <a:p>
          <a:pPr>
            <a:buFont typeface="+mj-lt"/>
            <a:buAutoNum type="arabicPeriod"/>
          </a:pPr>
          <a:r>
            <a:rPr lang="en-DE"/>
            <a:t>Analyser et prévoir les effets cumulatifs sur </a:t>
          </a:r>
          <a:r>
            <a:rPr lang="en-GB"/>
            <a:t>les </a:t>
          </a:r>
          <a:r>
            <a:rPr lang="en-DE"/>
            <a:t>VEC dans les limites spatiales et temporelles choisies.</a:t>
          </a:r>
          <a:endParaRPr lang="nl-NL"/>
        </a:p>
      </dgm:t>
    </dgm:pt>
    <dgm:pt modelId="{722EAACD-4AC9-4469-A09C-56B3D3182EB5}" type="parTrans" cxnId="{895DA5CD-C1D7-454C-88EB-80ADD69594A7}">
      <dgm:prSet/>
      <dgm:spPr/>
    </dgm:pt>
    <dgm:pt modelId="{DE3E2CBC-2F29-4E56-BE79-91E1F6F914EA}" type="sibTrans" cxnId="{895DA5CD-C1D7-454C-88EB-80ADD69594A7}">
      <dgm:prSet/>
      <dgm:spPr/>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3D6C112D-0511-4FE3-ABED-0F5A8C8FBC11}" type="pres">
      <dgm:prSet presAssocID="{F957C881-F319-4D0E-A592-BE06B580FA6B}" presName="textNode" presStyleLbl="node1" presStyleIdx="5" presStyleCnt="9">
        <dgm:presLayoutVars>
          <dgm:bulletEnabled val="1"/>
        </dgm:presLayoutVars>
      </dgm:prSet>
      <dgm:spPr/>
    </dgm:pt>
    <dgm:pt modelId="{2192CEDE-983B-448F-B123-856DA52F565B}" type="pres">
      <dgm:prSet presAssocID="{DE3E2CBC-2F29-4E56-BE79-91E1F6F914EA}"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26975FA1-E391-4C72-BDCA-390B1DB39301}" type="presOf" srcId="{F957C881-F319-4D0E-A592-BE06B580FA6B}" destId="{3D6C112D-0511-4FE3-ABED-0F5A8C8FBC11}"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895DA5CD-C1D7-454C-88EB-80ADD69594A7}" srcId="{B2114511-C912-47AD-902E-F5947861A1A8}" destId="{F957C881-F319-4D0E-A592-BE06B580FA6B}" srcOrd="5" destOrd="0" parTransId="{722EAACD-4AC9-4469-A09C-56B3D3182EB5}" sibTransId="{DE3E2CBC-2F29-4E56-BE79-91E1F6F914EA}"/>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DE10073B-7A79-45B4-A660-9D0D7A7ABE17}" type="presParOf" srcId="{6934A173-34C0-4E71-A788-026C958409FC}" destId="{3D6C112D-0511-4FE3-ABED-0F5A8C8FBC11}" srcOrd="10" destOrd="0" presId="urn:microsoft.com/office/officeart/2005/8/layout/hProcess9"/>
    <dgm:cxn modelId="{BF69E629-4027-4FC1-AACA-68E6ED46135A}" type="presParOf" srcId="{6934A173-34C0-4E71-A788-026C958409FC}" destId="{2192CEDE-983B-448F-B123-856DA52F565B}"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Définir l'objectif ou le problème de l'EEC</a:t>
          </a:r>
          <a:endParaRPr lang="nl-NL" sz="5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Sélectionner les composantes vulnérables de l'écosystème (VEC)</a:t>
          </a:r>
          <a:endParaRPr lang="nl-NL" sz="5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Définir la portée, c'est-à-dire les limites spatiales et temporelles de l'évaluation</a:t>
          </a:r>
          <a:endParaRPr lang="nl-NL" sz="5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DE" sz="500" kern="1200"/>
            <a:t>Identifier les activités passées, présentes et futures (prévisibles) susceptibles d'avoir une incidence sur les VEC</a:t>
          </a:r>
          <a:endParaRPr lang="nl-NL" sz="5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Établir une base de référence : description des conditions environnementales, sélection d'indicateurs et identification des parties prenantes qui doivent être impliquées</a:t>
          </a:r>
          <a:endParaRPr lang="nl-NL" sz="500" kern="1200"/>
        </a:p>
      </dsp:txBody>
      <dsp:txXfrm>
        <a:off x="2480010" y="988596"/>
        <a:ext cx="526379" cy="1223208"/>
      </dsp:txXfrm>
    </dsp:sp>
    <dsp:sp modelId="{3D6C112D-0511-4FE3-ABED-0F5A8C8FBC11}">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Analyser et prévoir les effets cumulatifs sur </a:t>
          </a:r>
          <a:r>
            <a:rPr lang="en-GB" sz="500" kern="1200"/>
            <a:t>les </a:t>
          </a:r>
          <a:r>
            <a:rPr lang="en-DE" sz="500" kern="1200"/>
            <a:t>VEC dans les limites spatiales et temporelles choisies.</a:t>
          </a:r>
          <a:endParaRPr lang="nl-NL" sz="5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Déterminer l'importance des effets</a:t>
          </a:r>
          <a:endParaRPr lang="nl-NL" sz="5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Prise de décision et gestion</a:t>
          </a:r>
          <a:r>
            <a:rPr lang="en-GB" sz="500" kern="1200"/>
            <a:t> </a:t>
          </a:r>
          <a:r>
            <a:rPr lang="en-US" sz="500" kern="1200"/>
            <a:t> </a:t>
          </a:r>
          <a:endParaRPr lang="nl-NL" sz="5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Font typeface="+mj-lt"/>
            <a:buNone/>
          </a:pPr>
          <a:r>
            <a:rPr lang="en-DE" sz="500" kern="1200"/>
            <a:t>Surveiller les résultats et les performances de l'analyse coût-efficacité</a:t>
          </a:r>
          <a:r>
            <a:rPr lang="en-GB" sz="500" kern="1200"/>
            <a:t> </a:t>
          </a:r>
          <a:endParaRPr lang="nl-NL" sz="5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238EE-3B48-4069-8739-5AEDC570AFD5}">
  <ds:schemaRefs>
    <ds:schemaRef ds:uri="http://schemas.openxmlformats.org/officeDocument/2006/bibliography"/>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DBECBB2-9502-48C6-8A7C-58F4417B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4817</Words>
  <Characters>27459</Characters>
  <Application>Microsoft Office Word</Application>
  <DocSecurity>0</DocSecurity>
  <Lines>228</Lines>
  <Paragraphs>64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32212</CharactersWithSpaces>
  <SharedDoc>false</SharedDoc>
  <HLinks>
    <vt:vector size="48" baseType="variant">
      <vt:variant>
        <vt:i4>6946938</vt:i4>
      </vt:variant>
      <vt:variant>
        <vt:i4>12</vt:i4>
      </vt:variant>
      <vt:variant>
        <vt:i4>0</vt:i4>
      </vt:variant>
      <vt:variant>
        <vt:i4>5</vt:i4>
      </vt:variant>
      <vt:variant>
        <vt:lpwstr>https://www.transportecology.info/</vt:lpwstr>
      </vt:variant>
      <vt:variant>
        <vt:lpwstr/>
      </vt:variant>
      <vt:variant>
        <vt:i4>2162796</vt:i4>
      </vt:variant>
      <vt:variant>
        <vt:i4>9</vt:i4>
      </vt:variant>
      <vt:variant>
        <vt:i4>0</vt:i4>
      </vt:variant>
      <vt:variant>
        <vt:i4>5</vt:i4>
      </vt:variant>
      <vt:variant>
        <vt:lpwstr>https://treaties.un.org/Pages/ViewDetails.aspx?src=TREATY&amp;mtdsg_no=XXI-10&amp;chapter=21&amp;clang=_en</vt:lpwstr>
      </vt:variant>
      <vt:variant>
        <vt:lpwstr/>
      </vt:variant>
      <vt:variant>
        <vt:i4>6488161</vt:i4>
      </vt:variant>
      <vt:variant>
        <vt:i4>6</vt:i4>
      </vt:variant>
      <vt:variant>
        <vt:i4>0</vt:i4>
      </vt:variant>
      <vt:variant>
        <vt:i4>5</vt:i4>
      </vt:variant>
      <vt:variant>
        <vt:lpwstr>https://www.cms.int/en/document/responses-decision-14204-cumulative-effects-assessments</vt:lpwstr>
      </vt:variant>
      <vt:variant>
        <vt:lpwstr/>
      </vt:variant>
      <vt:variant>
        <vt:i4>6619252</vt:i4>
      </vt:variant>
      <vt:variant>
        <vt:i4>3</vt:i4>
      </vt:variant>
      <vt:variant>
        <vt:i4>0</vt:i4>
      </vt:variant>
      <vt:variant>
        <vt:i4>5</vt:i4>
      </vt:variant>
      <vt:variant>
        <vt:lpwstr>https://www.cms.int/en/news/2024016-cumulative-effects-assessments</vt:lpwstr>
      </vt:variant>
      <vt:variant>
        <vt:lpwstr/>
      </vt:variant>
      <vt:variant>
        <vt:i4>1048667</vt:i4>
      </vt:variant>
      <vt:variant>
        <vt:i4>0</vt:i4>
      </vt:variant>
      <vt:variant>
        <vt:i4>0</vt:i4>
      </vt:variant>
      <vt:variant>
        <vt:i4>5</vt:i4>
      </vt:variant>
      <vt:variant>
        <vt:lpwstr>https://www.cms.int/en/document/impact-assessment-and-migratory-species-4</vt:lpwstr>
      </vt:variant>
      <vt:variant>
        <vt:lpwstr/>
      </vt:variant>
      <vt:variant>
        <vt:i4>4456459</vt:i4>
      </vt:variant>
      <vt:variant>
        <vt:i4>6</vt:i4>
      </vt:variant>
      <vt:variant>
        <vt:i4>0</vt:i4>
      </vt:variant>
      <vt:variant>
        <vt:i4>5</vt:i4>
      </vt:variant>
      <vt:variant>
        <vt:lpwstr>https://royalsocietypublishing.org/toc/rstb/2025/380/1925</vt:lpwstr>
      </vt:variant>
      <vt:variant>
        <vt:lpwstr/>
      </vt:variant>
      <vt:variant>
        <vt:i4>5439578</vt:i4>
      </vt:variant>
      <vt:variant>
        <vt:i4>3</vt:i4>
      </vt:variant>
      <vt:variant>
        <vt:i4>0</vt:i4>
      </vt:variant>
      <vt:variant>
        <vt:i4>5</vt:i4>
      </vt:variant>
      <vt:variant>
        <vt:lpwstr>https://www.iisd.org/learning/eia/wp-content/uploads/2016/05/SIA.pdf</vt:lpwstr>
      </vt:variant>
      <vt:variant>
        <vt:lpwstr/>
      </vt:variant>
      <vt:variant>
        <vt:i4>3539053</vt:i4>
      </vt:variant>
      <vt:variant>
        <vt:i4>0</vt:i4>
      </vt:variant>
      <vt:variant>
        <vt:i4>0</vt:i4>
      </vt:variant>
      <vt:variant>
        <vt:i4>5</vt:i4>
      </vt:variant>
      <vt:variant>
        <vt:lpwstr>https://www.iaia.org/wiki-details.php?ID=23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2019-09-22T11:54:00Z</cp:lastPrinted>
  <dcterms:created xsi:type="dcterms:W3CDTF">2025-10-21T13:19:00Z</dcterms:created>
  <dcterms:modified xsi:type="dcterms:W3CDTF">2025-10-22T09:52:00Z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