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090A6612" w:rsidR="00002A97" w:rsidRPr="00457C8A"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457C8A">
              <w:rPr>
                <w:rFonts w:eastAsia="Times New Roman" w:cs="Arial"/>
                <w:szCs w:val="24"/>
                <w:lang w:val="fr-FR" w:eastAsia="es-ES"/>
              </w:rPr>
              <w:t>UNEP/CMS/COP1</w:t>
            </w:r>
            <w:r w:rsidR="00C22155">
              <w:rPr>
                <w:rFonts w:eastAsia="Times New Roman" w:cs="Arial"/>
                <w:szCs w:val="24"/>
                <w:lang w:val="fr-FR" w:eastAsia="es-ES"/>
              </w:rPr>
              <w:t>5</w:t>
            </w:r>
            <w:r w:rsidRPr="00457C8A">
              <w:rPr>
                <w:rFonts w:eastAsia="Times New Roman" w:cs="Arial"/>
                <w:szCs w:val="24"/>
                <w:lang w:val="fr-FR" w:eastAsia="es-ES"/>
              </w:rPr>
              <w:t>/</w:t>
            </w:r>
            <w:r w:rsidR="00800CB3">
              <w:rPr>
                <w:rFonts w:eastAsia="Times New Roman" w:cs="Arial"/>
                <w:szCs w:val="24"/>
                <w:lang w:val="fr-FR" w:eastAsia="es-ES"/>
              </w:rPr>
              <w:t>Doc</w:t>
            </w:r>
            <w:r w:rsidRPr="00457C8A">
              <w:rPr>
                <w:rFonts w:eastAsia="Times New Roman" w:cs="Arial"/>
                <w:szCs w:val="24"/>
                <w:lang w:val="fr-FR" w:eastAsia="es-ES"/>
              </w:rPr>
              <w:t>.</w:t>
            </w:r>
            <w:r w:rsidR="00E26150">
              <w:rPr>
                <w:rFonts w:eastAsia="Times New Roman" w:cs="Arial"/>
                <w:szCs w:val="24"/>
                <w:lang w:val="fr-FR" w:eastAsia="es-ES"/>
              </w:rPr>
              <w:t>28.7</w:t>
            </w:r>
          </w:p>
          <w:p w14:paraId="5F9B9DE6" w14:textId="0A60665D" w:rsidR="00002A97" w:rsidRPr="001E73E0" w:rsidRDefault="008B2F29"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Pr>
                <w:rFonts w:eastAsia="Times New Roman" w:cs="Arial"/>
                <w:szCs w:val="24"/>
                <w:lang w:val="fr-FR" w:eastAsia="es-ES"/>
              </w:rPr>
              <w:t xml:space="preserve">12 de </w:t>
            </w:r>
            <w:proofErr w:type="spellStart"/>
            <w:r>
              <w:rPr>
                <w:rFonts w:eastAsia="Times New Roman" w:cs="Arial"/>
                <w:szCs w:val="24"/>
                <w:lang w:val="fr-FR" w:eastAsia="es-ES"/>
              </w:rPr>
              <w:t>septiembrw</w:t>
            </w:r>
            <w:proofErr w:type="spellEnd"/>
            <w:r w:rsidR="00EF1D13" w:rsidRPr="001E73E0">
              <w:rPr>
                <w:rFonts w:eastAsia="Times New Roman" w:cs="Arial"/>
                <w:szCs w:val="24"/>
                <w:lang w:val="fr-FR" w:eastAsia="es-ES"/>
              </w:rPr>
              <w:t xml:space="preserve"> </w:t>
            </w:r>
            <w:r w:rsidR="00002A97" w:rsidRPr="001E73E0">
              <w:rPr>
                <w:rFonts w:eastAsia="Times New Roman" w:cs="Arial"/>
                <w:szCs w:val="24"/>
                <w:lang w:val="fr-FR" w:eastAsia="es-ES"/>
              </w:rPr>
              <w:t>20</w:t>
            </w:r>
            <w:r w:rsidR="000F4BDA" w:rsidRPr="001E73E0">
              <w:rPr>
                <w:rFonts w:eastAsia="Times New Roman" w:cs="Arial"/>
                <w:szCs w:val="24"/>
                <w:lang w:val="fr-FR" w:eastAsia="es-ES"/>
              </w:rPr>
              <w:t>2</w:t>
            </w:r>
            <w:r w:rsidR="00BE6C85" w:rsidRPr="001E73E0">
              <w:rPr>
                <w:rFonts w:eastAsia="Times New Roman" w:cs="Arial"/>
                <w:szCs w:val="24"/>
                <w:lang w:val="fr-FR"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236174DA"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E26150">
        <w:rPr>
          <w:rFonts w:eastAsia="Times New Roman" w:cs="Arial"/>
          <w:szCs w:val="24"/>
          <w:lang w:val="es-ES" w:eastAsia="es-ES"/>
        </w:rPr>
        <w:t>28.7</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2E48EAE5" w14:textId="77777777" w:rsidR="00C42483" w:rsidRPr="000E4BDB" w:rsidRDefault="00C42483" w:rsidP="00C4248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9"/>
        <w:jc w:val="center"/>
        <w:textAlignment w:val="baseline"/>
        <w:outlineLvl w:val="1"/>
        <w:rPr>
          <w:rFonts w:eastAsia="Times New Roman" w:cs="Arial"/>
          <w:b/>
          <w:bCs/>
          <w:lang w:val="es-ES"/>
        </w:rPr>
      </w:pPr>
      <w:r w:rsidRPr="000E4BDB">
        <w:rPr>
          <w:rFonts w:eastAsia="Times New Roman" w:cs="Arial"/>
          <w:b/>
          <w:bCs/>
          <w:lang w:val="es-ES"/>
        </w:rPr>
        <w:t>CONTAMINACIÓN LUMÍNICA</w:t>
      </w:r>
    </w:p>
    <w:p w14:paraId="649BC530" w14:textId="3E6814AE" w:rsidR="00002A97" w:rsidRPr="00002A97" w:rsidRDefault="00C42483" w:rsidP="00C42483">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0E4BDB">
        <w:rPr>
          <w:rFonts w:eastAsia="Times New Roman" w:cs="Arial"/>
          <w:i/>
          <w:lang w:val="es-ES"/>
        </w:rPr>
        <w:t>(Preparado por el Consejo Científico)</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6A511901">
                <wp:simplePos x="0" y="0"/>
                <wp:positionH relativeFrom="column">
                  <wp:posOffset>971550</wp:posOffset>
                </wp:positionH>
                <wp:positionV relativeFrom="paragraph">
                  <wp:posOffset>147320</wp:posOffset>
                </wp:positionV>
                <wp:extent cx="4304666" cy="134302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1343025"/>
                        </a:xfrm>
                        <a:prstGeom prst="rect">
                          <a:avLst/>
                        </a:prstGeom>
                        <a:solidFill>
                          <a:srgbClr val="FFFFFF"/>
                        </a:solidFill>
                        <a:ln w="3172">
                          <a:solidFill>
                            <a:srgbClr val="000000"/>
                          </a:solidFill>
                          <a:prstDash val="solid"/>
                        </a:ln>
                      </wps:spPr>
                      <wps:txb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2D5F2A">
                            <w:pPr>
                              <w:spacing w:after="0"/>
                              <w:rPr>
                                <w:rFonts w:cs="Arial"/>
                                <w:lang w:val="fr-FR"/>
                              </w:rPr>
                            </w:pPr>
                          </w:p>
                          <w:p w14:paraId="7400141E" w14:textId="77777777" w:rsidR="006C41EE" w:rsidRPr="0028126F" w:rsidRDefault="006C41EE" w:rsidP="006C41EE">
                            <w:pPr>
                              <w:spacing w:after="0" w:line="240" w:lineRule="auto"/>
                              <w:jc w:val="both"/>
                              <w:rPr>
                                <w:rFonts w:cs="Arial"/>
                                <w:lang w:val="es-ES"/>
                              </w:rPr>
                            </w:pPr>
                            <w:r w:rsidRPr="0028126F">
                              <w:rPr>
                                <w:rFonts w:cs="Arial"/>
                                <w:lang w:val="es-ES"/>
                              </w:rPr>
                              <w:t xml:space="preserve">Este documento informa sobre los avances en la aplicación de las Decisiones 14.221 y 14.222 </w:t>
                            </w:r>
                            <w:r w:rsidRPr="0028126F">
                              <w:rPr>
                                <w:rFonts w:cs="Arial"/>
                                <w:i/>
                                <w:iCs/>
                                <w:lang w:val="es-ES"/>
                              </w:rPr>
                              <w:t>Directrices internacionales de la CMS sobre la contaminación lumínica para las especies migratorias</w:t>
                            </w:r>
                            <w:r w:rsidRPr="0028126F">
                              <w:rPr>
                                <w:rFonts w:cs="Arial"/>
                                <w:lang w:val="es-ES"/>
                              </w:rPr>
                              <w:t xml:space="preserve"> y propone la supresión de dichas Decisiones.</w:t>
                            </w:r>
                          </w:p>
                          <w:p w14:paraId="4210C14D" w14:textId="77777777" w:rsidR="006C41EE" w:rsidRPr="0028126F" w:rsidRDefault="006C41EE" w:rsidP="006C41EE">
                            <w:pPr>
                              <w:spacing w:after="0" w:line="240" w:lineRule="auto"/>
                              <w:jc w:val="both"/>
                              <w:rPr>
                                <w:rFonts w:cs="Arial"/>
                                <w:lang w:val="es-ES"/>
                              </w:rPr>
                            </w:pPr>
                          </w:p>
                          <w:p w14:paraId="584BEE41" w14:textId="77777777" w:rsidR="006C41EE" w:rsidRPr="006C41EE" w:rsidRDefault="006C41EE"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6pt;width:338.95pt;height:105.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" strokeweight=".08811mm">
                <v:textbo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2D5F2A">
                      <w:pPr>
                        <w:spacing w:after="0"/>
                        <w:rPr>
                          <w:rFonts w:cs="Arial"/>
                          <w:lang w:val="fr-FR"/>
                        </w:rPr>
                      </w:pPr>
                    </w:p>
                    <w:p w14:paraId="7400141E" w14:textId="77777777" w:rsidR="006C41EE" w:rsidRPr="0028126F" w:rsidRDefault="006C41EE" w:rsidP="006C41EE">
                      <w:pPr>
                        <w:spacing w:after="0" w:line="240" w:lineRule="auto"/>
                        <w:jc w:val="both"/>
                        <w:rPr>
                          <w:rFonts w:cs="Arial"/>
                          <w:lang w:val="es-ES"/>
                        </w:rPr>
                      </w:pPr>
                      <w:r w:rsidRPr="0028126F">
                        <w:rPr>
                          <w:rFonts w:cs="Arial"/>
                          <w:lang w:val="es-ES"/>
                        </w:rPr>
                        <w:t xml:space="preserve">Este documento informa sobre los avances en la aplicación de las Decisiones 14.221 y 14.222 </w:t>
                      </w:r>
                      <w:r w:rsidRPr="0028126F">
                        <w:rPr>
                          <w:rFonts w:cs="Arial"/>
                          <w:i/>
                          <w:iCs/>
                          <w:lang w:val="es-ES"/>
                        </w:rPr>
                        <w:t>Directrices internacionales de la CMS sobre la contaminación lumínica para las especies migratorias</w:t>
                      </w:r>
                      <w:r w:rsidRPr="0028126F">
                        <w:rPr>
                          <w:rFonts w:cs="Arial"/>
                          <w:lang w:val="es-ES"/>
                        </w:rPr>
                        <w:t xml:space="preserve"> y propone la supresión de dichas Decisiones.</w:t>
                      </w:r>
                    </w:p>
                    <w:p w14:paraId="4210C14D" w14:textId="77777777" w:rsidR="006C41EE" w:rsidRPr="0028126F" w:rsidRDefault="006C41EE" w:rsidP="006C41EE">
                      <w:pPr>
                        <w:spacing w:after="0" w:line="240" w:lineRule="auto"/>
                        <w:jc w:val="both"/>
                        <w:rPr>
                          <w:rFonts w:cs="Arial"/>
                          <w:lang w:val="es-ES"/>
                        </w:rPr>
                      </w:pPr>
                    </w:p>
                    <w:p w14:paraId="584BEE41" w14:textId="77777777" w:rsidR="006C41EE" w:rsidRPr="006C41EE" w:rsidRDefault="006C41EE"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3C19C11D" w14:textId="77777777" w:rsidR="0011328D" w:rsidRPr="00E37AA1" w:rsidRDefault="0011328D" w:rsidP="0011328D">
      <w:pPr>
        <w:pStyle w:val="Title1"/>
        <w:rPr>
          <w:caps w:val="0"/>
          <w:sz w:val="22"/>
          <w:szCs w:val="22"/>
        </w:rPr>
      </w:pPr>
      <w:r w:rsidRPr="00E37AA1">
        <w:rPr>
          <w:caps w:val="0"/>
          <w:sz w:val="22"/>
          <w:szCs w:val="22"/>
        </w:rPr>
        <w:lastRenderedPageBreak/>
        <w:t>CONTAMINACIÓN LUMÍNICA</w:t>
      </w:r>
    </w:p>
    <w:p w14:paraId="43124735" w14:textId="77777777" w:rsidR="0011328D" w:rsidRPr="000E4BDB" w:rsidRDefault="0011328D" w:rsidP="0011328D">
      <w:pPr>
        <w:suppressAutoHyphens/>
        <w:autoSpaceDN w:val="0"/>
        <w:spacing w:after="0" w:line="240" w:lineRule="auto"/>
        <w:textAlignment w:val="baseline"/>
        <w:rPr>
          <w:rFonts w:eastAsia="Calibri" w:cs="Arial"/>
          <w:u w:val="single"/>
          <w:lang w:val="es-ES"/>
        </w:rPr>
      </w:pPr>
    </w:p>
    <w:p w14:paraId="2F4295A5" w14:textId="77777777" w:rsidR="0011328D" w:rsidRPr="000E4BDB" w:rsidRDefault="0011328D" w:rsidP="0011328D">
      <w:pPr>
        <w:suppressAutoHyphens/>
        <w:autoSpaceDN w:val="0"/>
        <w:spacing w:after="0" w:line="240" w:lineRule="auto"/>
        <w:textAlignment w:val="baseline"/>
        <w:rPr>
          <w:rFonts w:eastAsia="Calibri" w:cs="Arial"/>
          <w:u w:val="single"/>
          <w:lang w:val="es-ES"/>
        </w:rPr>
      </w:pPr>
    </w:p>
    <w:p w14:paraId="2873A92B" w14:textId="77777777" w:rsidR="0011328D" w:rsidRPr="000E4BDB" w:rsidRDefault="0011328D" w:rsidP="0011328D">
      <w:pPr>
        <w:suppressAutoHyphens/>
        <w:autoSpaceDN w:val="0"/>
        <w:spacing w:after="0" w:line="240" w:lineRule="auto"/>
        <w:textAlignment w:val="baseline"/>
        <w:rPr>
          <w:rFonts w:eastAsia="Calibri" w:cs="Arial"/>
          <w:u w:val="single"/>
          <w:lang w:val="es-ES"/>
        </w:rPr>
      </w:pPr>
      <w:r w:rsidRPr="000E4BDB">
        <w:rPr>
          <w:rFonts w:eastAsia="Calibri" w:cs="Arial"/>
          <w:u w:val="single"/>
          <w:lang w:val="es-ES"/>
        </w:rPr>
        <w:t>Antecedentes</w:t>
      </w:r>
    </w:p>
    <w:p w14:paraId="782DA25F" w14:textId="77777777" w:rsidR="0011328D" w:rsidRPr="000E4BDB" w:rsidRDefault="0011328D" w:rsidP="0011328D">
      <w:pPr>
        <w:spacing w:after="0" w:line="240" w:lineRule="auto"/>
        <w:rPr>
          <w:lang w:val="es-ES"/>
        </w:rPr>
      </w:pPr>
    </w:p>
    <w:p w14:paraId="09BB08DB" w14:textId="77777777" w:rsidR="0011328D" w:rsidRPr="000E4BDB" w:rsidRDefault="0011328D" w:rsidP="0011328D">
      <w:pPr>
        <w:pStyle w:val="ListParagraph"/>
        <w:numPr>
          <w:ilvl w:val="0"/>
          <w:numId w:val="15"/>
        </w:numPr>
        <w:spacing w:after="0" w:line="240" w:lineRule="auto"/>
        <w:ind w:left="567" w:hanging="567"/>
        <w:contextualSpacing w:val="0"/>
        <w:jc w:val="both"/>
        <w:rPr>
          <w:lang w:val="es-ES"/>
        </w:rPr>
      </w:pPr>
      <w:r w:rsidRPr="000E4BDB">
        <w:rPr>
          <w:rFonts w:eastAsia="Calibri" w:cs="Arial"/>
          <w:lang w:val="es-ES"/>
        </w:rPr>
        <w:t>La Conferencia de las Partes de la CMS abordó por primera vez la contaminación lumínica en su 13.</w:t>
      </w:r>
      <w:r w:rsidRPr="000E4BDB">
        <w:rPr>
          <w:lang w:val="es-ES"/>
        </w:rPr>
        <w:t>a</w:t>
      </w:r>
      <w:r w:rsidRPr="000E4BDB">
        <w:rPr>
          <w:rFonts w:eastAsia="Calibri" w:cs="Arial"/>
          <w:lang w:val="es-ES"/>
        </w:rPr>
        <w:t xml:space="preserve"> reunión (COP13) mediante la adopción de la Resolución 13.5 </w:t>
      </w:r>
      <w:r w:rsidRPr="000E4BDB">
        <w:rPr>
          <w:i/>
          <w:iCs/>
          <w:lang w:val="es-ES"/>
        </w:rPr>
        <w:t>Directrices internacionales de la CMS sobre la contaminación lumínica para las especies migratorias</w:t>
      </w:r>
      <w:r w:rsidRPr="000E4BDB">
        <w:rPr>
          <w:rFonts w:eastAsia="Calibri" w:cs="Arial"/>
          <w:lang w:val="es-ES"/>
        </w:rPr>
        <w:t>, que puso de relieve la creciente prevalencia mundial de la contaminación lumínica y sus efectos adversos en la fauna silvestre y los ecosistemas. Australia presentó sus propias directrices nacionales sobre contaminación lumínica, sentando las bases para la elaboración de una orientación internacional.</w:t>
      </w:r>
    </w:p>
    <w:p w14:paraId="674F743A" w14:textId="77777777" w:rsidR="0011328D" w:rsidRPr="000E4BDB" w:rsidRDefault="0011328D" w:rsidP="0011328D">
      <w:pPr>
        <w:pStyle w:val="ListParagraph"/>
        <w:spacing w:after="0" w:line="240" w:lineRule="auto"/>
        <w:ind w:left="567" w:hanging="567"/>
        <w:contextualSpacing w:val="0"/>
        <w:rPr>
          <w:rFonts w:eastAsia="Calibri" w:cs="Arial"/>
          <w:lang w:val="es-ES"/>
        </w:rPr>
      </w:pPr>
    </w:p>
    <w:p w14:paraId="6E2AB786" w14:textId="40A2245C" w:rsidR="0011328D" w:rsidRPr="000E4BDB" w:rsidRDefault="0011328D" w:rsidP="0011328D">
      <w:pPr>
        <w:pStyle w:val="ListParagraph"/>
        <w:numPr>
          <w:ilvl w:val="0"/>
          <w:numId w:val="15"/>
        </w:numPr>
        <w:spacing w:after="0" w:line="240" w:lineRule="auto"/>
        <w:ind w:left="567" w:hanging="567"/>
        <w:contextualSpacing w:val="0"/>
        <w:jc w:val="both"/>
        <w:rPr>
          <w:rFonts w:eastAsia="Calibri" w:cs="Arial"/>
          <w:lang w:val="es-ES"/>
        </w:rPr>
      </w:pPr>
      <w:r w:rsidRPr="000E4BDB">
        <w:rPr>
          <w:rFonts w:eastAsia="Calibri" w:cs="Arial"/>
          <w:lang w:val="es-ES"/>
        </w:rPr>
        <w:t xml:space="preserve">En la COP14 se adoptaron nuevas </w:t>
      </w:r>
      <w:hyperlink r:id="rId12">
        <w:r w:rsidR="00593229">
          <w:rPr>
            <w:rStyle w:val="Hyperlink"/>
            <w:rFonts w:eastAsia="Calibri" w:cs="Arial"/>
            <w:color w:val="4472C4" w:themeColor="accent1"/>
            <w:lang w:val="es-ES"/>
          </w:rPr>
          <w:t>Directrices Internacionales</w:t>
        </w:r>
        <w:r w:rsidR="008D33B7">
          <w:rPr>
            <w:rStyle w:val="Hyperlink"/>
            <w:rFonts w:eastAsia="Calibri" w:cs="Arial"/>
            <w:color w:val="4472C4" w:themeColor="accent1"/>
            <w:lang w:val="es-ES"/>
          </w:rPr>
          <w:t xml:space="preserve"> de la CMS sobre la contaminación lumínica para las especies migratorias</w:t>
        </w:r>
      </w:hyperlink>
      <w:r w:rsidR="008D33B7" w:rsidRPr="008D33B7">
        <w:rPr>
          <w:lang w:val="es-ES"/>
        </w:rPr>
        <w:t xml:space="preserve"> </w:t>
      </w:r>
      <w:r w:rsidRPr="000E4BDB">
        <w:rPr>
          <w:rFonts w:eastAsia="Calibri" w:cs="Arial"/>
          <w:color w:val="000000" w:themeColor="text1"/>
          <w:lang w:val="es-ES"/>
        </w:rPr>
        <w:t>como parte de</w:t>
      </w:r>
      <w:r w:rsidR="00FF6AE9">
        <w:rPr>
          <w:rFonts w:eastAsia="Calibri" w:cs="Arial"/>
          <w:color w:val="000000" w:themeColor="text1"/>
          <w:lang w:val="es-ES"/>
        </w:rPr>
        <w:t xml:space="preserve"> la</w:t>
      </w:r>
      <w:r w:rsidRPr="000E4BDB">
        <w:rPr>
          <w:rFonts w:eastAsia="Calibri" w:cs="Arial"/>
          <w:color w:val="000000" w:themeColor="text1"/>
          <w:lang w:val="es-ES"/>
        </w:rPr>
        <w:t xml:space="preserve"> </w:t>
      </w:r>
      <w:hyperlink r:id="rId13" w:history="1">
        <w:r w:rsidR="00FF6AE9" w:rsidRPr="00FF6AE9">
          <w:rPr>
            <w:rStyle w:val="Hyperlink"/>
            <w:rFonts w:eastAsia="Calibri" w:cs="Arial"/>
            <w:color w:val="4472C4" w:themeColor="accent1"/>
            <w:lang w:val="es-ES"/>
          </w:rPr>
          <w:t>Resolu</w:t>
        </w:r>
        <w:r w:rsidR="00FF6AE9">
          <w:rPr>
            <w:rStyle w:val="Hyperlink"/>
            <w:rFonts w:eastAsia="Calibri" w:cs="Arial"/>
            <w:color w:val="4472C4" w:themeColor="accent1"/>
            <w:lang w:val="es-ES"/>
          </w:rPr>
          <w:t>ción</w:t>
        </w:r>
        <w:r w:rsidR="00FF6AE9" w:rsidRPr="00FF6AE9">
          <w:rPr>
            <w:rStyle w:val="Hyperlink"/>
            <w:rFonts w:eastAsia="Calibri" w:cs="Arial"/>
            <w:color w:val="4472C4" w:themeColor="accent1"/>
            <w:lang w:val="es-ES"/>
          </w:rPr>
          <w:t xml:space="preserve"> 13.5 (Rev.COP14)</w:t>
        </w:r>
      </w:hyperlink>
      <w:r w:rsidRPr="000E4BDB">
        <w:rPr>
          <w:rFonts w:eastAsia="Calibri" w:cs="Arial"/>
          <w:lang w:val="es-ES"/>
        </w:rPr>
        <w:t>. Estas Directrices contienen apéndices técnicos relativos a tortugas marinas migratorias, aves marinas, aves playeras, aves terrestres y murciélagos. Las Directrices detallan los impactos adversos de la contaminación lumínica en la fauna silvestre, proporcionan un marco para gestionar la contaminación lumínica y ofrecen recomendaciones prácticas para abordar la cuestión.</w:t>
      </w:r>
    </w:p>
    <w:p w14:paraId="77CF8371" w14:textId="77777777" w:rsidR="0011328D" w:rsidRPr="000E4BDB" w:rsidRDefault="0011328D" w:rsidP="0011328D">
      <w:pPr>
        <w:pStyle w:val="ListParagraph"/>
        <w:spacing w:after="0" w:line="240" w:lineRule="auto"/>
        <w:ind w:left="567" w:hanging="567"/>
        <w:contextualSpacing w:val="0"/>
        <w:rPr>
          <w:rFonts w:eastAsia="Calibri" w:cs="Arial"/>
          <w:lang w:val="es-ES"/>
        </w:rPr>
      </w:pPr>
    </w:p>
    <w:p w14:paraId="6EF27850" w14:textId="77777777" w:rsidR="0011328D" w:rsidRPr="000E4BDB" w:rsidRDefault="0011328D" w:rsidP="0011328D">
      <w:pPr>
        <w:pStyle w:val="ListParagraph"/>
        <w:numPr>
          <w:ilvl w:val="0"/>
          <w:numId w:val="15"/>
        </w:numPr>
        <w:spacing w:after="0" w:line="240" w:lineRule="auto"/>
        <w:ind w:left="567" w:hanging="567"/>
        <w:contextualSpacing w:val="0"/>
        <w:rPr>
          <w:rFonts w:eastAsia="Calibri" w:cs="Arial"/>
          <w:lang w:val="es-ES"/>
        </w:rPr>
      </w:pPr>
      <w:r w:rsidRPr="000E4BDB">
        <w:rPr>
          <w:rFonts w:eastAsia="Calibri" w:cs="Arial"/>
          <w:lang w:val="es-ES"/>
        </w:rPr>
        <w:t xml:space="preserve">En la COP14 se adoptaron las siguientes Decisiones: </w:t>
      </w:r>
    </w:p>
    <w:p w14:paraId="66FE956A" w14:textId="77777777" w:rsidR="0011328D" w:rsidRPr="000E4BDB" w:rsidRDefault="0011328D" w:rsidP="000E2ED9">
      <w:pPr>
        <w:spacing w:after="0" w:line="240" w:lineRule="auto"/>
        <w:ind w:left="720"/>
        <w:rPr>
          <w:rFonts w:eastAsia="Calibri" w:cs="Arial"/>
          <w:lang w:val="es-ES"/>
        </w:rPr>
      </w:pPr>
    </w:p>
    <w:p w14:paraId="4FB6E331" w14:textId="5AB93639" w:rsidR="0011328D" w:rsidRPr="004C0021" w:rsidRDefault="0011328D" w:rsidP="000E2ED9">
      <w:pPr>
        <w:pStyle w:val="ListParagraph"/>
        <w:spacing w:after="0" w:line="240" w:lineRule="auto"/>
        <w:contextualSpacing w:val="0"/>
        <w:rPr>
          <w:rFonts w:eastAsia="Calibri" w:cs="Arial"/>
          <w:b/>
          <w:bCs/>
          <w:i/>
          <w:iCs/>
          <w:sz w:val="20"/>
          <w:szCs w:val="20"/>
          <w:lang w:val="es-ES"/>
        </w:rPr>
      </w:pPr>
      <w:r w:rsidRPr="004C0021">
        <w:rPr>
          <w:rFonts w:eastAsia="Calibri" w:cs="Arial"/>
          <w:b/>
          <w:bCs/>
          <w:i/>
          <w:iCs/>
          <w:sz w:val="20"/>
          <w:szCs w:val="20"/>
          <w:lang w:val="es-ES"/>
        </w:rPr>
        <w:t>Decisi</w:t>
      </w:r>
      <w:r w:rsidR="00D70675">
        <w:rPr>
          <w:rFonts w:eastAsia="Calibri" w:cs="Arial"/>
          <w:b/>
          <w:bCs/>
          <w:i/>
          <w:iCs/>
          <w:sz w:val="20"/>
          <w:szCs w:val="20"/>
          <w:lang w:val="es-ES"/>
        </w:rPr>
        <w:t>ó</w:t>
      </w:r>
      <w:r w:rsidRPr="004C0021">
        <w:rPr>
          <w:rFonts w:eastAsia="Calibri" w:cs="Arial"/>
          <w:b/>
          <w:bCs/>
          <w:i/>
          <w:iCs/>
          <w:sz w:val="20"/>
          <w:szCs w:val="20"/>
          <w:lang w:val="es-ES"/>
        </w:rPr>
        <w:t xml:space="preserve">n 14.221: </w:t>
      </w:r>
      <w:r w:rsidR="00F743C7" w:rsidRPr="004C0021">
        <w:rPr>
          <w:rFonts w:eastAsia="Calibri" w:cs="Arial"/>
          <w:b/>
          <w:bCs/>
          <w:i/>
          <w:iCs/>
          <w:sz w:val="20"/>
          <w:szCs w:val="20"/>
          <w:lang w:val="es-ES"/>
        </w:rPr>
        <w:t>d</w:t>
      </w:r>
      <w:r w:rsidR="00F743C7" w:rsidRPr="004C0021">
        <w:rPr>
          <w:rFonts w:eastAsia="Calibri" w:cs="Arial"/>
          <w:b/>
          <w:bCs/>
          <w:i/>
          <w:iCs/>
          <w:sz w:val="20"/>
          <w:szCs w:val="20"/>
          <w:lang w:val="es-ES"/>
        </w:rPr>
        <w:t>irigid</w:t>
      </w:r>
      <w:r w:rsidR="00F743C7" w:rsidRPr="004C0021">
        <w:rPr>
          <w:rFonts w:eastAsia="Calibri" w:cs="Arial"/>
          <w:b/>
          <w:bCs/>
          <w:i/>
          <w:iCs/>
          <w:sz w:val="20"/>
          <w:szCs w:val="20"/>
          <w:lang w:val="es-ES"/>
        </w:rPr>
        <w:t>a</w:t>
      </w:r>
      <w:r w:rsidR="00F743C7" w:rsidRPr="004C0021">
        <w:rPr>
          <w:rFonts w:eastAsia="Calibri" w:cs="Arial"/>
          <w:b/>
          <w:bCs/>
          <w:i/>
          <w:iCs/>
          <w:sz w:val="20"/>
          <w:szCs w:val="20"/>
          <w:lang w:val="es-ES"/>
        </w:rPr>
        <w:t xml:space="preserve"> al Consejo Científico</w:t>
      </w:r>
    </w:p>
    <w:p w14:paraId="3636A6EB" w14:textId="77777777" w:rsidR="0011328D" w:rsidRPr="004C0021" w:rsidRDefault="0011328D" w:rsidP="000E2ED9">
      <w:pPr>
        <w:pStyle w:val="ListParagraph"/>
        <w:spacing w:after="0" w:line="240" w:lineRule="auto"/>
        <w:contextualSpacing w:val="0"/>
        <w:rPr>
          <w:rFonts w:eastAsia="Calibri" w:cs="Arial"/>
          <w:i/>
          <w:iCs/>
          <w:sz w:val="20"/>
          <w:szCs w:val="20"/>
          <w:lang w:val="es-ES"/>
        </w:rPr>
      </w:pPr>
    </w:p>
    <w:p w14:paraId="69AE5039" w14:textId="7CC14A40" w:rsidR="0011328D" w:rsidRPr="004C0021" w:rsidRDefault="004C0021" w:rsidP="000E2ED9">
      <w:pPr>
        <w:pStyle w:val="ListParagraph"/>
        <w:spacing w:after="0" w:line="240" w:lineRule="auto"/>
        <w:contextualSpacing w:val="0"/>
        <w:jc w:val="both"/>
        <w:rPr>
          <w:rFonts w:eastAsia="Calibri" w:cs="Arial"/>
          <w:i/>
          <w:iCs/>
          <w:sz w:val="20"/>
          <w:szCs w:val="20"/>
          <w:lang w:val="es-ES"/>
        </w:rPr>
      </w:pPr>
      <w:r w:rsidRPr="004C0021">
        <w:rPr>
          <w:rFonts w:eastAsia="Calibri" w:cs="Arial"/>
          <w:i/>
          <w:iCs/>
          <w:sz w:val="20"/>
          <w:szCs w:val="20"/>
          <w:lang w:val="es-ES"/>
        </w:rPr>
        <w:t>Se solicita al Consejo Científico que, con sujeción a la disponibilidad de recursos, examine los temas en la Decisión 14.222 en la 7.a u 8.a reunión del Comité del Período de Sesiones, en particular nuevas posibles pruebas de los impactos y las novedades al respecto de los métodos de mitigación, y que proporcione recomendaciones para la COP15 y asesoramiento a la Secretaría en la implementación de la Decisión 14.222.</w:t>
      </w:r>
    </w:p>
    <w:p w14:paraId="5F488627" w14:textId="77777777" w:rsidR="0011328D" w:rsidRPr="004C0021" w:rsidRDefault="0011328D" w:rsidP="0011328D">
      <w:pPr>
        <w:pStyle w:val="ListParagraph"/>
        <w:spacing w:after="0" w:line="240" w:lineRule="auto"/>
        <w:ind w:left="851"/>
        <w:contextualSpacing w:val="0"/>
        <w:jc w:val="both"/>
        <w:rPr>
          <w:rFonts w:eastAsia="Calibri" w:cs="Arial"/>
          <w:i/>
          <w:iCs/>
          <w:sz w:val="18"/>
          <w:szCs w:val="18"/>
          <w:lang w:val="es-ES"/>
        </w:rPr>
      </w:pPr>
    </w:p>
    <w:p w14:paraId="7C4F7223" w14:textId="66C022D2" w:rsidR="0011328D" w:rsidRPr="000E2ED9" w:rsidRDefault="0011328D" w:rsidP="000E2ED9">
      <w:pPr>
        <w:pStyle w:val="ListParagraph"/>
        <w:spacing w:after="0" w:line="240" w:lineRule="auto"/>
        <w:contextualSpacing w:val="0"/>
        <w:jc w:val="both"/>
        <w:rPr>
          <w:rFonts w:eastAsia="Calibri" w:cs="Arial"/>
          <w:i/>
          <w:iCs/>
          <w:sz w:val="20"/>
          <w:szCs w:val="20"/>
          <w:lang w:val="es-ES"/>
        </w:rPr>
      </w:pPr>
      <w:r w:rsidRPr="000E2ED9">
        <w:rPr>
          <w:rFonts w:eastAsia="Calibri" w:cs="Arial"/>
          <w:b/>
          <w:bCs/>
          <w:i/>
          <w:iCs/>
          <w:sz w:val="20"/>
          <w:szCs w:val="20"/>
          <w:lang w:val="es-ES"/>
        </w:rPr>
        <w:t>Decisi</w:t>
      </w:r>
      <w:r w:rsidR="008F0BCC" w:rsidRPr="000E2ED9">
        <w:rPr>
          <w:rFonts w:eastAsia="Calibri" w:cs="Arial"/>
          <w:b/>
          <w:bCs/>
          <w:i/>
          <w:iCs/>
          <w:sz w:val="20"/>
          <w:szCs w:val="20"/>
          <w:lang w:val="es-ES"/>
        </w:rPr>
        <w:t>ó</w:t>
      </w:r>
      <w:r w:rsidRPr="000E2ED9">
        <w:rPr>
          <w:rFonts w:eastAsia="Calibri" w:cs="Arial"/>
          <w:b/>
          <w:bCs/>
          <w:i/>
          <w:iCs/>
          <w:sz w:val="20"/>
          <w:szCs w:val="20"/>
          <w:lang w:val="es-ES"/>
        </w:rPr>
        <w:t xml:space="preserve">n 14.222: </w:t>
      </w:r>
      <w:r w:rsidR="008F0BCC" w:rsidRPr="000E2ED9">
        <w:rPr>
          <w:rFonts w:eastAsia="Calibri" w:cs="Arial"/>
          <w:b/>
          <w:bCs/>
          <w:i/>
          <w:iCs/>
          <w:sz w:val="20"/>
          <w:szCs w:val="20"/>
          <w:lang w:val="es-ES"/>
        </w:rPr>
        <w:t>d</w:t>
      </w:r>
      <w:r w:rsidR="008F0BCC" w:rsidRPr="000E2ED9">
        <w:rPr>
          <w:rFonts w:eastAsia="Calibri" w:cs="Arial"/>
          <w:b/>
          <w:bCs/>
          <w:i/>
          <w:iCs/>
          <w:sz w:val="20"/>
          <w:szCs w:val="20"/>
          <w:lang w:val="es-ES"/>
        </w:rPr>
        <w:t>irigid</w:t>
      </w:r>
      <w:r w:rsidR="008F0BCC" w:rsidRPr="000E2ED9">
        <w:rPr>
          <w:rFonts w:eastAsia="Calibri" w:cs="Arial"/>
          <w:b/>
          <w:bCs/>
          <w:i/>
          <w:iCs/>
          <w:sz w:val="20"/>
          <w:szCs w:val="20"/>
          <w:lang w:val="es-ES"/>
        </w:rPr>
        <w:t>a</w:t>
      </w:r>
      <w:r w:rsidR="008F0BCC" w:rsidRPr="000E2ED9">
        <w:rPr>
          <w:rFonts w:eastAsia="Calibri" w:cs="Arial"/>
          <w:b/>
          <w:bCs/>
          <w:i/>
          <w:iCs/>
          <w:sz w:val="20"/>
          <w:szCs w:val="20"/>
          <w:lang w:val="es-ES"/>
        </w:rPr>
        <w:t xml:space="preserve"> a la Secretaría</w:t>
      </w:r>
      <w:r w:rsidRPr="000E2ED9">
        <w:rPr>
          <w:rFonts w:eastAsia="Calibri" w:cs="Arial"/>
          <w:i/>
          <w:iCs/>
          <w:sz w:val="20"/>
          <w:szCs w:val="20"/>
          <w:lang w:val="es-ES"/>
        </w:rPr>
        <w:t xml:space="preserve"> </w:t>
      </w:r>
    </w:p>
    <w:p w14:paraId="0EDA9F1B" w14:textId="77777777" w:rsidR="0011328D" w:rsidRPr="000E2ED9" w:rsidRDefault="0011328D" w:rsidP="000E2ED9">
      <w:pPr>
        <w:pStyle w:val="ListParagraph"/>
        <w:spacing w:after="0" w:line="240" w:lineRule="auto"/>
        <w:contextualSpacing w:val="0"/>
        <w:jc w:val="both"/>
        <w:rPr>
          <w:rFonts w:eastAsia="Calibri" w:cs="Arial"/>
          <w:i/>
          <w:iCs/>
          <w:sz w:val="18"/>
          <w:szCs w:val="18"/>
          <w:lang w:val="es-ES"/>
        </w:rPr>
      </w:pPr>
    </w:p>
    <w:p w14:paraId="7BF4C40F" w14:textId="77777777" w:rsidR="000E2ED9" w:rsidRPr="000E2ED9" w:rsidRDefault="000E2ED9" w:rsidP="000E2ED9">
      <w:pPr>
        <w:pStyle w:val="ListParagraph"/>
        <w:spacing w:after="0" w:line="240" w:lineRule="auto"/>
        <w:jc w:val="both"/>
        <w:rPr>
          <w:rFonts w:eastAsia="Calibri" w:cs="Arial"/>
          <w:i/>
          <w:iCs/>
          <w:sz w:val="20"/>
          <w:szCs w:val="20"/>
          <w:lang w:val="es-ES"/>
        </w:rPr>
      </w:pPr>
      <w:r w:rsidRPr="000E2ED9">
        <w:rPr>
          <w:rFonts w:eastAsia="Calibri" w:cs="Arial"/>
          <w:i/>
          <w:iCs/>
          <w:sz w:val="20"/>
          <w:szCs w:val="20"/>
          <w:lang w:val="es-ES"/>
        </w:rPr>
        <w:t>La Secretaría deberá:</w:t>
      </w:r>
    </w:p>
    <w:p w14:paraId="781276DF" w14:textId="77777777" w:rsidR="000E2ED9" w:rsidRPr="000E2ED9" w:rsidRDefault="000E2ED9" w:rsidP="000E2ED9">
      <w:pPr>
        <w:pStyle w:val="ListParagraph"/>
        <w:spacing w:after="0" w:line="240" w:lineRule="auto"/>
        <w:jc w:val="both"/>
        <w:rPr>
          <w:rFonts w:eastAsia="Calibri" w:cs="Arial"/>
          <w:i/>
          <w:iCs/>
          <w:sz w:val="20"/>
          <w:szCs w:val="20"/>
          <w:lang w:val="es-ES"/>
        </w:rPr>
      </w:pPr>
    </w:p>
    <w:p w14:paraId="776739ED" w14:textId="77777777" w:rsidR="000E2ED9" w:rsidRPr="000E2ED9" w:rsidRDefault="000E2ED9" w:rsidP="000E2ED9">
      <w:pPr>
        <w:pStyle w:val="ListParagraph"/>
        <w:spacing w:after="80" w:line="240" w:lineRule="auto"/>
        <w:ind w:left="1080" w:hanging="360"/>
        <w:contextualSpacing w:val="0"/>
        <w:jc w:val="both"/>
        <w:rPr>
          <w:rFonts w:eastAsia="Calibri" w:cs="Arial"/>
          <w:i/>
          <w:iCs/>
          <w:sz w:val="20"/>
          <w:szCs w:val="20"/>
          <w:lang w:val="es-ES"/>
        </w:rPr>
      </w:pPr>
      <w:r w:rsidRPr="000E2ED9">
        <w:rPr>
          <w:rFonts w:eastAsia="Calibri" w:cs="Arial"/>
          <w:i/>
          <w:iCs/>
          <w:sz w:val="20"/>
          <w:szCs w:val="20"/>
          <w:lang w:val="es-ES"/>
        </w:rPr>
        <w:t>a)</w:t>
      </w:r>
      <w:r w:rsidRPr="000E2ED9">
        <w:rPr>
          <w:rFonts w:eastAsia="Calibri" w:cs="Arial"/>
          <w:i/>
          <w:iCs/>
          <w:sz w:val="20"/>
          <w:szCs w:val="20"/>
          <w:lang w:val="es-ES"/>
        </w:rPr>
        <w:tab/>
        <w:t>con sujeción a la disponibilidad de recursos, considerar la preparación de anexos adicionales para las Directrices internacionales de la CMS sobre contaminación lumínica para las especies migratorias, para su adopción por la COP15 al respecto de cómo evitar eficazmente y mitigar los efectos indirectos y directos de la contaminación lumínica para aquellos taxones que aún no están contemplados en las directrices, como los peces, considerando también otras orientaciones existentes como pertinentes;</w:t>
      </w:r>
    </w:p>
    <w:p w14:paraId="29EA224F" w14:textId="77777777" w:rsidR="000E2ED9" w:rsidRPr="000E2ED9" w:rsidRDefault="000E2ED9" w:rsidP="000E2ED9">
      <w:pPr>
        <w:pStyle w:val="ListParagraph"/>
        <w:spacing w:after="80" w:line="240" w:lineRule="auto"/>
        <w:ind w:left="1080" w:hanging="360"/>
        <w:contextualSpacing w:val="0"/>
        <w:jc w:val="both"/>
        <w:rPr>
          <w:rFonts w:eastAsia="Calibri" w:cs="Arial"/>
          <w:i/>
          <w:iCs/>
          <w:sz w:val="20"/>
          <w:szCs w:val="20"/>
          <w:lang w:val="es-ES"/>
        </w:rPr>
      </w:pPr>
      <w:r w:rsidRPr="000E2ED9">
        <w:rPr>
          <w:rFonts w:eastAsia="Calibri" w:cs="Arial"/>
          <w:i/>
          <w:iCs/>
          <w:sz w:val="20"/>
          <w:szCs w:val="20"/>
          <w:lang w:val="es-ES"/>
        </w:rPr>
        <w:t>b)</w:t>
      </w:r>
      <w:r w:rsidRPr="000E2ED9">
        <w:rPr>
          <w:rFonts w:eastAsia="Calibri" w:cs="Arial"/>
          <w:i/>
          <w:iCs/>
          <w:sz w:val="20"/>
          <w:szCs w:val="20"/>
          <w:lang w:val="es-ES"/>
        </w:rPr>
        <w:tab/>
        <w:t xml:space="preserve">difundir las Directrices internacionales de la CMS sobre contaminación lumínica para las especies migratorias de forma amplia, incluyendo el resto de </w:t>
      </w:r>
      <w:proofErr w:type="gramStart"/>
      <w:r w:rsidRPr="000E2ED9">
        <w:rPr>
          <w:rFonts w:eastAsia="Calibri" w:cs="Arial"/>
          <w:i/>
          <w:iCs/>
          <w:sz w:val="20"/>
          <w:szCs w:val="20"/>
          <w:lang w:val="es-ES"/>
        </w:rPr>
        <w:t>acuerdos</w:t>
      </w:r>
      <w:proofErr w:type="gramEnd"/>
      <w:r w:rsidRPr="000E2ED9">
        <w:rPr>
          <w:rFonts w:eastAsia="Calibri" w:cs="Arial"/>
          <w:i/>
          <w:iCs/>
          <w:sz w:val="20"/>
          <w:szCs w:val="20"/>
          <w:lang w:val="es-ES"/>
        </w:rPr>
        <w:t xml:space="preserve"> medioambientales multilaterales, los acuerdos y programas regionales, las organizaciones intergubernamentales, las Partes y otras partes interesadas; y</w:t>
      </w:r>
    </w:p>
    <w:p w14:paraId="7CC9819A" w14:textId="3DE3506B" w:rsidR="0011328D" w:rsidRPr="000E2ED9" w:rsidRDefault="000E2ED9" w:rsidP="000E2ED9">
      <w:pPr>
        <w:pStyle w:val="ListParagraph"/>
        <w:spacing w:after="0" w:line="240" w:lineRule="auto"/>
        <w:ind w:left="1080" w:hanging="360"/>
        <w:contextualSpacing w:val="0"/>
        <w:jc w:val="both"/>
        <w:rPr>
          <w:rFonts w:eastAsia="Calibri" w:cs="Arial"/>
          <w:i/>
          <w:iCs/>
          <w:sz w:val="20"/>
          <w:szCs w:val="20"/>
          <w:lang w:val="es-ES"/>
        </w:rPr>
      </w:pPr>
      <w:r w:rsidRPr="000E2ED9">
        <w:rPr>
          <w:rFonts w:eastAsia="Calibri" w:cs="Arial"/>
          <w:i/>
          <w:iCs/>
          <w:sz w:val="20"/>
          <w:szCs w:val="20"/>
          <w:lang w:val="es-ES"/>
        </w:rPr>
        <w:t>c)</w:t>
      </w:r>
      <w:r w:rsidRPr="000E2ED9">
        <w:rPr>
          <w:rFonts w:eastAsia="Calibri" w:cs="Arial"/>
          <w:i/>
          <w:iCs/>
          <w:sz w:val="20"/>
          <w:szCs w:val="20"/>
          <w:lang w:val="es-ES"/>
        </w:rPr>
        <w:tab/>
        <w:t>con sujeción a la disponibilidad de recursos, apoyar a las Partes y partes interesadas en la implementación de las Directrices internacionales de la CMS sobre contaminación lumínica para las especies migratorias, a través de seminarios web y otras actividades</w:t>
      </w:r>
    </w:p>
    <w:p w14:paraId="597DDA5E" w14:textId="77777777" w:rsidR="0011328D" w:rsidRPr="000E2ED9" w:rsidRDefault="0011328D" w:rsidP="0011328D">
      <w:pPr>
        <w:spacing w:after="0" w:line="240" w:lineRule="auto"/>
        <w:rPr>
          <w:sz w:val="20"/>
          <w:szCs w:val="20"/>
          <w:lang w:val="es-ES"/>
        </w:rPr>
      </w:pPr>
    </w:p>
    <w:p w14:paraId="4C2F37DE" w14:textId="77777777" w:rsidR="0011328D" w:rsidRPr="000E4BDB" w:rsidRDefault="0011328D" w:rsidP="0011328D">
      <w:pPr>
        <w:spacing w:after="0" w:line="240" w:lineRule="auto"/>
        <w:rPr>
          <w:rFonts w:cs="Arial"/>
          <w:u w:val="single"/>
          <w:lang w:val="es-ES"/>
        </w:rPr>
      </w:pPr>
      <w:r w:rsidRPr="000E4BDB">
        <w:rPr>
          <w:rFonts w:cs="Arial"/>
          <w:u w:val="single"/>
          <w:lang w:val="es-ES"/>
        </w:rPr>
        <w:t>Actividades</w:t>
      </w:r>
    </w:p>
    <w:p w14:paraId="4A7F12D2" w14:textId="77777777" w:rsidR="0011328D" w:rsidRPr="000E4BDB" w:rsidRDefault="0011328D" w:rsidP="0011328D">
      <w:pPr>
        <w:spacing w:after="0" w:line="240" w:lineRule="auto"/>
        <w:rPr>
          <w:rFonts w:cs="Arial"/>
          <w:sz w:val="20"/>
          <w:szCs w:val="20"/>
          <w:lang w:val="es-ES"/>
        </w:rPr>
      </w:pPr>
    </w:p>
    <w:p w14:paraId="0801CD99" w14:textId="77777777" w:rsidR="0011328D" w:rsidRPr="000E4BDB" w:rsidRDefault="0011328D" w:rsidP="0011328D">
      <w:pPr>
        <w:pStyle w:val="ListParagraph"/>
        <w:widowControl w:val="0"/>
        <w:numPr>
          <w:ilvl w:val="0"/>
          <w:numId w:val="15"/>
        </w:numPr>
        <w:autoSpaceDE w:val="0"/>
        <w:autoSpaceDN w:val="0"/>
        <w:adjustRightInd w:val="0"/>
        <w:spacing w:after="0" w:line="240" w:lineRule="auto"/>
        <w:ind w:left="567" w:hanging="567"/>
        <w:contextualSpacing w:val="0"/>
        <w:jc w:val="both"/>
        <w:rPr>
          <w:rFonts w:cs="Arial"/>
          <w:lang w:val="es-ES"/>
        </w:rPr>
      </w:pPr>
      <w:r w:rsidRPr="000E4BDB">
        <w:rPr>
          <w:rFonts w:eastAsia="Calibri" w:cs="Arial"/>
          <w:lang w:val="es-ES"/>
        </w:rPr>
        <w:t xml:space="preserve">En la 7.a reunión del Comité del Período de Sesiones del Consejo Científico se concluyó que se celebraría una reunión de consulta en línea de expertos sobre contaminación lumínica para examinar la aplicación de las Decisiones 14.221 y 14.222. </w:t>
      </w:r>
    </w:p>
    <w:p w14:paraId="483908C0" w14:textId="4CE40CDE" w:rsidR="000E2ED9" w:rsidRDefault="000E2ED9">
      <w:pPr>
        <w:rPr>
          <w:rFonts w:cs="Arial"/>
          <w:sz w:val="20"/>
          <w:szCs w:val="20"/>
          <w:lang w:val="es-ES"/>
        </w:rPr>
      </w:pPr>
      <w:r>
        <w:rPr>
          <w:rFonts w:cs="Arial"/>
          <w:sz w:val="20"/>
          <w:szCs w:val="20"/>
          <w:lang w:val="es-ES"/>
        </w:rPr>
        <w:br w:type="page"/>
      </w:r>
    </w:p>
    <w:p w14:paraId="63CE7624" w14:textId="77777777" w:rsidR="0011328D" w:rsidRPr="000E4BDB" w:rsidRDefault="0011328D" w:rsidP="0011328D">
      <w:pPr>
        <w:pStyle w:val="ListParagraph"/>
        <w:spacing w:after="0" w:line="240" w:lineRule="auto"/>
        <w:ind w:left="567" w:hanging="567"/>
        <w:contextualSpacing w:val="0"/>
        <w:jc w:val="both"/>
        <w:rPr>
          <w:rFonts w:cs="Arial"/>
          <w:sz w:val="20"/>
          <w:szCs w:val="20"/>
          <w:lang w:val="es-ES"/>
        </w:rPr>
      </w:pPr>
    </w:p>
    <w:p w14:paraId="4F1180FF" w14:textId="77777777" w:rsidR="0011328D" w:rsidRPr="000E4BDB" w:rsidRDefault="0011328D" w:rsidP="0011328D">
      <w:pPr>
        <w:widowControl w:val="0"/>
        <w:numPr>
          <w:ilvl w:val="0"/>
          <w:numId w:val="15"/>
        </w:numPr>
        <w:autoSpaceDE w:val="0"/>
        <w:autoSpaceDN w:val="0"/>
        <w:adjustRightInd w:val="0"/>
        <w:spacing w:after="0" w:line="240" w:lineRule="auto"/>
        <w:ind w:left="567" w:hanging="567"/>
        <w:jc w:val="both"/>
        <w:rPr>
          <w:rFonts w:cs="Arial"/>
          <w:lang w:val="es-ES"/>
        </w:rPr>
      </w:pPr>
      <w:r w:rsidRPr="000E4BDB">
        <w:rPr>
          <w:rFonts w:cs="Arial"/>
          <w:lang w:val="es-ES"/>
        </w:rPr>
        <w:t>El informe de la reunión de consulta en línea de expertos sobre contaminación lumínica figura en el Anexo del presente documento e incluye una lista de actividades que los expertos participantes en la reunión acordaron emprender.</w:t>
      </w:r>
    </w:p>
    <w:p w14:paraId="6D8E88E8" w14:textId="77777777" w:rsidR="0011328D" w:rsidRPr="000E4BDB" w:rsidRDefault="0011328D" w:rsidP="0011328D">
      <w:pPr>
        <w:pStyle w:val="ListParagraph"/>
        <w:ind w:left="567" w:hanging="567"/>
        <w:rPr>
          <w:rFonts w:cs="Arial"/>
          <w:lang w:val="es-ES"/>
        </w:rPr>
      </w:pPr>
    </w:p>
    <w:p w14:paraId="1027170F" w14:textId="77777777" w:rsidR="0011328D" w:rsidRPr="000E4BDB" w:rsidRDefault="0011328D" w:rsidP="0011328D">
      <w:pPr>
        <w:pStyle w:val="ListParagraph"/>
        <w:numPr>
          <w:ilvl w:val="0"/>
          <w:numId w:val="15"/>
        </w:numPr>
        <w:spacing w:after="0" w:line="240" w:lineRule="auto"/>
        <w:ind w:left="567" w:hanging="567"/>
        <w:contextualSpacing w:val="0"/>
        <w:jc w:val="both"/>
        <w:rPr>
          <w:rFonts w:cs="Arial"/>
          <w:lang w:val="es-ES"/>
        </w:rPr>
      </w:pPr>
      <w:r w:rsidRPr="000E4BDB">
        <w:rPr>
          <w:rFonts w:cs="Arial"/>
          <w:lang w:val="es-ES"/>
        </w:rPr>
        <w:t xml:space="preserve">Para facilitar la aplicación de la Decisión 14.222 b), la Secretaría ha puesto a disposición las Directrices internacionales sobre contaminación lumínica en una </w:t>
      </w:r>
      <w:hyperlink r:id="rId14" w:history="1">
        <w:r w:rsidRPr="000E4BDB">
          <w:rPr>
            <w:rStyle w:val="Hyperlink"/>
            <w:rFonts w:cs="Arial"/>
            <w:lang w:val="es-ES"/>
          </w:rPr>
          <w:t>página web dedicada a la contaminación lumínica de la CMS</w:t>
        </w:r>
      </w:hyperlink>
      <w:r w:rsidRPr="000E4BDB">
        <w:rPr>
          <w:rFonts w:cs="Arial"/>
          <w:lang w:val="es-ES"/>
        </w:rPr>
        <w:t>.</w:t>
      </w:r>
    </w:p>
    <w:p w14:paraId="46AC47C8" w14:textId="77777777" w:rsidR="0011328D" w:rsidRPr="000E4BDB" w:rsidRDefault="0011328D" w:rsidP="0011328D">
      <w:pPr>
        <w:pStyle w:val="ListParagraph"/>
        <w:spacing w:after="0" w:line="240" w:lineRule="auto"/>
        <w:ind w:left="567"/>
        <w:contextualSpacing w:val="0"/>
        <w:jc w:val="both"/>
        <w:rPr>
          <w:lang w:val="es-ES"/>
        </w:rPr>
      </w:pPr>
    </w:p>
    <w:p w14:paraId="5A4A995F" w14:textId="77777777" w:rsidR="0011328D" w:rsidRPr="000E4BDB" w:rsidRDefault="0011328D" w:rsidP="0011328D">
      <w:pPr>
        <w:widowControl w:val="0"/>
        <w:numPr>
          <w:ilvl w:val="0"/>
          <w:numId w:val="15"/>
        </w:numPr>
        <w:autoSpaceDE w:val="0"/>
        <w:autoSpaceDN w:val="0"/>
        <w:adjustRightInd w:val="0"/>
        <w:spacing w:after="0" w:line="240" w:lineRule="auto"/>
        <w:jc w:val="both"/>
        <w:rPr>
          <w:rFonts w:cs="Arial"/>
          <w:lang w:val="es-ES"/>
        </w:rPr>
      </w:pPr>
      <w:r w:rsidRPr="000E4BDB">
        <w:rPr>
          <w:rFonts w:cs="Arial"/>
          <w:lang w:val="es-ES"/>
        </w:rPr>
        <w:t xml:space="preserve">Se considera que las Decisiones 14.221 y 14.222 ya han sido aplicadas y </w:t>
      </w:r>
      <w:r w:rsidRPr="000E4BDB">
        <w:rPr>
          <w:rFonts w:cs="Arial"/>
          <w:color w:val="000000" w:themeColor="text1"/>
          <w:lang w:val="es-ES"/>
        </w:rPr>
        <w:t>se propone su supresión.</w:t>
      </w:r>
    </w:p>
    <w:p w14:paraId="7AEAC9EB" w14:textId="77777777" w:rsidR="0011328D" w:rsidRPr="000E4BDB" w:rsidRDefault="0011328D" w:rsidP="0011328D">
      <w:pPr>
        <w:spacing w:after="0" w:line="240" w:lineRule="auto"/>
        <w:jc w:val="both"/>
        <w:rPr>
          <w:rFonts w:cs="Arial"/>
          <w:sz w:val="20"/>
          <w:szCs w:val="20"/>
          <w:lang w:val="es-ES"/>
        </w:rPr>
      </w:pPr>
    </w:p>
    <w:p w14:paraId="1C51389B" w14:textId="77777777" w:rsidR="0011328D" w:rsidRPr="000E4BDB" w:rsidRDefault="0011328D" w:rsidP="0011328D">
      <w:pPr>
        <w:spacing w:after="0" w:line="240" w:lineRule="auto"/>
        <w:rPr>
          <w:rFonts w:cs="Arial"/>
          <w:lang w:val="es-ES"/>
        </w:rPr>
      </w:pPr>
      <w:r w:rsidRPr="000E4BDB">
        <w:rPr>
          <w:rFonts w:cs="Arial"/>
          <w:u w:val="single"/>
          <w:lang w:val="es-ES"/>
        </w:rPr>
        <w:t>Acciones recomendadas</w:t>
      </w:r>
    </w:p>
    <w:p w14:paraId="72F54C13" w14:textId="77777777" w:rsidR="0011328D" w:rsidRPr="000E4BDB" w:rsidRDefault="0011328D" w:rsidP="0011328D">
      <w:pPr>
        <w:spacing w:after="0" w:line="240" w:lineRule="auto"/>
        <w:rPr>
          <w:rFonts w:cs="Arial"/>
          <w:sz w:val="20"/>
          <w:szCs w:val="20"/>
          <w:lang w:val="es-ES"/>
        </w:rPr>
      </w:pPr>
    </w:p>
    <w:p w14:paraId="477476D4" w14:textId="77777777" w:rsidR="0011328D" w:rsidRPr="000E4BDB" w:rsidRDefault="0011328D" w:rsidP="0011328D">
      <w:pPr>
        <w:widowControl w:val="0"/>
        <w:numPr>
          <w:ilvl w:val="0"/>
          <w:numId w:val="15"/>
        </w:numPr>
        <w:autoSpaceDE w:val="0"/>
        <w:autoSpaceDN w:val="0"/>
        <w:adjustRightInd w:val="0"/>
        <w:spacing w:after="0" w:line="240" w:lineRule="auto"/>
        <w:ind w:left="567" w:hanging="567"/>
        <w:jc w:val="both"/>
        <w:rPr>
          <w:rFonts w:cs="Arial"/>
          <w:lang w:val="es-ES"/>
        </w:rPr>
      </w:pPr>
      <w:r w:rsidRPr="000E4BDB">
        <w:rPr>
          <w:rFonts w:cs="Arial"/>
          <w:lang w:val="es-ES" w:eastAsia="es-ES"/>
        </w:rPr>
        <w:t>Se recomienda a la Conferencia de las Partes que:</w:t>
      </w:r>
    </w:p>
    <w:p w14:paraId="59FF7BA8" w14:textId="77777777" w:rsidR="0011328D" w:rsidRPr="000E4BDB" w:rsidRDefault="0011328D" w:rsidP="0011328D">
      <w:pPr>
        <w:spacing w:after="0" w:line="240" w:lineRule="auto"/>
        <w:jc w:val="both"/>
        <w:rPr>
          <w:rFonts w:cs="Arial"/>
          <w:sz w:val="20"/>
          <w:szCs w:val="20"/>
          <w:lang w:val="es-ES"/>
        </w:rPr>
      </w:pPr>
    </w:p>
    <w:p w14:paraId="3937B14D" w14:textId="77777777" w:rsidR="0011328D" w:rsidRPr="000E2ED9" w:rsidRDefault="0011328D" w:rsidP="0011328D">
      <w:pPr>
        <w:pStyle w:val="Secondnumbering"/>
        <w:ind w:left="964" w:hanging="397"/>
        <w:jc w:val="both"/>
        <w:rPr>
          <w:lang w:val="es-ES"/>
        </w:rPr>
      </w:pPr>
      <w:r w:rsidRPr="000E4BDB">
        <w:rPr>
          <w:rFonts w:cs="Arial"/>
          <w:lang w:val="es-ES"/>
        </w:rPr>
        <w:t>tome nota del informe de la reunión de consulta de expertos que figura en el Anexo del presente documento;</w:t>
      </w:r>
    </w:p>
    <w:p w14:paraId="1F752A5F" w14:textId="77777777" w:rsidR="000E2ED9" w:rsidRPr="000E2ED9" w:rsidRDefault="000E2ED9" w:rsidP="000E2ED9">
      <w:pPr>
        <w:pStyle w:val="Secondnumbering"/>
        <w:numPr>
          <w:ilvl w:val="0"/>
          <w:numId w:val="0"/>
        </w:numPr>
        <w:ind w:left="964"/>
        <w:jc w:val="both"/>
        <w:rPr>
          <w:lang w:val="es-ES"/>
        </w:rPr>
      </w:pPr>
    </w:p>
    <w:p w14:paraId="559E8564" w14:textId="2971C0A3" w:rsidR="002D5F2A" w:rsidRPr="000E2ED9" w:rsidRDefault="0011328D" w:rsidP="0011328D">
      <w:pPr>
        <w:pStyle w:val="Secondnumbering"/>
        <w:ind w:left="964" w:hanging="397"/>
        <w:jc w:val="both"/>
        <w:rPr>
          <w:lang w:val="es-ES"/>
        </w:rPr>
      </w:pPr>
      <w:r w:rsidRPr="000E2ED9">
        <w:rPr>
          <w:rFonts w:cs="Arial"/>
          <w:lang w:val="es-ES"/>
        </w:rPr>
        <w:t>derogue las decisiones 14.221 y 14.222.</w:t>
      </w:r>
    </w:p>
    <w:p w14:paraId="75CA1C8C" w14:textId="77777777" w:rsidR="0011328D" w:rsidRDefault="0011328D" w:rsidP="0011328D">
      <w:pPr>
        <w:rPr>
          <w:rFonts w:eastAsia="Times New Roman" w:cs="Arial"/>
          <w:lang w:val="es-ES" w:eastAsia="es-ES"/>
        </w:rPr>
        <w:sectPr w:rsidR="0011328D" w:rsidSect="00323406">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20" w:footer="720" w:gutter="0"/>
          <w:cols w:space="720"/>
          <w:titlePg/>
          <w:docGrid w:linePitch="360"/>
        </w:sectPr>
      </w:pPr>
    </w:p>
    <w:p w14:paraId="1DE57482" w14:textId="77777777" w:rsidR="00E37AA1" w:rsidRPr="000E4BDB" w:rsidRDefault="00E37AA1" w:rsidP="00E37AA1">
      <w:pPr>
        <w:tabs>
          <w:tab w:val="left" w:pos="1402"/>
        </w:tabs>
        <w:spacing w:after="0" w:line="240" w:lineRule="auto"/>
        <w:jc w:val="right"/>
        <w:rPr>
          <w:b/>
          <w:bCs/>
          <w:lang w:val="es-ES"/>
        </w:rPr>
      </w:pPr>
      <w:r w:rsidRPr="000E4BDB">
        <w:rPr>
          <w:b/>
          <w:bCs/>
          <w:lang w:val="es-ES"/>
        </w:rPr>
        <w:t>ANEXO</w:t>
      </w:r>
    </w:p>
    <w:p w14:paraId="06B3709A" w14:textId="77777777" w:rsidR="00E37AA1" w:rsidRPr="000E4BDB" w:rsidRDefault="00E37AA1" w:rsidP="000E2ED9">
      <w:pPr>
        <w:pStyle w:val="Title1"/>
        <w:spacing w:after="0"/>
        <w:rPr>
          <w:bCs w:val="0"/>
          <w:caps w:val="0"/>
        </w:rPr>
      </w:pPr>
    </w:p>
    <w:p w14:paraId="2CF38177" w14:textId="77777777" w:rsidR="00E37AA1" w:rsidRPr="000E4BDB" w:rsidRDefault="00E37AA1" w:rsidP="000E2ED9">
      <w:pPr>
        <w:pStyle w:val="Title1"/>
        <w:spacing w:after="0"/>
        <w:rPr>
          <w:bCs w:val="0"/>
          <w:caps w:val="0"/>
        </w:rPr>
      </w:pPr>
    </w:p>
    <w:p w14:paraId="14BA6A94" w14:textId="77777777" w:rsidR="00E37AA1" w:rsidRPr="000E4BDB" w:rsidRDefault="00E37AA1" w:rsidP="000E2ED9">
      <w:pPr>
        <w:pStyle w:val="Title1"/>
        <w:spacing w:after="0"/>
        <w:rPr>
          <w:caps w:val="0"/>
        </w:rPr>
      </w:pPr>
      <w:r w:rsidRPr="000E4BDB">
        <w:rPr>
          <w:caps w:val="0"/>
        </w:rPr>
        <w:t>RESUMEN DE LAS CONCLUSIONES DE LA REUNIÓN DE CONSULTA DE EXPERTOS SOBRE CONTAMINACIÓN LUMÍNICA</w:t>
      </w:r>
    </w:p>
    <w:p w14:paraId="4E977A05" w14:textId="77777777" w:rsidR="00E37AA1" w:rsidRPr="000E4BDB" w:rsidRDefault="00E37AA1" w:rsidP="000E2ED9">
      <w:pPr>
        <w:suppressAutoHyphens/>
        <w:autoSpaceDN w:val="0"/>
        <w:spacing w:after="0" w:line="240" w:lineRule="auto"/>
        <w:textAlignment w:val="baseline"/>
        <w:rPr>
          <w:rFonts w:eastAsia="Calibri" w:cs="Arial"/>
          <w:lang w:val="es-ES"/>
        </w:rPr>
      </w:pPr>
    </w:p>
    <w:p w14:paraId="2430EBE2" w14:textId="77777777" w:rsidR="00E37AA1" w:rsidRPr="000E4BDB" w:rsidRDefault="00E37AA1" w:rsidP="000E2ED9">
      <w:pPr>
        <w:suppressAutoHyphens/>
        <w:autoSpaceDN w:val="0"/>
        <w:spacing w:after="0" w:line="240" w:lineRule="auto"/>
        <w:textAlignment w:val="baseline"/>
        <w:rPr>
          <w:rFonts w:eastAsia="Calibri" w:cs="Arial"/>
          <w:lang w:val="es-ES"/>
        </w:rPr>
      </w:pPr>
    </w:p>
    <w:p w14:paraId="03D5FD52" w14:textId="77777777" w:rsidR="00E37AA1" w:rsidRPr="000E4BDB" w:rsidRDefault="00E37AA1" w:rsidP="000E2ED9">
      <w:pPr>
        <w:spacing w:after="0" w:line="240" w:lineRule="auto"/>
        <w:jc w:val="both"/>
        <w:rPr>
          <w:lang w:val="es-ES"/>
        </w:rPr>
      </w:pPr>
      <w:r w:rsidRPr="000E4BDB">
        <w:rPr>
          <w:lang w:val="es-ES"/>
        </w:rPr>
        <w:t>La reunión de consulta en línea de expertos sobre contaminación lumínica se celebró el 23 de mayo de 2025. En la reunión participaron quince expertos y dos miembros de la Secretaría de la CMS. Se examinaron las siguientes cuestiones:</w:t>
      </w:r>
    </w:p>
    <w:p w14:paraId="4363D974" w14:textId="77777777" w:rsidR="00E37AA1" w:rsidRPr="000E4BDB" w:rsidRDefault="00E37AA1" w:rsidP="000E2ED9">
      <w:pPr>
        <w:pStyle w:val="ListParagraph"/>
        <w:spacing w:after="0" w:line="240" w:lineRule="auto"/>
        <w:ind w:left="567" w:hanging="425"/>
        <w:contextualSpacing w:val="0"/>
        <w:jc w:val="both"/>
        <w:rPr>
          <w:lang w:val="es-ES"/>
        </w:rPr>
      </w:pPr>
    </w:p>
    <w:p w14:paraId="689A067D" w14:textId="77777777" w:rsidR="00E37AA1" w:rsidRPr="000E4BDB" w:rsidRDefault="00E37AA1" w:rsidP="000E2ED9">
      <w:pPr>
        <w:pStyle w:val="ListParagraph"/>
        <w:numPr>
          <w:ilvl w:val="0"/>
          <w:numId w:val="18"/>
        </w:numPr>
        <w:spacing w:after="0" w:line="240" w:lineRule="auto"/>
        <w:ind w:left="964" w:hanging="397"/>
        <w:contextualSpacing w:val="0"/>
        <w:jc w:val="both"/>
        <w:rPr>
          <w:lang w:val="es-ES"/>
        </w:rPr>
      </w:pPr>
      <w:r w:rsidRPr="000E4BDB">
        <w:rPr>
          <w:lang w:val="es-ES"/>
        </w:rPr>
        <w:t>Posibles anexos adicionales a las Directrices – Decisión 14.222 (a)</w:t>
      </w:r>
    </w:p>
    <w:p w14:paraId="77F7D0F5" w14:textId="77777777" w:rsidR="00E37AA1" w:rsidRPr="000E4BDB" w:rsidRDefault="00E37AA1" w:rsidP="000E2ED9">
      <w:pPr>
        <w:pStyle w:val="ListParagraph"/>
        <w:spacing w:after="0" w:line="240" w:lineRule="auto"/>
        <w:ind w:left="964"/>
        <w:contextualSpacing w:val="0"/>
        <w:jc w:val="both"/>
        <w:rPr>
          <w:lang w:val="es-ES"/>
        </w:rPr>
      </w:pPr>
    </w:p>
    <w:p w14:paraId="79184841" w14:textId="77777777" w:rsidR="00E37AA1" w:rsidRPr="000E4BDB" w:rsidRDefault="00E37AA1" w:rsidP="000E2ED9">
      <w:pPr>
        <w:pStyle w:val="ListParagraph"/>
        <w:numPr>
          <w:ilvl w:val="0"/>
          <w:numId w:val="18"/>
        </w:numPr>
        <w:spacing w:after="0" w:line="240" w:lineRule="auto"/>
        <w:ind w:left="964" w:hanging="397"/>
        <w:contextualSpacing w:val="0"/>
        <w:jc w:val="both"/>
        <w:rPr>
          <w:lang w:val="es-ES"/>
        </w:rPr>
      </w:pPr>
      <w:r w:rsidRPr="000E4BDB">
        <w:rPr>
          <w:lang w:val="es-ES"/>
        </w:rPr>
        <w:t>Difusión de las Directrices internacionales de la CMS sobre la contaminación lumínica para las especies migratorias – Decisiones 14.222 (b) y (c)</w:t>
      </w:r>
    </w:p>
    <w:p w14:paraId="3398CC31" w14:textId="77777777" w:rsidR="00E37AA1" w:rsidRPr="000E4BDB" w:rsidRDefault="00E37AA1" w:rsidP="000E2ED9">
      <w:pPr>
        <w:pStyle w:val="ListParagraph"/>
        <w:spacing w:after="0" w:line="240" w:lineRule="auto"/>
        <w:rPr>
          <w:lang w:val="es-ES"/>
        </w:rPr>
      </w:pPr>
    </w:p>
    <w:p w14:paraId="07DE40E8" w14:textId="77777777" w:rsidR="00E37AA1" w:rsidRPr="000E4BDB" w:rsidRDefault="00E37AA1" w:rsidP="000E2ED9">
      <w:pPr>
        <w:pStyle w:val="ListParagraph"/>
        <w:numPr>
          <w:ilvl w:val="0"/>
          <w:numId w:val="18"/>
        </w:numPr>
        <w:spacing w:after="0" w:line="240" w:lineRule="auto"/>
        <w:ind w:left="964" w:hanging="397"/>
        <w:contextualSpacing w:val="0"/>
        <w:jc w:val="both"/>
        <w:rPr>
          <w:color w:val="000000" w:themeColor="text1"/>
          <w:lang w:val="es-ES"/>
        </w:rPr>
      </w:pPr>
      <w:r w:rsidRPr="000E4BDB">
        <w:rPr>
          <w:lang w:val="es-ES"/>
        </w:rPr>
        <w:t xml:space="preserve">La experiencia de Australia en la aplicación y difusión de las </w:t>
      </w:r>
      <w:r w:rsidRPr="000E4BDB">
        <w:rPr>
          <w:rFonts w:eastAsia="Times New Roman" w:cs="Arial"/>
          <w:color w:val="000000" w:themeColor="text1"/>
          <w:lang w:val="es-ES"/>
        </w:rPr>
        <w:t>Directrices nacionales australianas sobre la contaminación lumínica para la fauna silvestre.</w:t>
      </w:r>
    </w:p>
    <w:p w14:paraId="746CB43C" w14:textId="77777777" w:rsidR="00E37AA1" w:rsidRPr="000E4BDB" w:rsidRDefault="00E37AA1" w:rsidP="000E2ED9">
      <w:pPr>
        <w:pStyle w:val="ListParagraph"/>
        <w:spacing w:after="0" w:line="240" w:lineRule="auto"/>
        <w:ind w:left="567" w:hanging="425"/>
        <w:contextualSpacing w:val="0"/>
        <w:jc w:val="both"/>
        <w:rPr>
          <w:color w:val="000000" w:themeColor="text1"/>
          <w:lang w:val="es-ES"/>
        </w:rPr>
      </w:pPr>
    </w:p>
    <w:p w14:paraId="094B453B" w14:textId="77777777" w:rsidR="00E37AA1" w:rsidRPr="000E4BDB" w:rsidRDefault="00E37AA1" w:rsidP="000E2ED9">
      <w:pPr>
        <w:spacing w:after="0" w:line="240" w:lineRule="auto"/>
        <w:jc w:val="both"/>
        <w:rPr>
          <w:u w:val="single"/>
          <w:lang w:val="es-ES"/>
        </w:rPr>
      </w:pPr>
      <w:r w:rsidRPr="000E4BDB">
        <w:rPr>
          <w:u w:val="single"/>
          <w:lang w:val="es-ES"/>
        </w:rPr>
        <w:t>Posibles anexos adicionales a las Directrices – Decisión 14.222 (a)</w:t>
      </w:r>
    </w:p>
    <w:p w14:paraId="27AB9D69" w14:textId="77777777" w:rsidR="00E37AA1" w:rsidRPr="000E4BDB" w:rsidRDefault="00E37AA1" w:rsidP="000E2ED9">
      <w:pPr>
        <w:spacing w:after="0" w:line="240" w:lineRule="auto"/>
        <w:jc w:val="both"/>
        <w:rPr>
          <w:u w:val="single"/>
          <w:lang w:val="es-ES"/>
        </w:rPr>
      </w:pPr>
    </w:p>
    <w:p w14:paraId="7DC288BA" w14:textId="77777777" w:rsidR="00E37AA1" w:rsidRPr="000E4BDB" w:rsidRDefault="00E37AA1" w:rsidP="000E2ED9">
      <w:pPr>
        <w:spacing w:after="0" w:line="240" w:lineRule="auto"/>
        <w:jc w:val="both"/>
        <w:rPr>
          <w:rFonts w:eastAsia="Times New Roman" w:cs="Arial"/>
          <w:color w:val="000000" w:themeColor="text1"/>
          <w:lang w:val="es-ES"/>
        </w:rPr>
      </w:pPr>
      <w:r w:rsidRPr="000E4BDB">
        <w:rPr>
          <w:rFonts w:eastAsia="Times New Roman" w:cs="Arial"/>
          <w:lang w:val="es-ES"/>
        </w:rPr>
        <w:t>En la reunión se examinó la posible inclusión de</w:t>
      </w:r>
      <w:r w:rsidRPr="000E4BDB">
        <w:rPr>
          <w:rFonts w:eastAsia="Times New Roman" w:cs="Arial"/>
          <w:bCs/>
          <w:color w:val="EE0000"/>
          <w:lang w:val="es-ES"/>
        </w:rPr>
        <w:t xml:space="preserve"> </w:t>
      </w:r>
      <w:r w:rsidRPr="000E4BDB">
        <w:rPr>
          <w:rFonts w:eastAsia="Times New Roman" w:cs="Arial"/>
          <w:bCs/>
          <w:color w:val="000000" w:themeColor="text1"/>
          <w:lang w:val="es-ES"/>
        </w:rPr>
        <w:t xml:space="preserve">mamíferos marinos migratorios </w:t>
      </w:r>
      <w:r w:rsidRPr="000E4BDB">
        <w:rPr>
          <w:rFonts w:eastAsia="Times New Roman" w:cs="Arial"/>
          <w:lang w:val="es-ES"/>
        </w:rPr>
        <w:t>en las Directrices de la CMS sobre la contaminación lumínica, así como una versión adaptada del apéndice sobre «</w:t>
      </w:r>
      <w:r w:rsidRPr="000E4BDB">
        <w:rPr>
          <w:rFonts w:eastAsia="Times New Roman" w:cs="Arial"/>
          <w:color w:val="000000" w:themeColor="text1"/>
          <w:lang w:val="es-ES"/>
        </w:rPr>
        <w:t xml:space="preserve">comunidades ecológicas» de las Directrices nacionales australianas sobre la contaminación lumínica para la fauna silvestre. </w:t>
      </w:r>
      <w:r w:rsidRPr="000E4BDB">
        <w:rPr>
          <w:rFonts w:eastAsia="Times New Roman" w:cs="Arial"/>
          <w:lang w:val="es-ES"/>
        </w:rPr>
        <w:t xml:space="preserve">El Grupo Operativo de la CMS sobre Energía está estudiando actualmente si existe investigación suficiente que justifique un apéndice adicional para </w:t>
      </w:r>
      <w:r w:rsidRPr="000E4BDB">
        <w:rPr>
          <w:rFonts w:eastAsia="Times New Roman" w:cs="Arial"/>
          <w:color w:val="000000" w:themeColor="text1"/>
          <w:lang w:val="es-ES"/>
        </w:rPr>
        <w:t>mamíferos marinos migratorios.</w:t>
      </w:r>
    </w:p>
    <w:p w14:paraId="2B0441A1" w14:textId="77777777" w:rsidR="00E37AA1" w:rsidRPr="000E4BDB" w:rsidRDefault="00E37AA1" w:rsidP="000E2ED9">
      <w:pPr>
        <w:pStyle w:val="ListParagraph"/>
        <w:spacing w:after="0" w:line="240" w:lineRule="auto"/>
        <w:ind w:left="0"/>
        <w:contextualSpacing w:val="0"/>
        <w:jc w:val="both"/>
        <w:rPr>
          <w:rFonts w:eastAsia="Times New Roman" w:cs="Arial"/>
          <w:lang w:val="es-ES"/>
        </w:rPr>
      </w:pPr>
    </w:p>
    <w:p w14:paraId="5D569348" w14:textId="77777777" w:rsidR="00E37AA1" w:rsidRPr="000E4BDB" w:rsidRDefault="00E37AA1" w:rsidP="000E2ED9">
      <w:pPr>
        <w:spacing w:after="0" w:line="240" w:lineRule="auto"/>
        <w:jc w:val="both"/>
        <w:rPr>
          <w:rFonts w:eastAsia="Times New Roman" w:cs="Arial"/>
          <w:lang w:val="es-ES"/>
        </w:rPr>
      </w:pPr>
      <w:r w:rsidRPr="000E4BDB">
        <w:rPr>
          <w:rFonts w:eastAsia="Times New Roman" w:cs="Arial"/>
          <w:lang w:val="es-ES"/>
        </w:rPr>
        <w:t xml:space="preserve">Se planteó la inclusión de invertebrados, con referencias a estudios pertinentes citados en las </w:t>
      </w:r>
      <w:r w:rsidRPr="000E4BDB">
        <w:rPr>
          <w:rFonts w:eastAsia="Times New Roman" w:cs="Arial"/>
          <w:bCs/>
          <w:color w:val="000000" w:themeColor="text1"/>
          <w:lang w:val="es-ES"/>
        </w:rPr>
        <w:t>directrices</w:t>
      </w:r>
      <w:r w:rsidRPr="000E4BDB">
        <w:rPr>
          <w:rFonts w:eastAsia="Times New Roman" w:cs="Arial"/>
          <w:lang w:val="es-ES"/>
        </w:rPr>
        <w:t xml:space="preserve"> del Acuerdo sobre la Conservación de las Poblaciones de Murciélagos en Europa (EUROBATS).</w:t>
      </w:r>
      <w:r w:rsidRPr="000E4BDB">
        <w:rPr>
          <w:rStyle w:val="FootnoteReference"/>
          <w:rFonts w:eastAsia="Times New Roman" w:cs="Arial"/>
          <w:bCs/>
          <w:lang w:val="es-ES"/>
        </w:rPr>
        <w:footnoteReference w:id="1"/>
      </w:r>
      <w:r w:rsidRPr="000E4BDB">
        <w:rPr>
          <w:rFonts w:eastAsia="Times New Roman" w:cs="Arial"/>
          <w:lang w:val="es-ES"/>
        </w:rPr>
        <w:t xml:space="preserve"> </w:t>
      </w:r>
    </w:p>
    <w:p w14:paraId="5D5D0A2B" w14:textId="77777777" w:rsidR="00E37AA1" w:rsidRPr="000E4BDB" w:rsidRDefault="00E37AA1" w:rsidP="000E2ED9">
      <w:pPr>
        <w:pStyle w:val="ListParagraph"/>
        <w:spacing w:after="0" w:line="240" w:lineRule="auto"/>
        <w:ind w:left="0"/>
        <w:contextualSpacing w:val="0"/>
        <w:jc w:val="both"/>
        <w:rPr>
          <w:rFonts w:eastAsia="Times New Roman" w:cs="Arial"/>
          <w:lang w:val="es-ES"/>
        </w:rPr>
      </w:pPr>
    </w:p>
    <w:p w14:paraId="555C0BBB" w14:textId="77777777" w:rsidR="00E37AA1" w:rsidRPr="000E4BDB" w:rsidRDefault="00E37AA1" w:rsidP="000E2ED9">
      <w:pPr>
        <w:spacing w:after="0" w:line="240" w:lineRule="auto"/>
        <w:jc w:val="both"/>
        <w:rPr>
          <w:rFonts w:eastAsia="Times New Roman" w:cs="Arial"/>
          <w:lang w:val="es-ES"/>
        </w:rPr>
      </w:pPr>
      <w:r w:rsidRPr="000E4BDB">
        <w:rPr>
          <w:rFonts w:eastAsia="Times New Roman" w:cs="Arial"/>
          <w:lang w:val="es-ES"/>
        </w:rPr>
        <w:t>El Gobierno de Australia ha desarrollado trabajos sobre cómo la contaminación lumínica afecta a los invertebrados y su función como fuentes de alimento, lo cual podría ser relevante para las especies migratorias.</w:t>
      </w:r>
    </w:p>
    <w:p w14:paraId="473AE54B" w14:textId="77777777" w:rsidR="00E37AA1" w:rsidRPr="000E4BDB" w:rsidRDefault="00E37AA1" w:rsidP="000E2ED9">
      <w:pPr>
        <w:pStyle w:val="ListParagraph"/>
        <w:spacing w:after="0" w:line="240" w:lineRule="auto"/>
        <w:ind w:left="0"/>
        <w:contextualSpacing w:val="0"/>
        <w:jc w:val="both"/>
        <w:rPr>
          <w:rFonts w:eastAsia="Times New Roman" w:cs="Arial"/>
          <w:lang w:val="es-ES"/>
        </w:rPr>
      </w:pPr>
    </w:p>
    <w:p w14:paraId="397B385A" w14:textId="77777777" w:rsidR="00E37AA1" w:rsidRPr="000E4BDB" w:rsidRDefault="00E37AA1" w:rsidP="000E2ED9">
      <w:pPr>
        <w:spacing w:after="0" w:line="240" w:lineRule="auto"/>
        <w:jc w:val="both"/>
        <w:rPr>
          <w:rFonts w:eastAsia="Times New Roman" w:cs="Arial"/>
          <w:lang w:val="es-ES"/>
        </w:rPr>
      </w:pPr>
      <w:r w:rsidRPr="000E4BDB">
        <w:rPr>
          <w:rFonts w:eastAsia="Times New Roman" w:cs="Arial"/>
          <w:lang w:val="es-ES"/>
        </w:rPr>
        <w:t xml:space="preserve">Se sugirió que la próxima Conferencia «Light At </w:t>
      </w:r>
      <w:proofErr w:type="spellStart"/>
      <w:r w:rsidRPr="000E4BDB">
        <w:rPr>
          <w:rFonts w:eastAsia="Times New Roman" w:cs="Arial"/>
          <w:lang w:val="es-ES"/>
        </w:rPr>
        <w:t>Night</w:t>
      </w:r>
      <w:proofErr w:type="spellEnd"/>
      <w:r w:rsidRPr="000E4BDB">
        <w:rPr>
          <w:rFonts w:eastAsia="Times New Roman" w:cs="Arial"/>
          <w:lang w:val="es-ES"/>
        </w:rPr>
        <w:t>» - ALAN 2025 (luz artificial nocturna) podría ofrecer una oportunidad para consultar con más expertos.</w:t>
      </w:r>
    </w:p>
    <w:p w14:paraId="472DA0D3" w14:textId="77777777" w:rsidR="00E37AA1" w:rsidRPr="000E4BDB" w:rsidRDefault="00E37AA1" w:rsidP="000E2ED9">
      <w:pPr>
        <w:pStyle w:val="ListParagraph"/>
        <w:spacing w:after="0" w:line="240" w:lineRule="auto"/>
        <w:ind w:left="0"/>
        <w:contextualSpacing w:val="0"/>
        <w:jc w:val="both"/>
        <w:rPr>
          <w:rFonts w:eastAsia="Times New Roman" w:cs="Arial"/>
          <w:lang w:val="es-ES"/>
        </w:rPr>
      </w:pPr>
    </w:p>
    <w:p w14:paraId="3C7F871C" w14:textId="77777777" w:rsidR="00E37AA1" w:rsidRPr="000E4BDB" w:rsidRDefault="00E37AA1" w:rsidP="000E2ED9">
      <w:pPr>
        <w:spacing w:after="0" w:line="240" w:lineRule="auto"/>
        <w:jc w:val="both"/>
        <w:rPr>
          <w:lang w:val="es-ES"/>
        </w:rPr>
      </w:pPr>
      <w:r w:rsidRPr="000E4BDB">
        <w:rPr>
          <w:rFonts w:eastAsia="Times New Roman" w:cs="Arial"/>
          <w:lang w:val="es-ES"/>
        </w:rPr>
        <w:t xml:space="preserve">Los expertos no identificaron una necesidad urgente de orientación adicional específica ni de enmendar las directrices existentes, y no se propuso ninguna acción de seguimiento para el próximo trienio. Una vez que la CMS haya revisado los impactos de la contaminación lumínica en los mamíferos marinos, y tras </w:t>
      </w:r>
      <w:r w:rsidRPr="000E4BDB">
        <w:rPr>
          <w:rFonts w:eastAsia="Times New Roman" w:cs="Arial"/>
          <w:color w:val="000000" w:themeColor="text1"/>
          <w:lang w:val="es-ES"/>
        </w:rPr>
        <w:t>recabar las opiniones</w:t>
      </w:r>
      <w:r w:rsidRPr="000E4BDB">
        <w:rPr>
          <w:rFonts w:eastAsia="Times New Roman" w:cs="Arial"/>
          <w:lang w:val="es-ES"/>
        </w:rPr>
        <w:t xml:space="preserve"> de expertos en ALAN 2025, podrá revisarse la cuestión de posibles apéndices adicionales. Por ahora, la prioridad debe seguir siendo la difusión de las Directrices.</w:t>
      </w:r>
    </w:p>
    <w:p w14:paraId="036F0974" w14:textId="77777777" w:rsidR="00E37AA1" w:rsidRPr="000E4BDB" w:rsidRDefault="00E37AA1" w:rsidP="000E2ED9">
      <w:pPr>
        <w:spacing w:after="0" w:line="240" w:lineRule="auto"/>
        <w:ind w:left="142"/>
        <w:jc w:val="both"/>
        <w:rPr>
          <w:u w:val="single"/>
          <w:lang w:val="es-ES"/>
        </w:rPr>
      </w:pPr>
    </w:p>
    <w:p w14:paraId="55CA572B" w14:textId="77777777" w:rsidR="00E37AA1" w:rsidRPr="000E4BDB" w:rsidRDefault="00E37AA1" w:rsidP="000E2ED9">
      <w:pPr>
        <w:spacing w:after="0" w:line="240" w:lineRule="auto"/>
        <w:jc w:val="both"/>
        <w:rPr>
          <w:u w:val="single"/>
          <w:lang w:val="es-ES"/>
        </w:rPr>
      </w:pPr>
      <w:r w:rsidRPr="000E4BDB">
        <w:rPr>
          <w:u w:val="single"/>
          <w:lang w:val="es-ES"/>
        </w:rPr>
        <w:t>Difusión de las Directrices internacionales de la CMS sobre la contaminación lumínica para las especies migratorias: Decisiones 14.222 (b) y 14.222 (c)</w:t>
      </w:r>
    </w:p>
    <w:p w14:paraId="4E7EF705" w14:textId="77777777" w:rsidR="00E37AA1" w:rsidRPr="000E4BDB" w:rsidRDefault="00E37AA1" w:rsidP="000E2ED9">
      <w:pPr>
        <w:spacing w:after="0" w:line="240" w:lineRule="auto"/>
        <w:ind w:left="567" w:hanging="425"/>
        <w:jc w:val="both"/>
        <w:rPr>
          <w:u w:val="single"/>
          <w:lang w:val="es-ES"/>
        </w:rPr>
      </w:pPr>
    </w:p>
    <w:p w14:paraId="77D751F4" w14:textId="77777777" w:rsidR="00E37AA1" w:rsidRPr="000E4BDB" w:rsidRDefault="00E37AA1" w:rsidP="000E2ED9">
      <w:pPr>
        <w:spacing w:after="0" w:line="240" w:lineRule="auto"/>
        <w:jc w:val="both"/>
        <w:rPr>
          <w:rFonts w:eastAsia="Times New Roman" w:cs="Arial"/>
          <w:lang w:val="es-ES"/>
        </w:rPr>
      </w:pPr>
      <w:r w:rsidRPr="000E4BDB">
        <w:rPr>
          <w:rFonts w:eastAsia="Times New Roman" w:cs="Arial"/>
          <w:lang w:val="es-ES"/>
        </w:rPr>
        <w:t>Se identificó la extensión y la naturaleza técnica de las Directrices como un obstáculo clave para su difusión. Se recomendó un resumen más breve (centrado en los mensajes de política) como una herramienta más práctica para la participación de los gobiernos. Se señaló que las primeras 20 páginas de las Directrices de la CMS constituyen técnicamente el cuerpo principal del documento, mientras que el resto está compuesto por apéndices. No habrá una versión única de las Directrices que se ajuste a todos los casos, y podrían necesitarse productos adaptados para partes interesadas específicas (por ejemplo, gobiernos, ONG o sectores concretos). Se sugirió elaborar módulos de capacitación en línea dirigidos a grupos concretos.</w:t>
      </w:r>
    </w:p>
    <w:p w14:paraId="1A70075D" w14:textId="77777777" w:rsidR="00E37AA1" w:rsidRPr="000E4BDB" w:rsidRDefault="00E37AA1" w:rsidP="000E2ED9">
      <w:pPr>
        <w:spacing w:after="0" w:line="240" w:lineRule="auto"/>
        <w:jc w:val="both"/>
        <w:rPr>
          <w:rFonts w:eastAsia="Times New Roman" w:cs="Arial"/>
          <w:lang w:val="es-ES"/>
        </w:rPr>
      </w:pPr>
      <w:r w:rsidRPr="000E4BDB">
        <w:rPr>
          <w:lang w:val="es-ES"/>
        </w:rPr>
        <w:t xml:space="preserve">También se examinaron otras oportunidades para la divulgación estratégica y la difusión eficaz de las Directrices, como presentarlas en la próxima Conferencia ALAN 2025 sobre contaminación lumínica en </w:t>
      </w:r>
      <w:proofErr w:type="spellStart"/>
      <w:r w:rsidRPr="000E4BDB">
        <w:rPr>
          <w:lang w:val="es-ES"/>
        </w:rPr>
        <w:t>Westport</w:t>
      </w:r>
      <w:proofErr w:type="spellEnd"/>
      <w:r w:rsidRPr="000E4BDB">
        <w:rPr>
          <w:lang w:val="es-ES"/>
        </w:rPr>
        <w:t xml:space="preserve">, EE. UU., o solicitar el aval de la Unión Europea (UE), seminarios en línea organizados por la CMS sobre la cuestión, y posibles asociaciones con la Comisión Internacional de Iluminación (CIE) y </w:t>
      </w:r>
      <w:proofErr w:type="spellStart"/>
      <w:r w:rsidRPr="000E4BDB">
        <w:rPr>
          <w:lang w:val="es-ES"/>
        </w:rPr>
        <w:t>LightingEurope</w:t>
      </w:r>
      <w:proofErr w:type="spellEnd"/>
      <w:r w:rsidRPr="000E4BDB">
        <w:rPr>
          <w:color w:val="000000" w:themeColor="text1"/>
          <w:lang w:val="es-ES"/>
        </w:rPr>
        <w:t xml:space="preserve">. En la reunión de consulta de expertos también se </w:t>
      </w:r>
      <w:r w:rsidRPr="000E4BDB">
        <w:rPr>
          <w:lang w:val="es-ES"/>
        </w:rPr>
        <w:t>abordó la promoción de la difusión a través de los Puntos Focales Nacionales para aumentar la sensibilización de las Partes en la CMS sobre las Directrices. Entre otras propuestas figuraba organizar un evento paralelo en la COP15 de la CMS y plantear la cuestión en reuniones de otras convenciones pertinentes, como el Convenio sobre la Diversidad Biológica (CDB) y la Plataforma Intergubernamental Científico-Normativa sobre Diversidad Biológica y Servicios de los Ecosistemas (IPBES).</w:t>
      </w:r>
    </w:p>
    <w:p w14:paraId="56D728DD" w14:textId="77777777" w:rsidR="00E37AA1" w:rsidRPr="000E4BDB" w:rsidRDefault="00E37AA1" w:rsidP="000E2ED9">
      <w:pPr>
        <w:pStyle w:val="ListParagraph"/>
        <w:spacing w:after="0" w:line="240" w:lineRule="auto"/>
        <w:ind w:left="142"/>
        <w:contextualSpacing w:val="0"/>
        <w:jc w:val="both"/>
        <w:rPr>
          <w:rFonts w:eastAsia="Times New Roman" w:cs="Arial"/>
          <w:lang w:val="es-ES"/>
        </w:rPr>
      </w:pPr>
    </w:p>
    <w:p w14:paraId="17479B53" w14:textId="77777777" w:rsidR="00E37AA1" w:rsidRPr="000E4BDB" w:rsidRDefault="00E37AA1" w:rsidP="000E2ED9">
      <w:pPr>
        <w:spacing w:after="0" w:line="240" w:lineRule="auto"/>
        <w:jc w:val="both"/>
        <w:rPr>
          <w:rFonts w:eastAsia="Times New Roman" w:cs="Arial"/>
          <w:lang w:val="es-ES"/>
        </w:rPr>
      </w:pPr>
      <w:r w:rsidRPr="000E4BDB">
        <w:rPr>
          <w:rFonts w:eastAsia="Times New Roman" w:cs="Arial"/>
          <w:lang w:val="es-ES"/>
        </w:rPr>
        <w:t>Las preocupaciones en materia de salud y la eficiencia energética se consideraron puntos de entrada prometedores para motivar la acción. Se destacó la importancia de alinear las Directrices con los intereses de las partes interesadas, como la seguridad pública y la conservación de la energía.</w:t>
      </w:r>
    </w:p>
    <w:p w14:paraId="311E8E5A" w14:textId="77777777" w:rsidR="00E37AA1" w:rsidRPr="000E4BDB" w:rsidRDefault="00E37AA1" w:rsidP="000E2ED9">
      <w:pPr>
        <w:pStyle w:val="ListParagraph"/>
        <w:spacing w:after="0" w:line="240" w:lineRule="auto"/>
        <w:ind w:left="0"/>
        <w:contextualSpacing w:val="0"/>
        <w:jc w:val="both"/>
        <w:rPr>
          <w:rFonts w:eastAsia="Times New Roman" w:cs="Arial"/>
          <w:lang w:val="es-ES"/>
        </w:rPr>
      </w:pPr>
    </w:p>
    <w:p w14:paraId="7C47EC4E" w14:textId="77777777" w:rsidR="00E37AA1" w:rsidRPr="000E4BDB" w:rsidRDefault="00E37AA1" w:rsidP="000E2ED9">
      <w:pPr>
        <w:spacing w:after="0" w:line="240" w:lineRule="auto"/>
        <w:jc w:val="both"/>
        <w:rPr>
          <w:rFonts w:eastAsia="Times New Roman" w:cs="Arial"/>
          <w:lang w:val="es-ES"/>
        </w:rPr>
      </w:pPr>
      <w:r w:rsidRPr="000E4BDB">
        <w:rPr>
          <w:rFonts w:eastAsia="Times New Roman" w:cs="Arial"/>
          <w:lang w:val="es-ES"/>
        </w:rPr>
        <w:t>Se expresó preocupación por el hecho de que algunas Partes en la CMS no conocen las Directrices a pesar de su adopción formal por la COP. Se sugirió que la CMS redoble sus esfuerzos internos para garantizar la difusión a través de los Puntos Focales Nacionales y un seminario en línea organizado por la CMS.</w:t>
      </w:r>
    </w:p>
    <w:p w14:paraId="6E4175D4" w14:textId="77777777" w:rsidR="00E37AA1" w:rsidRPr="000E4BDB" w:rsidRDefault="00E37AA1" w:rsidP="000E2ED9">
      <w:pPr>
        <w:pStyle w:val="ListParagraph"/>
        <w:spacing w:after="0" w:line="240" w:lineRule="auto"/>
        <w:ind w:left="0"/>
        <w:contextualSpacing w:val="0"/>
        <w:jc w:val="both"/>
        <w:rPr>
          <w:rFonts w:eastAsia="Times New Roman" w:cs="Arial"/>
          <w:lang w:val="es-ES"/>
        </w:rPr>
      </w:pPr>
    </w:p>
    <w:p w14:paraId="60522BD7" w14:textId="77777777" w:rsidR="00E37AA1" w:rsidRPr="000E4BDB" w:rsidRDefault="00E37AA1" w:rsidP="000E2ED9">
      <w:pPr>
        <w:spacing w:after="0" w:line="240" w:lineRule="auto"/>
        <w:jc w:val="both"/>
        <w:rPr>
          <w:rFonts w:eastAsia="Times New Roman" w:cs="Arial"/>
          <w:lang w:val="es-ES"/>
        </w:rPr>
      </w:pPr>
      <w:r w:rsidRPr="000E4BDB">
        <w:rPr>
          <w:rFonts w:eastAsia="Times New Roman" w:cs="Arial"/>
          <w:lang w:val="es-ES"/>
        </w:rPr>
        <w:t>Se debatió la accesibilidad lingüística, y se solicitó que las Directrices se publicaran de forma destacada en el sitio web de la CMS en los tres idiomas de la Convención.</w:t>
      </w:r>
    </w:p>
    <w:p w14:paraId="4B68D19D" w14:textId="77777777" w:rsidR="00E37AA1" w:rsidRPr="000E4BDB" w:rsidRDefault="00E37AA1" w:rsidP="000E2ED9">
      <w:pPr>
        <w:pStyle w:val="ListParagraph"/>
        <w:spacing w:after="0" w:line="240" w:lineRule="auto"/>
        <w:ind w:left="0"/>
        <w:contextualSpacing w:val="0"/>
        <w:jc w:val="both"/>
        <w:rPr>
          <w:rFonts w:eastAsia="Times New Roman" w:cs="Arial"/>
          <w:lang w:val="es-ES"/>
        </w:rPr>
      </w:pPr>
    </w:p>
    <w:p w14:paraId="0F3E4D34" w14:textId="77777777" w:rsidR="00E37AA1" w:rsidRPr="000E4BDB" w:rsidRDefault="00E37AA1" w:rsidP="000E2ED9">
      <w:pPr>
        <w:spacing w:after="0" w:line="240" w:lineRule="auto"/>
        <w:jc w:val="both"/>
        <w:rPr>
          <w:rFonts w:eastAsia="Times New Roman" w:cs="Arial"/>
          <w:lang w:val="es-ES"/>
        </w:rPr>
      </w:pPr>
      <w:r w:rsidRPr="000E4BDB">
        <w:rPr>
          <w:rFonts w:eastAsia="Times New Roman" w:cs="Arial"/>
          <w:lang w:val="es-ES"/>
        </w:rPr>
        <w:t>Se señaló que la normativa sobre alumbrado suele estar incluida en los códigos nacionales de construcción y seguridad, que rara vez tienen en cuenta a la fauna silvestre. Se propuso abogar por la inclusión de normas favorables a la fauna silvestre.</w:t>
      </w:r>
    </w:p>
    <w:p w14:paraId="64247D35" w14:textId="77777777" w:rsidR="00E37AA1" w:rsidRPr="000E4BDB" w:rsidRDefault="00E37AA1" w:rsidP="000E2ED9">
      <w:pPr>
        <w:pStyle w:val="ListParagraph"/>
        <w:spacing w:after="0" w:line="240" w:lineRule="auto"/>
        <w:ind w:left="0"/>
        <w:contextualSpacing w:val="0"/>
        <w:jc w:val="both"/>
        <w:rPr>
          <w:lang w:val="es-ES"/>
        </w:rPr>
      </w:pPr>
    </w:p>
    <w:p w14:paraId="66E458BB" w14:textId="77777777" w:rsidR="00E37AA1" w:rsidRPr="000E4BDB" w:rsidRDefault="00E37AA1" w:rsidP="000E2ED9">
      <w:pPr>
        <w:spacing w:after="0" w:line="240" w:lineRule="auto"/>
        <w:jc w:val="both"/>
        <w:rPr>
          <w:rFonts w:eastAsia="Times New Roman" w:cs="Arial"/>
          <w:lang w:val="es-ES"/>
        </w:rPr>
      </w:pPr>
      <w:r w:rsidRPr="000E4BDB">
        <w:rPr>
          <w:lang w:val="es-ES"/>
        </w:rPr>
        <w:t>Otras sugerencias para difundir más ampliamente las Directrices sobre la contaminación lumínica se recopilaron a través de intercambios por correo electrónico e incluyen:</w:t>
      </w:r>
    </w:p>
    <w:p w14:paraId="612CEF26" w14:textId="77777777" w:rsidR="00E37AA1" w:rsidRPr="000E4BDB" w:rsidRDefault="00E37AA1" w:rsidP="000E2ED9">
      <w:pPr>
        <w:pStyle w:val="ListParagraph"/>
        <w:spacing w:after="0" w:line="240" w:lineRule="auto"/>
        <w:contextualSpacing w:val="0"/>
        <w:jc w:val="both"/>
        <w:rPr>
          <w:lang w:val="es-ES"/>
        </w:rPr>
      </w:pPr>
    </w:p>
    <w:p w14:paraId="13DF7041" w14:textId="77777777" w:rsidR="00E37AA1" w:rsidRPr="000E4BDB" w:rsidRDefault="00E37AA1" w:rsidP="000E2ED9">
      <w:pPr>
        <w:pStyle w:val="ListParagraph"/>
        <w:numPr>
          <w:ilvl w:val="1"/>
          <w:numId w:val="17"/>
        </w:numPr>
        <w:spacing w:after="0" w:line="240" w:lineRule="auto"/>
        <w:ind w:left="794" w:hanging="397"/>
        <w:contextualSpacing w:val="0"/>
        <w:jc w:val="both"/>
        <w:rPr>
          <w:lang w:val="es-ES"/>
        </w:rPr>
      </w:pPr>
      <w:r w:rsidRPr="000E4BDB">
        <w:rPr>
          <w:lang w:val="es-ES"/>
        </w:rPr>
        <w:t>elaborar un documento conciso de dos páginas (una versión «Cómo hacerlo») en el que se expongan las principales consideraciones para evaluar los impactos de la luz artificial nocturna (ALAN) en las especies silvestres, con una breve referencia a los instrumentos internacionales pertinentes, como el Marco Mundial para la Biodiversidad de Kunming-Montreal del CDB;</w:t>
      </w:r>
    </w:p>
    <w:p w14:paraId="7DE23338" w14:textId="77777777" w:rsidR="00E37AA1" w:rsidRPr="000E4BDB" w:rsidRDefault="00E37AA1" w:rsidP="000E2ED9">
      <w:pPr>
        <w:pStyle w:val="ListParagraph"/>
        <w:spacing w:after="0" w:line="240" w:lineRule="auto"/>
        <w:ind w:left="794" w:hanging="397"/>
        <w:contextualSpacing w:val="0"/>
        <w:jc w:val="both"/>
        <w:rPr>
          <w:lang w:val="es-ES"/>
        </w:rPr>
      </w:pPr>
    </w:p>
    <w:p w14:paraId="69D3E1BA" w14:textId="77777777" w:rsidR="00E37AA1" w:rsidRPr="000E4BDB" w:rsidRDefault="00E37AA1" w:rsidP="000E2ED9">
      <w:pPr>
        <w:pStyle w:val="ListParagraph"/>
        <w:numPr>
          <w:ilvl w:val="1"/>
          <w:numId w:val="17"/>
        </w:numPr>
        <w:spacing w:after="0" w:line="240" w:lineRule="auto"/>
        <w:ind w:left="794" w:hanging="397"/>
        <w:contextualSpacing w:val="0"/>
        <w:jc w:val="both"/>
        <w:rPr>
          <w:lang w:val="es-ES"/>
        </w:rPr>
      </w:pPr>
      <w:r w:rsidRPr="000E4BDB">
        <w:rPr>
          <w:lang w:val="es-ES"/>
        </w:rPr>
        <w:t xml:space="preserve">desarrollar una breve serie de vídeos titulada «CMS LP </w:t>
      </w:r>
      <w:proofErr w:type="spellStart"/>
      <w:r w:rsidRPr="000E4BDB">
        <w:rPr>
          <w:lang w:val="es-ES"/>
        </w:rPr>
        <w:t>Guidelines</w:t>
      </w:r>
      <w:proofErr w:type="spellEnd"/>
      <w:r w:rsidRPr="000E4BDB">
        <w:rPr>
          <w:lang w:val="es-ES"/>
        </w:rPr>
        <w:t xml:space="preserve"> 101», diseñada para explicar qué es la contaminación lumínica, sus impactos en la fauna silvestre, el propósito y contenido de las Directrices de la CMS y cómo apoyan los esfuerzos de mitigación de la contaminación lumínica;</w:t>
      </w:r>
    </w:p>
    <w:p w14:paraId="00879C7A" w14:textId="77777777" w:rsidR="00E37AA1" w:rsidRPr="000E4BDB" w:rsidRDefault="00E37AA1" w:rsidP="000E2ED9">
      <w:pPr>
        <w:pStyle w:val="ListParagraph"/>
        <w:spacing w:after="0" w:line="240" w:lineRule="auto"/>
        <w:ind w:left="794" w:hanging="397"/>
        <w:contextualSpacing w:val="0"/>
        <w:jc w:val="both"/>
        <w:rPr>
          <w:lang w:val="es-ES"/>
        </w:rPr>
      </w:pPr>
    </w:p>
    <w:p w14:paraId="6D8AAA1E" w14:textId="77777777" w:rsidR="00E37AA1" w:rsidRPr="000E4BDB" w:rsidRDefault="00E37AA1" w:rsidP="000E2ED9">
      <w:pPr>
        <w:pStyle w:val="ListParagraph"/>
        <w:numPr>
          <w:ilvl w:val="1"/>
          <w:numId w:val="17"/>
        </w:numPr>
        <w:spacing w:after="0" w:line="240" w:lineRule="auto"/>
        <w:ind w:left="794" w:hanging="397"/>
        <w:contextualSpacing w:val="0"/>
        <w:jc w:val="both"/>
        <w:rPr>
          <w:lang w:val="es-ES"/>
        </w:rPr>
      </w:pPr>
      <w:r w:rsidRPr="000E4BDB">
        <w:rPr>
          <w:lang w:val="es-ES"/>
        </w:rPr>
        <w:t>identificar los países prioritarios que ya están tomando medidas para reducir la contaminación lumínica y elaborar una lista de puntos de contacto nacionales que puedan difundirlas;</w:t>
      </w:r>
    </w:p>
    <w:p w14:paraId="7BAD2AC5" w14:textId="77777777" w:rsidR="00E37AA1" w:rsidRPr="000E4BDB" w:rsidRDefault="00E37AA1" w:rsidP="000E2ED9">
      <w:pPr>
        <w:pStyle w:val="ListParagraph"/>
        <w:spacing w:after="0" w:line="240" w:lineRule="auto"/>
        <w:ind w:left="794" w:hanging="397"/>
        <w:contextualSpacing w:val="0"/>
        <w:jc w:val="both"/>
        <w:rPr>
          <w:lang w:val="es-ES"/>
        </w:rPr>
      </w:pPr>
    </w:p>
    <w:p w14:paraId="3D4EC645" w14:textId="77777777" w:rsidR="00E37AA1" w:rsidRPr="000E4BDB" w:rsidRDefault="00E37AA1" w:rsidP="000E2ED9">
      <w:pPr>
        <w:pStyle w:val="ListParagraph"/>
        <w:numPr>
          <w:ilvl w:val="1"/>
          <w:numId w:val="17"/>
        </w:numPr>
        <w:spacing w:after="0" w:line="240" w:lineRule="auto"/>
        <w:ind w:left="794" w:hanging="397"/>
        <w:contextualSpacing w:val="0"/>
        <w:jc w:val="both"/>
        <w:rPr>
          <w:lang w:val="es-ES"/>
        </w:rPr>
      </w:pPr>
      <w:r w:rsidRPr="000E4BDB">
        <w:rPr>
          <w:lang w:val="es-ES"/>
        </w:rPr>
        <w:t xml:space="preserve">trabajar con los Puntos Focales de la CMS y los </w:t>
      </w:r>
      <w:proofErr w:type="gramStart"/>
      <w:r w:rsidRPr="000E4BDB">
        <w:rPr>
          <w:lang w:val="es-ES"/>
        </w:rPr>
        <w:t>Consejeros</w:t>
      </w:r>
      <w:proofErr w:type="gramEnd"/>
      <w:r w:rsidRPr="000E4BDB">
        <w:rPr>
          <w:lang w:val="es-ES"/>
        </w:rPr>
        <w:t xml:space="preserve"> Científicos para dar a conocer las Directrices en sus organismos gubernamentales, tanto a nivel nacional como local (ayuntamientos, autoridades locales);</w:t>
      </w:r>
    </w:p>
    <w:p w14:paraId="121924E7" w14:textId="77777777" w:rsidR="00E37AA1" w:rsidRPr="000E4BDB" w:rsidRDefault="00E37AA1" w:rsidP="000E2ED9">
      <w:pPr>
        <w:pStyle w:val="ListParagraph"/>
        <w:spacing w:after="0" w:line="240" w:lineRule="auto"/>
        <w:ind w:left="794" w:hanging="397"/>
        <w:contextualSpacing w:val="0"/>
        <w:jc w:val="both"/>
        <w:rPr>
          <w:lang w:val="es-ES"/>
        </w:rPr>
      </w:pPr>
    </w:p>
    <w:p w14:paraId="69A9719B" w14:textId="77777777" w:rsidR="00E37AA1" w:rsidRPr="000E4BDB" w:rsidRDefault="00E37AA1" w:rsidP="000E2ED9">
      <w:pPr>
        <w:pStyle w:val="ListParagraph"/>
        <w:numPr>
          <w:ilvl w:val="1"/>
          <w:numId w:val="17"/>
        </w:numPr>
        <w:spacing w:after="0" w:line="240" w:lineRule="auto"/>
        <w:ind w:left="794" w:hanging="397"/>
        <w:contextualSpacing w:val="0"/>
        <w:jc w:val="both"/>
        <w:rPr>
          <w:lang w:val="es-ES"/>
        </w:rPr>
      </w:pPr>
      <w:r w:rsidRPr="000E4BDB">
        <w:rPr>
          <w:lang w:val="es-ES"/>
        </w:rPr>
        <w:t>traducir las Directrices al idioma correspondiente de los países en que se publiquen (esto podría hacerse por etapas, es decir, primero las primeras 20 páginas y luego los apéndices pertinentes específicos de las especies, según sea necesario), incluso creando un enlace a otros idiomas en la página temática sobre contaminación lumínica de la CMS;</w:t>
      </w:r>
    </w:p>
    <w:p w14:paraId="24783049" w14:textId="77777777" w:rsidR="00E37AA1" w:rsidRPr="000E4BDB" w:rsidRDefault="00E37AA1" w:rsidP="000E2ED9">
      <w:pPr>
        <w:pStyle w:val="ListParagraph"/>
        <w:spacing w:after="0" w:line="240" w:lineRule="auto"/>
        <w:ind w:left="794" w:hanging="397"/>
        <w:contextualSpacing w:val="0"/>
        <w:jc w:val="both"/>
        <w:rPr>
          <w:lang w:val="es-ES"/>
        </w:rPr>
      </w:pPr>
    </w:p>
    <w:p w14:paraId="31E1265B" w14:textId="77777777" w:rsidR="00E37AA1" w:rsidRPr="000E4BDB" w:rsidRDefault="00E37AA1" w:rsidP="000E2ED9">
      <w:pPr>
        <w:pStyle w:val="ListParagraph"/>
        <w:numPr>
          <w:ilvl w:val="1"/>
          <w:numId w:val="17"/>
        </w:numPr>
        <w:spacing w:after="0" w:line="240" w:lineRule="auto"/>
        <w:ind w:left="794" w:hanging="397"/>
        <w:contextualSpacing w:val="0"/>
        <w:jc w:val="both"/>
        <w:rPr>
          <w:lang w:val="es-ES"/>
        </w:rPr>
      </w:pPr>
      <w:r w:rsidRPr="000E4BDB">
        <w:rPr>
          <w:lang w:val="es-ES"/>
        </w:rPr>
        <w:t>Consultar en la ALAN 2025 si existen lagunas en las Directrices actuales de la CMS;</w:t>
      </w:r>
    </w:p>
    <w:p w14:paraId="25892FA0" w14:textId="77777777" w:rsidR="00E37AA1" w:rsidRPr="000E4BDB" w:rsidRDefault="00E37AA1" w:rsidP="000E2ED9">
      <w:pPr>
        <w:pStyle w:val="ListParagraph"/>
        <w:spacing w:after="0" w:line="240" w:lineRule="auto"/>
        <w:ind w:left="794" w:hanging="397"/>
        <w:contextualSpacing w:val="0"/>
        <w:jc w:val="both"/>
        <w:rPr>
          <w:lang w:val="es-ES"/>
        </w:rPr>
      </w:pPr>
    </w:p>
    <w:p w14:paraId="1AF4DA4E" w14:textId="77777777" w:rsidR="00E37AA1" w:rsidRPr="000E4BDB" w:rsidRDefault="00E37AA1" w:rsidP="000E2ED9">
      <w:pPr>
        <w:pStyle w:val="ListParagraph"/>
        <w:numPr>
          <w:ilvl w:val="1"/>
          <w:numId w:val="17"/>
        </w:numPr>
        <w:spacing w:after="0" w:line="240" w:lineRule="auto"/>
        <w:ind w:left="794" w:hanging="397"/>
        <w:contextualSpacing w:val="0"/>
        <w:jc w:val="both"/>
        <w:rPr>
          <w:lang w:val="es-ES"/>
        </w:rPr>
      </w:pPr>
      <w:r w:rsidRPr="000E4BDB">
        <w:rPr>
          <w:lang w:val="es-ES"/>
        </w:rPr>
        <w:t>facilitar conversaciones con el CDB a través de las Estrategias y Planes de Acción Nacionales sobre Biodiversidad, así como con la Convención Marco de las Naciones Unidas sobre el Cambio Climático, para dar a conocer las Directrices de la CMS e incluirlas cuando corresponda;</w:t>
      </w:r>
    </w:p>
    <w:p w14:paraId="3E679942" w14:textId="77777777" w:rsidR="00E37AA1" w:rsidRPr="000E4BDB" w:rsidRDefault="00E37AA1" w:rsidP="000E2ED9">
      <w:pPr>
        <w:pStyle w:val="ListParagraph"/>
        <w:numPr>
          <w:ilvl w:val="1"/>
          <w:numId w:val="17"/>
        </w:numPr>
        <w:spacing w:after="0" w:line="240" w:lineRule="auto"/>
        <w:ind w:left="794" w:hanging="397"/>
        <w:contextualSpacing w:val="0"/>
        <w:jc w:val="both"/>
        <w:rPr>
          <w:lang w:val="es-ES"/>
        </w:rPr>
      </w:pPr>
      <w:r w:rsidRPr="000E4BDB">
        <w:rPr>
          <w:lang w:val="es-ES"/>
        </w:rPr>
        <w:t xml:space="preserve">promover </w:t>
      </w:r>
      <w:hyperlink r:id="rId21" w:history="1">
        <w:r w:rsidRPr="000E4BDB">
          <w:rPr>
            <w:rStyle w:val="Hyperlink"/>
            <w:lang w:val="es-ES"/>
          </w:rPr>
          <w:t xml:space="preserve">la nota de políticas del Proyecto «PLAN-B </w:t>
        </w:r>
        <w:proofErr w:type="spellStart"/>
        <w:r w:rsidRPr="000E4BDB">
          <w:rPr>
            <w:rStyle w:val="Hyperlink"/>
            <w:lang w:val="es-ES"/>
          </w:rPr>
          <w:t>Horizon</w:t>
        </w:r>
        <w:proofErr w:type="spellEnd"/>
        <w:r w:rsidRPr="000E4BDB">
          <w:rPr>
            <w:rStyle w:val="Hyperlink"/>
            <w:lang w:val="es-ES"/>
          </w:rPr>
          <w:t xml:space="preserve"> </w:t>
        </w:r>
        <w:proofErr w:type="spellStart"/>
        <w:r w:rsidRPr="000E4BDB">
          <w:rPr>
            <w:rStyle w:val="Hyperlink"/>
            <w:lang w:val="es-ES"/>
          </w:rPr>
          <w:t>Europe</w:t>
        </w:r>
        <w:proofErr w:type="spellEnd"/>
        <w:r w:rsidRPr="000E4BDB">
          <w:rPr>
            <w:rStyle w:val="Hyperlink"/>
            <w:lang w:val="es-ES"/>
          </w:rPr>
          <w:t>» sobre contaminación lumínica</w:t>
        </w:r>
      </w:hyperlink>
      <w:r w:rsidRPr="000E4BDB">
        <w:rPr>
          <w:lang w:val="es-ES"/>
        </w:rPr>
        <w:t>, que sirve como herramienta de comunicación para sensibilizar y orientar sobre la mitigación de la contaminación lumínica dentro de la UE y a nivel mundial. La nota hace referencia a las Directrices Internacionales, instando a la UE a utilizarlas como marco para evaluar los impactos de la ALAN en la evaluación de impacto ambiental;</w:t>
      </w:r>
    </w:p>
    <w:p w14:paraId="276F584A" w14:textId="77777777" w:rsidR="00E37AA1" w:rsidRPr="000E4BDB" w:rsidRDefault="00E37AA1" w:rsidP="000E2ED9">
      <w:pPr>
        <w:pStyle w:val="ListParagraph"/>
        <w:spacing w:after="0" w:line="240" w:lineRule="auto"/>
        <w:rPr>
          <w:lang w:val="es-ES"/>
        </w:rPr>
      </w:pPr>
    </w:p>
    <w:p w14:paraId="759AC427" w14:textId="77777777" w:rsidR="00E37AA1" w:rsidRPr="000E4BDB" w:rsidRDefault="00E37AA1" w:rsidP="000E2ED9">
      <w:pPr>
        <w:pStyle w:val="ListParagraph"/>
        <w:numPr>
          <w:ilvl w:val="1"/>
          <w:numId w:val="17"/>
        </w:numPr>
        <w:spacing w:after="0" w:line="240" w:lineRule="auto"/>
        <w:ind w:left="794" w:hanging="397"/>
        <w:contextualSpacing w:val="0"/>
        <w:jc w:val="both"/>
        <w:rPr>
          <w:lang w:val="es-ES"/>
        </w:rPr>
      </w:pPr>
      <w:r w:rsidRPr="000E4BDB">
        <w:rPr>
          <w:lang w:val="es-ES"/>
        </w:rPr>
        <w:t xml:space="preserve">difundir las Directrices en la </w:t>
      </w:r>
      <w:hyperlink r:id="rId22" w:history="1">
        <w:r w:rsidRPr="000E4BDB">
          <w:rPr>
            <w:rStyle w:val="Hyperlink"/>
            <w:lang w:val="es-ES"/>
          </w:rPr>
          <w:t>20.ª Conferencia Internacional de Investigación sobre Murciélagos</w:t>
        </w:r>
      </w:hyperlink>
      <w:r w:rsidRPr="000E4BDB">
        <w:rPr>
          <w:lang w:val="es-ES"/>
        </w:rPr>
        <w:t xml:space="preserve"> en Cairns, Australia;</w:t>
      </w:r>
    </w:p>
    <w:p w14:paraId="4D6411FD" w14:textId="77777777" w:rsidR="00E37AA1" w:rsidRPr="000E4BDB" w:rsidRDefault="00E37AA1" w:rsidP="000E2ED9">
      <w:pPr>
        <w:pStyle w:val="ListParagraph"/>
        <w:spacing w:after="0" w:line="240" w:lineRule="auto"/>
        <w:ind w:left="794" w:hanging="397"/>
        <w:contextualSpacing w:val="0"/>
        <w:jc w:val="both"/>
        <w:rPr>
          <w:lang w:val="es-ES"/>
        </w:rPr>
      </w:pPr>
    </w:p>
    <w:p w14:paraId="131300A3" w14:textId="77777777" w:rsidR="00E37AA1" w:rsidRPr="000E4BDB" w:rsidRDefault="00E37AA1" w:rsidP="000E2ED9">
      <w:pPr>
        <w:pStyle w:val="ListParagraph"/>
        <w:numPr>
          <w:ilvl w:val="1"/>
          <w:numId w:val="17"/>
        </w:numPr>
        <w:spacing w:after="0" w:line="240" w:lineRule="auto"/>
        <w:ind w:left="794" w:hanging="397"/>
        <w:contextualSpacing w:val="0"/>
        <w:jc w:val="both"/>
        <w:rPr>
          <w:lang w:val="es-ES"/>
        </w:rPr>
      </w:pPr>
      <w:r w:rsidRPr="000E4BDB">
        <w:rPr>
          <w:lang w:val="es-ES"/>
        </w:rPr>
        <w:t>dar a conocer las Directrices de la CMS a las organizaciones no gubernamentales locales, grupos industriales, aeropuertos, puertos y promotores que probablemente instalen y sean responsables de numerosos puntos de luz, así como a proveedores y diseñadores locales de alumbrado;</w:t>
      </w:r>
    </w:p>
    <w:p w14:paraId="5B0C2C01" w14:textId="77777777" w:rsidR="00E37AA1" w:rsidRPr="000E4BDB" w:rsidRDefault="00E37AA1" w:rsidP="000E2ED9">
      <w:pPr>
        <w:pStyle w:val="ListParagraph"/>
        <w:spacing w:after="0" w:line="240" w:lineRule="auto"/>
        <w:ind w:left="794" w:hanging="397"/>
        <w:contextualSpacing w:val="0"/>
        <w:jc w:val="both"/>
        <w:rPr>
          <w:lang w:val="es-ES"/>
        </w:rPr>
      </w:pPr>
    </w:p>
    <w:p w14:paraId="7D010471" w14:textId="77777777" w:rsidR="00E37AA1" w:rsidRPr="000E4BDB" w:rsidRDefault="00E37AA1" w:rsidP="000E2ED9">
      <w:pPr>
        <w:pStyle w:val="ListParagraph"/>
        <w:numPr>
          <w:ilvl w:val="1"/>
          <w:numId w:val="17"/>
        </w:numPr>
        <w:spacing w:after="0" w:line="240" w:lineRule="auto"/>
        <w:ind w:left="794" w:hanging="397"/>
        <w:contextualSpacing w:val="0"/>
        <w:jc w:val="both"/>
        <w:rPr>
          <w:lang w:val="es-ES"/>
        </w:rPr>
      </w:pPr>
      <w:r w:rsidRPr="000E4BDB">
        <w:rPr>
          <w:lang w:val="es-ES"/>
        </w:rPr>
        <w:t>acercarse a universidades locales para que consideren incluir las Directrices como parte de sus programas de formación de científicos ambientales, biólogos, conservacionistas, técnicos de iluminación, arquitectos, diseñadores de alumbrado, etc.; y</w:t>
      </w:r>
    </w:p>
    <w:p w14:paraId="2B145A57" w14:textId="77777777" w:rsidR="00E37AA1" w:rsidRPr="000E4BDB" w:rsidRDefault="00E37AA1" w:rsidP="000E2ED9">
      <w:pPr>
        <w:pStyle w:val="ListParagraph"/>
        <w:spacing w:after="0" w:line="240" w:lineRule="auto"/>
        <w:ind w:left="794" w:hanging="397"/>
        <w:contextualSpacing w:val="0"/>
        <w:jc w:val="both"/>
        <w:rPr>
          <w:lang w:val="es-ES"/>
        </w:rPr>
      </w:pPr>
    </w:p>
    <w:p w14:paraId="46DA75AD" w14:textId="77777777" w:rsidR="00E37AA1" w:rsidRPr="000E4BDB" w:rsidRDefault="00E37AA1" w:rsidP="000E2ED9">
      <w:pPr>
        <w:pStyle w:val="ListParagraph"/>
        <w:numPr>
          <w:ilvl w:val="1"/>
          <w:numId w:val="17"/>
        </w:numPr>
        <w:spacing w:after="0" w:line="240" w:lineRule="auto"/>
        <w:ind w:left="794" w:hanging="397"/>
        <w:contextualSpacing w:val="0"/>
        <w:jc w:val="both"/>
        <w:rPr>
          <w:lang w:val="es-ES"/>
        </w:rPr>
      </w:pPr>
      <w:r w:rsidRPr="000E4BDB">
        <w:rPr>
          <w:lang w:val="es-ES"/>
        </w:rPr>
        <w:t>convertir la adopción de las Directrices en un requisito para la financiación de proyectos internacionales por parte del Banco Mundial (o su equivalente si no es apropiado).</w:t>
      </w:r>
    </w:p>
    <w:p w14:paraId="45E13EEC" w14:textId="77777777" w:rsidR="00E37AA1" w:rsidRPr="000E4BDB" w:rsidRDefault="00E37AA1" w:rsidP="000E2ED9">
      <w:pPr>
        <w:pStyle w:val="ListParagraph"/>
        <w:spacing w:after="0" w:line="240" w:lineRule="auto"/>
        <w:contextualSpacing w:val="0"/>
        <w:jc w:val="both"/>
        <w:rPr>
          <w:rFonts w:cs="Arial"/>
          <w:color w:val="000000" w:themeColor="text1"/>
          <w:lang w:val="es-ES"/>
        </w:rPr>
      </w:pPr>
    </w:p>
    <w:p w14:paraId="6D37ABBD" w14:textId="77777777" w:rsidR="00E37AA1" w:rsidRPr="000E4BDB" w:rsidRDefault="00E37AA1" w:rsidP="000E2ED9">
      <w:pPr>
        <w:spacing w:after="0" w:line="240" w:lineRule="auto"/>
        <w:jc w:val="both"/>
        <w:rPr>
          <w:u w:val="single"/>
          <w:lang w:val="es-ES"/>
        </w:rPr>
      </w:pPr>
      <w:r w:rsidRPr="000E4BDB">
        <w:rPr>
          <w:u w:val="single"/>
          <w:lang w:val="es-ES"/>
        </w:rPr>
        <w:t>Experiencia en la aplicación y difusión de las directrices sobre contaminación lumínica</w:t>
      </w:r>
    </w:p>
    <w:p w14:paraId="0BC460DB" w14:textId="77777777" w:rsidR="00E37AA1" w:rsidRPr="000E4BDB" w:rsidRDefault="00E37AA1" w:rsidP="000E2ED9">
      <w:pPr>
        <w:pStyle w:val="ListParagraph"/>
        <w:spacing w:after="0" w:line="240" w:lineRule="auto"/>
        <w:contextualSpacing w:val="0"/>
        <w:jc w:val="both"/>
        <w:rPr>
          <w:lang w:val="es-ES"/>
        </w:rPr>
      </w:pPr>
    </w:p>
    <w:p w14:paraId="07C47A51" w14:textId="77777777" w:rsidR="00E37AA1" w:rsidRPr="000E4BDB" w:rsidRDefault="00E37AA1" w:rsidP="000E2ED9">
      <w:pPr>
        <w:spacing w:after="0" w:line="240" w:lineRule="auto"/>
        <w:jc w:val="both"/>
        <w:rPr>
          <w:color w:val="000000" w:themeColor="text1"/>
          <w:lang w:val="es-ES"/>
        </w:rPr>
      </w:pPr>
      <w:r w:rsidRPr="000E4BDB">
        <w:rPr>
          <w:lang w:val="es-ES"/>
        </w:rPr>
        <w:t xml:space="preserve">Australia presentó su experiencia en la aplicación de las </w:t>
      </w:r>
      <w:r w:rsidRPr="000E4BDB">
        <w:rPr>
          <w:rFonts w:eastAsia="Times New Roman" w:cs="Arial"/>
          <w:color w:val="000000" w:themeColor="text1"/>
          <w:lang w:val="es-ES"/>
        </w:rPr>
        <w:t xml:space="preserve">Directrices nacionales australianas sobre la contaminación lumínica para la fauna silvestre. </w:t>
      </w:r>
    </w:p>
    <w:p w14:paraId="17953737" w14:textId="77777777" w:rsidR="00E37AA1" w:rsidRPr="000E4BDB" w:rsidRDefault="00E37AA1" w:rsidP="000E2ED9">
      <w:pPr>
        <w:pStyle w:val="ListParagraph"/>
        <w:spacing w:after="0" w:line="240" w:lineRule="auto"/>
        <w:ind w:left="426"/>
        <w:contextualSpacing w:val="0"/>
        <w:jc w:val="both"/>
        <w:rPr>
          <w:lang w:val="es-ES"/>
        </w:rPr>
      </w:pPr>
    </w:p>
    <w:p w14:paraId="5273FEE3" w14:textId="77777777" w:rsidR="00E37AA1" w:rsidRPr="000E4BDB" w:rsidRDefault="00E37AA1" w:rsidP="000E2ED9">
      <w:pPr>
        <w:pStyle w:val="ListParagraph"/>
        <w:numPr>
          <w:ilvl w:val="4"/>
          <w:numId w:val="19"/>
        </w:numPr>
        <w:spacing w:after="0" w:line="240" w:lineRule="auto"/>
        <w:ind w:left="794" w:hanging="397"/>
        <w:contextualSpacing w:val="0"/>
        <w:jc w:val="both"/>
        <w:rPr>
          <w:lang w:val="es-ES"/>
        </w:rPr>
      </w:pPr>
      <w:r w:rsidRPr="000E4BDB">
        <w:rPr>
          <w:rFonts w:cs="Arial"/>
          <w:lang w:val="es-ES"/>
        </w:rPr>
        <w:t>Reconocieron haber encontrado oposición, principalmente a nivel local, ya que algunas partes interesadas percibían zonas como las playas locales como no suficientemente significativas para justificar cambios. Se elaboraron directrices legislativas, y está prevista la participación pública como parte del proceso en curso.</w:t>
      </w:r>
    </w:p>
    <w:p w14:paraId="4706365D" w14:textId="77777777" w:rsidR="00E37AA1" w:rsidRPr="000E4BDB" w:rsidRDefault="00E37AA1" w:rsidP="000E2ED9">
      <w:pPr>
        <w:pStyle w:val="ListParagraph"/>
        <w:spacing w:after="0" w:line="240" w:lineRule="auto"/>
        <w:ind w:left="794" w:hanging="397"/>
        <w:contextualSpacing w:val="0"/>
        <w:jc w:val="both"/>
        <w:rPr>
          <w:rFonts w:cs="Arial"/>
          <w:lang w:val="es-ES"/>
        </w:rPr>
      </w:pPr>
    </w:p>
    <w:p w14:paraId="546056D7" w14:textId="77777777" w:rsidR="00E37AA1" w:rsidRPr="000E4BDB" w:rsidRDefault="00E37AA1" w:rsidP="000E2ED9">
      <w:pPr>
        <w:pStyle w:val="ListParagraph"/>
        <w:numPr>
          <w:ilvl w:val="4"/>
          <w:numId w:val="19"/>
        </w:numPr>
        <w:spacing w:after="0" w:line="240" w:lineRule="auto"/>
        <w:ind w:left="794" w:hanging="397"/>
        <w:contextualSpacing w:val="0"/>
        <w:jc w:val="both"/>
        <w:rPr>
          <w:lang w:val="es-ES"/>
        </w:rPr>
      </w:pPr>
      <w:r w:rsidRPr="000E4BDB">
        <w:rPr>
          <w:rFonts w:cs="Arial"/>
          <w:lang w:val="es-ES"/>
        </w:rPr>
        <w:t xml:space="preserve">Para abordar las cuestiones de cumplimiento, especialmente en edificios </w:t>
      </w:r>
      <w:proofErr w:type="spellStart"/>
      <w:r w:rsidRPr="000E4BDB">
        <w:rPr>
          <w:rFonts w:cs="Arial"/>
          <w:lang w:val="es-ES"/>
        </w:rPr>
        <w:t>multirresidenciales</w:t>
      </w:r>
      <w:proofErr w:type="spellEnd"/>
      <w:r w:rsidRPr="000E4BDB">
        <w:rPr>
          <w:rFonts w:cs="Arial"/>
          <w:lang w:val="es-ES"/>
        </w:rPr>
        <w:t>, se han emprendido esfuerzos como la introducción de distintos tipos de bombillas.</w:t>
      </w:r>
    </w:p>
    <w:p w14:paraId="0EF053C5" w14:textId="77777777" w:rsidR="00E37AA1" w:rsidRPr="000E4BDB" w:rsidRDefault="00E37AA1" w:rsidP="000E2ED9">
      <w:pPr>
        <w:pStyle w:val="ListParagraph"/>
        <w:spacing w:after="0" w:line="240" w:lineRule="auto"/>
        <w:ind w:left="794" w:hanging="397"/>
        <w:contextualSpacing w:val="0"/>
        <w:jc w:val="both"/>
        <w:rPr>
          <w:rFonts w:cs="Arial"/>
          <w:lang w:val="es-ES"/>
        </w:rPr>
      </w:pPr>
    </w:p>
    <w:p w14:paraId="34CA61FE" w14:textId="77777777" w:rsidR="00E37AA1" w:rsidRPr="000E4BDB" w:rsidRDefault="00E37AA1" w:rsidP="000E2ED9">
      <w:pPr>
        <w:pStyle w:val="ListParagraph"/>
        <w:numPr>
          <w:ilvl w:val="4"/>
          <w:numId w:val="19"/>
        </w:numPr>
        <w:spacing w:after="0" w:line="240" w:lineRule="auto"/>
        <w:ind w:left="794" w:hanging="397"/>
        <w:contextualSpacing w:val="0"/>
        <w:jc w:val="both"/>
        <w:rPr>
          <w:lang w:val="es-ES"/>
        </w:rPr>
      </w:pPr>
      <w:r w:rsidRPr="000E4BDB">
        <w:rPr>
          <w:rFonts w:cs="Arial"/>
          <w:lang w:val="es-ES"/>
        </w:rPr>
        <w:t>Se señalaron las preocupaciones sobre percepciones personales de seguridad y normalidad como obstáculos importantes para la aplicación. La participación en lugares con fuentes de luz intensa se lleva a cabo abiertamente, comenzando a menudo con solicitudes de aplicación de las Directrices. Si no tienen éxito, se considera la posibilidad de realizar un seguimiento de los impactos e imponer multas regulatorias.</w:t>
      </w:r>
    </w:p>
    <w:p w14:paraId="531E144E" w14:textId="77777777" w:rsidR="00E37AA1" w:rsidRPr="000E4BDB" w:rsidRDefault="00E37AA1" w:rsidP="000E2ED9">
      <w:pPr>
        <w:pStyle w:val="ListParagraph"/>
        <w:spacing w:after="0" w:line="240" w:lineRule="auto"/>
        <w:ind w:left="794" w:hanging="397"/>
        <w:contextualSpacing w:val="0"/>
        <w:jc w:val="both"/>
        <w:rPr>
          <w:rFonts w:cs="Arial"/>
          <w:lang w:val="es-ES"/>
        </w:rPr>
      </w:pPr>
    </w:p>
    <w:p w14:paraId="43FDD5AB" w14:textId="77777777" w:rsidR="00E37AA1" w:rsidRPr="000E4BDB" w:rsidRDefault="00E37AA1" w:rsidP="000E2ED9">
      <w:pPr>
        <w:pStyle w:val="ListParagraph"/>
        <w:numPr>
          <w:ilvl w:val="4"/>
          <w:numId w:val="19"/>
        </w:numPr>
        <w:spacing w:after="0" w:line="240" w:lineRule="auto"/>
        <w:ind w:left="794" w:hanging="397"/>
        <w:contextualSpacing w:val="0"/>
        <w:jc w:val="both"/>
        <w:rPr>
          <w:lang w:val="es-ES"/>
        </w:rPr>
      </w:pPr>
      <w:r w:rsidRPr="000E4BDB">
        <w:rPr>
          <w:rFonts w:cs="Arial"/>
          <w:lang w:val="es-ES"/>
        </w:rPr>
        <w:t>Se destacó la importancia de dar ejemplo; demostrar el cumplimiento primero antes de pedir la participación del público ayuda a fomentar la cooperación.</w:t>
      </w:r>
    </w:p>
    <w:p w14:paraId="7BFAD915" w14:textId="77777777" w:rsidR="00E37AA1" w:rsidRPr="000E4BDB" w:rsidRDefault="00E37AA1" w:rsidP="000E2ED9">
      <w:pPr>
        <w:pStyle w:val="ListParagraph"/>
        <w:spacing w:after="0" w:line="240" w:lineRule="auto"/>
        <w:ind w:left="794" w:hanging="397"/>
        <w:contextualSpacing w:val="0"/>
        <w:jc w:val="both"/>
        <w:rPr>
          <w:lang w:val="es-ES"/>
        </w:rPr>
      </w:pPr>
    </w:p>
    <w:p w14:paraId="61670445" w14:textId="77777777" w:rsidR="00E37AA1" w:rsidRPr="000E2ED9" w:rsidRDefault="00E37AA1" w:rsidP="000E2ED9">
      <w:pPr>
        <w:pStyle w:val="ListParagraph"/>
        <w:numPr>
          <w:ilvl w:val="4"/>
          <w:numId w:val="19"/>
        </w:numPr>
        <w:spacing w:after="0" w:line="240" w:lineRule="auto"/>
        <w:ind w:left="794" w:hanging="397"/>
        <w:contextualSpacing w:val="0"/>
        <w:jc w:val="both"/>
        <w:rPr>
          <w:lang w:val="es-ES"/>
        </w:rPr>
      </w:pPr>
      <w:r w:rsidRPr="000E4BDB">
        <w:rPr>
          <w:rFonts w:cs="Arial"/>
          <w:lang w:val="es-ES"/>
        </w:rPr>
        <w:t>Australia planea desarrollar una plataforma en línea con una interfaz fácil de usar que permita a los no expertos evaluar los niveles de contaminación lumínica en cualquier lugar y para cualquier fuente de luz artificial existente o prevista. Esto podría ser relevante para la CMS debido a su potencial para contribuir a la gestión de la contaminación lumínica en los esfuerzos de conservación de las especies migratorias.</w:t>
      </w:r>
    </w:p>
    <w:p w14:paraId="4B38AECE" w14:textId="77777777" w:rsidR="000E2ED9" w:rsidRPr="000E2ED9" w:rsidRDefault="000E2ED9" w:rsidP="0086759D">
      <w:pPr>
        <w:pStyle w:val="ListParagraph"/>
        <w:spacing w:after="0" w:line="240" w:lineRule="auto"/>
        <w:contextualSpacing w:val="0"/>
        <w:rPr>
          <w:lang w:val="es-ES"/>
        </w:rPr>
      </w:pPr>
    </w:p>
    <w:p w14:paraId="6B74BD34" w14:textId="77777777" w:rsidR="00E37AA1" w:rsidRPr="0086759D" w:rsidRDefault="00E37AA1" w:rsidP="0086759D">
      <w:pPr>
        <w:spacing w:after="0" w:line="240" w:lineRule="auto"/>
        <w:jc w:val="both"/>
        <w:rPr>
          <w:lang w:val="es-ES"/>
        </w:rPr>
      </w:pPr>
      <w:r w:rsidRPr="0086759D">
        <w:rPr>
          <w:rFonts w:eastAsia="Times New Roman" w:cs="Arial"/>
          <w:lang w:val="es-ES"/>
        </w:rPr>
        <w:t>Nueva Zelanda compartió su experiencia en el uso de las Directrices internacionales, destacando la eficacia de las colaboraciones con el sector turístico.</w:t>
      </w:r>
    </w:p>
    <w:p w14:paraId="788B6D32" w14:textId="77777777" w:rsidR="00E37AA1" w:rsidRPr="000E4BDB" w:rsidRDefault="00E37AA1" w:rsidP="000E2ED9">
      <w:pPr>
        <w:pStyle w:val="ListParagraph"/>
        <w:spacing w:after="0" w:line="240" w:lineRule="auto"/>
        <w:ind w:left="426"/>
        <w:jc w:val="both"/>
        <w:rPr>
          <w:lang w:val="es-ES"/>
        </w:rPr>
      </w:pPr>
    </w:p>
    <w:p w14:paraId="56898BEE" w14:textId="77777777" w:rsidR="0011328D" w:rsidRDefault="0011328D" w:rsidP="000E2ED9">
      <w:pPr>
        <w:spacing w:after="0" w:line="240" w:lineRule="auto"/>
        <w:rPr>
          <w:rFonts w:eastAsia="Times New Roman" w:cs="Arial"/>
          <w:lang w:val="es-ES" w:eastAsia="es-ES"/>
        </w:rPr>
      </w:pPr>
    </w:p>
    <w:sectPr w:rsidR="0011328D" w:rsidSect="00323406">
      <w:headerReference w:type="first" r:id="rId23"/>
      <w:footerReference w:type="first" r:id="rId2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92053" w14:textId="77777777" w:rsidR="00002A97" w:rsidRDefault="00002A97" w:rsidP="00002A97">
      <w:pPr>
        <w:spacing w:after="0" w:line="240" w:lineRule="auto"/>
      </w:pPr>
      <w:r>
        <w:separator/>
      </w:r>
    </w:p>
  </w:endnote>
  <w:endnote w:type="continuationSeparator" w:id="0">
    <w:p w14:paraId="656741B3" w14:textId="77777777" w:rsidR="00002A97" w:rsidRDefault="00002A97"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67E3D4D0"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379309"/>
      <w:docPartObj>
        <w:docPartGallery w:val="Page Numbers (Bottom of Page)"/>
        <w:docPartUnique/>
      </w:docPartObj>
    </w:sdtPr>
    <w:sdtEndPr>
      <w:rPr>
        <w:noProof/>
        <w:sz w:val="18"/>
        <w:szCs w:val="18"/>
      </w:rPr>
    </w:sdtEndPr>
    <w:sdtContent>
      <w:p w14:paraId="1B6E743E" w14:textId="76EF9123" w:rsidR="0086759D" w:rsidRPr="0086759D" w:rsidRDefault="0086759D">
        <w:pPr>
          <w:pStyle w:val="Footer"/>
          <w:jc w:val="center"/>
          <w:rPr>
            <w:sz w:val="18"/>
            <w:szCs w:val="18"/>
          </w:rPr>
        </w:pPr>
        <w:r w:rsidRPr="0086759D">
          <w:rPr>
            <w:sz w:val="18"/>
            <w:szCs w:val="18"/>
          </w:rPr>
          <w:fldChar w:fldCharType="begin"/>
        </w:r>
        <w:r w:rsidRPr="0086759D">
          <w:rPr>
            <w:sz w:val="18"/>
            <w:szCs w:val="18"/>
          </w:rPr>
          <w:instrText xml:space="preserve"> PAGE   \* MERGEFORMAT </w:instrText>
        </w:r>
        <w:r w:rsidRPr="0086759D">
          <w:rPr>
            <w:sz w:val="18"/>
            <w:szCs w:val="18"/>
          </w:rPr>
          <w:fldChar w:fldCharType="separate"/>
        </w:r>
        <w:r w:rsidRPr="0086759D">
          <w:rPr>
            <w:noProof/>
            <w:sz w:val="18"/>
            <w:szCs w:val="18"/>
          </w:rPr>
          <w:t>2</w:t>
        </w:r>
        <w:r w:rsidRPr="0086759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CEB75" w14:textId="77777777" w:rsidR="00002A97" w:rsidRDefault="00002A97" w:rsidP="00002A97">
      <w:pPr>
        <w:spacing w:after="0" w:line="240" w:lineRule="auto"/>
      </w:pPr>
      <w:r>
        <w:separator/>
      </w:r>
    </w:p>
  </w:footnote>
  <w:footnote w:type="continuationSeparator" w:id="0">
    <w:p w14:paraId="678C8B80" w14:textId="77777777" w:rsidR="00002A97" w:rsidRDefault="00002A97" w:rsidP="00002A97">
      <w:pPr>
        <w:spacing w:after="0" w:line="240" w:lineRule="auto"/>
      </w:pPr>
      <w:r>
        <w:continuationSeparator/>
      </w:r>
    </w:p>
  </w:footnote>
  <w:footnote w:id="1">
    <w:p w14:paraId="17E91A5E" w14:textId="77777777" w:rsidR="00E37AA1" w:rsidRPr="00B970BA" w:rsidRDefault="00E37AA1" w:rsidP="00E37AA1">
      <w:pPr>
        <w:pStyle w:val="FootnoteText"/>
        <w:rPr>
          <w:sz w:val="16"/>
          <w:szCs w:val="16"/>
          <w:lang w:val="cs-CZ"/>
        </w:rPr>
      </w:pPr>
      <w:r w:rsidRPr="00B970BA">
        <w:rPr>
          <w:rStyle w:val="FootnoteReference"/>
          <w:sz w:val="16"/>
          <w:szCs w:val="16"/>
        </w:rPr>
        <w:footnoteRef/>
      </w:r>
      <w:r w:rsidRPr="00B970BA">
        <w:rPr>
          <w:sz w:val="16"/>
          <w:szCs w:val="16"/>
        </w:rPr>
        <w:t xml:space="preserve"> ‘</w:t>
      </w:r>
      <w:hyperlink r:id="rId1" w:history="1">
        <w:r w:rsidRPr="00B970BA">
          <w:rPr>
            <w:rStyle w:val="Hyperlink"/>
            <w:sz w:val="16"/>
            <w:szCs w:val="16"/>
          </w:rPr>
          <w:t>EUROBATS Publication Series No.8 | PNUMA/EUROBATS (https://www.eurobats.org/node/45644)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1D908818"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E26150">
      <w:rPr>
        <w:rFonts w:eastAsia="Times New Roman" w:cs="Arial"/>
        <w:i/>
        <w:sz w:val="18"/>
        <w:szCs w:val="18"/>
        <w:lang w:val="fr-FR" w:eastAsia="es-ES"/>
      </w:rPr>
      <w:t>28.7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39DA44EB"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0E2ED9">
      <w:rPr>
        <w:rFonts w:eastAsia="Times New Roman" w:cs="Arial"/>
        <w:i/>
        <w:sz w:val="18"/>
        <w:szCs w:val="18"/>
        <w:lang w:val="fr-FR" w:eastAsia="es-ES"/>
      </w:rPr>
      <w:t>28.7</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F3B7" w14:textId="005CFE9A" w:rsidR="0011328D" w:rsidRPr="000E2ED9" w:rsidRDefault="0011328D" w:rsidP="0011328D">
    <w:pPr>
      <w:pStyle w:val="Header"/>
      <w:pBdr>
        <w:bottom w:val="single" w:sz="4" w:space="1" w:color="auto"/>
      </w:pBdr>
      <w:rPr>
        <w:i/>
        <w:sz w:val="18"/>
        <w:szCs w:val="18"/>
      </w:rPr>
    </w:pPr>
    <w:r w:rsidRPr="000E2ED9">
      <w:rPr>
        <w:rFonts w:eastAsia="Times New Roman" w:cs="Arial"/>
        <w:i/>
        <w:sz w:val="18"/>
        <w:szCs w:val="18"/>
        <w:lang w:eastAsia="es-ES"/>
      </w:rPr>
      <w:t>UNEP/CMS/COP15/Doc.</w:t>
    </w:r>
    <w:r w:rsidR="000E2ED9" w:rsidRPr="000E2ED9">
      <w:rPr>
        <w:rFonts w:eastAsia="Times New Roman" w:cs="Arial"/>
        <w:i/>
        <w:sz w:val="18"/>
        <w:szCs w:val="18"/>
        <w:lang w:eastAsia="es-ES"/>
      </w:rPr>
      <w:t>28.7/A</w:t>
    </w:r>
    <w:r w:rsidR="000E2ED9">
      <w:rPr>
        <w:rFonts w:eastAsia="Times New Roman" w:cs="Arial"/>
        <w:i/>
        <w:sz w:val="18"/>
        <w:szCs w:val="18"/>
        <w:lang w:eastAsia="es-ES"/>
      </w:rPr>
      <w:t>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D7B43"/>
    <w:multiLevelType w:val="hybridMultilevel"/>
    <w:tmpl w:val="7C0AFD02"/>
    <w:lvl w:ilvl="0" w:tplc="E7C2C3BA">
      <w:start w:val="1"/>
      <w:numFmt w:val="decimal"/>
      <w:lvlText w:val="%1."/>
      <w:lvlJc w:val="left"/>
      <w:pPr>
        <w:ind w:left="360" w:hanging="360"/>
      </w:pPr>
    </w:lvl>
    <w:lvl w:ilvl="1" w:tplc="719AA64E">
      <w:start w:val="1"/>
      <w:numFmt w:val="lowerLetter"/>
      <w:lvlText w:val="%2."/>
      <w:lvlJc w:val="left"/>
      <w:pPr>
        <w:ind w:left="1080" w:hanging="360"/>
      </w:pPr>
    </w:lvl>
    <w:lvl w:ilvl="2" w:tplc="95D46E8C">
      <w:start w:val="1"/>
      <w:numFmt w:val="lowerRoman"/>
      <w:lvlText w:val="%3."/>
      <w:lvlJc w:val="right"/>
      <w:pPr>
        <w:ind w:left="1800" w:hanging="180"/>
      </w:pPr>
    </w:lvl>
    <w:lvl w:ilvl="3" w:tplc="4D6449DE">
      <w:start w:val="1"/>
      <w:numFmt w:val="decimal"/>
      <w:lvlText w:val="%4."/>
      <w:lvlJc w:val="left"/>
      <w:pPr>
        <w:ind w:left="2520" w:hanging="360"/>
      </w:pPr>
    </w:lvl>
    <w:lvl w:ilvl="4" w:tplc="26A861D6">
      <w:start w:val="1"/>
      <w:numFmt w:val="lowerLetter"/>
      <w:lvlText w:val="%5."/>
      <w:lvlJc w:val="left"/>
      <w:pPr>
        <w:ind w:left="3240" w:hanging="360"/>
      </w:pPr>
    </w:lvl>
    <w:lvl w:ilvl="5" w:tplc="AFD86DD0">
      <w:start w:val="1"/>
      <w:numFmt w:val="lowerRoman"/>
      <w:lvlText w:val="%6."/>
      <w:lvlJc w:val="right"/>
      <w:pPr>
        <w:ind w:left="3960" w:hanging="180"/>
      </w:pPr>
    </w:lvl>
    <w:lvl w:ilvl="6" w:tplc="66680B00">
      <w:start w:val="1"/>
      <w:numFmt w:val="decimal"/>
      <w:lvlText w:val="%7."/>
      <w:lvlJc w:val="left"/>
      <w:pPr>
        <w:ind w:left="4680" w:hanging="360"/>
      </w:pPr>
    </w:lvl>
    <w:lvl w:ilvl="7" w:tplc="4C9E9C5C">
      <w:start w:val="1"/>
      <w:numFmt w:val="lowerLetter"/>
      <w:lvlText w:val="%8."/>
      <w:lvlJc w:val="left"/>
      <w:pPr>
        <w:ind w:left="5400" w:hanging="360"/>
      </w:pPr>
    </w:lvl>
    <w:lvl w:ilvl="8" w:tplc="1C1E1132">
      <w:start w:val="1"/>
      <w:numFmt w:val="lowerRoman"/>
      <w:lvlText w:val="%9."/>
      <w:lvlJc w:val="right"/>
      <w:pPr>
        <w:ind w:left="6120" w:hanging="180"/>
      </w:pPr>
    </w:lvl>
  </w:abstractNum>
  <w:abstractNum w:abstractNumId="4" w15:restartNumberingAfterBreak="0">
    <w:nsid w:val="1446EC03"/>
    <w:multiLevelType w:val="hybridMultilevel"/>
    <w:tmpl w:val="CB7E4022"/>
    <w:lvl w:ilvl="0" w:tplc="AB7090EE">
      <w:start w:val="1"/>
      <w:numFmt w:val="lowerLetter"/>
      <w:lvlText w:val="%1)"/>
      <w:lvlJc w:val="left"/>
      <w:pPr>
        <w:ind w:left="720" w:hanging="360"/>
      </w:pPr>
    </w:lvl>
    <w:lvl w:ilvl="1" w:tplc="5D108CA2">
      <w:start w:val="1"/>
      <w:numFmt w:val="lowerLetter"/>
      <w:lvlText w:val="%2."/>
      <w:lvlJc w:val="left"/>
      <w:pPr>
        <w:ind w:left="1440" w:hanging="360"/>
      </w:pPr>
    </w:lvl>
    <w:lvl w:ilvl="2" w:tplc="B5028D3A">
      <w:start w:val="1"/>
      <w:numFmt w:val="lowerRoman"/>
      <w:lvlText w:val="%3."/>
      <w:lvlJc w:val="right"/>
      <w:pPr>
        <w:ind w:left="2160" w:hanging="180"/>
      </w:pPr>
    </w:lvl>
    <w:lvl w:ilvl="3" w:tplc="7166E706">
      <w:start w:val="1"/>
      <w:numFmt w:val="decimal"/>
      <w:lvlText w:val="%4."/>
      <w:lvlJc w:val="left"/>
      <w:pPr>
        <w:ind w:left="2880" w:hanging="360"/>
      </w:pPr>
    </w:lvl>
    <w:lvl w:ilvl="4" w:tplc="8582301C">
      <w:start w:val="1"/>
      <w:numFmt w:val="lowerLetter"/>
      <w:lvlText w:val="%5."/>
      <w:lvlJc w:val="left"/>
      <w:pPr>
        <w:ind w:left="3600" w:hanging="360"/>
      </w:pPr>
    </w:lvl>
    <w:lvl w:ilvl="5" w:tplc="0C348BF2">
      <w:start w:val="1"/>
      <w:numFmt w:val="lowerRoman"/>
      <w:lvlText w:val="%6."/>
      <w:lvlJc w:val="right"/>
      <w:pPr>
        <w:ind w:left="4320" w:hanging="180"/>
      </w:pPr>
    </w:lvl>
    <w:lvl w:ilvl="6" w:tplc="4504273C">
      <w:start w:val="1"/>
      <w:numFmt w:val="decimal"/>
      <w:lvlText w:val="%7."/>
      <w:lvlJc w:val="left"/>
      <w:pPr>
        <w:ind w:left="5040" w:hanging="360"/>
      </w:pPr>
    </w:lvl>
    <w:lvl w:ilvl="7" w:tplc="7EC499EC">
      <w:start w:val="1"/>
      <w:numFmt w:val="lowerLetter"/>
      <w:lvlText w:val="%8."/>
      <w:lvlJc w:val="left"/>
      <w:pPr>
        <w:ind w:left="5760" w:hanging="360"/>
      </w:pPr>
    </w:lvl>
    <w:lvl w:ilvl="8" w:tplc="9B78C82A">
      <w:start w:val="1"/>
      <w:numFmt w:val="lowerRoman"/>
      <w:lvlText w:val="%9."/>
      <w:lvlJc w:val="right"/>
      <w:pPr>
        <w:ind w:left="6480" w:hanging="180"/>
      </w:pPr>
    </w:lvl>
  </w:abstractNum>
  <w:abstractNum w:abstractNumId="5"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A62060"/>
    <w:multiLevelType w:val="hybridMultilevel"/>
    <w:tmpl w:val="E45C30C4"/>
    <w:lvl w:ilvl="0" w:tplc="5046ED82">
      <w:start w:val="1"/>
      <w:numFmt w:val="lowerRoman"/>
      <w:pStyle w:val="Thirdnumberingi0"/>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1"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FE224E1"/>
    <w:multiLevelType w:val="hybridMultilevel"/>
    <w:tmpl w:val="1B54D60A"/>
    <w:lvl w:ilvl="0" w:tplc="20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664B152D"/>
    <w:multiLevelType w:val="hybridMultilevel"/>
    <w:tmpl w:val="1070DDD6"/>
    <w:lvl w:ilvl="0" w:tplc="DB96A1AC">
      <w:start w:val="14"/>
      <w:numFmt w:val="decimal"/>
      <w:lvlText w:val="%1."/>
      <w:lvlJc w:val="left"/>
      <w:pPr>
        <w:ind w:left="36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77DE4A70"/>
    <w:multiLevelType w:val="hybridMultilevel"/>
    <w:tmpl w:val="D786DBB4"/>
    <w:lvl w:ilvl="0" w:tplc="FFFFFFFF">
      <w:start w:val="1"/>
      <w:numFmt w:val="decimal"/>
      <w:lvlText w:val="%1."/>
      <w:lvlJc w:val="left"/>
      <w:pPr>
        <w:ind w:left="360" w:hanging="360"/>
      </w:pPr>
    </w:lvl>
    <w:lvl w:ilvl="1" w:tplc="3A6229C8">
      <w:start w:val="1"/>
      <w:numFmt w:val="lowerLetter"/>
      <w:lvlText w:val="%2."/>
      <w:lvlJc w:val="left"/>
      <w:pPr>
        <w:ind w:left="1080" w:hanging="360"/>
      </w:pPr>
      <w:rPr>
        <w:color w:val="000000" w:themeColor="text1"/>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9"/>
  </w:num>
  <w:num w:numId="5" w16cid:durableId="37974177">
    <w:abstractNumId w:val="6"/>
  </w:num>
  <w:num w:numId="6" w16cid:durableId="1958830237">
    <w:abstractNumId w:val="11"/>
  </w:num>
  <w:num w:numId="7" w16cid:durableId="396439182">
    <w:abstractNumId w:val="14"/>
  </w:num>
  <w:num w:numId="8" w16cid:durableId="260603560">
    <w:abstractNumId w:val="8"/>
  </w:num>
  <w:num w:numId="9" w16cid:durableId="1356272424">
    <w:abstractNumId w:val="7"/>
  </w:num>
  <w:num w:numId="10" w16cid:durableId="630594039">
    <w:abstractNumId w:val="18"/>
  </w:num>
  <w:num w:numId="11" w16cid:durableId="2069759870">
    <w:abstractNumId w:val="12"/>
  </w:num>
  <w:num w:numId="12" w16cid:durableId="904724938">
    <w:abstractNumId w:val="15"/>
  </w:num>
  <w:num w:numId="13" w16cid:durableId="1659503965">
    <w:abstractNumId w:val="10"/>
  </w:num>
  <w:num w:numId="14" w16cid:durableId="17220535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5942825">
    <w:abstractNumId w:val="3"/>
  </w:num>
  <w:num w:numId="16" w16cid:durableId="1769886185">
    <w:abstractNumId w:val="4"/>
  </w:num>
  <w:num w:numId="17" w16cid:durableId="1203205981">
    <w:abstractNumId w:val="17"/>
  </w:num>
  <w:num w:numId="18" w16cid:durableId="585772425">
    <w:abstractNumId w:val="13"/>
  </w:num>
  <w:num w:numId="19" w16cid:durableId="6936994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40D1E"/>
    <w:rsid w:val="000E192F"/>
    <w:rsid w:val="000E2ED9"/>
    <w:rsid w:val="000F4BDA"/>
    <w:rsid w:val="0011328D"/>
    <w:rsid w:val="00127CCF"/>
    <w:rsid w:val="00154A11"/>
    <w:rsid w:val="00166CB7"/>
    <w:rsid w:val="001722A0"/>
    <w:rsid w:val="00192411"/>
    <w:rsid w:val="001E6CDF"/>
    <w:rsid w:val="001E73E0"/>
    <w:rsid w:val="0024152C"/>
    <w:rsid w:val="00256158"/>
    <w:rsid w:val="00273DED"/>
    <w:rsid w:val="002A40B8"/>
    <w:rsid w:val="002A5ABE"/>
    <w:rsid w:val="002D5F2A"/>
    <w:rsid w:val="002F3F5A"/>
    <w:rsid w:val="002F43C9"/>
    <w:rsid w:val="002F7EC2"/>
    <w:rsid w:val="003133A7"/>
    <w:rsid w:val="00323406"/>
    <w:rsid w:val="003C32AE"/>
    <w:rsid w:val="00430A25"/>
    <w:rsid w:val="00457C8A"/>
    <w:rsid w:val="004C0021"/>
    <w:rsid w:val="004C7808"/>
    <w:rsid w:val="005330F7"/>
    <w:rsid w:val="00563598"/>
    <w:rsid w:val="00591364"/>
    <w:rsid w:val="00592262"/>
    <w:rsid w:val="0059243E"/>
    <w:rsid w:val="00593229"/>
    <w:rsid w:val="005B6F8E"/>
    <w:rsid w:val="005C39FC"/>
    <w:rsid w:val="006114FC"/>
    <w:rsid w:val="006C2EF5"/>
    <w:rsid w:val="006C41EE"/>
    <w:rsid w:val="006E0F08"/>
    <w:rsid w:val="006F22B0"/>
    <w:rsid w:val="00790422"/>
    <w:rsid w:val="007B53CC"/>
    <w:rsid w:val="007C212E"/>
    <w:rsid w:val="007E5A82"/>
    <w:rsid w:val="00800CB3"/>
    <w:rsid w:val="00810C64"/>
    <w:rsid w:val="0086759D"/>
    <w:rsid w:val="008B2F29"/>
    <w:rsid w:val="008D33B7"/>
    <w:rsid w:val="008D686F"/>
    <w:rsid w:val="008F0BCC"/>
    <w:rsid w:val="009059D0"/>
    <w:rsid w:val="00943D15"/>
    <w:rsid w:val="0096425D"/>
    <w:rsid w:val="00A96EB9"/>
    <w:rsid w:val="00AC09AE"/>
    <w:rsid w:val="00B104EC"/>
    <w:rsid w:val="00B40E07"/>
    <w:rsid w:val="00BC5707"/>
    <w:rsid w:val="00BE6C85"/>
    <w:rsid w:val="00BF7838"/>
    <w:rsid w:val="00C22155"/>
    <w:rsid w:val="00C41DAD"/>
    <w:rsid w:val="00C42483"/>
    <w:rsid w:val="00C664E8"/>
    <w:rsid w:val="00CF660D"/>
    <w:rsid w:val="00D70275"/>
    <w:rsid w:val="00D70675"/>
    <w:rsid w:val="00D84650"/>
    <w:rsid w:val="00D94194"/>
    <w:rsid w:val="00E26150"/>
    <w:rsid w:val="00E37AA1"/>
    <w:rsid w:val="00E607BD"/>
    <w:rsid w:val="00E77A9F"/>
    <w:rsid w:val="00E81B4A"/>
    <w:rsid w:val="00EF1D13"/>
    <w:rsid w:val="00F147ED"/>
    <w:rsid w:val="00F743C7"/>
    <w:rsid w:val="00F75299"/>
    <w:rsid w:val="00F973DB"/>
    <w:rsid w:val="00FF6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99"/>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11328D"/>
    <w:pPr>
      <w:numPr>
        <w:numId w:val="14"/>
      </w:numPr>
      <w:spacing w:after="0" w:line="240" w:lineRule="auto"/>
    </w:pPr>
    <w:rPr>
      <w:lang w:val="en-GB"/>
    </w:rPr>
  </w:style>
  <w:style w:type="paragraph" w:customStyle="1" w:styleId="Thirdnumberingi0">
    <w:name w:val="Third numbering i)"/>
    <w:basedOn w:val="Secondnumbering"/>
    <w:qFormat/>
    <w:rsid w:val="0011328D"/>
    <w:pPr>
      <w:numPr>
        <w:numId w:val="13"/>
      </w:numPr>
      <w:ind w:left="1701" w:hanging="283"/>
    </w:pPr>
  </w:style>
  <w:style w:type="character" w:customStyle="1" w:styleId="SecondnumberingChar">
    <w:name w:val="Second numbering Char"/>
    <w:basedOn w:val="DefaultParagraphFont"/>
    <w:link w:val="Secondnumbering"/>
    <w:rsid w:val="0011328D"/>
    <w:rPr>
      <w:lang w:val="en-GB"/>
    </w:rPr>
  </w:style>
  <w:style w:type="paragraph" w:styleId="FootnoteText">
    <w:name w:val="footnote text"/>
    <w:basedOn w:val="Normal"/>
    <w:link w:val="FootnoteTextChar"/>
    <w:uiPriority w:val="99"/>
    <w:semiHidden/>
    <w:unhideWhenUsed/>
    <w:rsid w:val="00E37AA1"/>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E37AA1"/>
    <w:rPr>
      <w:sz w:val="20"/>
      <w:szCs w:val="20"/>
      <w:lang w:val="en-GB"/>
    </w:rPr>
  </w:style>
  <w:style w:type="character" w:styleId="FollowedHyperlink">
    <w:name w:val="FollowedHyperlink"/>
    <w:basedOn w:val="DefaultParagraphFont"/>
    <w:uiPriority w:val="99"/>
    <w:semiHidden/>
    <w:unhideWhenUsed/>
    <w:rsid w:val="005932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document/cms-international-light-pollution-guidelines-migratory-specie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ur02.safelinks.protection.outlook.com/?url=https%3A%2F%2Fzenodo.org%2Frecords%2F15707106&amp;data=05%7C02%7Cdagmar.zikova%40un.org%7Cb4a66cd74d734eb307ea08ddea135320%7C0f9e35db544f4f60bdcc5ea416e6dc70%7C0%7C0%7C638924090942712817%7CUnknown%7CTWFpbGZsb3d8eyJFbXB0eU1hcGkiOnRydWUsIlYiOiIwLjAuMDAwMCIsIlAiOiJXaW4zMiIsIkFOIjoiTWFpbCIsIldUIjoyfQ%3D%3D%7C0%7C%7C%7C&amp;sdata=nZzt%2Bt%2BybolCxi31agjnmFPKAY1g9zAhlv2IIFyoOYE%3D&amp;reserved=0" TargetMode="External"/><Relationship Id="rId7" Type="http://schemas.openxmlformats.org/officeDocument/2006/relationships/settings" Target="settings.xml"/><Relationship Id="rId12" Type="http://schemas.openxmlformats.org/officeDocument/2006/relationships/hyperlink" Target="https://www.cms.int/en/publication/international-light-pollution-guidelines-migratory-species"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s/node/25836" TargetMode="External"/><Relationship Id="rId22" Type="http://schemas.openxmlformats.org/officeDocument/2006/relationships/hyperlink" Target="https://www.ibrc.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urobats.org/node/1563"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07917-C27C-4920-BCC6-5C06DA29E76A}">
  <ds:schemaRefs>
    <ds:schemaRef ds:uri="http://purl.org/dc/terms/"/>
    <ds:schemaRef ds:uri="c15478a5-0be8-4f5d-8383-b307d5ba8bf6"/>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985ec44e-1bab-4c0b-9df0-6ba128686fc9"/>
    <ds:schemaRef ds:uri="a7b50396-0b06-45c1-b28e-46f86d566a10"/>
    <ds:schemaRef ds:uri="http://schemas.microsoft.com/office/2006/metadata/properties"/>
  </ds:schemaRefs>
</ds:datastoreItem>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8FA6B64D-77BB-49C8-B05C-7070534D9647}"/>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81</TotalTime>
  <Pages>7</Pages>
  <Words>2275</Words>
  <Characters>12972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20</cp:revision>
  <dcterms:created xsi:type="dcterms:W3CDTF">2025-09-17T12:43:00Z</dcterms:created>
  <dcterms:modified xsi:type="dcterms:W3CDTF">2025-09-22T13:36:00Z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