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5ACD8752" w:rsidR="00002A97" w:rsidRPr="00D60747"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D60747">
              <w:rPr>
                <w:rFonts w:eastAsia="Times New Roman" w:cs="Arial"/>
                <w:szCs w:val="24"/>
                <w:lang w:val="es-ES" w:eastAsia="es-ES"/>
              </w:rPr>
              <w:t>UNEP/CMS/COP1</w:t>
            </w:r>
            <w:r w:rsidR="00C22155" w:rsidRPr="00D60747">
              <w:rPr>
                <w:rFonts w:eastAsia="Times New Roman" w:cs="Arial"/>
                <w:szCs w:val="24"/>
                <w:lang w:val="es-ES" w:eastAsia="es-ES"/>
              </w:rPr>
              <w:t>5</w:t>
            </w:r>
            <w:r w:rsidRPr="00D60747">
              <w:rPr>
                <w:rFonts w:eastAsia="Times New Roman" w:cs="Arial"/>
                <w:szCs w:val="24"/>
                <w:lang w:val="es-ES" w:eastAsia="es-ES"/>
              </w:rPr>
              <w:t>/</w:t>
            </w:r>
            <w:r w:rsidR="00800CB3" w:rsidRPr="00D60747">
              <w:rPr>
                <w:rFonts w:eastAsia="Times New Roman" w:cs="Arial"/>
                <w:szCs w:val="24"/>
                <w:lang w:val="es-ES" w:eastAsia="es-ES"/>
              </w:rPr>
              <w:t>Doc</w:t>
            </w:r>
            <w:r w:rsidRPr="00D60747">
              <w:rPr>
                <w:rFonts w:eastAsia="Times New Roman" w:cs="Arial"/>
                <w:szCs w:val="24"/>
                <w:lang w:val="es-ES" w:eastAsia="es-ES"/>
              </w:rPr>
              <w:t>.</w:t>
            </w:r>
            <w:r w:rsidR="00AD7C43" w:rsidRPr="00D60747">
              <w:rPr>
                <w:rFonts w:eastAsia="Times New Roman" w:cs="Arial"/>
                <w:szCs w:val="24"/>
                <w:lang w:val="es-ES" w:eastAsia="es-ES"/>
              </w:rPr>
              <w:t>2</w:t>
            </w:r>
            <w:r w:rsidR="00D60747">
              <w:rPr>
                <w:rFonts w:eastAsia="Times New Roman" w:cs="Arial"/>
                <w:szCs w:val="24"/>
                <w:lang w:val="es-ES" w:eastAsia="es-ES"/>
              </w:rPr>
              <w:t>8</w:t>
            </w:r>
            <w:r w:rsidR="00AD7C43" w:rsidRPr="00D60747">
              <w:rPr>
                <w:rFonts w:eastAsia="Times New Roman" w:cs="Arial"/>
                <w:szCs w:val="24"/>
                <w:lang w:val="es-ES" w:eastAsia="es-ES"/>
              </w:rPr>
              <w:t>.</w:t>
            </w:r>
            <w:r w:rsidR="002D546D">
              <w:rPr>
                <w:rFonts w:eastAsia="Times New Roman" w:cs="Arial"/>
                <w:szCs w:val="24"/>
                <w:lang w:val="es-ES" w:eastAsia="es-ES"/>
              </w:rPr>
              <w:t>4</w:t>
            </w:r>
          </w:p>
          <w:p w14:paraId="5F9B9DE6" w14:textId="66D91708" w:rsidR="00002A97" w:rsidRPr="00D60747" w:rsidRDefault="009B365E"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D60747">
              <w:rPr>
                <w:rFonts w:eastAsia="Times New Roman" w:cs="Arial"/>
                <w:szCs w:val="24"/>
                <w:lang w:val="es-ES" w:eastAsia="es-ES"/>
              </w:rPr>
              <w:t>15 de agosto</w:t>
            </w:r>
            <w:r w:rsidR="00EF1D13" w:rsidRPr="00D60747">
              <w:rPr>
                <w:rFonts w:eastAsia="Times New Roman" w:cs="Arial"/>
                <w:szCs w:val="24"/>
                <w:lang w:val="es-ES" w:eastAsia="es-ES"/>
              </w:rPr>
              <w:t xml:space="preserve"> </w:t>
            </w:r>
            <w:r w:rsidR="00002A97" w:rsidRPr="00D60747">
              <w:rPr>
                <w:rFonts w:eastAsia="Times New Roman" w:cs="Arial"/>
                <w:szCs w:val="24"/>
                <w:lang w:val="es-ES" w:eastAsia="es-ES"/>
              </w:rPr>
              <w:t>20</w:t>
            </w:r>
            <w:r w:rsidR="000F4BDA" w:rsidRPr="00D60747">
              <w:rPr>
                <w:rFonts w:eastAsia="Times New Roman" w:cs="Arial"/>
                <w:szCs w:val="24"/>
                <w:lang w:val="es-ES" w:eastAsia="es-ES"/>
              </w:rPr>
              <w:t>2</w:t>
            </w:r>
            <w:r w:rsidR="00BE6C85" w:rsidRPr="00D60747">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04626A85"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9B365E">
        <w:rPr>
          <w:rFonts w:eastAsia="Times New Roman" w:cs="Arial"/>
          <w:szCs w:val="24"/>
          <w:lang w:val="es-ES" w:eastAsia="es-ES"/>
        </w:rPr>
        <w:t>2</w:t>
      </w:r>
      <w:r w:rsidR="00D60747">
        <w:rPr>
          <w:rFonts w:eastAsia="Times New Roman" w:cs="Arial"/>
          <w:szCs w:val="24"/>
          <w:lang w:val="es-ES" w:eastAsia="es-ES"/>
        </w:rPr>
        <w:t>8</w:t>
      </w:r>
      <w:r w:rsidR="009B365E">
        <w:rPr>
          <w:rFonts w:eastAsia="Times New Roman" w:cs="Arial"/>
          <w:szCs w:val="24"/>
          <w:lang w:val="es-ES" w:eastAsia="es-ES"/>
        </w:rPr>
        <w:t>.</w:t>
      </w:r>
      <w:r w:rsidR="002D546D">
        <w:rPr>
          <w:rFonts w:eastAsia="Times New Roman" w:cs="Arial"/>
          <w:szCs w:val="24"/>
          <w:lang w:val="es-ES" w:eastAsia="es-ES"/>
        </w:rPr>
        <w:t>4</w:t>
      </w:r>
      <w:r w:rsidR="00F90348">
        <w:rPr>
          <w:rFonts w:eastAsia="Times New Roman" w:cs="Arial"/>
          <w:szCs w:val="24"/>
          <w:lang w:val="es-ES" w:eastAsia="es-ES"/>
        </w:rPr>
        <w:t xml:space="preserve">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73678A7" w14:textId="77777777" w:rsidR="002D6ECE" w:rsidRPr="00E878DC" w:rsidRDefault="002D6ECE" w:rsidP="002D6ECE">
      <w:pPr>
        <w:widowControl w:val="0"/>
        <w:suppressAutoHyphens/>
        <w:autoSpaceDE w:val="0"/>
        <w:autoSpaceDN w:val="0"/>
        <w:spacing w:after="120" w:line="240" w:lineRule="auto"/>
        <w:jc w:val="center"/>
        <w:textAlignment w:val="baseline"/>
        <w:rPr>
          <w:rFonts w:eastAsia="Times New Roman" w:cs="Arial"/>
          <w:b/>
          <w:bCs/>
          <w:lang w:val="es-ES"/>
        </w:rPr>
      </w:pPr>
      <w:r w:rsidRPr="00E878DC">
        <w:rPr>
          <w:rFonts w:eastAsia="Times New Roman" w:cs="Arial"/>
          <w:b/>
          <w:bCs/>
          <w:lang w:val="es-ES"/>
        </w:rPr>
        <w:t>COMUNIDADES Y MEDIOS DE SUBSISTENCIA</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0B584157">
                <wp:simplePos x="0" y="0"/>
                <wp:positionH relativeFrom="column">
                  <wp:posOffset>971550</wp:posOffset>
                </wp:positionH>
                <wp:positionV relativeFrom="paragraph">
                  <wp:posOffset>147320</wp:posOffset>
                </wp:positionV>
                <wp:extent cx="4304666" cy="20764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2076450"/>
                        </a:xfrm>
                        <a:prstGeom prst="rect">
                          <a:avLst/>
                        </a:prstGeom>
                        <a:solidFill>
                          <a:srgbClr val="FFFFFF"/>
                        </a:solidFill>
                        <a:ln w="3172">
                          <a:solidFill>
                            <a:srgbClr val="000000"/>
                          </a:solidFill>
                          <a:prstDash val="solid"/>
                        </a:ln>
                      </wps:spPr>
                      <wps:txbx>
                        <w:txbxContent>
                          <w:p w14:paraId="208CA4FB" w14:textId="77777777" w:rsidR="00E7366A" w:rsidRPr="00265389" w:rsidRDefault="00E7366A" w:rsidP="00E7366A">
                            <w:pPr>
                              <w:spacing w:after="0" w:line="240" w:lineRule="auto"/>
                              <w:jc w:val="both"/>
                              <w:rPr>
                                <w:rFonts w:cs="Arial"/>
                                <w:lang w:val="es-ES"/>
                              </w:rPr>
                            </w:pPr>
                            <w:r w:rsidRPr="00265389">
                              <w:rPr>
                                <w:rFonts w:cs="Arial"/>
                                <w:lang w:val="es-ES"/>
                              </w:rPr>
                              <w:t>Resumen:</w:t>
                            </w:r>
                          </w:p>
                          <w:p w14:paraId="4EA1F3B8" w14:textId="77777777" w:rsidR="00E7366A" w:rsidRPr="00265389" w:rsidRDefault="00E7366A" w:rsidP="00E7366A">
                            <w:pPr>
                              <w:spacing w:after="0" w:line="240" w:lineRule="auto"/>
                              <w:jc w:val="both"/>
                              <w:rPr>
                                <w:rFonts w:cs="Arial"/>
                                <w:lang w:val="es-ES"/>
                              </w:rPr>
                            </w:pPr>
                          </w:p>
                          <w:p w14:paraId="360FBF13" w14:textId="77777777" w:rsidR="00E7366A" w:rsidRPr="00265389" w:rsidRDefault="00E7366A" w:rsidP="00E7366A">
                            <w:pPr>
                              <w:spacing w:after="0" w:line="240" w:lineRule="auto"/>
                              <w:jc w:val="both"/>
                              <w:rPr>
                                <w:rFonts w:cs="Arial"/>
                                <w:color w:val="000000" w:themeColor="text1"/>
                                <w:lang w:val="es-ES"/>
                              </w:rPr>
                            </w:pPr>
                            <w:r>
                              <w:rPr>
                                <w:rFonts w:cs="Arial"/>
                                <w:lang w:val="es-ES"/>
                              </w:rPr>
                              <w:t xml:space="preserve">El presente documento informa sobre la implementación de la Decisión 14.200 y propone algunas actividades de seguimiento a fin de implementar los diez Principios Rectores, así como las recomendaciones del estudio </w:t>
                            </w:r>
                            <w:r w:rsidRPr="00265389">
                              <w:rPr>
                                <w:rFonts w:cs="Arial"/>
                                <w:i/>
                                <w:iCs/>
                                <w:lang w:val="es-ES"/>
                              </w:rPr>
                              <w:t>Potencial de la gestión comunitaria de la vida silvestre en Asia Central</w:t>
                            </w:r>
                            <w:r>
                              <w:rPr>
                                <w:rFonts w:cs="Arial"/>
                                <w:lang w:val="es-ES"/>
                              </w:rPr>
                              <w:t>.</w:t>
                            </w:r>
                            <w:r w:rsidRPr="00265389">
                              <w:rPr>
                                <w:rFonts w:cs="Arial"/>
                                <w:color w:val="000000" w:themeColor="text1"/>
                                <w:lang w:val="es-ES"/>
                              </w:rPr>
                              <w:t xml:space="preserve"> </w:t>
                            </w:r>
                          </w:p>
                          <w:p w14:paraId="1521FE97" w14:textId="77777777" w:rsidR="00E7366A" w:rsidRPr="00265389" w:rsidRDefault="00E7366A" w:rsidP="00E7366A">
                            <w:pPr>
                              <w:spacing w:after="0" w:line="240" w:lineRule="auto"/>
                              <w:jc w:val="both"/>
                              <w:rPr>
                                <w:rFonts w:cs="Arial"/>
                                <w:color w:val="000000" w:themeColor="text1"/>
                                <w:lang w:val="es-ES"/>
                              </w:rPr>
                            </w:pPr>
                          </w:p>
                          <w:p w14:paraId="5430B3A8" w14:textId="77777777" w:rsidR="00E7366A" w:rsidRPr="00265389" w:rsidRDefault="00E7366A" w:rsidP="00E7366A">
                            <w:pPr>
                              <w:spacing w:after="0" w:line="240" w:lineRule="auto"/>
                              <w:jc w:val="both"/>
                              <w:rPr>
                                <w:rFonts w:cs="Arial"/>
                                <w:color w:val="000000" w:themeColor="text1"/>
                                <w:lang w:val="es-ES"/>
                              </w:rPr>
                            </w:pPr>
                            <w:r w:rsidRPr="00265389">
                              <w:rPr>
                                <w:rFonts w:cs="Arial"/>
                                <w:color w:val="000000" w:themeColor="text1"/>
                                <w:lang w:val="es-ES"/>
                              </w:rPr>
                              <w:t>La implementación de la Decisión respaldaría el éxito de las Metas 1.3, 2.3, 3.1, 4.2, 5.1 y 6.1 del Plan Estratégico de Samarcanda para las Especies Migratorias 2024-2032.</w:t>
                            </w:r>
                          </w:p>
                          <w:p w14:paraId="255B4E63" w14:textId="77777777" w:rsidR="002D5F2A" w:rsidRPr="00E7366A" w:rsidRDefault="002D5F2A"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" strokeweight=".08811mm">
                <v:textbox>
                  <w:txbxContent>
                    <w:p w14:paraId="208CA4FB" w14:textId="77777777" w:rsidR="00E7366A" w:rsidRPr="00265389" w:rsidRDefault="00E7366A" w:rsidP="00E7366A">
                      <w:pPr>
                        <w:spacing w:after="0" w:line="240" w:lineRule="auto"/>
                        <w:jc w:val="both"/>
                        <w:rPr>
                          <w:rFonts w:cs="Arial"/>
                          <w:lang w:val="es-ES"/>
                        </w:rPr>
                      </w:pPr>
                      <w:r w:rsidRPr="00265389">
                        <w:rPr>
                          <w:rFonts w:cs="Arial"/>
                          <w:lang w:val="es-ES"/>
                        </w:rPr>
                        <w:t>Resumen:</w:t>
                      </w:r>
                    </w:p>
                    <w:p w14:paraId="4EA1F3B8" w14:textId="77777777" w:rsidR="00E7366A" w:rsidRPr="00265389" w:rsidRDefault="00E7366A" w:rsidP="00E7366A">
                      <w:pPr>
                        <w:spacing w:after="0" w:line="240" w:lineRule="auto"/>
                        <w:jc w:val="both"/>
                        <w:rPr>
                          <w:rFonts w:cs="Arial"/>
                          <w:lang w:val="es-ES"/>
                        </w:rPr>
                      </w:pPr>
                    </w:p>
                    <w:p w14:paraId="360FBF13" w14:textId="77777777" w:rsidR="00E7366A" w:rsidRPr="00265389" w:rsidRDefault="00E7366A" w:rsidP="00E7366A">
                      <w:pPr>
                        <w:spacing w:after="0" w:line="240" w:lineRule="auto"/>
                        <w:jc w:val="both"/>
                        <w:rPr>
                          <w:rFonts w:cs="Arial"/>
                          <w:color w:val="000000" w:themeColor="text1"/>
                          <w:lang w:val="es-ES"/>
                        </w:rPr>
                      </w:pPr>
                      <w:r>
                        <w:rPr>
                          <w:rFonts w:cs="Arial"/>
                          <w:lang w:val="es-ES"/>
                        </w:rPr>
                        <w:t xml:space="preserve">El presente documento informa sobre la implementación de la Decisión 14.200 y propone algunas actividades de seguimiento a fin de implementar los diez Principios Rectores, así como las recomendaciones del estudio </w:t>
                      </w:r>
                      <w:r w:rsidRPr="00265389">
                        <w:rPr>
                          <w:rFonts w:cs="Arial"/>
                          <w:i/>
                          <w:iCs/>
                          <w:lang w:val="es-ES"/>
                        </w:rPr>
                        <w:t>Potencial de la gestión comunitaria de la vida silvestre en Asia Central</w:t>
                      </w:r>
                      <w:r>
                        <w:rPr>
                          <w:rFonts w:cs="Arial"/>
                          <w:lang w:val="es-ES"/>
                        </w:rPr>
                        <w:t>.</w:t>
                      </w:r>
                      <w:r w:rsidRPr="00265389">
                        <w:rPr>
                          <w:rFonts w:cs="Arial"/>
                          <w:color w:val="000000" w:themeColor="text1"/>
                          <w:lang w:val="es-ES"/>
                        </w:rPr>
                        <w:t xml:space="preserve"> </w:t>
                      </w:r>
                    </w:p>
                    <w:p w14:paraId="1521FE97" w14:textId="77777777" w:rsidR="00E7366A" w:rsidRPr="00265389" w:rsidRDefault="00E7366A" w:rsidP="00E7366A">
                      <w:pPr>
                        <w:spacing w:after="0" w:line="240" w:lineRule="auto"/>
                        <w:jc w:val="both"/>
                        <w:rPr>
                          <w:rFonts w:cs="Arial"/>
                          <w:color w:val="000000" w:themeColor="text1"/>
                          <w:lang w:val="es-ES"/>
                        </w:rPr>
                      </w:pPr>
                    </w:p>
                    <w:p w14:paraId="5430B3A8" w14:textId="77777777" w:rsidR="00E7366A" w:rsidRPr="00265389" w:rsidRDefault="00E7366A" w:rsidP="00E7366A">
                      <w:pPr>
                        <w:spacing w:after="0" w:line="240" w:lineRule="auto"/>
                        <w:jc w:val="both"/>
                        <w:rPr>
                          <w:rFonts w:cs="Arial"/>
                          <w:color w:val="000000" w:themeColor="text1"/>
                          <w:lang w:val="es-ES"/>
                        </w:rPr>
                      </w:pPr>
                      <w:r w:rsidRPr="00265389">
                        <w:rPr>
                          <w:rFonts w:cs="Arial"/>
                          <w:color w:val="000000" w:themeColor="text1"/>
                          <w:lang w:val="es-ES"/>
                        </w:rPr>
                        <w:t>La implementación de la Decisión respaldaría el éxito de las Metas 1.3, 2.3, 3.1, 4.2, 5.1 y 6.1 del Plan Estratégico de Samarcanda para las Especies Migratorias 2024-2032.</w:t>
                      </w:r>
                    </w:p>
                    <w:p w14:paraId="255B4E63" w14:textId="77777777" w:rsidR="002D5F2A" w:rsidRPr="00E7366A" w:rsidRDefault="002D5F2A"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2A86F218" w14:textId="77777777" w:rsidR="00C21E3A" w:rsidRPr="00E878DC" w:rsidRDefault="00C21E3A" w:rsidP="00F90348">
      <w:pPr>
        <w:widowControl w:val="0"/>
        <w:suppressAutoHyphens/>
        <w:autoSpaceDE w:val="0"/>
        <w:autoSpaceDN w:val="0"/>
        <w:spacing w:after="0" w:line="240" w:lineRule="auto"/>
        <w:jc w:val="center"/>
        <w:textAlignment w:val="baseline"/>
        <w:rPr>
          <w:rFonts w:eastAsia="Times New Roman" w:cs="Arial"/>
          <w:b/>
          <w:bCs/>
          <w:lang w:val="es-ES"/>
        </w:rPr>
      </w:pPr>
      <w:r w:rsidRPr="00E878DC">
        <w:rPr>
          <w:rFonts w:eastAsia="Times New Roman" w:cs="Arial"/>
          <w:b/>
          <w:bCs/>
          <w:lang w:val="es-ES"/>
        </w:rPr>
        <w:lastRenderedPageBreak/>
        <w:t>COMUNIDADES Y MEDIOS DE SUBSISTENCIA</w:t>
      </w:r>
    </w:p>
    <w:p w14:paraId="1602512C" w14:textId="77777777" w:rsidR="00C21E3A" w:rsidRPr="00E878DC" w:rsidRDefault="00C21E3A" w:rsidP="00F90348">
      <w:pPr>
        <w:pStyle w:val="Heading2"/>
        <w:keepNext w:val="0"/>
        <w:ind w:right="-367"/>
        <w:jc w:val="both"/>
        <w:rPr>
          <w:rFonts w:ascii="Arial" w:hAnsi="Arial" w:cs="Arial"/>
          <w:sz w:val="22"/>
          <w:szCs w:val="22"/>
          <w:lang w:val="es-ES"/>
        </w:rPr>
      </w:pPr>
    </w:p>
    <w:p w14:paraId="71F0BF47" w14:textId="77777777" w:rsidR="00C21E3A" w:rsidRPr="00E878DC" w:rsidRDefault="00C21E3A" w:rsidP="00F90348">
      <w:pPr>
        <w:spacing w:after="0" w:line="240" w:lineRule="auto"/>
        <w:rPr>
          <w:lang w:val="es-ES"/>
        </w:rPr>
      </w:pPr>
    </w:p>
    <w:p w14:paraId="3BE6ECC5" w14:textId="77777777" w:rsidR="00C21E3A" w:rsidRPr="00E878DC" w:rsidRDefault="00C21E3A" w:rsidP="00F90348">
      <w:pPr>
        <w:suppressAutoHyphens/>
        <w:autoSpaceDN w:val="0"/>
        <w:spacing w:after="0" w:line="240" w:lineRule="auto"/>
        <w:jc w:val="both"/>
        <w:textAlignment w:val="baseline"/>
        <w:rPr>
          <w:rFonts w:eastAsia="Calibri" w:cs="Arial"/>
          <w:u w:val="single"/>
          <w:lang w:val="es-ES"/>
        </w:rPr>
      </w:pPr>
      <w:r w:rsidRPr="00E878DC">
        <w:rPr>
          <w:rFonts w:eastAsia="Calibri" w:cs="Arial"/>
          <w:u w:val="single"/>
          <w:lang w:val="es-ES"/>
        </w:rPr>
        <w:t>Antecedentes</w:t>
      </w:r>
    </w:p>
    <w:p w14:paraId="251623A6" w14:textId="77777777" w:rsidR="00C21E3A" w:rsidRPr="00E878DC" w:rsidRDefault="00C21E3A" w:rsidP="00F90348">
      <w:pPr>
        <w:widowControl w:val="0"/>
        <w:autoSpaceDE w:val="0"/>
        <w:autoSpaceDN w:val="0"/>
        <w:adjustRightInd w:val="0"/>
        <w:spacing w:after="0" w:line="240" w:lineRule="auto"/>
        <w:jc w:val="both"/>
        <w:rPr>
          <w:rFonts w:cs="Arial"/>
          <w:lang w:val="es-ES"/>
        </w:rPr>
      </w:pPr>
    </w:p>
    <w:p w14:paraId="5D62683A" w14:textId="6E0459DF" w:rsidR="00C21E3A" w:rsidRPr="00E878DC" w:rsidRDefault="00C21E3A" w:rsidP="00F90348">
      <w:pPr>
        <w:pStyle w:val="ListParagraph"/>
        <w:widowControl w:val="0"/>
        <w:numPr>
          <w:ilvl w:val="0"/>
          <w:numId w:val="14"/>
        </w:numPr>
        <w:suppressAutoHyphens/>
        <w:spacing w:after="80" w:line="240" w:lineRule="auto"/>
        <w:ind w:left="540" w:hanging="540"/>
        <w:contextualSpacing w:val="0"/>
        <w:jc w:val="both"/>
        <w:rPr>
          <w:rFonts w:eastAsia="Times New Roman" w:cs="Arial"/>
          <w:snapToGrid w:val="0"/>
          <w:color w:val="000000"/>
          <w:kern w:val="2"/>
          <w:lang w:val="es-ES"/>
        </w:rPr>
      </w:pPr>
      <w:r w:rsidRPr="00E878DC">
        <w:rPr>
          <w:rFonts w:cs="Arial"/>
          <w:lang w:val="es-ES"/>
        </w:rPr>
        <w:t xml:space="preserve">En la 14.ª reunión, la </w:t>
      </w:r>
      <w:r w:rsidRPr="00E878DC">
        <w:rPr>
          <w:rFonts w:eastAsia="Times New Roman" w:cs="Arial"/>
          <w:snapToGrid w:val="0"/>
          <w:color w:val="000000"/>
          <w:kern w:val="2"/>
          <w:lang w:val="es-ES"/>
        </w:rPr>
        <w:t xml:space="preserve">Conferencia de las Partes (COP14) adoptó la </w:t>
      </w:r>
      <w:r>
        <w:fldChar w:fldCharType="begin"/>
      </w:r>
      <w:r w:rsidRPr="00BB0C5B">
        <w:rPr>
          <w:lang w:val="es-ES"/>
        </w:rPr>
        <w:instrText>HYPERLINK "https://www.cms.int/sites/default/files/document/cms_cop14_res.14.17_communities-and-livelihoods_s.pdf"</w:instrText>
      </w:r>
      <w:r>
        <w:fldChar w:fldCharType="separate"/>
      </w:r>
      <w:r w:rsidRPr="00C21E3A">
        <w:rPr>
          <w:rStyle w:val="Hyperlink"/>
          <w:rFonts w:eastAsia="Times New Roman" w:cs="Arial"/>
          <w:snapToGrid w:val="0"/>
          <w:kern w:val="2"/>
          <w:lang w:val="es-ES"/>
        </w:rPr>
        <w:t xml:space="preserve">Resolución 14.17 sobre Participación comunitaria y medios de subsistencia </w:t>
      </w:r>
      <w:r>
        <w:fldChar w:fldCharType="end"/>
      </w:r>
      <w:r w:rsidRPr="00E878DC">
        <w:rPr>
          <w:rFonts w:eastAsia="Times New Roman" w:cs="Arial"/>
          <w:snapToGrid w:val="0"/>
          <w:color w:val="000000"/>
          <w:kern w:val="2"/>
          <w:lang w:val="es-ES"/>
        </w:rPr>
        <w:t xml:space="preserve">, incluidos los diez Principios Rectores, cuyo objetivo es respaldar los esfuerzos de conservación dirigidos por las comunidades para las especies migratorias durante sus rutas de migración. Asimismo, la COP14 adoptó la Decisión 14.200, que solicitaba a la Secretaría lo siguiente: </w:t>
      </w:r>
    </w:p>
    <w:p w14:paraId="23455981" w14:textId="0109F112" w:rsidR="00C21E3A" w:rsidRPr="001C551E" w:rsidRDefault="006F1F56" w:rsidP="001C551E">
      <w:pPr>
        <w:widowControl w:val="0"/>
        <w:numPr>
          <w:ilvl w:val="1"/>
          <w:numId w:val="15"/>
        </w:numPr>
        <w:suppressAutoHyphens/>
        <w:spacing w:after="80" w:line="240" w:lineRule="auto"/>
        <w:ind w:left="1260" w:right="95" w:hanging="540"/>
        <w:jc w:val="both"/>
        <w:rPr>
          <w:rFonts w:eastAsia="Times New Roman" w:cs="Arial"/>
          <w:i/>
          <w:iCs/>
          <w:snapToGrid w:val="0"/>
          <w:color w:val="000000"/>
          <w:kern w:val="2"/>
          <w:lang w:val="es-ES"/>
        </w:rPr>
      </w:pPr>
      <w:r w:rsidRPr="001C551E">
        <w:rPr>
          <w:rFonts w:eastAsia="Times New Roman" w:cs="Arial"/>
          <w:i/>
          <w:iCs/>
          <w:snapToGrid w:val="0"/>
          <w:color w:val="000000"/>
          <w:kern w:val="2"/>
          <w:lang w:val="es-ES"/>
        </w:rPr>
        <w:t>publicar los estudios de caso contenidos en la sección 10 de UNEP/CMS/COP14/Inf.30.2.3 en el sitio web de la CMS; y</w:t>
      </w:r>
      <w:r w:rsidR="00C21E3A" w:rsidRPr="001C551E">
        <w:rPr>
          <w:rFonts w:eastAsia="Times New Roman" w:cs="Arial"/>
          <w:i/>
          <w:iCs/>
          <w:snapToGrid w:val="0"/>
          <w:color w:val="000000"/>
          <w:kern w:val="2"/>
          <w:lang w:val="es-ES"/>
        </w:rPr>
        <w:t xml:space="preserve"> </w:t>
      </w:r>
    </w:p>
    <w:p w14:paraId="36877AF0" w14:textId="2D896BAE" w:rsidR="00C21E3A" w:rsidRPr="001C551E" w:rsidRDefault="001C551E" w:rsidP="001C551E">
      <w:pPr>
        <w:widowControl w:val="0"/>
        <w:numPr>
          <w:ilvl w:val="1"/>
          <w:numId w:val="15"/>
        </w:numPr>
        <w:suppressAutoHyphens/>
        <w:spacing w:after="0" w:line="240" w:lineRule="auto"/>
        <w:ind w:left="1260" w:right="95" w:hanging="540"/>
        <w:contextualSpacing/>
        <w:jc w:val="both"/>
        <w:rPr>
          <w:rFonts w:eastAsia="Times New Roman" w:cs="Arial"/>
          <w:i/>
          <w:iCs/>
          <w:snapToGrid w:val="0"/>
          <w:color w:val="000000"/>
          <w:kern w:val="2"/>
          <w:lang w:val="es-ES"/>
        </w:rPr>
      </w:pPr>
      <w:r w:rsidRPr="001C551E">
        <w:rPr>
          <w:rFonts w:eastAsia="Times New Roman" w:cs="Arial"/>
          <w:i/>
          <w:iCs/>
          <w:snapToGrid w:val="0"/>
          <w:color w:val="000000"/>
          <w:kern w:val="2"/>
          <w:lang w:val="es-ES"/>
        </w:rPr>
        <w:t>informar al Comité Permanente en su 56.a o 57.a reunión acerca de los avances realizados en la aplicación de la Decisión</w:t>
      </w:r>
      <w:r w:rsidR="00C21E3A" w:rsidRPr="001C551E">
        <w:rPr>
          <w:rFonts w:eastAsia="Times New Roman" w:cs="Arial"/>
          <w:i/>
          <w:iCs/>
          <w:snapToGrid w:val="0"/>
          <w:color w:val="000000"/>
          <w:kern w:val="2"/>
          <w:lang w:val="es-ES"/>
        </w:rPr>
        <w:t>.</w:t>
      </w:r>
    </w:p>
    <w:p w14:paraId="06841133" w14:textId="77777777" w:rsidR="00C21E3A" w:rsidRPr="001C551E" w:rsidRDefault="00C21E3A" w:rsidP="00F90348">
      <w:pPr>
        <w:pStyle w:val="ListParagraph"/>
        <w:spacing w:after="0" w:line="240" w:lineRule="auto"/>
        <w:ind w:left="426"/>
        <w:jc w:val="both"/>
        <w:rPr>
          <w:lang w:val="es-ES"/>
        </w:rPr>
      </w:pPr>
    </w:p>
    <w:p w14:paraId="139473FF" w14:textId="77777777" w:rsidR="00C21E3A" w:rsidRPr="00E878DC" w:rsidRDefault="00C21E3A" w:rsidP="00F90348">
      <w:pPr>
        <w:pStyle w:val="ListParagraph"/>
        <w:numPr>
          <w:ilvl w:val="0"/>
          <w:numId w:val="14"/>
        </w:numPr>
        <w:spacing w:after="0" w:line="240" w:lineRule="auto"/>
        <w:ind w:left="426" w:hanging="426"/>
        <w:jc w:val="both"/>
        <w:rPr>
          <w:lang w:val="es-ES"/>
        </w:rPr>
      </w:pPr>
      <w:r w:rsidRPr="00E878DC">
        <w:rPr>
          <w:lang w:val="es-ES"/>
        </w:rPr>
        <w:t xml:space="preserve">Como parte de su potestad bajo la Decisión 14.170 </w:t>
      </w:r>
      <w:r w:rsidRPr="00E878DC">
        <w:rPr>
          <w:i/>
          <w:iCs/>
          <w:lang w:val="es-ES"/>
        </w:rPr>
        <w:t xml:space="preserve">Iniciativa sobre Mamíferos de Asia Central (CAMI), </w:t>
      </w:r>
      <w:r w:rsidRPr="00E878DC">
        <w:rPr>
          <w:lang w:val="es-ES"/>
        </w:rPr>
        <w:t xml:space="preserve">la Secretaría publicaría el estudio </w:t>
      </w:r>
      <w:r>
        <w:fldChar w:fldCharType="begin"/>
      </w:r>
      <w:r w:rsidRPr="00BB0C5B">
        <w:rPr>
          <w:lang w:val="es-ES"/>
        </w:rPr>
        <w:instrText>HYPERLINK "https://www.cms.int/en/publication/potential-community-based-wildlife-management-central-asia"</w:instrText>
      </w:r>
      <w:r>
        <w:fldChar w:fldCharType="separate"/>
      </w:r>
      <w:r w:rsidRPr="00C21E3A">
        <w:rPr>
          <w:rStyle w:val="Hyperlink"/>
          <w:i/>
          <w:iCs/>
          <w:lang w:val="es-ES"/>
        </w:rPr>
        <w:t>Potencial de la gestión comunitaria de la vida silvestre en Asia Central</w:t>
      </w:r>
      <w:r>
        <w:fldChar w:fldCharType="end"/>
      </w:r>
      <w:r w:rsidRPr="00E878DC">
        <w:rPr>
          <w:lang w:val="es-ES"/>
        </w:rPr>
        <w:t xml:space="preserve">, que también se encuentra en el documento informativo Inf.27.3. Dicho estudio describe la historia y ofrece recomendaciones para con la conservación de las comunidades del antílope saiga, el muflón </w:t>
      </w:r>
      <w:proofErr w:type="spellStart"/>
      <w:r w:rsidRPr="00E878DC">
        <w:rPr>
          <w:lang w:val="es-ES"/>
        </w:rPr>
        <w:t>Argal</w:t>
      </w:r>
      <w:proofErr w:type="spellEnd"/>
      <w:r w:rsidRPr="00E878DC">
        <w:rPr>
          <w:lang w:val="es-ES"/>
        </w:rPr>
        <w:t xml:space="preserve">, el leopardo de las nieves y el ciervo de </w:t>
      </w:r>
      <w:proofErr w:type="spellStart"/>
      <w:r w:rsidRPr="00E878DC">
        <w:rPr>
          <w:lang w:val="es-ES"/>
        </w:rPr>
        <w:t>Bukhara</w:t>
      </w:r>
      <w:proofErr w:type="spellEnd"/>
      <w:r w:rsidRPr="00E878DC">
        <w:rPr>
          <w:lang w:val="es-ES"/>
        </w:rPr>
        <w:t xml:space="preserve">. </w:t>
      </w:r>
    </w:p>
    <w:p w14:paraId="4132C664" w14:textId="77777777" w:rsidR="00C21E3A" w:rsidRPr="00E878DC" w:rsidRDefault="00C21E3A" w:rsidP="00F90348">
      <w:pPr>
        <w:widowControl w:val="0"/>
        <w:autoSpaceDE w:val="0"/>
        <w:autoSpaceDN w:val="0"/>
        <w:adjustRightInd w:val="0"/>
        <w:spacing w:after="0" w:line="240" w:lineRule="auto"/>
        <w:contextualSpacing/>
        <w:jc w:val="both"/>
        <w:rPr>
          <w:rFonts w:cs="Arial"/>
          <w:u w:val="single"/>
          <w:lang w:val="es-ES"/>
        </w:rPr>
      </w:pPr>
    </w:p>
    <w:p w14:paraId="53F1D27A" w14:textId="77777777" w:rsidR="00C21E3A" w:rsidRPr="00E878DC" w:rsidRDefault="00C21E3A" w:rsidP="00F90348">
      <w:pPr>
        <w:widowControl w:val="0"/>
        <w:autoSpaceDE w:val="0"/>
        <w:autoSpaceDN w:val="0"/>
        <w:adjustRightInd w:val="0"/>
        <w:spacing w:after="0" w:line="240" w:lineRule="auto"/>
        <w:contextualSpacing/>
        <w:jc w:val="both"/>
        <w:rPr>
          <w:rFonts w:cs="Arial"/>
          <w:lang w:val="es-ES"/>
        </w:rPr>
      </w:pPr>
      <w:r w:rsidRPr="00E878DC">
        <w:rPr>
          <w:rFonts w:cs="Arial"/>
          <w:u w:val="single"/>
          <w:lang w:val="es-ES"/>
        </w:rPr>
        <w:t>Actividades de la Secretaría (Decisión 14.200)</w:t>
      </w:r>
    </w:p>
    <w:p w14:paraId="7F247E97" w14:textId="77777777" w:rsidR="00C21E3A" w:rsidRPr="00E878DC" w:rsidRDefault="00C21E3A" w:rsidP="00F90348">
      <w:pPr>
        <w:widowControl w:val="0"/>
        <w:autoSpaceDE w:val="0"/>
        <w:autoSpaceDN w:val="0"/>
        <w:adjustRightInd w:val="0"/>
        <w:spacing w:after="0" w:line="240" w:lineRule="auto"/>
        <w:jc w:val="both"/>
        <w:rPr>
          <w:rFonts w:cs="Arial"/>
          <w:u w:val="single"/>
          <w:lang w:val="es-ES"/>
        </w:rPr>
      </w:pPr>
    </w:p>
    <w:p w14:paraId="361952C1" w14:textId="42A786DA" w:rsidR="00C21E3A" w:rsidRPr="00E878DC" w:rsidRDefault="00C21E3A" w:rsidP="00F90348">
      <w:pPr>
        <w:widowControl w:val="0"/>
        <w:numPr>
          <w:ilvl w:val="0"/>
          <w:numId w:val="14"/>
        </w:numPr>
        <w:autoSpaceDE w:val="0"/>
        <w:autoSpaceDN w:val="0"/>
        <w:adjustRightInd w:val="0"/>
        <w:spacing w:after="0" w:line="240" w:lineRule="auto"/>
        <w:ind w:left="426" w:hanging="426"/>
        <w:contextualSpacing/>
        <w:jc w:val="both"/>
        <w:rPr>
          <w:rFonts w:cs="Arial"/>
          <w:lang w:val="es-ES"/>
        </w:rPr>
      </w:pPr>
      <w:r w:rsidRPr="00E878DC">
        <w:rPr>
          <w:rFonts w:cs="Arial"/>
          <w:lang w:val="es-ES"/>
        </w:rPr>
        <w:t>De acuerdo con la Decisión anterior, la Secretaría creó una página web nueva, a la que se accede a través de la nueva pestaña «</w:t>
      </w:r>
      <w:proofErr w:type="spellStart"/>
      <w:r w:rsidRPr="00E878DC">
        <w:rPr>
          <w:rFonts w:cs="Arial"/>
          <w:lang w:val="es-ES"/>
        </w:rPr>
        <w:t>Topics</w:t>
      </w:r>
      <w:proofErr w:type="spellEnd"/>
      <w:r w:rsidRPr="00E878DC">
        <w:rPr>
          <w:rFonts w:cs="Arial"/>
          <w:lang w:val="es-ES"/>
        </w:rPr>
        <w:t xml:space="preserve">», </w:t>
      </w:r>
      <w:r>
        <w:fldChar w:fldCharType="begin"/>
      </w:r>
      <w:r w:rsidRPr="00BB0C5B">
        <w:rPr>
          <w:lang w:val="es-ES"/>
        </w:rPr>
        <w:instrText>HYPERLINK "https://www.cms.int/en/topics/community-participation-and-livelihoods"</w:instrText>
      </w:r>
      <w:r>
        <w:fldChar w:fldCharType="separate"/>
      </w:r>
      <w:r w:rsidRPr="00C21E3A">
        <w:rPr>
          <w:rStyle w:val="Hyperlink"/>
          <w:rFonts w:cs="Arial"/>
          <w:lang w:val="es-ES"/>
        </w:rPr>
        <w:t>Participación comunitaria y medios de subsistencia | CMS</w:t>
      </w:r>
      <w:r>
        <w:fldChar w:fldCharType="end"/>
      </w:r>
      <w:r w:rsidRPr="00E878DC">
        <w:rPr>
          <w:rFonts w:cs="Arial"/>
          <w:lang w:val="es-ES"/>
        </w:rPr>
        <w:t xml:space="preserve">, a fin de dar mayor visibilidad a los diez Principios Rectores para la implicación de las comunidades, así como los casos de estudio incluidos en la sección 10 del UNEP/CMS/COP14/Inf.30.2.3. Se informó al Comité Permanente acerca de esta acción a través del </w:t>
      </w:r>
      <w:bookmarkStart w:id="0" w:name="OLE_LINK1"/>
      <w:r w:rsidR="003D229E">
        <w:rPr>
          <w:rFonts w:cs="Arial"/>
          <w:lang w:val="es-ES"/>
        </w:rPr>
        <w:fldChar w:fldCharType="begin"/>
      </w:r>
      <w:r w:rsidR="003D229E">
        <w:rPr>
          <w:rFonts w:cs="Arial"/>
          <w:lang w:val="es-ES"/>
        </w:rPr>
        <w:instrText>HYPERLINK "https://www.cms.int/sites/default/files/document/cms_stc56_doc.22_communities-and-livelihoods_s.pdf"</w:instrText>
      </w:r>
      <w:r w:rsidR="003D229E">
        <w:rPr>
          <w:rFonts w:cs="Arial"/>
          <w:lang w:val="es-ES"/>
        </w:rPr>
      </w:r>
      <w:r w:rsidR="003D229E">
        <w:rPr>
          <w:rFonts w:cs="Arial"/>
          <w:lang w:val="es-ES"/>
        </w:rPr>
        <w:fldChar w:fldCharType="separate"/>
      </w:r>
      <w:r w:rsidRPr="003D229E">
        <w:rPr>
          <w:rStyle w:val="Hyperlink"/>
          <w:rFonts w:cs="Arial"/>
          <w:lang w:val="es-ES"/>
        </w:rPr>
        <w:t>UNEP/CMS/StC56/Doc.22</w:t>
      </w:r>
      <w:bookmarkEnd w:id="0"/>
      <w:r w:rsidR="003D229E">
        <w:rPr>
          <w:rFonts w:cs="Arial"/>
          <w:lang w:val="es-ES"/>
        </w:rPr>
        <w:fldChar w:fldCharType="end"/>
      </w:r>
      <w:r w:rsidRPr="00E878DC">
        <w:rPr>
          <w:rFonts w:cs="Arial"/>
          <w:lang w:val="es-ES"/>
        </w:rPr>
        <w:t xml:space="preserve">. </w:t>
      </w:r>
    </w:p>
    <w:p w14:paraId="04887F2C" w14:textId="77777777" w:rsidR="00C21E3A" w:rsidRPr="00E878DC" w:rsidRDefault="00C21E3A" w:rsidP="00F90348">
      <w:pPr>
        <w:widowControl w:val="0"/>
        <w:autoSpaceDE w:val="0"/>
        <w:autoSpaceDN w:val="0"/>
        <w:adjustRightInd w:val="0"/>
        <w:spacing w:after="0" w:line="240" w:lineRule="auto"/>
        <w:ind w:left="426" w:hanging="426"/>
        <w:contextualSpacing/>
        <w:jc w:val="both"/>
        <w:rPr>
          <w:rFonts w:cs="Arial"/>
          <w:lang w:val="es-ES"/>
        </w:rPr>
      </w:pPr>
    </w:p>
    <w:p w14:paraId="03837249" w14:textId="1214BECB" w:rsidR="00C21E3A" w:rsidRPr="00E878DC" w:rsidRDefault="00E46068" w:rsidP="00F90348">
      <w:pPr>
        <w:widowControl w:val="0"/>
        <w:autoSpaceDE w:val="0"/>
        <w:autoSpaceDN w:val="0"/>
        <w:adjustRightInd w:val="0"/>
        <w:spacing w:after="0" w:line="240" w:lineRule="auto"/>
        <w:ind w:left="426" w:hanging="426"/>
        <w:contextualSpacing/>
        <w:jc w:val="both"/>
        <w:rPr>
          <w:rFonts w:cs="Arial"/>
          <w:lang w:val="es-ES"/>
        </w:rPr>
      </w:pPr>
      <w:r w:rsidRPr="00E46068">
        <w:rPr>
          <w:rFonts w:cs="Arial"/>
          <w:noProof/>
          <w:lang w:val="es-ES"/>
        </w:rPr>
        <w:drawing>
          <wp:inline distT="0" distB="0" distL="0" distR="0" wp14:anchorId="40E832C9" wp14:editId="6905D6C4">
            <wp:extent cx="5731510" cy="1063625"/>
            <wp:effectExtent l="0" t="0" r="2540" b="3175"/>
            <wp:docPr id="133983162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31627" name="Picture 1" descr="A screenshot of a computer&#10;&#10;AI-generated content may be incorrect."/>
                    <pic:cNvPicPr/>
                  </pic:nvPicPr>
                  <pic:blipFill>
                    <a:blip r:embed="rId12"/>
                    <a:stretch>
                      <a:fillRect/>
                    </a:stretch>
                  </pic:blipFill>
                  <pic:spPr>
                    <a:xfrm>
                      <a:off x="0" y="0"/>
                      <a:ext cx="5731510" cy="1063625"/>
                    </a:xfrm>
                    <a:prstGeom prst="rect">
                      <a:avLst/>
                    </a:prstGeom>
                  </pic:spPr>
                </pic:pic>
              </a:graphicData>
            </a:graphic>
          </wp:inline>
        </w:drawing>
      </w:r>
    </w:p>
    <w:p w14:paraId="64C40FF1" w14:textId="77777777" w:rsidR="00C21E3A" w:rsidRPr="00E878DC" w:rsidRDefault="00C21E3A" w:rsidP="00F90348">
      <w:pPr>
        <w:widowControl w:val="0"/>
        <w:autoSpaceDE w:val="0"/>
        <w:autoSpaceDN w:val="0"/>
        <w:adjustRightInd w:val="0"/>
        <w:spacing w:after="0" w:line="240" w:lineRule="auto"/>
        <w:ind w:left="426" w:hanging="426"/>
        <w:contextualSpacing/>
        <w:jc w:val="both"/>
        <w:rPr>
          <w:rFonts w:cs="Arial"/>
          <w:lang w:val="es-ES"/>
        </w:rPr>
      </w:pPr>
    </w:p>
    <w:p w14:paraId="50A47DF2" w14:textId="77777777" w:rsidR="00C21E3A" w:rsidRPr="00E878DC" w:rsidRDefault="00C21E3A" w:rsidP="00F90348">
      <w:pPr>
        <w:widowControl w:val="0"/>
        <w:numPr>
          <w:ilvl w:val="0"/>
          <w:numId w:val="14"/>
        </w:numPr>
        <w:autoSpaceDE w:val="0"/>
        <w:autoSpaceDN w:val="0"/>
        <w:adjustRightInd w:val="0"/>
        <w:spacing w:after="0" w:line="240" w:lineRule="auto"/>
        <w:ind w:left="426" w:hanging="426"/>
        <w:contextualSpacing/>
        <w:jc w:val="both"/>
        <w:rPr>
          <w:rFonts w:cs="Arial"/>
          <w:lang w:val="es-ES"/>
        </w:rPr>
      </w:pPr>
      <w:r w:rsidRPr="00E878DC">
        <w:rPr>
          <w:rFonts w:cs="Arial"/>
          <w:lang w:val="es-ES"/>
        </w:rPr>
        <w:t>Debe tenerse en cuenta que el caso de estudio 65 sobre el Dugongo (</w:t>
      </w:r>
      <w:proofErr w:type="spellStart"/>
      <w:r w:rsidRPr="00E878DC">
        <w:rPr>
          <w:rFonts w:cs="Arial"/>
          <w:i/>
          <w:iCs/>
          <w:lang w:val="es-ES"/>
        </w:rPr>
        <w:t>Dugong</w:t>
      </w:r>
      <w:proofErr w:type="spellEnd"/>
      <w:r w:rsidRPr="00E878DC">
        <w:rPr>
          <w:rFonts w:cs="Arial"/>
          <w:i/>
          <w:iCs/>
          <w:lang w:val="es-ES"/>
        </w:rPr>
        <w:t xml:space="preserve"> </w:t>
      </w:r>
      <w:proofErr w:type="spellStart"/>
      <w:r w:rsidRPr="00E878DC">
        <w:rPr>
          <w:rFonts w:cs="Arial"/>
          <w:i/>
          <w:iCs/>
          <w:lang w:val="es-ES"/>
        </w:rPr>
        <w:t>dugon</w:t>
      </w:r>
      <w:proofErr w:type="spellEnd"/>
      <w:r w:rsidRPr="00E878DC">
        <w:rPr>
          <w:rFonts w:cs="Arial"/>
          <w:lang w:val="es-ES"/>
        </w:rPr>
        <w:t xml:space="preserve">) en la Reserva Natural Nacional de China (China </w:t>
      </w:r>
      <w:proofErr w:type="spellStart"/>
      <w:r w:rsidRPr="00E878DC">
        <w:rPr>
          <w:rFonts w:cs="Arial"/>
          <w:lang w:val="es-ES"/>
        </w:rPr>
        <w:t>Guangxi</w:t>
      </w:r>
      <w:proofErr w:type="spellEnd"/>
      <w:r w:rsidRPr="00E878DC">
        <w:rPr>
          <w:rFonts w:cs="Arial"/>
          <w:lang w:val="es-ES"/>
        </w:rPr>
        <w:t xml:space="preserve"> </w:t>
      </w:r>
      <w:proofErr w:type="spellStart"/>
      <w:r w:rsidRPr="00E878DC">
        <w:rPr>
          <w:rFonts w:cs="Arial"/>
          <w:lang w:val="es-ES"/>
        </w:rPr>
        <w:t>Hepu</w:t>
      </w:r>
      <w:proofErr w:type="spellEnd"/>
      <w:r w:rsidRPr="00E878DC">
        <w:rPr>
          <w:rFonts w:cs="Arial"/>
          <w:lang w:val="es-ES"/>
        </w:rPr>
        <w:t xml:space="preserve"> </w:t>
      </w:r>
      <w:proofErr w:type="spellStart"/>
      <w:r w:rsidRPr="00E878DC">
        <w:rPr>
          <w:rFonts w:cs="Arial"/>
          <w:lang w:val="es-ES"/>
        </w:rPr>
        <w:t>Dugong</w:t>
      </w:r>
      <w:proofErr w:type="spellEnd"/>
      <w:r w:rsidRPr="00E878DC">
        <w:rPr>
          <w:rFonts w:cs="Arial"/>
          <w:lang w:val="es-ES"/>
        </w:rPr>
        <w:t xml:space="preserve"> </w:t>
      </w:r>
      <w:proofErr w:type="spellStart"/>
      <w:r w:rsidRPr="00E878DC">
        <w:rPr>
          <w:rFonts w:cs="Arial"/>
          <w:lang w:val="es-ES"/>
        </w:rPr>
        <w:t>National</w:t>
      </w:r>
      <w:proofErr w:type="spellEnd"/>
      <w:r w:rsidRPr="00E878DC">
        <w:rPr>
          <w:rFonts w:cs="Arial"/>
          <w:lang w:val="es-ES"/>
        </w:rPr>
        <w:t xml:space="preserve"> </w:t>
      </w:r>
      <w:proofErr w:type="spellStart"/>
      <w:r w:rsidRPr="00E878DC">
        <w:rPr>
          <w:rFonts w:cs="Arial"/>
          <w:lang w:val="es-ES"/>
        </w:rPr>
        <w:t>Nature</w:t>
      </w:r>
      <w:proofErr w:type="spellEnd"/>
      <w:r w:rsidRPr="00E878DC">
        <w:rPr>
          <w:rFonts w:cs="Arial"/>
          <w:lang w:val="es-ES"/>
        </w:rPr>
        <w:t xml:space="preserve"> Reserve) se ha eliminado de la lista, ya que no ha sido posible verificar el proyecto. </w:t>
      </w:r>
    </w:p>
    <w:p w14:paraId="51808E3F" w14:textId="77777777" w:rsidR="00C21E3A" w:rsidRPr="00E878DC" w:rsidRDefault="00C21E3A" w:rsidP="00F90348">
      <w:pPr>
        <w:widowControl w:val="0"/>
        <w:autoSpaceDE w:val="0"/>
        <w:autoSpaceDN w:val="0"/>
        <w:adjustRightInd w:val="0"/>
        <w:spacing w:after="0" w:line="240" w:lineRule="auto"/>
        <w:ind w:left="426"/>
        <w:contextualSpacing/>
        <w:jc w:val="both"/>
        <w:rPr>
          <w:rFonts w:cs="Arial"/>
          <w:lang w:val="es-ES"/>
        </w:rPr>
      </w:pPr>
    </w:p>
    <w:p w14:paraId="4BDDDEDA" w14:textId="77777777" w:rsidR="00C21E3A" w:rsidRPr="00E878DC" w:rsidRDefault="00C21E3A" w:rsidP="00F90348">
      <w:pPr>
        <w:spacing w:after="0" w:line="240" w:lineRule="auto"/>
        <w:jc w:val="both"/>
        <w:rPr>
          <w:rFonts w:cs="Arial"/>
          <w:u w:val="single"/>
          <w:lang w:val="es-ES"/>
        </w:rPr>
      </w:pPr>
      <w:r w:rsidRPr="00E878DC">
        <w:rPr>
          <w:rFonts w:cs="Arial"/>
          <w:u w:val="single"/>
          <w:lang w:val="es-ES"/>
        </w:rPr>
        <w:t>Debate y análisis</w:t>
      </w:r>
    </w:p>
    <w:p w14:paraId="19BB347A" w14:textId="77777777" w:rsidR="00C21E3A" w:rsidRPr="00E878DC" w:rsidRDefault="00C21E3A" w:rsidP="00F90348">
      <w:pPr>
        <w:widowControl w:val="0"/>
        <w:autoSpaceDE w:val="0"/>
        <w:autoSpaceDN w:val="0"/>
        <w:adjustRightInd w:val="0"/>
        <w:spacing w:after="0" w:line="240" w:lineRule="auto"/>
        <w:jc w:val="both"/>
        <w:rPr>
          <w:rFonts w:cs="Arial"/>
          <w:lang w:val="es-ES"/>
        </w:rPr>
      </w:pPr>
    </w:p>
    <w:p w14:paraId="3DD8F9A6" w14:textId="77777777" w:rsidR="00C21E3A" w:rsidRPr="00E878DC" w:rsidRDefault="00C21E3A" w:rsidP="00F90348">
      <w:pPr>
        <w:numPr>
          <w:ilvl w:val="0"/>
          <w:numId w:val="14"/>
        </w:numPr>
        <w:autoSpaceDE w:val="0"/>
        <w:autoSpaceDN w:val="0"/>
        <w:adjustRightInd w:val="0"/>
        <w:spacing w:after="0" w:line="240" w:lineRule="auto"/>
        <w:ind w:left="426"/>
        <w:jc w:val="both"/>
        <w:rPr>
          <w:rFonts w:cs="Arial"/>
          <w:lang w:val="es-ES"/>
        </w:rPr>
      </w:pPr>
      <w:r w:rsidRPr="00E878DC">
        <w:rPr>
          <w:rFonts w:cs="Arial"/>
          <w:lang w:val="es-ES"/>
        </w:rPr>
        <w:t xml:space="preserve">Con los Principios rectores y los enfoques en gestión comunitaria de las especies incluidas en la CAMI, se ha establecido una base teórica para avanzar en la conservación de las especies incluidas en la lista de la CMS a través de la implicación comunitaria. En este sentido, se propone que, en estrecha cooperación con los socios, se respalda a las Partes y las comunidades para que puedan poner en práctica esta teoría. La Decisión propuesta en el Anexo 1 de este documento tiene como objetivo facilitarlo. </w:t>
      </w:r>
    </w:p>
    <w:p w14:paraId="47EE1A2A" w14:textId="77777777" w:rsidR="00C21E3A" w:rsidRPr="00E878DC" w:rsidRDefault="00C21E3A" w:rsidP="00F90348">
      <w:pPr>
        <w:autoSpaceDE w:val="0"/>
        <w:autoSpaceDN w:val="0"/>
        <w:adjustRightInd w:val="0"/>
        <w:spacing w:after="0" w:line="240" w:lineRule="auto"/>
        <w:ind w:left="360"/>
        <w:jc w:val="both"/>
        <w:rPr>
          <w:rFonts w:cs="Arial"/>
          <w:lang w:val="es-ES"/>
        </w:rPr>
      </w:pPr>
      <w:r w:rsidRPr="00E878DC">
        <w:rPr>
          <w:rFonts w:cs="Arial"/>
          <w:lang w:val="es-ES"/>
        </w:rPr>
        <w:br w:type="page"/>
      </w:r>
    </w:p>
    <w:p w14:paraId="146E9454" w14:textId="77777777" w:rsidR="00C21E3A" w:rsidRPr="00E878DC" w:rsidRDefault="00C21E3A" w:rsidP="00391B96">
      <w:pPr>
        <w:spacing w:after="0" w:line="240" w:lineRule="auto"/>
        <w:jc w:val="both"/>
        <w:rPr>
          <w:rFonts w:cs="Arial"/>
          <w:lang w:val="es-ES"/>
        </w:rPr>
      </w:pPr>
      <w:r w:rsidRPr="00E878DC">
        <w:rPr>
          <w:rFonts w:cs="Arial"/>
          <w:u w:val="single"/>
          <w:lang w:val="es-ES"/>
        </w:rPr>
        <w:lastRenderedPageBreak/>
        <w:t>Acciones recomendadas</w:t>
      </w:r>
    </w:p>
    <w:p w14:paraId="713D1089" w14:textId="77777777" w:rsidR="00C21E3A" w:rsidRPr="00E878DC" w:rsidRDefault="00C21E3A" w:rsidP="00391B96">
      <w:pPr>
        <w:spacing w:after="0" w:line="240" w:lineRule="auto"/>
        <w:jc w:val="both"/>
        <w:rPr>
          <w:rFonts w:cs="Arial"/>
          <w:lang w:val="es-ES"/>
        </w:rPr>
      </w:pPr>
    </w:p>
    <w:p w14:paraId="4EB0568C" w14:textId="77777777" w:rsidR="00C21E3A" w:rsidRPr="00E878DC" w:rsidRDefault="00C21E3A" w:rsidP="00391B96">
      <w:pPr>
        <w:widowControl w:val="0"/>
        <w:numPr>
          <w:ilvl w:val="0"/>
          <w:numId w:val="14"/>
        </w:numPr>
        <w:autoSpaceDE w:val="0"/>
        <w:autoSpaceDN w:val="0"/>
        <w:adjustRightInd w:val="0"/>
        <w:spacing w:after="0" w:line="240" w:lineRule="auto"/>
        <w:ind w:left="426" w:hanging="426"/>
        <w:jc w:val="both"/>
        <w:rPr>
          <w:rFonts w:cs="Arial"/>
          <w:lang w:val="es-ES"/>
        </w:rPr>
      </w:pPr>
      <w:r w:rsidRPr="00E878DC">
        <w:rPr>
          <w:rFonts w:cs="Arial"/>
          <w:lang w:val="es-ES" w:eastAsia="es-ES"/>
        </w:rPr>
        <w:t>Se recomienda a la Conferencia de las Partes que:</w:t>
      </w:r>
    </w:p>
    <w:p w14:paraId="5DF51F96" w14:textId="77777777" w:rsidR="00C21E3A" w:rsidRPr="00E878DC" w:rsidRDefault="00C21E3A" w:rsidP="00391B96">
      <w:pPr>
        <w:spacing w:after="0" w:line="240" w:lineRule="auto"/>
        <w:jc w:val="both"/>
        <w:rPr>
          <w:lang w:val="es-ES"/>
        </w:rPr>
      </w:pPr>
    </w:p>
    <w:p w14:paraId="1FC99875" w14:textId="77777777" w:rsidR="00C21E3A" w:rsidRDefault="00C21E3A" w:rsidP="00391B96">
      <w:pPr>
        <w:pStyle w:val="Secondnumbering"/>
        <w:ind w:left="851" w:hanging="426"/>
        <w:jc w:val="both"/>
        <w:rPr>
          <w:lang w:val="es-ES"/>
        </w:rPr>
      </w:pPr>
      <w:r w:rsidRPr="00E878DC">
        <w:rPr>
          <w:lang w:val="es-ES"/>
        </w:rPr>
        <w:t>adopte el proyecto de Decisión incluido en el Anexo de este documento,</w:t>
      </w:r>
    </w:p>
    <w:p w14:paraId="2A232D1F" w14:textId="77777777" w:rsidR="00C21E3A" w:rsidRDefault="00C21E3A" w:rsidP="00391B96">
      <w:pPr>
        <w:pStyle w:val="Secondnumbering"/>
        <w:numPr>
          <w:ilvl w:val="0"/>
          <w:numId w:val="0"/>
        </w:numPr>
        <w:ind w:left="851"/>
        <w:jc w:val="both"/>
        <w:rPr>
          <w:lang w:val="es-ES"/>
        </w:rPr>
      </w:pPr>
    </w:p>
    <w:p w14:paraId="559E8564" w14:textId="276153F9" w:rsidR="002D5F2A" w:rsidRPr="00C21E3A" w:rsidRDefault="00C21E3A" w:rsidP="00391B96">
      <w:pPr>
        <w:pStyle w:val="Secondnumbering"/>
        <w:ind w:left="851" w:hanging="426"/>
        <w:jc w:val="both"/>
        <w:rPr>
          <w:lang w:val="es-ES"/>
        </w:rPr>
      </w:pPr>
      <w:r w:rsidRPr="00C21E3A">
        <w:rPr>
          <w:rFonts w:cs="Arial"/>
          <w:lang w:val="es-ES"/>
        </w:rPr>
        <w:t>derogue la Decisión 14.200.</w:t>
      </w:r>
    </w:p>
    <w:p w14:paraId="64A10E46" w14:textId="77777777" w:rsidR="00C21E3A" w:rsidRDefault="00C21E3A" w:rsidP="00F90348">
      <w:pPr>
        <w:pStyle w:val="ListParagraph"/>
        <w:spacing w:after="0" w:line="240" w:lineRule="auto"/>
        <w:rPr>
          <w:lang w:val="es-ES"/>
        </w:rPr>
      </w:pPr>
    </w:p>
    <w:p w14:paraId="11AD833A" w14:textId="77777777" w:rsidR="00C21E3A" w:rsidRDefault="00C21E3A" w:rsidP="00F90348">
      <w:pPr>
        <w:pStyle w:val="Secondnumbering"/>
        <w:numPr>
          <w:ilvl w:val="0"/>
          <w:numId w:val="0"/>
        </w:numPr>
        <w:ind w:left="851"/>
        <w:rPr>
          <w:lang w:val="es-ES"/>
        </w:rPr>
        <w:sectPr w:rsidR="00C21E3A" w:rsidSect="0032340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pPr>
    </w:p>
    <w:p w14:paraId="29D9E1CF" w14:textId="7A1DF0BB" w:rsidR="00484CA2" w:rsidRPr="00E878DC" w:rsidRDefault="00391B96" w:rsidP="00F90348">
      <w:pPr>
        <w:spacing w:after="0" w:line="240" w:lineRule="auto"/>
        <w:jc w:val="right"/>
        <w:rPr>
          <w:rFonts w:cs="Arial"/>
          <w:b/>
          <w:bCs/>
          <w:lang w:val="es-ES"/>
        </w:rPr>
      </w:pPr>
      <w:r w:rsidRPr="00E878DC">
        <w:rPr>
          <w:rFonts w:cs="Arial"/>
          <w:b/>
          <w:lang w:val="es-ES"/>
        </w:rPr>
        <w:lastRenderedPageBreak/>
        <w:t>ANEXO</w:t>
      </w:r>
    </w:p>
    <w:p w14:paraId="26B89958" w14:textId="77777777" w:rsidR="00484CA2" w:rsidRPr="00E878DC" w:rsidRDefault="00484CA2" w:rsidP="00F90348">
      <w:pPr>
        <w:spacing w:after="0" w:line="240" w:lineRule="auto"/>
        <w:rPr>
          <w:rFonts w:cs="Arial"/>
          <w:lang w:val="es-ES"/>
        </w:rPr>
      </w:pPr>
    </w:p>
    <w:p w14:paraId="12DF81F7" w14:textId="77777777" w:rsidR="00484CA2" w:rsidRPr="00E878DC" w:rsidRDefault="00484CA2" w:rsidP="00F90348">
      <w:pPr>
        <w:spacing w:after="0" w:line="240" w:lineRule="auto"/>
        <w:rPr>
          <w:rFonts w:cs="Arial"/>
          <w:lang w:val="es-ES"/>
        </w:rPr>
      </w:pPr>
    </w:p>
    <w:p w14:paraId="23898EAA" w14:textId="77777777" w:rsidR="00484CA2" w:rsidRPr="00E878DC" w:rsidRDefault="00484CA2" w:rsidP="00F9034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r w:rsidRPr="00E878DC">
        <w:rPr>
          <w:rFonts w:cs="Arial"/>
          <w:bCs/>
          <w:lang w:val="es-ES"/>
        </w:rPr>
        <w:t>PROYECTO DE DECISIÓN</w:t>
      </w:r>
    </w:p>
    <w:p w14:paraId="6F32D07E" w14:textId="77777777" w:rsidR="00484CA2" w:rsidRPr="00E878DC" w:rsidRDefault="00484CA2" w:rsidP="00F9034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p>
    <w:p w14:paraId="0B756F95" w14:textId="77777777" w:rsidR="00484CA2" w:rsidRPr="00E878DC" w:rsidRDefault="00484CA2" w:rsidP="00F90348">
      <w:pPr>
        <w:widowControl w:val="0"/>
        <w:suppressAutoHyphens/>
        <w:autoSpaceDE w:val="0"/>
        <w:autoSpaceDN w:val="0"/>
        <w:spacing w:after="0" w:line="240" w:lineRule="auto"/>
        <w:jc w:val="center"/>
        <w:textAlignment w:val="baseline"/>
        <w:rPr>
          <w:rFonts w:eastAsia="Times New Roman" w:cs="Arial"/>
          <w:b/>
          <w:bCs/>
          <w:lang w:val="es-ES"/>
        </w:rPr>
      </w:pPr>
      <w:r w:rsidRPr="00E878DC">
        <w:rPr>
          <w:rFonts w:eastAsia="Times New Roman" w:cs="Arial"/>
          <w:b/>
          <w:bCs/>
          <w:lang w:val="es-ES"/>
        </w:rPr>
        <w:t>COMUNIDADES Y MEDIOS DE SUBSISTENCIA</w:t>
      </w:r>
    </w:p>
    <w:p w14:paraId="334659B5" w14:textId="77777777" w:rsidR="00484CA2" w:rsidRPr="00E878DC" w:rsidRDefault="00484CA2" w:rsidP="00F90348">
      <w:pPr>
        <w:spacing w:after="0" w:line="240" w:lineRule="auto"/>
        <w:jc w:val="both"/>
        <w:rPr>
          <w:rFonts w:cs="Arial"/>
          <w:i/>
          <w:lang w:val="es-ES"/>
        </w:rPr>
      </w:pPr>
    </w:p>
    <w:p w14:paraId="2CEC3F89" w14:textId="77777777" w:rsidR="00484CA2" w:rsidRPr="00E878DC" w:rsidRDefault="00484CA2" w:rsidP="00F90348">
      <w:pPr>
        <w:spacing w:after="0" w:line="240" w:lineRule="auto"/>
        <w:jc w:val="both"/>
        <w:rPr>
          <w:rFonts w:cs="Arial"/>
          <w:i/>
          <w:lang w:val="es-ES"/>
        </w:rPr>
      </w:pPr>
    </w:p>
    <w:p w14:paraId="7E4E28E2" w14:textId="77777777" w:rsidR="00484CA2" w:rsidRPr="00E878DC" w:rsidRDefault="00484CA2" w:rsidP="00F90348">
      <w:pPr>
        <w:spacing w:after="0" w:line="240" w:lineRule="auto"/>
        <w:jc w:val="both"/>
        <w:rPr>
          <w:rFonts w:cs="Arial"/>
          <w:b/>
          <w:iCs/>
          <w:lang w:val="es-ES"/>
        </w:rPr>
      </w:pPr>
      <w:r w:rsidRPr="00E878DC">
        <w:rPr>
          <w:rFonts w:cs="Arial"/>
          <w:b/>
          <w:iCs/>
          <w:lang w:val="es-ES"/>
        </w:rPr>
        <w:t>Dirigido a la Secretaría</w:t>
      </w:r>
    </w:p>
    <w:p w14:paraId="17835632" w14:textId="77777777" w:rsidR="00484CA2" w:rsidRPr="00E878DC" w:rsidRDefault="00484CA2" w:rsidP="00F90348">
      <w:pPr>
        <w:spacing w:after="0" w:line="240" w:lineRule="auto"/>
        <w:jc w:val="both"/>
        <w:rPr>
          <w:rFonts w:cs="Arial"/>
          <w:iCs/>
          <w:lang w:val="es-ES"/>
        </w:rPr>
      </w:pPr>
    </w:p>
    <w:p w14:paraId="248E8BD1" w14:textId="77777777" w:rsidR="00484CA2" w:rsidRPr="00E878DC" w:rsidRDefault="00484CA2" w:rsidP="00391B96">
      <w:pPr>
        <w:spacing w:after="0" w:line="240" w:lineRule="auto"/>
        <w:ind w:left="720" w:hanging="720"/>
        <w:jc w:val="both"/>
        <w:rPr>
          <w:rFonts w:cs="Arial"/>
          <w:iCs/>
          <w:lang w:val="es-ES"/>
        </w:rPr>
      </w:pPr>
      <w:r w:rsidRPr="00E878DC">
        <w:rPr>
          <w:rFonts w:cs="Arial"/>
          <w:iCs/>
          <w:lang w:val="es-ES"/>
        </w:rPr>
        <w:t>15.AA</w:t>
      </w:r>
      <w:r w:rsidRPr="00E878DC">
        <w:rPr>
          <w:rFonts w:cs="Arial"/>
          <w:iCs/>
          <w:lang w:val="es-ES"/>
        </w:rPr>
        <w:tab/>
        <w:t xml:space="preserve">La Secretaría deberá, sujeta a la disponibilidad de recursos externos, trabajar con los socios para respaldar a las Partes con la implementación de los diez Principios Rectores anexados en la Resolución 14.17 sobre </w:t>
      </w:r>
      <w:r w:rsidRPr="00E878DC">
        <w:rPr>
          <w:rFonts w:cs="Arial"/>
          <w:i/>
          <w:iCs/>
          <w:lang w:val="es-ES"/>
        </w:rPr>
        <w:t>Participación Comunitaria y Medios de Subsistencia</w:t>
      </w:r>
      <w:r w:rsidRPr="00E878DC">
        <w:rPr>
          <w:rFonts w:cs="Arial"/>
          <w:iCs/>
          <w:lang w:val="es-ES"/>
        </w:rPr>
        <w:t xml:space="preserve"> y con las recomendaciones del estudio </w:t>
      </w:r>
      <w:r w:rsidRPr="00E878DC">
        <w:rPr>
          <w:rFonts w:cs="Arial"/>
          <w:i/>
          <w:iCs/>
          <w:lang w:val="es-ES"/>
        </w:rPr>
        <w:t>Potencial de la gestión comunitaria de la vida silvestre en Asia Central</w:t>
      </w:r>
      <w:r w:rsidRPr="00E878DC">
        <w:rPr>
          <w:rFonts w:cs="Arial"/>
          <w:iCs/>
          <w:lang w:val="es-ES"/>
        </w:rPr>
        <w:t>, y en concreto:</w:t>
      </w:r>
    </w:p>
    <w:p w14:paraId="0B9687A1" w14:textId="77777777" w:rsidR="00484CA2" w:rsidRPr="00E878DC" w:rsidRDefault="00484CA2" w:rsidP="00F90348">
      <w:pPr>
        <w:spacing w:after="0" w:line="240" w:lineRule="auto"/>
        <w:ind w:left="851" w:hanging="851"/>
        <w:jc w:val="both"/>
        <w:rPr>
          <w:rFonts w:cs="Arial"/>
          <w:iCs/>
          <w:lang w:val="es-ES"/>
        </w:rPr>
      </w:pPr>
    </w:p>
    <w:p w14:paraId="28DDCF88" w14:textId="77777777" w:rsidR="00484CA2" w:rsidRPr="00E878DC" w:rsidRDefault="00484CA2" w:rsidP="00BB0C5B">
      <w:pPr>
        <w:pStyle w:val="ListParagraph"/>
        <w:numPr>
          <w:ilvl w:val="0"/>
          <w:numId w:val="16"/>
        </w:numPr>
        <w:spacing w:after="0" w:line="240" w:lineRule="auto"/>
        <w:ind w:left="1276" w:hanging="556"/>
        <w:jc w:val="both"/>
        <w:rPr>
          <w:rFonts w:cs="Arial"/>
          <w:iCs/>
          <w:lang w:val="es-ES"/>
        </w:rPr>
      </w:pPr>
      <w:r w:rsidRPr="00E878DC">
        <w:rPr>
          <w:rFonts w:cs="Arial"/>
          <w:iCs/>
          <w:lang w:val="es-ES"/>
        </w:rPr>
        <w:t>desarrollar propuestas de financiación conjuntas;</w:t>
      </w:r>
    </w:p>
    <w:p w14:paraId="606F560B" w14:textId="77777777" w:rsidR="00484CA2" w:rsidRPr="00E878DC" w:rsidRDefault="00484CA2" w:rsidP="00BB0C5B">
      <w:pPr>
        <w:pStyle w:val="ListParagraph"/>
        <w:spacing w:after="0" w:line="240" w:lineRule="auto"/>
        <w:ind w:left="1276" w:hanging="556"/>
        <w:jc w:val="both"/>
        <w:rPr>
          <w:rFonts w:cs="Arial"/>
          <w:iCs/>
          <w:lang w:val="es-ES"/>
        </w:rPr>
      </w:pPr>
    </w:p>
    <w:p w14:paraId="2A44C255" w14:textId="77777777" w:rsidR="00484CA2" w:rsidRPr="00E878DC" w:rsidRDefault="00484CA2" w:rsidP="00BB0C5B">
      <w:pPr>
        <w:pStyle w:val="ListParagraph"/>
        <w:numPr>
          <w:ilvl w:val="0"/>
          <w:numId w:val="16"/>
        </w:numPr>
        <w:spacing w:after="0" w:line="240" w:lineRule="auto"/>
        <w:ind w:left="1276" w:hanging="556"/>
        <w:jc w:val="both"/>
        <w:rPr>
          <w:rFonts w:cs="Arial"/>
          <w:iCs/>
          <w:lang w:val="es-ES"/>
        </w:rPr>
      </w:pPr>
      <w:r w:rsidRPr="00E878DC">
        <w:rPr>
          <w:rFonts w:cs="Arial"/>
          <w:iCs/>
          <w:lang w:val="es-ES"/>
        </w:rPr>
        <w:t xml:space="preserve">organizar visitas de intercambio para los responsables de alto nivel a fin de llevar a cabo con éxito las iniciativas comunitarias de conservación; y </w:t>
      </w:r>
    </w:p>
    <w:p w14:paraId="2AE004A8" w14:textId="77777777" w:rsidR="00484CA2" w:rsidRPr="00E878DC" w:rsidRDefault="00484CA2" w:rsidP="00BB0C5B">
      <w:pPr>
        <w:pStyle w:val="ListParagraph"/>
        <w:spacing w:after="0" w:line="240" w:lineRule="auto"/>
        <w:ind w:left="1276" w:hanging="556"/>
        <w:jc w:val="both"/>
        <w:rPr>
          <w:rFonts w:cs="Arial"/>
          <w:iCs/>
          <w:lang w:val="es-ES"/>
        </w:rPr>
      </w:pPr>
    </w:p>
    <w:p w14:paraId="6F1F6956" w14:textId="77777777" w:rsidR="00484CA2" w:rsidRPr="00E878DC" w:rsidRDefault="00484CA2" w:rsidP="00BB0C5B">
      <w:pPr>
        <w:pStyle w:val="ListParagraph"/>
        <w:numPr>
          <w:ilvl w:val="0"/>
          <w:numId w:val="16"/>
        </w:numPr>
        <w:spacing w:after="0" w:line="240" w:lineRule="auto"/>
        <w:ind w:left="1276" w:hanging="556"/>
        <w:jc w:val="both"/>
        <w:rPr>
          <w:rFonts w:cs="Arial"/>
          <w:iCs/>
          <w:lang w:val="es-ES"/>
        </w:rPr>
      </w:pPr>
      <w:r w:rsidRPr="00E878DC">
        <w:rPr>
          <w:rFonts w:cs="Arial"/>
          <w:iCs/>
          <w:lang w:val="es-ES"/>
        </w:rPr>
        <w:t xml:space="preserve">organizar talleres de desarrollo de capacidades para respaldar a los responsables de alto nivel en la constitución de las iniciativas comunitarias de conservación para conservar y gestionar con éxito las especies migratorias. </w:t>
      </w:r>
    </w:p>
    <w:p w14:paraId="2318ECF3" w14:textId="77777777" w:rsidR="00484CA2" w:rsidRPr="00E878DC" w:rsidRDefault="00484CA2" w:rsidP="00BB0C5B">
      <w:pPr>
        <w:spacing w:after="0" w:line="240" w:lineRule="auto"/>
        <w:jc w:val="both"/>
        <w:rPr>
          <w:lang w:val="es-ES"/>
        </w:rPr>
      </w:pPr>
    </w:p>
    <w:p w14:paraId="26855881" w14:textId="77777777" w:rsidR="00C21E3A" w:rsidRPr="00C21E3A" w:rsidRDefault="00C21E3A" w:rsidP="00F90348">
      <w:pPr>
        <w:pStyle w:val="Secondnumbering"/>
        <w:numPr>
          <w:ilvl w:val="0"/>
          <w:numId w:val="0"/>
        </w:numPr>
        <w:rPr>
          <w:lang w:val="es-ES"/>
        </w:rPr>
      </w:pPr>
    </w:p>
    <w:sectPr w:rsidR="00C21E3A" w:rsidRPr="00C21E3A" w:rsidSect="00323406">
      <w:headerReference w:type="first" r:id="rId19"/>
      <w:footerReference w:type="first" r:id="rId2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8230D" w14:textId="77777777" w:rsidR="00002A97" w:rsidRDefault="00002A97" w:rsidP="00002A97">
      <w:pPr>
        <w:spacing w:after="0" w:line="240" w:lineRule="auto"/>
      </w:pPr>
      <w:r>
        <w:separator/>
      </w:r>
    </w:p>
  </w:endnote>
  <w:endnote w:type="continuationSeparator" w:id="0">
    <w:p w14:paraId="048C16E9"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17E832CF"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786307"/>
      <w:docPartObj>
        <w:docPartGallery w:val="Page Numbers (Bottom of Page)"/>
        <w:docPartUnique/>
      </w:docPartObj>
    </w:sdtPr>
    <w:sdtEndPr>
      <w:rPr>
        <w:noProof/>
        <w:sz w:val="18"/>
        <w:szCs w:val="18"/>
      </w:rPr>
    </w:sdtEndPr>
    <w:sdtContent>
      <w:p w14:paraId="30E78BDB" w14:textId="27C139FE" w:rsidR="00391B96" w:rsidRPr="00391B96" w:rsidRDefault="00391B96">
        <w:pPr>
          <w:pStyle w:val="Footer"/>
          <w:jc w:val="center"/>
          <w:rPr>
            <w:sz w:val="18"/>
            <w:szCs w:val="18"/>
          </w:rPr>
        </w:pPr>
        <w:r w:rsidRPr="00391B96">
          <w:rPr>
            <w:sz w:val="18"/>
            <w:szCs w:val="18"/>
          </w:rPr>
          <w:fldChar w:fldCharType="begin"/>
        </w:r>
        <w:r w:rsidRPr="00391B96">
          <w:rPr>
            <w:sz w:val="18"/>
            <w:szCs w:val="18"/>
          </w:rPr>
          <w:instrText xml:space="preserve"> PAGE   \* MERGEFORMAT </w:instrText>
        </w:r>
        <w:r w:rsidRPr="00391B96">
          <w:rPr>
            <w:sz w:val="18"/>
            <w:szCs w:val="18"/>
          </w:rPr>
          <w:fldChar w:fldCharType="separate"/>
        </w:r>
        <w:r w:rsidRPr="00391B96">
          <w:rPr>
            <w:noProof/>
            <w:sz w:val="18"/>
            <w:szCs w:val="18"/>
          </w:rPr>
          <w:t>2</w:t>
        </w:r>
        <w:r w:rsidRPr="00391B9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FA004" w14:textId="77777777" w:rsidR="00002A97" w:rsidRDefault="00002A97" w:rsidP="00002A97">
      <w:pPr>
        <w:spacing w:after="0" w:line="240" w:lineRule="auto"/>
      </w:pPr>
      <w:r>
        <w:separator/>
      </w:r>
    </w:p>
  </w:footnote>
  <w:footnote w:type="continuationSeparator" w:id="0">
    <w:p w14:paraId="27F31691" w14:textId="77777777" w:rsidR="00002A97" w:rsidRDefault="00002A97"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F6CDDA7"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F90348">
      <w:rPr>
        <w:rFonts w:eastAsia="Times New Roman" w:cs="Arial"/>
        <w:i/>
        <w:sz w:val="18"/>
        <w:szCs w:val="18"/>
        <w:lang w:val="fr-FR" w:eastAsia="es-ES"/>
      </w:rPr>
      <w:t>2</w:t>
    </w:r>
    <w:r w:rsidR="00D60747">
      <w:rPr>
        <w:rFonts w:eastAsia="Times New Roman" w:cs="Arial"/>
        <w:i/>
        <w:sz w:val="18"/>
        <w:szCs w:val="18"/>
        <w:lang w:val="fr-FR" w:eastAsia="es-ES"/>
      </w:rPr>
      <w:t>8</w:t>
    </w:r>
    <w:r w:rsidR="00F90348">
      <w:rPr>
        <w:rFonts w:eastAsia="Times New Roman" w:cs="Arial"/>
        <w:i/>
        <w:sz w:val="18"/>
        <w:szCs w:val="18"/>
        <w:lang w:val="fr-FR" w:eastAsia="es-ES"/>
      </w:rPr>
      <w:t>.</w:t>
    </w:r>
    <w:r w:rsidR="002D546D">
      <w:rPr>
        <w:rFonts w:eastAsia="Times New Roman" w:cs="Arial"/>
        <w:i/>
        <w:sz w:val="18"/>
        <w:szCs w:val="18"/>
        <w:lang w:val="fr-FR" w:eastAsia="es-ES"/>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0065AF38"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F90348">
      <w:rPr>
        <w:rFonts w:eastAsia="Times New Roman" w:cs="Arial"/>
        <w:i/>
        <w:sz w:val="18"/>
        <w:szCs w:val="18"/>
        <w:lang w:val="fr-FR" w:eastAsia="es-ES"/>
      </w:rPr>
      <w:t>2</w:t>
    </w:r>
    <w:r w:rsidR="00D60747">
      <w:rPr>
        <w:rFonts w:eastAsia="Times New Roman" w:cs="Arial"/>
        <w:i/>
        <w:sz w:val="18"/>
        <w:szCs w:val="18"/>
        <w:lang w:val="fr-FR" w:eastAsia="es-ES"/>
      </w:rPr>
      <w:t>8</w:t>
    </w:r>
    <w:r w:rsidR="00F90348">
      <w:rPr>
        <w:rFonts w:eastAsia="Times New Roman" w:cs="Arial"/>
        <w:i/>
        <w:sz w:val="18"/>
        <w:szCs w:val="18"/>
        <w:lang w:val="fr-FR" w:eastAsia="es-ES"/>
      </w:rPr>
      <w:t>.</w:t>
    </w:r>
    <w:r w:rsidR="00C85F98">
      <w:rPr>
        <w:rFonts w:eastAsia="Times New Roman" w:cs="Arial"/>
        <w:i/>
        <w:sz w:val="18"/>
        <w:szCs w:val="18"/>
        <w:lang w:val="fr-FR" w:eastAsia="es-ES"/>
      </w:rPr>
      <w:t>4</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4D09" w14:textId="44BD066B" w:rsidR="00C21E3A" w:rsidRPr="00F90348" w:rsidRDefault="00C21E3A" w:rsidP="00C21E3A">
    <w:pPr>
      <w:pStyle w:val="Header"/>
      <w:pBdr>
        <w:bottom w:val="single" w:sz="4" w:space="1" w:color="auto"/>
      </w:pBdr>
      <w:rPr>
        <w:i/>
        <w:sz w:val="18"/>
        <w:szCs w:val="18"/>
      </w:rPr>
    </w:pPr>
    <w:r w:rsidRPr="00F90348">
      <w:rPr>
        <w:rFonts w:eastAsia="Times New Roman" w:cs="Arial"/>
        <w:i/>
        <w:sz w:val="18"/>
        <w:szCs w:val="18"/>
        <w:lang w:eastAsia="es-ES"/>
      </w:rPr>
      <w:t>UNEP/CMS/COP15/Doc.</w:t>
    </w:r>
    <w:r w:rsidR="00F90348" w:rsidRPr="00F90348">
      <w:rPr>
        <w:rFonts w:eastAsia="Times New Roman" w:cs="Arial"/>
        <w:i/>
        <w:sz w:val="18"/>
        <w:szCs w:val="18"/>
        <w:lang w:eastAsia="es-ES"/>
      </w:rPr>
      <w:t>2</w:t>
    </w:r>
    <w:r w:rsidR="00D60747">
      <w:rPr>
        <w:rFonts w:eastAsia="Times New Roman" w:cs="Arial"/>
        <w:i/>
        <w:sz w:val="18"/>
        <w:szCs w:val="18"/>
        <w:lang w:eastAsia="es-ES"/>
      </w:rPr>
      <w:t>8</w:t>
    </w:r>
    <w:r w:rsidR="00F90348" w:rsidRPr="00F90348">
      <w:rPr>
        <w:rFonts w:eastAsia="Times New Roman" w:cs="Arial"/>
        <w:i/>
        <w:sz w:val="18"/>
        <w:szCs w:val="18"/>
        <w:lang w:eastAsia="es-ES"/>
      </w:rPr>
      <w:t>.</w:t>
    </w:r>
    <w:r w:rsidR="00C85F98">
      <w:rPr>
        <w:rFonts w:eastAsia="Times New Roman" w:cs="Arial"/>
        <w:i/>
        <w:sz w:val="18"/>
        <w:szCs w:val="18"/>
        <w:lang w:eastAsia="es-ES"/>
      </w:rPr>
      <w:t>4</w:t>
    </w:r>
    <w:r w:rsidR="00F90348" w:rsidRPr="00F90348">
      <w:rPr>
        <w:rFonts w:eastAsia="Times New Roman" w:cs="Arial"/>
        <w:i/>
        <w:sz w:val="18"/>
        <w:szCs w:val="18"/>
        <w:lang w:eastAsia="es-ES"/>
      </w:rPr>
      <w:t>/Anex</w:t>
    </w:r>
    <w:r w:rsidR="00F90348">
      <w:rPr>
        <w:rFonts w:eastAsia="Times New Roman" w:cs="Arial"/>
        <w:i/>
        <w:sz w:val="18"/>
        <w:szCs w:val="18"/>
        <w:lang w:eastAsia="es-ES"/>
      </w:rPr>
      <w:t>o</w:t>
    </w:r>
  </w:p>
  <w:p w14:paraId="5AB10F7C" w14:textId="77777777" w:rsidR="00C21E3A" w:rsidRPr="006F22B0" w:rsidRDefault="00C21E3A"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40C4F"/>
    <w:multiLevelType w:val="hybridMultilevel"/>
    <w:tmpl w:val="6CF08BB0"/>
    <w:lvl w:ilvl="0" w:tplc="A94081EC">
      <w:start w:val="1"/>
      <w:numFmt w:val="decimal"/>
      <w:lvlText w:val="%1."/>
      <w:lvlJc w:val="left"/>
      <w:pPr>
        <w:ind w:left="720" w:hanging="360"/>
      </w:pPr>
      <w:rPr>
        <w:rFonts w:ascii="Arial" w:hAnsi="Arial" w:cs="Arial" w:hint="default"/>
        <w:sz w:val="22"/>
        <w:szCs w:val="22"/>
      </w:rPr>
    </w:lvl>
    <w:lvl w:ilvl="1" w:tplc="CD8E4BB8">
      <w:start w:val="1"/>
      <w:numFmt w:val="lowerLetter"/>
      <w:lvlText w:val="%2)"/>
      <w:lvlJc w:val="left"/>
      <w:pPr>
        <w:ind w:left="1440" w:hanging="360"/>
      </w:pPr>
      <w:rPr>
        <w:rFonts w:hint="default"/>
      </w:rPr>
    </w:lvl>
    <w:lvl w:ilvl="2" w:tplc="8850D1CE">
      <w:numFmt w:val="bullet"/>
      <w:lvlText w:val="-"/>
      <w:lvlJc w:val="left"/>
      <w:pPr>
        <w:ind w:left="2340" w:hanging="360"/>
      </w:pPr>
      <w:rPr>
        <w:rFonts w:ascii="Arial" w:eastAsiaTheme="minorHAnsi" w:hAnsi="Arial" w:cs="Arial"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7C46F6"/>
    <w:multiLevelType w:val="hybridMultilevel"/>
    <w:tmpl w:val="C9402FA0"/>
    <w:lvl w:ilvl="0" w:tplc="2000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6BC93A6D"/>
    <w:multiLevelType w:val="hybridMultilevel"/>
    <w:tmpl w:val="D5EA2504"/>
    <w:lvl w:ilvl="0" w:tplc="FFFFFFFF">
      <w:start w:val="1"/>
      <w:numFmt w:val="lowerLetter"/>
      <w:lvlText w:val="%1)"/>
      <w:lvlJc w:val="left"/>
      <w:pPr>
        <w:ind w:left="1350" w:hanging="360"/>
      </w:pPr>
    </w:lvl>
    <w:lvl w:ilvl="1" w:tplc="08090017">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5"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8"/>
  </w:num>
  <w:num w:numId="5" w16cid:durableId="37974177">
    <w:abstractNumId w:val="5"/>
  </w:num>
  <w:num w:numId="6" w16cid:durableId="1958830237">
    <w:abstractNumId w:val="10"/>
  </w:num>
  <w:num w:numId="7" w16cid:durableId="396439182">
    <w:abstractNumId w:val="12"/>
  </w:num>
  <w:num w:numId="8" w16cid:durableId="260603560">
    <w:abstractNumId w:val="7"/>
  </w:num>
  <w:num w:numId="9" w16cid:durableId="1356272424">
    <w:abstractNumId w:val="6"/>
  </w:num>
  <w:num w:numId="10" w16cid:durableId="630594039">
    <w:abstractNumId w:val="15"/>
  </w:num>
  <w:num w:numId="11" w16cid:durableId="2069759870">
    <w:abstractNumId w:val="11"/>
  </w:num>
  <w:num w:numId="12" w16cid:durableId="904724938">
    <w:abstractNumId w:val="13"/>
  </w:num>
  <w:num w:numId="13" w16cid:durableId="2080976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2241144">
    <w:abstractNumId w:val="3"/>
  </w:num>
  <w:num w:numId="15" w16cid:durableId="760219707">
    <w:abstractNumId w:val="14"/>
  </w:num>
  <w:num w:numId="16" w16cid:durableId="2579526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30C68"/>
    <w:rsid w:val="00040D1E"/>
    <w:rsid w:val="0006659C"/>
    <w:rsid w:val="000E192F"/>
    <w:rsid w:val="000F4BDA"/>
    <w:rsid w:val="00127CCF"/>
    <w:rsid w:val="00154A11"/>
    <w:rsid w:val="00166CB7"/>
    <w:rsid w:val="001722A0"/>
    <w:rsid w:val="00192411"/>
    <w:rsid w:val="001C551E"/>
    <w:rsid w:val="001D45A2"/>
    <w:rsid w:val="001E6CDF"/>
    <w:rsid w:val="001E73E0"/>
    <w:rsid w:val="0024152C"/>
    <w:rsid w:val="00256158"/>
    <w:rsid w:val="002A40B8"/>
    <w:rsid w:val="002A5ABE"/>
    <w:rsid w:val="002D546D"/>
    <w:rsid w:val="002D5F2A"/>
    <w:rsid w:val="002D6ECE"/>
    <w:rsid w:val="002F43C9"/>
    <w:rsid w:val="002F7EC2"/>
    <w:rsid w:val="003133A7"/>
    <w:rsid w:val="00323406"/>
    <w:rsid w:val="00391B96"/>
    <w:rsid w:val="003D229E"/>
    <w:rsid w:val="00430A25"/>
    <w:rsid w:val="00441D72"/>
    <w:rsid w:val="00457C8A"/>
    <w:rsid w:val="00476F63"/>
    <w:rsid w:val="00484CA2"/>
    <w:rsid w:val="004C7808"/>
    <w:rsid w:val="004D2AF8"/>
    <w:rsid w:val="005330F7"/>
    <w:rsid w:val="00563598"/>
    <w:rsid w:val="005851D3"/>
    <w:rsid w:val="00591364"/>
    <w:rsid w:val="00592262"/>
    <w:rsid w:val="0059243E"/>
    <w:rsid w:val="005C39FC"/>
    <w:rsid w:val="00606167"/>
    <w:rsid w:val="006114FC"/>
    <w:rsid w:val="00633CA1"/>
    <w:rsid w:val="006C2EF5"/>
    <w:rsid w:val="006D367C"/>
    <w:rsid w:val="006F1F56"/>
    <w:rsid w:val="006F22B0"/>
    <w:rsid w:val="00790422"/>
    <w:rsid w:val="007B53CC"/>
    <w:rsid w:val="007C212E"/>
    <w:rsid w:val="007E5A82"/>
    <w:rsid w:val="00800CB3"/>
    <w:rsid w:val="00810C64"/>
    <w:rsid w:val="008D686F"/>
    <w:rsid w:val="009059D0"/>
    <w:rsid w:val="00943D15"/>
    <w:rsid w:val="009B365E"/>
    <w:rsid w:val="00A96EB9"/>
    <w:rsid w:val="00AC09AE"/>
    <w:rsid w:val="00AD7C43"/>
    <w:rsid w:val="00B104EC"/>
    <w:rsid w:val="00B40E07"/>
    <w:rsid w:val="00BB0C5B"/>
    <w:rsid w:val="00BC5707"/>
    <w:rsid w:val="00BE6C85"/>
    <w:rsid w:val="00BF7838"/>
    <w:rsid w:val="00C21E3A"/>
    <w:rsid w:val="00C22155"/>
    <w:rsid w:val="00C41DAD"/>
    <w:rsid w:val="00C664E8"/>
    <w:rsid w:val="00C85F98"/>
    <w:rsid w:val="00CF660D"/>
    <w:rsid w:val="00D60747"/>
    <w:rsid w:val="00D70275"/>
    <w:rsid w:val="00D84650"/>
    <w:rsid w:val="00E46068"/>
    <w:rsid w:val="00E607BD"/>
    <w:rsid w:val="00E7366A"/>
    <w:rsid w:val="00E77A9F"/>
    <w:rsid w:val="00E81B4A"/>
    <w:rsid w:val="00EF1D13"/>
    <w:rsid w:val="00F147ED"/>
    <w:rsid w:val="00F90348"/>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21E3A"/>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2Char">
    <w:name w:val="Heading 2 Char"/>
    <w:basedOn w:val="DefaultParagraphFont"/>
    <w:link w:val="Heading2"/>
    <w:uiPriority w:val="99"/>
    <w:semiHidden/>
    <w:rsid w:val="00C21E3A"/>
    <w:rPr>
      <w:rFonts w:ascii="Times New Roman" w:eastAsia="Times New Roman" w:hAnsi="Times New Roman" w:cs="Times New Roman"/>
      <w:b/>
      <w:bCs/>
      <w:sz w:val="36"/>
      <w:szCs w:val="24"/>
    </w:rPr>
  </w:style>
  <w:style w:type="paragraph" w:customStyle="1" w:styleId="Secondnumbering">
    <w:name w:val="Second numbering"/>
    <w:basedOn w:val="Normal"/>
    <w:link w:val="SecondnumberingChar"/>
    <w:qFormat/>
    <w:rsid w:val="00C21E3A"/>
    <w:pPr>
      <w:numPr>
        <w:numId w:val="13"/>
      </w:numPr>
      <w:spacing w:after="0" w:line="240" w:lineRule="auto"/>
    </w:pPr>
    <w:rPr>
      <w:lang w:val="en-GB"/>
    </w:rPr>
  </w:style>
  <w:style w:type="character" w:customStyle="1" w:styleId="SecondnumberingChar">
    <w:name w:val="Second numbering Char"/>
    <w:basedOn w:val="DefaultParagraphFont"/>
    <w:link w:val="Secondnumbering"/>
    <w:rsid w:val="00C21E3A"/>
    <w:rPr>
      <w:lang w:val="en-GB"/>
    </w:rPr>
  </w:style>
  <w:style w:type="character" w:styleId="UnresolvedMention">
    <w:name w:val="Unresolved Mention"/>
    <w:basedOn w:val="DefaultParagraphFont"/>
    <w:uiPriority w:val="99"/>
    <w:semiHidden/>
    <w:unhideWhenUsed/>
    <w:rsid w:val="003D2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2EE49915-0EFE-40C3-979F-B72BAFF23376}"/>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c15478a5-0be8-4f5d-8383-b307d5ba8bf6"/>
    <ds:schemaRef ds:uri="http://schemas.microsoft.com/office/2006/documentManagement/types"/>
    <ds:schemaRef ds:uri="http://purl.org/dc/elements/1.1/"/>
    <ds:schemaRef ds:uri="http://purl.org/dc/terms/"/>
    <ds:schemaRef ds:uri="http://www.w3.org/XML/1998/namespace"/>
    <ds:schemaRef ds:uri="a7b50396-0b06-45c1-b28e-46f86d566a10"/>
    <ds:schemaRef ds:uri="http://schemas.microsoft.com/office/infopath/2007/PartnerControls"/>
    <ds:schemaRef ds:uri="http://schemas.openxmlformats.org/package/2006/metadata/core-properties"/>
    <ds:schemaRef ds:uri="985ec44e-1bab-4c0b-9df0-6ba128686fc9"/>
    <ds:schemaRef ds:uri="http://purl.org/dc/dcmitype/"/>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33</TotalTime>
  <Pages>4</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22</cp:revision>
  <cp:lastPrinted>2025-08-21T10:13:00Z</cp:lastPrinted>
  <dcterms:created xsi:type="dcterms:W3CDTF">2025-08-21T08:35:00Z</dcterms:created>
  <dcterms:modified xsi:type="dcterms:W3CDTF">2025-09-08T08:30:00Z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