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24581" w14:textId="77777777" w:rsidR="00E012E3" w:rsidRPr="00EC2A58" w:rsidRDefault="00E012E3" w:rsidP="00E012E3">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012E3" w:rsidRPr="00CF74BB" w14:paraId="77B30616" w14:textId="77777777" w:rsidTr="00AB4EAF">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81324A" w14:textId="77777777" w:rsidR="00E012E3" w:rsidRPr="00EC2A58" w:rsidRDefault="00E012E3" w:rsidP="00AB4EAF">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Times New Roman" w:cs="Arial"/>
                <w:noProof/>
              </w:rPr>
              <w:drawing>
                <wp:inline distT="0" distB="0" distL="0" distR="0" wp14:anchorId="2D4446A1" wp14:editId="2F565E70">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3F732536" w14:textId="77777777" w:rsidR="00E012E3" w:rsidRPr="00EC2A58" w:rsidRDefault="00E012E3" w:rsidP="00AB4EAF">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3F676AC6" w14:textId="77777777" w:rsidR="00E012E3" w:rsidRPr="00EC2A58" w:rsidRDefault="00E012E3" w:rsidP="00AB4EAF">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7D7805D1" w14:textId="77777777" w:rsidR="00E012E3" w:rsidRPr="00EC2A58" w:rsidRDefault="00E012E3" w:rsidP="00AB4EAF">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0084259B" w14:textId="77777777" w:rsidR="00E012E3" w:rsidRPr="00EC2A58" w:rsidRDefault="00E012E3" w:rsidP="00AB4EAF">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68A35664" w14:textId="77777777" w:rsidR="00E012E3" w:rsidRPr="00EC2A58" w:rsidRDefault="00E012E3" w:rsidP="00AB4EAF">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5D36252D" w14:textId="328D07C5" w:rsidR="00E012E3" w:rsidRPr="0094077B" w:rsidRDefault="00E012E3" w:rsidP="00AB4EAF">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94077B" w:rsidRPr="0094077B">
              <w:rPr>
                <w:rFonts w:eastAsia="Arial" w:cs="Arial"/>
                <w:lang w:val="fr-FR"/>
              </w:rPr>
              <w:t>2</w:t>
            </w:r>
            <w:r w:rsidR="00CF74BB">
              <w:rPr>
                <w:rFonts w:eastAsia="Arial" w:cs="Arial"/>
                <w:lang w:val="fr-FR"/>
              </w:rPr>
              <w:t>8.4</w:t>
            </w:r>
          </w:p>
          <w:p w14:paraId="013D1567" w14:textId="23F92B64" w:rsidR="00E012E3" w:rsidRPr="0094077B" w:rsidRDefault="0094077B" w:rsidP="00AB4EAF">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94077B">
              <w:rPr>
                <w:rFonts w:eastAsia="Arial" w:cs="Arial"/>
                <w:lang w:val="fr-FR"/>
              </w:rPr>
              <w:t>15 août 2025</w:t>
            </w:r>
          </w:p>
          <w:p w14:paraId="1F6AD308" w14:textId="77777777" w:rsidR="00E012E3" w:rsidRPr="0094077B" w:rsidRDefault="00E012E3" w:rsidP="00AB4EAF">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602E9FBD" w14:textId="77777777" w:rsidR="00E012E3" w:rsidRPr="0094077B" w:rsidRDefault="00E012E3" w:rsidP="00AB4EAF">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29FD7C38" w14:textId="77777777" w:rsidR="00E012E3" w:rsidRPr="00EC2A58" w:rsidRDefault="00E012E3" w:rsidP="00E012E3">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p>
    <w:p w14:paraId="7C933E7E" w14:textId="77777777" w:rsidR="00E012E3" w:rsidRPr="00EC2A58" w:rsidRDefault="00E012E3" w:rsidP="00E012E3">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37D152EC" w14:textId="77777777" w:rsidR="00E012E3" w:rsidRPr="00EC2A58" w:rsidRDefault="00E012E3" w:rsidP="00E012E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7466F7FB" w14:textId="43D38E02" w:rsidR="00E012E3" w:rsidRPr="00EC2A58" w:rsidRDefault="00E012E3" w:rsidP="00E012E3">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94077B">
        <w:rPr>
          <w:rFonts w:eastAsia="Arial" w:cs="Arial"/>
          <w:iCs/>
          <w:lang w:val="fr-FR"/>
        </w:rPr>
        <w:t>2</w:t>
      </w:r>
      <w:r w:rsidR="00B075D0">
        <w:rPr>
          <w:rFonts w:eastAsia="Arial" w:cs="Arial"/>
          <w:iCs/>
          <w:lang w:val="fr-FR"/>
        </w:rPr>
        <w:t>8</w:t>
      </w:r>
      <w:r w:rsidR="0094077B">
        <w:rPr>
          <w:rFonts w:eastAsia="Arial" w:cs="Arial"/>
          <w:iCs/>
          <w:lang w:val="fr-FR"/>
        </w:rPr>
        <w:t>.</w:t>
      </w:r>
      <w:r w:rsidR="00CF74BB">
        <w:rPr>
          <w:rFonts w:eastAsia="Arial" w:cs="Arial"/>
          <w:iCs/>
          <w:lang w:val="fr-FR"/>
        </w:rPr>
        <w:t>4</w:t>
      </w:r>
      <w:r w:rsidRPr="00EC2A58">
        <w:rPr>
          <w:rFonts w:eastAsia="Arial" w:cs="Arial"/>
          <w:iCs/>
          <w:lang w:val="fr-FR"/>
        </w:rPr>
        <w:t xml:space="preserve"> de l’ordre du jour</w:t>
      </w:r>
    </w:p>
    <w:p w14:paraId="7AADE301" w14:textId="77777777" w:rsidR="007E2CB6" w:rsidRDefault="007E2CB6">
      <w:pPr>
        <w:widowControl w:val="0"/>
        <w:suppressAutoHyphens/>
        <w:autoSpaceDE w:val="0"/>
        <w:autoSpaceDN w:val="0"/>
        <w:spacing w:after="0" w:line="240" w:lineRule="auto"/>
        <w:jc w:val="both"/>
        <w:textAlignment w:val="baseline"/>
        <w:rPr>
          <w:rFonts w:eastAsia="Times New Roman" w:cs="Arial"/>
          <w:lang w:val="fr-FR"/>
        </w:rPr>
      </w:pPr>
    </w:p>
    <w:p w14:paraId="7B708136" w14:textId="77777777" w:rsidR="00E012E3" w:rsidRDefault="00E012E3">
      <w:pPr>
        <w:widowControl w:val="0"/>
        <w:suppressAutoHyphens/>
        <w:autoSpaceDE w:val="0"/>
        <w:autoSpaceDN w:val="0"/>
        <w:spacing w:after="0" w:line="240" w:lineRule="auto"/>
        <w:jc w:val="both"/>
        <w:textAlignment w:val="baseline"/>
        <w:rPr>
          <w:rFonts w:eastAsia="Times New Roman" w:cs="Arial"/>
          <w:lang w:val="fr-FR"/>
        </w:rPr>
      </w:pPr>
    </w:p>
    <w:p w14:paraId="7BEA8536" w14:textId="77777777" w:rsidR="007E2CB6" w:rsidRDefault="0057004D">
      <w:pPr>
        <w:widowControl w:val="0"/>
        <w:suppressAutoHyphens/>
        <w:autoSpaceDE w:val="0"/>
        <w:autoSpaceDN w:val="0"/>
        <w:spacing w:after="120" w:line="240" w:lineRule="auto"/>
        <w:jc w:val="center"/>
        <w:textAlignment w:val="baseline"/>
        <w:rPr>
          <w:rFonts w:eastAsia="Times New Roman" w:cs="Arial"/>
          <w:b/>
          <w:bCs/>
          <w:lang w:val="fr-FR"/>
        </w:rPr>
      </w:pPr>
      <w:r>
        <w:rPr>
          <w:rFonts w:eastAsia="Times New Roman" w:cs="Arial"/>
          <w:b/>
          <w:bCs/>
          <w:lang w:val="fr-FR"/>
        </w:rPr>
        <w:t>COMMUNAUTÉS ET MOYENS D’EXISTENCE</w:t>
      </w:r>
    </w:p>
    <w:p w14:paraId="6F055F87" w14:textId="77777777" w:rsidR="007E2CB6" w:rsidRDefault="0057004D">
      <w:pPr>
        <w:widowControl w:val="0"/>
        <w:suppressAutoHyphens/>
        <w:autoSpaceDE w:val="0"/>
        <w:autoSpaceDN w:val="0"/>
        <w:spacing w:after="0" w:line="240" w:lineRule="auto"/>
        <w:jc w:val="center"/>
        <w:textAlignment w:val="baseline"/>
        <w:rPr>
          <w:rFonts w:ascii="Calibri" w:eastAsia="Calibri" w:hAnsi="Calibri" w:cs="Times New Roman"/>
          <w:lang w:val="fr-FR"/>
        </w:rPr>
      </w:pPr>
      <w:r>
        <w:rPr>
          <w:rFonts w:eastAsia="Times New Roman" w:cs="Arial"/>
          <w:i/>
          <w:lang w:val="fr-FR"/>
        </w:rPr>
        <w:t>(Préparé par le Secrétariat)</w:t>
      </w:r>
    </w:p>
    <w:p w14:paraId="3C2EA213" w14:textId="77777777" w:rsidR="007E2CB6" w:rsidRDefault="007E2CB6">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fr-FR"/>
        </w:rPr>
      </w:pPr>
    </w:p>
    <w:p w14:paraId="640C7942" w14:textId="3F08BD7E" w:rsidR="007E2CB6" w:rsidRDefault="007E2CB6">
      <w:pPr>
        <w:widowControl w:val="0"/>
        <w:suppressAutoHyphens/>
        <w:autoSpaceDE w:val="0"/>
        <w:autoSpaceDN w:val="0"/>
        <w:spacing w:after="0" w:line="240" w:lineRule="auto"/>
        <w:jc w:val="both"/>
        <w:textAlignment w:val="baseline"/>
        <w:rPr>
          <w:rFonts w:eastAsia="Times New Roman" w:cs="Arial"/>
          <w:sz w:val="21"/>
          <w:szCs w:val="21"/>
          <w:lang w:val="fr-FR"/>
        </w:rPr>
      </w:pPr>
    </w:p>
    <w:p w14:paraId="4D94C852" w14:textId="4D5A5EB1" w:rsidR="007E2CB6" w:rsidRDefault="00A2500E">
      <w:pPr>
        <w:widowControl w:val="0"/>
        <w:suppressAutoHyphens/>
        <w:autoSpaceDE w:val="0"/>
        <w:autoSpaceDN w:val="0"/>
        <w:spacing w:after="0" w:line="240" w:lineRule="auto"/>
        <w:jc w:val="both"/>
        <w:textAlignment w:val="baseline"/>
        <w:rPr>
          <w:rFonts w:eastAsia="Times New Roman" w:cs="Arial"/>
          <w:sz w:val="21"/>
          <w:szCs w:val="21"/>
          <w:lang w:val="fr-FR"/>
        </w:rPr>
      </w:pPr>
      <w:r>
        <w:rPr>
          <w:rFonts w:eastAsia="Times New Roman" w:cs="Arial"/>
          <w:noProof/>
          <w:sz w:val="21"/>
          <w:szCs w:val="21"/>
          <w:lang w:val="fr-FR"/>
        </w:rPr>
        <mc:AlternateContent>
          <mc:Choice Requires="wps">
            <w:drawing>
              <wp:anchor distT="0" distB="0" distL="114300" distR="114300" simplePos="0" relativeHeight="251658240" behindDoc="1" locked="0" layoutInCell="1" allowOverlap="1" wp14:anchorId="05FBA0F5" wp14:editId="301E8EBC">
                <wp:simplePos x="0" y="0"/>
                <wp:positionH relativeFrom="margin">
                  <wp:posOffset>962025</wp:posOffset>
                </wp:positionH>
                <wp:positionV relativeFrom="margin">
                  <wp:posOffset>2867025</wp:posOffset>
                </wp:positionV>
                <wp:extent cx="4304665" cy="2076450"/>
                <wp:effectExtent l="0" t="0" r="19685" b="1905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2076450"/>
                        </a:xfrm>
                        <a:prstGeom prst="rect">
                          <a:avLst/>
                        </a:prstGeom>
                        <a:solidFill>
                          <a:srgbClr val="FFFFFF"/>
                        </a:solidFill>
                        <a:ln w="3172">
                          <a:solidFill>
                            <a:srgbClr val="000000"/>
                          </a:solidFill>
                          <a:prstDash val="solid"/>
                        </a:ln>
                      </wps:spPr>
                      <wps:txbx>
                        <w:txbxContent>
                          <w:p w14:paraId="72A1439C" w14:textId="77777777" w:rsidR="007E2CB6" w:rsidRDefault="0057004D">
                            <w:pPr>
                              <w:spacing w:after="0"/>
                              <w:jc w:val="both"/>
                              <w:rPr>
                                <w:rFonts w:cs="Arial"/>
                                <w:lang w:val="fr-FR"/>
                              </w:rPr>
                            </w:pPr>
                            <w:r>
                              <w:rPr>
                                <w:rFonts w:cs="Arial"/>
                                <w:lang w:val="fr-FR"/>
                              </w:rPr>
                              <w:t>Résumé :</w:t>
                            </w:r>
                          </w:p>
                          <w:p w14:paraId="2FABBB66" w14:textId="77777777" w:rsidR="007E2CB6" w:rsidRDefault="007E2CB6">
                            <w:pPr>
                              <w:spacing w:after="0"/>
                              <w:jc w:val="both"/>
                              <w:rPr>
                                <w:rFonts w:cs="Arial"/>
                                <w:lang w:val="fr-FR"/>
                              </w:rPr>
                            </w:pPr>
                          </w:p>
                          <w:p w14:paraId="6A40F81E" w14:textId="77777777" w:rsidR="007E2CB6" w:rsidRDefault="0057004D">
                            <w:pPr>
                              <w:spacing w:after="0" w:line="240" w:lineRule="auto"/>
                              <w:jc w:val="both"/>
                              <w:rPr>
                                <w:rFonts w:cs="Arial"/>
                                <w:color w:val="000000" w:themeColor="text1"/>
                                <w:lang w:val="fr-FR"/>
                              </w:rPr>
                            </w:pPr>
                            <w:r>
                              <w:rPr>
                                <w:rFonts w:cs="Arial"/>
                                <w:lang w:val="fr-FR"/>
                              </w:rPr>
                              <w:t xml:space="preserve">Ce document rend compte de la mise en œuvre de la Décision 14.200 et propose des activités de suivi pour mettre en œuvre les dix principes directeurs et les recommandations de l’étude </w:t>
                            </w:r>
                            <w:r>
                              <w:rPr>
                                <w:rFonts w:cs="Arial"/>
                                <w:i/>
                                <w:iCs/>
                                <w:lang w:val="fr-FR"/>
                              </w:rPr>
                              <w:t>Potentiel de gestion communautaire de la faune sauvage pour les espèces CAMI</w:t>
                            </w:r>
                            <w:r>
                              <w:rPr>
                                <w:rFonts w:cs="Arial"/>
                                <w:lang w:val="fr-FR"/>
                              </w:rPr>
                              <w:t>.</w:t>
                            </w:r>
                            <w:r>
                              <w:rPr>
                                <w:rFonts w:cs="Arial"/>
                                <w:color w:val="000000" w:themeColor="text1"/>
                                <w:lang w:val="fr-FR"/>
                              </w:rPr>
                              <w:t xml:space="preserve"> </w:t>
                            </w:r>
                          </w:p>
                          <w:p w14:paraId="597B7C5A" w14:textId="77777777" w:rsidR="007E2CB6" w:rsidRDefault="007E2CB6">
                            <w:pPr>
                              <w:spacing w:after="0" w:line="240" w:lineRule="auto"/>
                              <w:jc w:val="both"/>
                              <w:rPr>
                                <w:rFonts w:cs="Arial"/>
                                <w:color w:val="000000" w:themeColor="text1"/>
                                <w:lang w:val="fr-FR"/>
                              </w:rPr>
                            </w:pPr>
                          </w:p>
                          <w:p w14:paraId="715E6049" w14:textId="77777777" w:rsidR="007E2CB6" w:rsidRDefault="0057004D">
                            <w:pPr>
                              <w:spacing w:after="0" w:line="240" w:lineRule="auto"/>
                              <w:jc w:val="both"/>
                              <w:rPr>
                                <w:rFonts w:cs="Arial"/>
                                <w:color w:val="000000" w:themeColor="text1"/>
                                <w:lang w:val="fr-FR"/>
                              </w:rPr>
                            </w:pPr>
                            <w:r>
                              <w:rPr>
                                <w:rFonts w:cs="Arial"/>
                                <w:color w:val="000000" w:themeColor="text1"/>
                                <w:lang w:val="fr-FR"/>
                              </w:rPr>
                              <w:t>La mise en œuvre de cette décision soutiendrait la réalisation des objectifs 1.3, 2.3, 3.1, 4.2, 5.1 et 6.1 du Plan stratégique de Samarcande pour les espèces migratrices 2024-2032.</w:t>
                            </w:r>
                          </w:p>
                          <w:p w14:paraId="4CA0B752" w14:textId="77777777" w:rsidR="007E2CB6" w:rsidRDefault="007E2CB6">
                            <w:pPr>
                              <w:spacing w:after="0"/>
                              <w:jc w:val="both"/>
                              <w:rPr>
                                <w:rFonts w:cs="Arial"/>
                                <w:lang w:val="fr-FR"/>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05FBA0F5" id="_x0000_t202" coordsize="21600,21600" o:spt="202" path="m,l,21600r21600,l21600,xe">
                <v:stroke joinstyle="miter"/>
                <v:path gradientshapeok="t" o:connecttype="rect"/>
              </v:shapetype>
              <v:shape id="Text Box 5" o:spid="_x0000_s1026" type="#_x0000_t202" style="position:absolute;left:0;text-align:left;margin-left:75.75pt;margin-top:225.75pt;width:338.95pt;height:163.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" strokeweight=".08811mm">
                <v:textbox>
                  <w:txbxContent>
                    <w:p w14:paraId="72A1439C" w14:textId="77777777" w:rsidR="007E2CB6" w:rsidRDefault="0057004D">
                      <w:pPr>
                        <w:spacing w:after="0"/>
                        <w:jc w:val="both"/>
                        <w:rPr>
                          <w:rFonts w:cs="Arial"/>
                          <w:lang w:val="fr-FR"/>
                        </w:rPr>
                      </w:pPr>
                      <w:r>
                        <w:rPr>
                          <w:rFonts w:cs="Arial"/>
                          <w:lang w:val="fr-FR"/>
                        </w:rPr>
                        <w:t>Résumé :</w:t>
                      </w:r>
                    </w:p>
                    <w:p w14:paraId="2FABBB66" w14:textId="77777777" w:rsidR="007E2CB6" w:rsidRDefault="007E2CB6">
                      <w:pPr>
                        <w:spacing w:after="0"/>
                        <w:jc w:val="both"/>
                        <w:rPr>
                          <w:rFonts w:cs="Arial"/>
                          <w:lang w:val="fr-FR"/>
                        </w:rPr>
                      </w:pPr>
                    </w:p>
                    <w:p w14:paraId="6A40F81E" w14:textId="77777777" w:rsidR="007E2CB6" w:rsidRDefault="0057004D">
                      <w:pPr>
                        <w:spacing w:after="0" w:line="240" w:lineRule="auto"/>
                        <w:jc w:val="both"/>
                        <w:rPr>
                          <w:rFonts w:cs="Arial"/>
                          <w:color w:val="000000" w:themeColor="text1"/>
                          <w:lang w:val="fr-FR"/>
                        </w:rPr>
                      </w:pPr>
                      <w:r>
                        <w:rPr>
                          <w:rFonts w:cs="Arial"/>
                          <w:lang w:val="fr-FR"/>
                        </w:rPr>
                        <w:t xml:space="preserve">Ce document rend compte de la mise en œuvre de la Décision 14.200 et propose des activités de suivi pour mettre en œuvre les dix principes directeurs et les recommandations de l’étude </w:t>
                      </w:r>
                      <w:r>
                        <w:rPr>
                          <w:rFonts w:cs="Arial"/>
                          <w:i/>
                          <w:iCs/>
                          <w:lang w:val="fr-FR"/>
                        </w:rPr>
                        <w:t>Potentiel de gestion communautaire de la faune sauvage pour les espèces CAMI</w:t>
                      </w:r>
                      <w:r>
                        <w:rPr>
                          <w:rFonts w:cs="Arial"/>
                          <w:lang w:val="fr-FR"/>
                        </w:rPr>
                        <w:t>.</w:t>
                      </w:r>
                      <w:r>
                        <w:rPr>
                          <w:rFonts w:cs="Arial"/>
                          <w:color w:val="000000" w:themeColor="text1"/>
                          <w:lang w:val="fr-FR"/>
                        </w:rPr>
                        <w:t xml:space="preserve"> </w:t>
                      </w:r>
                    </w:p>
                    <w:p w14:paraId="597B7C5A" w14:textId="77777777" w:rsidR="007E2CB6" w:rsidRDefault="007E2CB6">
                      <w:pPr>
                        <w:spacing w:after="0" w:line="240" w:lineRule="auto"/>
                        <w:jc w:val="both"/>
                        <w:rPr>
                          <w:rFonts w:cs="Arial"/>
                          <w:color w:val="000000" w:themeColor="text1"/>
                          <w:lang w:val="fr-FR"/>
                        </w:rPr>
                      </w:pPr>
                    </w:p>
                    <w:p w14:paraId="715E6049" w14:textId="77777777" w:rsidR="007E2CB6" w:rsidRDefault="0057004D">
                      <w:pPr>
                        <w:spacing w:after="0" w:line="240" w:lineRule="auto"/>
                        <w:jc w:val="both"/>
                        <w:rPr>
                          <w:rFonts w:cs="Arial"/>
                          <w:color w:val="000000" w:themeColor="text1"/>
                          <w:lang w:val="fr-FR"/>
                        </w:rPr>
                      </w:pPr>
                      <w:r>
                        <w:rPr>
                          <w:rFonts w:cs="Arial"/>
                          <w:color w:val="000000" w:themeColor="text1"/>
                          <w:lang w:val="fr-FR"/>
                        </w:rPr>
                        <w:t>La mise en œuvre de cette décision soutiendrait la réalisation des objectifs 1.3, 2.3, 3.1, 4.2, 5.1 et 6.1 du Plan stratégique de Samarcande pour les espèces migratrices 2024-2032.</w:t>
                      </w:r>
                    </w:p>
                    <w:p w14:paraId="4CA0B752" w14:textId="77777777" w:rsidR="007E2CB6" w:rsidRDefault="007E2CB6">
                      <w:pPr>
                        <w:spacing w:after="0"/>
                        <w:jc w:val="both"/>
                        <w:rPr>
                          <w:rFonts w:cs="Arial"/>
                          <w:lang w:val="fr-FR"/>
                        </w:rPr>
                      </w:pPr>
                    </w:p>
                  </w:txbxContent>
                </v:textbox>
                <w10:wrap type="square" anchorx="margin" anchory="margin"/>
              </v:shape>
            </w:pict>
          </mc:Fallback>
        </mc:AlternateContent>
      </w:r>
    </w:p>
    <w:p w14:paraId="5FD5C87B" w14:textId="77777777" w:rsidR="007E2CB6" w:rsidRDefault="007E2CB6">
      <w:pPr>
        <w:widowControl w:val="0"/>
        <w:suppressAutoHyphens/>
        <w:autoSpaceDE w:val="0"/>
        <w:autoSpaceDN w:val="0"/>
        <w:spacing w:after="0" w:line="240" w:lineRule="auto"/>
        <w:jc w:val="both"/>
        <w:textAlignment w:val="baseline"/>
        <w:rPr>
          <w:rFonts w:eastAsia="Times New Roman" w:cs="Arial"/>
          <w:sz w:val="21"/>
          <w:szCs w:val="21"/>
          <w:lang w:val="fr-FR"/>
        </w:rPr>
      </w:pPr>
    </w:p>
    <w:p w14:paraId="2778F698" w14:textId="77777777" w:rsidR="007E2CB6" w:rsidRDefault="007E2CB6">
      <w:pPr>
        <w:widowControl w:val="0"/>
        <w:suppressAutoHyphens/>
        <w:autoSpaceDE w:val="0"/>
        <w:autoSpaceDN w:val="0"/>
        <w:spacing w:after="0" w:line="240" w:lineRule="auto"/>
        <w:jc w:val="both"/>
        <w:textAlignment w:val="baseline"/>
        <w:rPr>
          <w:rFonts w:eastAsia="Times New Roman" w:cs="Arial"/>
          <w:sz w:val="21"/>
          <w:szCs w:val="21"/>
          <w:lang w:val="fr-FR"/>
        </w:rPr>
      </w:pPr>
    </w:p>
    <w:p w14:paraId="6698EBE0" w14:textId="77777777" w:rsidR="007E2CB6" w:rsidRDefault="007E2CB6">
      <w:pPr>
        <w:widowControl w:val="0"/>
        <w:suppressAutoHyphens/>
        <w:autoSpaceDE w:val="0"/>
        <w:autoSpaceDN w:val="0"/>
        <w:spacing w:after="0" w:line="240" w:lineRule="auto"/>
        <w:jc w:val="both"/>
        <w:textAlignment w:val="baseline"/>
        <w:rPr>
          <w:rFonts w:eastAsia="Times New Roman" w:cs="Arial"/>
          <w:sz w:val="21"/>
          <w:szCs w:val="21"/>
          <w:lang w:val="fr-FR"/>
        </w:rPr>
      </w:pPr>
    </w:p>
    <w:p w14:paraId="139DD53B" w14:textId="77777777" w:rsidR="007E2CB6" w:rsidRDefault="007E2CB6">
      <w:pPr>
        <w:widowControl w:val="0"/>
        <w:suppressAutoHyphens/>
        <w:autoSpaceDE w:val="0"/>
        <w:autoSpaceDN w:val="0"/>
        <w:spacing w:after="0" w:line="240" w:lineRule="auto"/>
        <w:jc w:val="both"/>
        <w:textAlignment w:val="baseline"/>
        <w:rPr>
          <w:rFonts w:eastAsia="Times New Roman" w:cs="Arial"/>
          <w:sz w:val="21"/>
          <w:szCs w:val="21"/>
          <w:lang w:val="fr-FR"/>
        </w:rPr>
      </w:pPr>
    </w:p>
    <w:p w14:paraId="2909FEA5" w14:textId="77777777" w:rsidR="007E2CB6" w:rsidRDefault="007E2CB6">
      <w:pPr>
        <w:widowControl w:val="0"/>
        <w:suppressAutoHyphens/>
        <w:autoSpaceDE w:val="0"/>
        <w:autoSpaceDN w:val="0"/>
        <w:spacing w:after="0" w:line="240" w:lineRule="auto"/>
        <w:jc w:val="both"/>
        <w:textAlignment w:val="baseline"/>
        <w:rPr>
          <w:rFonts w:eastAsia="Times New Roman" w:cs="Arial"/>
          <w:sz w:val="21"/>
          <w:szCs w:val="21"/>
          <w:lang w:val="fr-FR"/>
        </w:rPr>
      </w:pPr>
    </w:p>
    <w:p w14:paraId="7F7ABAFB" w14:textId="77777777" w:rsidR="007E2CB6" w:rsidRDefault="007E2CB6">
      <w:pPr>
        <w:widowControl w:val="0"/>
        <w:suppressAutoHyphens/>
        <w:autoSpaceDE w:val="0"/>
        <w:autoSpaceDN w:val="0"/>
        <w:spacing w:after="0" w:line="240" w:lineRule="auto"/>
        <w:jc w:val="both"/>
        <w:textAlignment w:val="baseline"/>
        <w:rPr>
          <w:rFonts w:eastAsia="Times New Roman" w:cs="Arial"/>
          <w:sz w:val="21"/>
          <w:szCs w:val="21"/>
          <w:lang w:val="fr-FR"/>
        </w:rPr>
      </w:pPr>
    </w:p>
    <w:p w14:paraId="2264347C" w14:textId="77777777" w:rsidR="007E2CB6" w:rsidRDefault="007E2CB6">
      <w:pPr>
        <w:widowControl w:val="0"/>
        <w:suppressAutoHyphens/>
        <w:autoSpaceDE w:val="0"/>
        <w:autoSpaceDN w:val="0"/>
        <w:spacing w:after="0" w:line="240" w:lineRule="auto"/>
        <w:jc w:val="both"/>
        <w:textAlignment w:val="baseline"/>
        <w:rPr>
          <w:rFonts w:eastAsia="Times New Roman" w:cs="Arial"/>
          <w:sz w:val="21"/>
          <w:szCs w:val="21"/>
          <w:lang w:val="fr-FR"/>
        </w:rPr>
      </w:pPr>
    </w:p>
    <w:p w14:paraId="793E31EA" w14:textId="77777777" w:rsidR="007E2CB6" w:rsidRDefault="007E2CB6">
      <w:pPr>
        <w:widowControl w:val="0"/>
        <w:suppressAutoHyphens/>
        <w:autoSpaceDE w:val="0"/>
        <w:autoSpaceDN w:val="0"/>
        <w:spacing w:after="0" w:line="240" w:lineRule="auto"/>
        <w:jc w:val="both"/>
        <w:textAlignment w:val="baseline"/>
        <w:rPr>
          <w:rFonts w:eastAsia="Times New Roman" w:cs="Arial"/>
          <w:sz w:val="21"/>
          <w:szCs w:val="21"/>
          <w:lang w:val="fr-FR"/>
        </w:rPr>
      </w:pPr>
    </w:p>
    <w:p w14:paraId="620DD90A" w14:textId="77777777" w:rsidR="007E2CB6" w:rsidRDefault="007E2CB6">
      <w:pPr>
        <w:widowControl w:val="0"/>
        <w:suppressAutoHyphens/>
        <w:autoSpaceDE w:val="0"/>
        <w:autoSpaceDN w:val="0"/>
        <w:spacing w:after="0" w:line="240" w:lineRule="auto"/>
        <w:jc w:val="both"/>
        <w:textAlignment w:val="baseline"/>
        <w:rPr>
          <w:rFonts w:eastAsia="Times New Roman" w:cs="Arial"/>
          <w:sz w:val="21"/>
          <w:szCs w:val="21"/>
          <w:lang w:val="fr-FR"/>
        </w:rPr>
      </w:pPr>
    </w:p>
    <w:p w14:paraId="484C385D" w14:textId="77777777" w:rsidR="007E2CB6" w:rsidRDefault="007E2CB6">
      <w:pPr>
        <w:widowControl w:val="0"/>
        <w:suppressAutoHyphens/>
        <w:autoSpaceDE w:val="0"/>
        <w:autoSpaceDN w:val="0"/>
        <w:spacing w:after="0" w:line="240" w:lineRule="auto"/>
        <w:jc w:val="both"/>
        <w:textAlignment w:val="baseline"/>
        <w:rPr>
          <w:rFonts w:eastAsia="Times New Roman" w:cs="Arial"/>
          <w:sz w:val="21"/>
          <w:szCs w:val="21"/>
          <w:lang w:val="fr-FR"/>
        </w:rPr>
      </w:pPr>
    </w:p>
    <w:p w14:paraId="2F1B188F" w14:textId="77777777" w:rsidR="007E2CB6" w:rsidRDefault="007E2CB6">
      <w:pPr>
        <w:widowControl w:val="0"/>
        <w:suppressAutoHyphens/>
        <w:autoSpaceDE w:val="0"/>
        <w:autoSpaceDN w:val="0"/>
        <w:spacing w:after="0" w:line="240" w:lineRule="auto"/>
        <w:jc w:val="both"/>
        <w:textAlignment w:val="baseline"/>
        <w:rPr>
          <w:rFonts w:eastAsia="Times New Roman" w:cs="Arial"/>
          <w:sz w:val="21"/>
          <w:szCs w:val="21"/>
          <w:lang w:val="fr-FR"/>
        </w:rPr>
      </w:pPr>
    </w:p>
    <w:p w14:paraId="3D89F872" w14:textId="77777777" w:rsidR="007E2CB6" w:rsidRDefault="007E2CB6">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fr-FR"/>
        </w:rPr>
      </w:pPr>
    </w:p>
    <w:p w14:paraId="710D06BA" w14:textId="77777777" w:rsidR="007E2CB6" w:rsidRDefault="007E2CB6">
      <w:pPr>
        <w:widowControl w:val="0"/>
        <w:suppressAutoHyphens/>
        <w:autoSpaceDE w:val="0"/>
        <w:autoSpaceDN w:val="0"/>
        <w:spacing w:after="0" w:line="240" w:lineRule="auto"/>
        <w:jc w:val="both"/>
        <w:textAlignment w:val="baseline"/>
        <w:rPr>
          <w:rFonts w:eastAsia="Times New Roman" w:cs="Arial"/>
          <w:lang w:val="fr-FR"/>
        </w:rPr>
      </w:pPr>
    </w:p>
    <w:p w14:paraId="1BC7FB31" w14:textId="77777777" w:rsidR="007E2CB6" w:rsidRDefault="007E2CB6">
      <w:pPr>
        <w:spacing w:after="0" w:line="240" w:lineRule="auto"/>
        <w:jc w:val="both"/>
        <w:rPr>
          <w:lang w:val="fr-FR"/>
        </w:rPr>
      </w:pPr>
    </w:p>
    <w:p w14:paraId="61FC56BF" w14:textId="77777777" w:rsidR="007E2CB6" w:rsidRDefault="0057004D">
      <w:pPr>
        <w:jc w:val="both"/>
        <w:rPr>
          <w:lang w:val="fr-FR"/>
        </w:rPr>
      </w:pPr>
      <w:r>
        <w:rPr>
          <w:lang w:val="fr-FR"/>
        </w:rPr>
        <w:br w:type="page"/>
      </w:r>
    </w:p>
    <w:p w14:paraId="2898D653" w14:textId="77777777" w:rsidR="007E2CB6" w:rsidRDefault="0057004D">
      <w:pPr>
        <w:widowControl w:val="0"/>
        <w:suppressAutoHyphens/>
        <w:autoSpaceDE w:val="0"/>
        <w:autoSpaceDN w:val="0"/>
        <w:spacing w:after="0" w:line="240" w:lineRule="auto"/>
        <w:jc w:val="center"/>
        <w:textAlignment w:val="baseline"/>
        <w:rPr>
          <w:rFonts w:eastAsia="Times New Roman" w:cs="Arial"/>
          <w:b/>
          <w:bCs/>
          <w:lang w:val="fr-FR"/>
        </w:rPr>
      </w:pPr>
      <w:r>
        <w:rPr>
          <w:rFonts w:eastAsia="Times New Roman" w:cs="Arial"/>
          <w:b/>
          <w:bCs/>
          <w:lang w:val="fr-FR"/>
        </w:rPr>
        <w:lastRenderedPageBreak/>
        <w:t>COMMUNAUTÉS ET MOYENS D’EXISTENCE</w:t>
      </w:r>
    </w:p>
    <w:p w14:paraId="0A62E813" w14:textId="77777777" w:rsidR="007E2CB6" w:rsidRDefault="007E2CB6">
      <w:pPr>
        <w:pStyle w:val="Heading2"/>
        <w:keepNext w:val="0"/>
        <w:ind w:right="-367"/>
        <w:jc w:val="both"/>
        <w:rPr>
          <w:rFonts w:ascii="Arial" w:hAnsi="Arial" w:cs="Arial"/>
          <w:caps/>
          <w:sz w:val="22"/>
          <w:szCs w:val="22"/>
          <w:lang w:val="fr-FR"/>
        </w:rPr>
      </w:pPr>
    </w:p>
    <w:p w14:paraId="0F6DE40B" w14:textId="77777777" w:rsidR="007E2CB6" w:rsidRDefault="007E2CB6">
      <w:pPr>
        <w:spacing w:after="0" w:line="240" w:lineRule="auto"/>
        <w:rPr>
          <w:lang w:val="fr-FR"/>
        </w:rPr>
      </w:pPr>
    </w:p>
    <w:p w14:paraId="05D223E3" w14:textId="77777777" w:rsidR="007E2CB6" w:rsidRDefault="0057004D">
      <w:pPr>
        <w:suppressAutoHyphens/>
        <w:autoSpaceDN w:val="0"/>
        <w:spacing w:after="0" w:line="240" w:lineRule="auto"/>
        <w:jc w:val="both"/>
        <w:textAlignment w:val="baseline"/>
        <w:rPr>
          <w:rFonts w:eastAsia="Calibri" w:cs="Arial"/>
          <w:u w:val="single"/>
          <w:lang w:val="fr-FR"/>
        </w:rPr>
      </w:pPr>
      <w:r>
        <w:rPr>
          <w:rFonts w:eastAsia="Calibri" w:cs="Arial"/>
          <w:u w:val="single"/>
          <w:lang w:val="fr-FR"/>
        </w:rPr>
        <w:t>Contexte général</w:t>
      </w:r>
    </w:p>
    <w:p w14:paraId="69B75D2E" w14:textId="77777777" w:rsidR="007E2CB6" w:rsidRDefault="007E2CB6">
      <w:pPr>
        <w:widowControl w:val="0"/>
        <w:autoSpaceDE w:val="0"/>
        <w:autoSpaceDN w:val="0"/>
        <w:adjustRightInd w:val="0"/>
        <w:spacing w:after="0" w:line="240" w:lineRule="auto"/>
        <w:jc w:val="both"/>
        <w:rPr>
          <w:rFonts w:cs="Arial"/>
          <w:lang w:val="fr-FR"/>
        </w:rPr>
      </w:pPr>
    </w:p>
    <w:p w14:paraId="3A7EA3E0" w14:textId="00137F06" w:rsidR="007E2CB6" w:rsidRDefault="0057004D" w:rsidP="003223AC">
      <w:pPr>
        <w:pStyle w:val="ListParagraph"/>
        <w:widowControl w:val="0"/>
        <w:numPr>
          <w:ilvl w:val="0"/>
          <w:numId w:val="16"/>
        </w:numPr>
        <w:suppressAutoHyphens/>
        <w:spacing w:after="120" w:line="240" w:lineRule="auto"/>
        <w:ind w:left="567" w:hanging="567"/>
        <w:contextualSpacing w:val="0"/>
        <w:jc w:val="both"/>
        <w:rPr>
          <w:rFonts w:eastAsia="Times New Roman" w:cs="Arial"/>
          <w:snapToGrid w:val="0"/>
          <w:color w:val="000000"/>
          <w:kern w:val="2"/>
          <w:lang w:val="fr-FR"/>
        </w:rPr>
      </w:pPr>
      <w:r>
        <w:rPr>
          <w:rFonts w:cs="Arial"/>
          <w:lang w:val="fr-FR"/>
        </w:rPr>
        <w:t>Lors de sa 14</w:t>
      </w:r>
      <w:r>
        <w:rPr>
          <w:rFonts w:cs="Arial"/>
          <w:vertAlign w:val="superscript"/>
          <w:lang w:val="fr-FR"/>
        </w:rPr>
        <w:t>e</w:t>
      </w:r>
      <w:r>
        <w:rPr>
          <w:rFonts w:cs="Arial"/>
          <w:lang w:val="fr-FR"/>
        </w:rPr>
        <w:t xml:space="preserve"> réunion, la </w:t>
      </w:r>
      <w:r>
        <w:rPr>
          <w:rFonts w:eastAsia="Times New Roman" w:cs="Arial"/>
          <w:snapToGrid w:val="0"/>
          <w:color w:val="000000"/>
          <w:kern w:val="2"/>
          <w:lang w:val="fr-FR"/>
        </w:rPr>
        <w:t xml:space="preserve">Conférence des Parties (COP14) a adopté la </w:t>
      </w:r>
      <w:hyperlink r:id="rId12" w:history="1">
        <w:r>
          <w:rPr>
            <w:rStyle w:val="Hyperlink"/>
            <w:rFonts w:eastAsia="Times New Roman" w:cs="Arial"/>
            <w:snapToGrid w:val="0"/>
            <w:kern w:val="2"/>
            <w:lang w:val="fr-FR"/>
          </w:rPr>
          <w:t xml:space="preserve">Résolution 14.17 sur la participation </w:t>
        </w:r>
        <w:r w:rsidR="001A2119">
          <w:rPr>
            <w:rStyle w:val="Hyperlink"/>
            <w:rFonts w:eastAsia="Times New Roman" w:cs="Arial"/>
            <w:snapToGrid w:val="0"/>
            <w:kern w:val="2"/>
            <w:lang w:val="fr-FR"/>
          </w:rPr>
          <w:t>des communautés</w:t>
        </w:r>
        <w:r>
          <w:rPr>
            <w:rStyle w:val="Hyperlink"/>
            <w:rFonts w:eastAsia="Times New Roman" w:cs="Arial"/>
            <w:snapToGrid w:val="0"/>
            <w:kern w:val="2"/>
            <w:lang w:val="fr-FR"/>
          </w:rPr>
          <w:t xml:space="preserve"> et les moyens d’existence</w:t>
        </w:r>
      </w:hyperlink>
      <w:r>
        <w:rPr>
          <w:rFonts w:eastAsia="Times New Roman" w:cs="Arial"/>
          <w:snapToGrid w:val="0"/>
          <w:color w:val="000000"/>
          <w:kern w:val="2"/>
          <w:lang w:val="fr-FR"/>
        </w:rPr>
        <w:t xml:space="preserve">, incluant dix principes directeurs visant à soutenir les efforts de conservation menés par les communautés pour les espèces migratrices le long de leurs voies de migration. La COP14 a également adopté la Décision 14.200 demandant au Secrétariat de : </w:t>
      </w:r>
    </w:p>
    <w:p w14:paraId="27618D03" w14:textId="1B00B472" w:rsidR="007E2CB6" w:rsidRPr="00716887" w:rsidRDefault="003235AF">
      <w:pPr>
        <w:widowControl w:val="0"/>
        <w:numPr>
          <w:ilvl w:val="1"/>
          <w:numId w:val="17"/>
        </w:numPr>
        <w:suppressAutoHyphens/>
        <w:spacing w:after="120" w:line="240" w:lineRule="auto"/>
        <w:ind w:left="1276" w:right="95" w:hanging="425"/>
        <w:jc w:val="both"/>
        <w:rPr>
          <w:rFonts w:eastAsia="Times New Roman" w:cs="Arial"/>
          <w:i/>
          <w:iCs/>
          <w:snapToGrid w:val="0"/>
          <w:color w:val="000000"/>
          <w:kern w:val="2"/>
          <w:lang w:val="fr-FR"/>
        </w:rPr>
      </w:pPr>
      <w:r w:rsidRPr="00716887">
        <w:rPr>
          <w:rFonts w:eastAsia="Times New Roman" w:cs="Arial"/>
          <w:i/>
          <w:iCs/>
          <w:snapToGrid w:val="0"/>
          <w:color w:val="000000"/>
          <w:kern w:val="2"/>
          <w:lang w:val="fr-FR"/>
        </w:rPr>
        <w:t>publier les études de cas figurant dans la section 10 du document UNEP/CMS/COP14/Inf.30.2.3 sur le site Web de la CMS ; et</w:t>
      </w:r>
      <w:r w:rsidR="0057004D" w:rsidRPr="00716887">
        <w:rPr>
          <w:rFonts w:eastAsia="Times New Roman" w:cs="Arial"/>
          <w:i/>
          <w:iCs/>
          <w:snapToGrid w:val="0"/>
          <w:color w:val="000000"/>
          <w:kern w:val="2"/>
          <w:lang w:val="fr-FR"/>
        </w:rPr>
        <w:t xml:space="preserve"> </w:t>
      </w:r>
    </w:p>
    <w:p w14:paraId="08717601" w14:textId="1B1FA77E" w:rsidR="007E2CB6" w:rsidRPr="00716887" w:rsidRDefault="00DF5D70" w:rsidP="00DF5D70">
      <w:pPr>
        <w:pStyle w:val="ListParagraph"/>
        <w:spacing w:after="0" w:line="240" w:lineRule="auto"/>
        <w:ind w:left="1276" w:hanging="425"/>
        <w:jc w:val="both"/>
        <w:rPr>
          <w:rFonts w:eastAsia="Times New Roman" w:cs="Arial"/>
          <w:i/>
          <w:iCs/>
          <w:snapToGrid w:val="0"/>
          <w:color w:val="000000"/>
          <w:kern w:val="2"/>
          <w:lang w:val="fr-FR"/>
        </w:rPr>
      </w:pPr>
      <w:r w:rsidRPr="00716887">
        <w:rPr>
          <w:rFonts w:eastAsia="Times New Roman" w:cs="Arial"/>
          <w:i/>
          <w:iCs/>
          <w:snapToGrid w:val="0"/>
          <w:color w:val="000000"/>
          <w:kern w:val="2"/>
          <w:lang w:val="fr-FR"/>
        </w:rPr>
        <w:t>b)</w:t>
      </w:r>
      <w:r w:rsidR="00716887" w:rsidRPr="00716887">
        <w:rPr>
          <w:rFonts w:eastAsia="Times New Roman" w:cs="Arial"/>
          <w:i/>
          <w:iCs/>
          <w:snapToGrid w:val="0"/>
          <w:color w:val="000000"/>
          <w:kern w:val="2"/>
          <w:lang w:val="fr-FR"/>
        </w:rPr>
        <w:tab/>
      </w:r>
      <w:r w:rsidRPr="00716887">
        <w:rPr>
          <w:rFonts w:eastAsia="Times New Roman" w:cs="Arial"/>
          <w:i/>
          <w:iCs/>
          <w:snapToGrid w:val="0"/>
          <w:color w:val="000000"/>
          <w:kern w:val="2"/>
          <w:lang w:val="fr-FR"/>
        </w:rPr>
        <w:t>rendre compte au Comité permanent au cours de sa 56e ou 57e réunion des progrès accomplis dans la mise en œuvre de la présente Décision.</w:t>
      </w:r>
    </w:p>
    <w:p w14:paraId="56D4530D" w14:textId="77777777" w:rsidR="00DF5D70" w:rsidRPr="00DF5D70" w:rsidRDefault="00DF5D70">
      <w:pPr>
        <w:pStyle w:val="ListParagraph"/>
        <w:spacing w:after="0" w:line="240" w:lineRule="auto"/>
        <w:ind w:left="426"/>
        <w:jc w:val="both"/>
        <w:rPr>
          <w:lang w:val="fr-FR"/>
        </w:rPr>
      </w:pPr>
    </w:p>
    <w:p w14:paraId="03C8B54C" w14:textId="77777777" w:rsidR="007E2CB6" w:rsidRDefault="0057004D" w:rsidP="00B26D15">
      <w:pPr>
        <w:pStyle w:val="ListParagraph"/>
        <w:numPr>
          <w:ilvl w:val="0"/>
          <w:numId w:val="16"/>
        </w:numPr>
        <w:spacing w:after="0" w:line="240" w:lineRule="auto"/>
        <w:ind w:left="567" w:hanging="567"/>
        <w:jc w:val="both"/>
        <w:rPr>
          <w:lang w:val="fr-FR"/>
        </w:rPr>
      </w:pPr>
      <w:r>
        <w:rPr>
          <w:lang w:val="fr-FR"/>
        </w:rPr>
        <w:t xml:space="preserve">Dans le cadre de son mandat en vertu de la Décision 14.170 </w:t>
      </w:r>
      <w:r>
        <w:rPr>
          <w:i/>
          <w:iCs/>
          <w:lang w:val="fr-FR"/>
        </w:rPr>
        <w:t xml:space="preserve">Initiative pour les mammifères d’Asie centrale (CAMI), </w:t>
      </w:r>
      <w:r>
        <w:rPr>
          <w:lang w:val="fr-FR"/>
        </w:rPr>
        <w:t xml:space="preserve">le Secrétariat a publié l’étude </w:t>
      </w:r>
      <w:hyperlink r:id="rId13" w:history="1">
        <w:proofErr w:type="spellStart"/>
        <w:r>
          <w:rPr>
            <w:rStyle w:val="Hyperlink"/>
            <w:i/>
            <w:iCs/>
            <w:lang w:val="fr-FR"/>
          </w:rPr>
          <w:t>Potential</w:t>
        </w:r>
        <w:proofErr w:type="spellEnd"/>
        <w:r>
          <w:rPr>
            <w:rStyle w:val="Hyperlink"/>
            <w:i/>
            <w:iCs/>
            <w:lang w:val="fr-FR"/>
          </w:rPr>
          <w:t xml:space="preserve"> for Community-</w:t>
        </w:r>
        <w:proofErr w:type="spellStart"/>
        <w:r>
          <w:rPr>
            <w:rStyle w:val="Hyperlink"/>
            <w:i/>
            <w:iCs/>
            <w:lang w:val="fr-FR"/>
          </w:rPr>
          <w:t>based</w:t>
        </w:r>
        <w:proofErr w:type="spellEnd"/>
        <w:r>
          <w:rPr>
            <w:rStyle w:val="Hyperlink"/>
            <w:i/>
            <w:iCs/>
            <w:lang w:val="fr-FR"/>
          </w:rPr>
          <w:t xml:space="preserve"> </w:t>
        </w:r>
        <w:proofErr w:type="spellStart"/>
        <w:r>
          <w:rPr>
            <w:rStyle w:val="Hyperlink"/>
            <w:i/>
            <w:iCs/>
            <w:lang w:val="fr-FR"/>
          </w:rPr>
          <w:t>Wildlife</w:t>
        </w:r>
        <w:proofErr w:type="spellEnd"/>
        <w:r>
          <w:rPr>
            <w:rStyle w:val="Hyperlink"/>
            <w:i/>
            <w:iCs/>
            <w:lang w:val="fr-FR"/>
          </w:rPr>
          <w:t xml:space="preserve"> Management in Central Asia (Potentiel de gestion communautaire de la faune sauvage pour les espèces CAMI)</w:t>
        </w:r>
      </w:hyperlink>
      <w:r>
        <w:rPr>
          <w:lang w:val="fr-FR"/>
        </w:rPr>
        <w:t xml:space="preserve">, également incluse dans le document d’information Inf.27.3. Cette étude présente l’historique des approches de conservation communautaires pour l’antilope </w:t>
      </w:r>
      <w:proofErr w:type="spellStart"/>
      <w:r>
        <w:rPr>
          <w:lang w:val="fr-FR"/>
        </w:rPr>
        <w:t>saїga</w:t>
      </w:r>
      <w:proofErr w:type="spellEnd"/>
      <w:r>
        <w:rPr>
          <w:lang w:val="fr-FR"/>
        </w:rPr>
        <w:t xml:space="preserve">, le mouflon d’Asie, la panthère des neiges et le cerf de Boukhara ainsi que des recommandations supplémentaires en la matière. </w:t>
      </w:r>
    </w:p>
    <w:p w14:paraId="45DFC92D" w14:textId="77777777" w:rsidR="007E2CB6" w:rsidRDefault="007E2CB6">
      <w:pPr>
        <w:widowControl w:val="0"/>
        <w:autoSpaceDE w:val="0"/>
        <w:autoSpaceDN w:val="0"/>
        <w:adjustRightInd w:val="0"/>
        <w:spacing w:after="0" w:line="240" w:lineRule="auto"/>
        <w:contextualSpacing/>
        <w:jc w:val="both"/>
        <w:rPr>
          <w:rFonts w:cs="Arial"/>
          <w:u w:val="single"/>
          <w:lang w:val="fr-FR"/>
        </w:rPr>
      </w:pPr>
    </w:p>
    <w:p w14:paraId="35358F67" w14:textId="77777777" w:rsidR="007E2CB6" w:rsidRDefault="0057004D">
      <w:pPr>
        <w:widowControl w:val="0"/>
        <w:autoSpaceDE w:val="0"/>
        <w:autoSpaceDN w:val="0"/>
        <w:adjustRightInd w:val="0"/>
        <w:spacing w:after="0" w:line="240" w:lineRule="auto"/>
        <w:contextualSpacing/>
        <w:jc w:val="both"/>
        <w:rPr>
          <w:rFonts w:cs="Arial"/>
          <w:lang w:val="fr-FR"/>
        </w:rPr>
      </w:pPr>
      <w:r>
        <w:rPr>
          <w:rFonts w:cs="Arial"/>
          <w:u w:val="single"/>
          <w:lang w:val="fr-FR"/>
        </w:rPr>
        <w:t>Activités du Secrétariat (Décision 14.200)</w:t>
      </w:r>
    </w:p>
    <w:p w14:paraId="62CB23E7" w14:textId="77777777" w:rsidR="007E2CB6" w:rsidRDefault="007E2CB6">
      <w:pPr>
        <w:widowControl w:val="0"/>
        <w:autoSpaceDE w:val="0"/>
        <w:autoSpaceDN w:val="0"/>
        <w:adjustRightInd w:val="0"/>
        <w:spacing w:after="0" w:line="240" w:lineRule="auto"/>
        <w:jc w:val="both"/>
        <w:rPr>
          <w:rFonts w:cs="Arial"/>
          <w:u w:val="single"/>
          <w:lang w:val="fr-FR"/>
        </w:rPr>
      </w:pPr>
    </w:p>
    <w:p w14:paraId="262D4BAE" w14:textId="4481D1E2" w:rsidR="007E2CB6" w:rsidRDefault="0057004D" w:rsidP="00B26D15">
      <w:pPr>
        <w:widowControl w:val="0"/>
        <w:numPr>
          <w:ilvl w:val="0"/>
          <w:numId w:val="16"/>
        </w:numPr>
        <w:autoSpaceDE w:val="0"/>
        <w:autoSpaceDN w:val="0"/>
        <w:adjustRightInd w:val="0"/>
        <w:spacing w:after="0" w:line="240" w:lineRule="auto"/>
        <w:ind w:left="567" w:hanging="567"/>
        <w:contextualSpacing/>
        <w:jc w:val="both"/>
        <w:rPr>
          <w:rFonts w:cs="Arial"/>
          <w:lang w:val="fr-FR"/>
        </w:rPr>
      </w:pPr>
      <w:r>
        <w:rPr>
          <w:rFonts w:cs="Arial"/>
          <w:lang w:val="fr-FR"/>
        </w:rPr>
        <w:t xml:space="preserve">Conformément à la décision susmentionnée, le Secrétariat a créé une nouvelle page Web, accessible par un nouvel onglet sous « Topics » – </w:t>
      </w:r>
      <w:hyperlink r:id="rId14" w:history="1">
        <w:r>
          <w:rPr>
            <w:rStyle w:val="Hyperlink"/>
            <w:rFonts w:cs="Arial"/>
            <w:lang w:val="fr-FR"/>
          </w:rPr>
          <w:t>Participation communautaire et moyens d’existence | CMS</w:t>
        </w:r>
      </w:hyperlink>
      <w:r>
        <w:rPr>
          <w:rFonts w:cs="Arial"/>
          <w:lang w:val="fr-FR"/>
        </w:rPr>
        <w:t xml:space="preserve"> – afin de donner plus de visibilité aux dix principes clés de l’engagement communautaire, ainsi qu’aux études de cas contenues dans la Section 10 du document UNEP/CMS/COP14/Inf.30.2.3. Il a rendu compte de cette action au Comité permanent dans le document </w:t>
      </w:r>
      <w:bookmarkStart w:id="0" w:name="OLE_LINK1"/>
      <w:r>
        <w:rPr>
          <w:rFonts w:cs="Arial"/>
          <w:lang w:val="fr-FR"/>
        </w:rPr>
        <w:fldChar w:fldCharType="begin"/>
      </w:r>
      <w:r w:rsidR="00F67FBE">
        <w:rPr>
          <w:rFonts w:cs="Arial"/>
          <w:lang w:val="fr-FR"/>
        </w:rPr>
        <w:instrText>HYPERLINK "https://www.cms.int/sites/default/files/document/cms_stc56_doc.22_communities-and-livelihoods_f.pdf"</w:instrText>
      </w:r>
      <w:r>
        <w:rPr>
          <w:rFonts w:cs="Arial"/>
          <w:lang w:val="fr-FR"/>
        </w:rPr>
      </w:r>
      <w:r>
        <w:rPr>
          <w:rFonts w:cs="Arial"/>
          <w:lang w:val="fr-FR"/>
        </w:rPr>
        <w:fldChar w:fldCharType="separate"/>
      </w:r>
      <w:r>
        <w:rPr>
          <w:rStyle w:val="Hyperlink"/>
          <w:rFonts w:cs="Arial"/>
          <w:lang w:val="fr-FR"/>
        </w:rPr>
        <w:t>UNEP/CMS/StC56/Doc.22</w:t>
      </w:r>
      <w:bookmarkEnd w:id="0"/>
      <w:r>
        <w:rPr>
          <w:rFonts w:cs="Arial"/>
          <w:lang w:val="fr-FR"/>
        </w:rPr>
        <w:fldChar w:fldCharType="end"/>
      </w:r>
      <w:r>
        <w:rPr>
          <w:rFonts w:cs="Arial"/>
          <w:lang w:val="fr-FR"/>
        </w:rPr>
        <w:t xml:space="preserve">. </w:t>
      </w:r>
    </w:p>
    <w:p w14:paraId="32BD283B" w14:textId="77777777" w:rsidR="007E2CB6" w:rsidRDefault="007E2CB6">
      <w:pPr>
        <w:widowControl w:val="0"/>
        <w:autoSpaceDE w:val="0"/>
        <w:autoSpaceDN w:val="0"/>
        <w:adjustRightInd w:val="0"/>
        <w:spacing w:after="0" w:line="240" w:lineRule="auto"/>
        <w:ind w:left="426" w:hanging="426"/>
        <w:contextualSpacing/>
        <w:jc w:val="both"/>
        <w:rPr>
          <w:rFonts w:cs="Arial"/>
          <w:lang w:val="fr-FR"/>
        </w:rPr>
      </w:pPr>
    </w:p>
    <w:p w14:paraId="1DBD26FE" w14:textId="77777777" w:rsidR="007E2CB6" w:rsidRDefault="0057004D">
      <w:pPr>
        <w:widowControl w:val="0"/>
        <w:autoSpaceDE w:val="0"/>
        <w:autoSpaceDN w:val="0"/>
        <w:adjustRightInd w:val="0"/>
        <w:spacing w:after="0" w:line="240" w:lineRule="auto"/>
        <w:ind w:left="426" w:hanging="426"/>
        <w:contextualSpacing/>
        <w:jc w:val="both"/>
        <w:rPr>
          <w:rFonts w:cs="Arial"/>
          <w:lang w:val="fr-FR"/>
        </w:rPr>
      </w:pPr>
      <w:r>
        <w:rPr>
          <w:rFonts w:cs="Arial"/>
          <w:noProof/>
          <w:lang w:val="fr-FR"/>
        </w:rPr>
        <w:drawing>
          <wp:inline distT="0" distB="0" distL="0" distR="0" wp14:anchorId="29B8DFC5" wp14:editId="346D5C43">
            <wp:extent cx="6120130" cy="1051560"/>
            <wp:effectExtent l="0" t="0" r="0" b="0"/>
            <wp:docPr id="1871333587" name="Picture 1" descr="A close-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333587" name="Picture 1" descr="A close-up of a computer screen&#10;&#10;Description automatically generated"/>
                    <pic:cNvPicPr/>
                  </pic:nvPicPr>
                  <pic:blipFill>
                    <a:blip r:embed="rId15"/>
                    <a:stretch>
                      <a:fillRect/>
                    </a:stretch>
                  </pic:blipFill>
                  <pic:spPr>
                    <a:xfrm>
                      <a:off x="0" y="0"/>
                      <a:ext cx="6120130" cy="1051560"/>
                    </a:xfrm>
                    <a:prstGeom prst="rect">
                      <a:avLst/>
                    </a:prstGeom>
                  </pic:spPr>
                </pic:pic>
              </a:graphicData>
            </a:graphic>
          </wp:inline>
        </w:drawing>
      </w:r>
    </w:p>
    <w:p w14:paraId="7C8DA3A7" w14:textId="77777777" w:rsidR="007E2CB6" w:rsidRDefault="007E2CB6">
      <w:pPr>
        <w:widowControl w:val="0"/>
        <w:autoSpaceDE w:val="0"/>
        <w:autoSpaceDN w:val="0"/>
        <w:adjustRightInd w:val="0"/>
        <w:spacing w:after="0" w:line="240" w:lineRule="auto"/>
        <w:ind w:left="426" w:hanging="426"/>
        <w:contextualSpacing/>
        <w:jc w:val="both"/>
        <w:rPr>
          <w:rFonts w:cs="Arial"/>
          <w:lang w:val="fr-FR"/>
        </w:rPr>
      </w:pPr>
    </w:p>
    <w:p w14:paraId="60CC4583" w14:textId="77777777" w:rsidR="007E2CB6" w:rsidRDefault="0057004D" w:rsidP="00B26D15">
      <w:pPr>
        <w:widowControl w:val="0"/>
        <w:numPr>
          <w:ilvl w:val="0"/>
          <w:numId w:val="16"/>
        </w:numPr>
        <w:autoSpaceDE w:val="0"/>
        <w:autoSpaceDN w:val="0"/>
        <w:adjustRightInd w:val="0"/>
        <w:spacing w:after="0" w:line="240" w:lineRule="auto"/>
        <w:ind w:left="567" w:hanging="567"/>
        <w:contextualSpacing/>
        <w:jc w:val="both"/>
        <w:rPr>
          <w:rFonts w:cs="Arial"/>
          <w:lang w:val="fr-FR"/>
        </w:rPr>
      </w:pPr>
      <w:r>
        <w:rPr>
          <w:rFonts w:cs="Arial"/>
          <w:lang w:val="fr-FR"/>
        </w:rPr>
        <w:t>Il convient de noter que l’étude de cas 65 sur le dugong (</w:t>
      </w:r>
      <w:r>
        <w:rPr>
          <w:rFonts w:cs="Arial"/>
          <w:i/>
          <w:iCs/>
          <w:lang w:val="fr-FR"/>
        </w:rPr>
        <w:t>Dugong dugon</w:t>
      </w:r>
      <w:r>
        <w:rPr>
          <w:rFonts w:cs="Arial"/>
          <w:lang w:val="fr-FR"/>
        </w:rPr>
        <w:t xml:space="preserve">) dans la réserve naturelle chinoise Guangxi </w:t>
      </w:r>
      <w:proofErr w:type="spellStart"/>
      <w:r>
        <w:rPr>
          <w:rFonts w:cs="Arial"/>
          <w:lang w:val="fr-FR"/>
        </w:rPr>
        <w:t>Hepu</w:t>
      </w:r>
      <w:proofErr w:type="spellEnd"/>
      <w:r>
        <w:rPr>
          <w:rFonts w:cs="Arial"/>
          <w:lang w:val="fr-FR"/>
        </w:rPr>
        <w:t xml:space="preserve"> Dugong a été retirée de la liste, car il a été impossible de vérifier le projet. </w:t>
      </w:r>
    </w:p>
    <w:p w14:paraId="17939892" w14:textId="3865C649" w:rsidR="00DE06DC" w:rsidRDefault="00DE06DC">
      <w:pPr>
        <w:widowControl w:val="0"/>
        <w:autoSpaceDE w:val="0"/>
        <w:autoSpaceDN w:val="0"/>
        <w:adjustRightInd w:val="0"/>
        <w:spacing w:after="0" w:line="240" w:lineRule="auto"/>
        <w:ind w:left="426"/>
        <w:contextualSpacing/>
        <w:jc w:val="both"/>
        <w:rPr>
          <w:rFonts w:cs="Arial"/>
          <w:lang w:val="fr-FR"/>
        </w:rPr>
      </w:pPr>
      <w:r>
        <w:rPr>
          <w:rFonts w:cs="Arial"/>
          <w:lang w:val="fr-FR"/>
        </w:rPr>
        <w:br w:type="page"/>
      </w:r>
    </w:p>
    <w:p w14:paraId="1450D4AF" w14:textId="77777777" w:rsidR="007E2CB6" w:rsidRDefault="0057004D">
      <w:pPr>
        <w:spacing w:after="0" w:line="240" w:lineRule="auto"/>
        <w:jc w:val="both"/>
        <w:rPr>
          <w:rFonts w:cs="Arial"/>
          <w:u w:val="single"/>
          <w:lang w:val="fr-FR"/>
        </w:rPr>
      </w:pPr>
      <w:r>
        <w:rPr>
          <w:rFonts w:cs="Arial"/>
          <w:u w:val="single"/>
          <w:lang w:val="fr-FR"/>
        </w:rPr>
        <w:lastRenderedPageBreak/>
        <w:t>Discussion et analyse</w:t>
      </w:r>
    </w:p>
    <w:p w14:paraId="7BFC0786" w14:textId="77777777" w:rsidR="007E2CB6" w:rsidRDefault="007E2CB6">
      <w:pPr>
        <w:widowControl w:val="0"/>
        <w:autoSpaceDE w:val="0"/>
        <w:autoSpaceDN w:val="0"/>
        <w:adjustRightInd w:val="0"/>
        <w:spacing w:after="0" w:line="240" w:lineRule="auto"/>
        <w:jc w:val="both"/>
        <w:rPr>
          <w:rFonts w:cs="Arial"/>
          <w:lang w:val="fr-FR"/>
        </w:rPr>
      </w:pPr>
    </w:p>
    <w:p w14:paraId="0EB9AA9A" w14:textId="77777777" w:rsidR="007E2CB6" w:rsidRDefault="0057004D" w:rsidP="00B26D15">
      <w:pPr>
        <w:numPr>
          <w:ilvl w:val="0"/>
          <w:numId w:val="16"/>
        </w:numPr>
        <w:autoSpaceDE w:val="0"/>
        <w:autoSpaceDN w:val="0"/>
        <w:adjustRightInd w:val="0"/>
        <w:spacing w:after="0" w:line="240" w:lineRule="auto"/>
        <w:ind w:left="567" w:hanging="567"/>
        <w:jc w:val="both"/>
        <w:rPr>
          <w:rFonts w:cs="Arial"/>
          <w:lang w:val="fr-FR"/>
        </w:rPr>
      </w:pPr>
      <w:r>
        <w:rPr>
          <w:rFonts w:cs="Arial"/>
          <w:lang w:val="fr-FR"/>
        </w:rPr>
        <w:t xml:space="preserve">L’adoption des principes directeurs et la publication de l’étude sur les approches communautaires pour les espèces de l’Initiative pour les mammifères d’Asie centrale ont permis d’établir une base théorique solide en vue de faire progresser la conservation des espèces inscrites sur la liste de la CMS grâce à la participation des communautés. Il est donc proposé que les Parties et les communautés, en étroite collaboration avec les partenaires sur le terrain, soient soutenues dans la mise en pratique de cette base théorique. La décision proposée à l’annexe 1 du présent document vise à faciliter cette démarche. </w:t>
      </w:r>
    </w:p>
    <w:p w14:paraId="2D8254D4" w14:textId="77777777" w:rsidR="00DE06DC" w:rsidRDefault="00DE06DC">
      <w:pPr>
        <w:spacing w:after="0" w:line="240" w:lineRule="auto"/>
        <w:jc w:val="both"/>
        <w:rPr>
          <w:rFonts w:cs="Arial"/>
          <w:u w:val="single"/>
          <w:lang w:val="fr-FR"/>
        </w:rPr>
      </w:pPr>
    </w:p>
    <w:p w14:paraId="3D95D56D" w14:textId="105BD18A" w:rsidR="007E2CB6" w:rsidRDefault="0057004D">
      <w:pPr>
        <w:spacing w:after="0" w:line="240" w:lineRule="auto"/>
        <w:jc w:val="both"/>
        <w:rPr>
          <w:rFonts w:cs="Arial"/>
          <w:lang w:val="fr-FR"/>
        </w:rPr>
      </w:pPr>
      <w:r>
        <w:rPr>
          <w:rFonts w:cs="Arial"/>
          <w:u w:val="single"/>
          <w:lang w:val="fr-FR"/>
        </w:rPr>
        <w:t>Actions recommandées</w:t>
      </w:r>
    </w:p>
    <w:p w14:paraId="38298BCB" w14:textId="77777777" w:rsidR="007E2CB6" w:rsidRDefault="007E2CB6">
      <w:pPr>
        <w:spacing w:after="0" w:line="240" w:lineRule="auto"/>
        <w:jc w:val="both"/>
        <w:rPr>
          <w:rFonts w:cs="Arial"/>
          <w:lang w:val="fr-FR"/>
        </w:rPr>
      </w:pPr>
    </w:p>
    <w:p w14:paraId="2CE4B261" w14:textId="77777777" w:rsidR="007E2CB6" w:rsidRDefault="0057004D" w:rsidP="00B26D15">
      <w:pPr>
        <w:widowControl w:val="0"/>
        <w:numPr>
          <w:ilvl w:val="0"/>
          <w:numId w:val="16"/>
        </w:numPr>
        <w:autoSpaceDE w:val="0"/>
        <w:autoSpaceDN w:val="0"/>
        <w:adjustRightInd w:val="0"/>
        <w:spacing w:after="0" w:line="240" w:lineRule="auto"/>
        <w:ind w:left="567" w:hanging="567"/>
        <w:jc w:val="both"/>
        <w:rPr>
          <w:rFonts w:cs="Arial"/>
          <w:lang w:val="fr-FR"/>
        </w:rPr>
      </w:pPr>
      <w:r>
        <w:rPr>
          <w:rFonts w:cs="Arial"/>
          <w:lang w:val="fr-FR" w:eastAsia="en-GB"/>
        </w:rPr>
        <w:t xml:space="preserve">Il est recommandé à la Conférence des Parties </w:t>
      </w:r>
      <w:r>
        <w:rPr>
          <w:rFonts w:cs="Arial"/>
          <w:lang w:val="fr-FR"/>
        </w:rPr>
        <w:t>:</w:t>
      </w:r>
    </w:p>
    <w:p w14:paraId="5C9BFF97" w14:textId="77777777" w:rsidR="007E2CB6" w:rsidRDefault="007E2CB6">
      <w:pPr>
        <w:spacing w:after="0" w:line="240" w:lineRule="auto"/>
        <w:rPr>
          <w:lang w:val="fr-FR"/>
        </w:rPr>
      </w:pPr>
    </w:p>
    <w:p w14:paraId="67A92137" w14:textId="77777777" w:rsidR="007E2CB6" w:rsidRDefault="0057004D" w:rsidP="00695F76">
      <w:pPr>
        <w:pStyle w:val="Secondnumbering"/>
        <w:ind w:left="993" w:hanging="426"/>
        <w:rPr>
          <w:lang w:val="fr-FR"/>
        </w:rPr>
      </w:pPr>
      <w:r>
        <w:rPr>
          <w:lang w:val="fr-FR"/>
        </w:rPr>
        <w:t>d’adopter le projet de décision figurant à l’annexe du présent document ;</w:t>
      </w:r>
    </w:p>
    <w:p w14:paraId="5E6C2142" w14:textId="77777777" w:rsidR="007E2CB6" w:rsidRDefault="007E2CB6" w:rsidP="00695F76">
      <w:pPr>
        <w:spacing w:after="0" w:line="240" w:lineRule="auto"/>
        <w:ind w:left="993"/>
        <w:rPr>
          <w:rFonts w:cs="Arial"/>
          <w:lang w:val="fr-FR"/>
        </w:rPr>
      </w:pPr>
    </w:p>
    <w:p w14:paraId="7544B87D" w14:textId="77777777" w:rsidR="007E2CB6" w:rsidRDefault="0057004D" w:rsidP="00695F76">
      <w:pPr>
        <w:pStyle w:val="Secondnumbering"/>
        <w:ind w:left="993" w:hanging="426"/>
        <w:rPr>
          <w:lang w:val="fr-FR"/>
        </w:rPr>
      </w:pPr>
      <w:r>
        <w:rPr>
          <w:rFonts w:cs="Arial"/>
          <w:lang w:val="fr-FR"/>
        </w:rPr>
        <w:t>de supprimer la Décision 14.200.</w:t>
      </w:r>
    </w:p>
    <w:p w14:paraId="6866999B" w14:textId="77777777" w:rsidR="007E2CB6" w:rsidRDefault="007E2CB6" w:rsidP="00695F76">
      <w:pPr>
        <w:ind w:left="993"/>
        <w:rPr>
          <w:lang w:val="fr-FR"/>
        </w:rPr>
        <w:sectPr w:rsidR="007E2CB6">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20" w:footer="720" w:gutter="0"/>
          <w:cols w:space="720"/>
          <w:titlePg/>
          <w:docGrid w:linePitch="360"/>
        </w:sectPr>
      </w:pPr>
    </w:p>
    <w:p w14:paraId="431FB570" w14:textId="77777777" w:rsidR="007E2CB6" w:rsidRDefault="0057004D">
      <w:pPr>
        <w:spacing w:after="0" w:line="240" w:lineRule="auto"/>
        <w:jc w:val="right"/>
        <w:rPr>
          <w:rFonts w:cs="Arial"/>
          <w:b/>
          <w:bCs/>
          <w:caps/>
          <w:lang w:val="fr-FR"/>
        </w:rPr>
      </w:pPr>
      <w:r>
        <w:rPr>
          <w:rFonts w:cs="Arial"/>
          <w:b/>
          <w:caps/>
          <w:lang w:val="fr-FR"/>
        </w:rPr>
        <w:lastRenderedPageBreak/>
        <w:t>Annexe</w:t>
      </w:r>
    </w:p>
    <w:p w14:paraId="32805345" w14:textId="77777777" w:rsidR="007E2CB6" w:rsidRDefault="007E2CB6">
      <w:pPr>
        <w:spacing w:after="0" w:line="240" w:lineRule="auto"/>
        <w:rPr>
          <w:rFonts w:cs="Arial"/>
          <w:lang w:val="fr-FR"/>
        </w:rPr>
      </w:pPr>
    </w:p>
    <w:p w14:paraId="00073FC8" w14:textId="77777777" w:rsidR="007E2CB6" w:rsidRDefault="007E2CB6">
      <w:pPr>
        <w:spacing w:after="0" w:line="240" w:lineRule="auto"/>
        <w:rPr>
          <w:rFonts w:cs="Arial"/>
          <w:lang w:val="fr-FR"/>
        </w:rPr>
      </w:pPr>
    </w:p>
    <w:p w14:paraId="31269A99" w14:textId="77777777" w:rsidR="007E2CB6" w:rsidRDefault="0057004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lang w:val="fr-FR"/>
        </w:rPr>
      </w:pPr>
      <w:r>
        <w:rPr>
          <w:rFonts w:cs="Arial"/>
          <w:bCs/>
          <w:caps/>
          <w:lang w:val="fr-FR"/>
        </w:rPr>
        <w:t>PROJET DE DÉCISION</w:t>
      </w:r>
    </w:p>
    <w:p w14:paraId="3105A93D" w14:textId="77777777" w:rsidR="007E2CB6" w:rsidRDefault="007E2CB6">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lang w:val="fr-FR"/>
        </w:rPr>
      </w:pPr>
    </w:p>
    <w:p w14:paraId="413A5F7A" w14:textId="77777777" w:rsidR="007E2CB6" w:rsidRDefault="0057004D">
      <w:pPr>
        <w:widowControl w:val="0"/>
        <w:suppressAutoHyphens/>
        <w:autoSpaceDE w:val="0"/>
        <w:autoSpaceDN w:val="0"/>
        <w:spacing w:after="120" w:line="240" w:lineRule="auto"/>
        <w:jc w:val="center"/>
        <w:textAlignment w:val="baseline"/>
        <w:rPr>
          <w:rFonts w:eastAsia="Times New Roman" w:cs="Arial"/>
          <w:b/>
          <w:bCs/>
          <w:lang w:val="fr-FR"/>
        </w:rPr>
      </w:pPr>
      <w:r>
        <w:rPr>
          <w:rFonts w:eastAsia="Times New Roman" w:cs="Arial"/>
          <w:b/>
          <w:bCs/>
          <w:lang w:val="fr-FR"/>
        </w:rPr>
        <w:t>COMMUNAUTÉS ET MOYENS D’EXISTENCE</w:t>
      </w:r>
    </w:p>
    <w:p w14:paraId="776DAEBF" w14:textId="77777777" w:rsidR="007E2CB6" w:rsidRDefault="007E2CB6">
      <w:pPr>
        <w:spacing w:after="0" w:line="240" w:lineRule="auto"/>
        <w:jc w:val="both"/>
        <w:rPr>
          <w:rFonts w:cs="Arial"/>
          <w:i/>
          <w:lang w:val="fr-FR"/>
        </w:rPr>
      </w:pPr>
    </w:p>
    <w:p w14:paraId="45D5D703" w14:textId="77777777" w:rsidR="007E2CB6" w:rsidRDefault="007E2CB6">
      <w:pPr>
        <w:spacing w:after="0" w:line="240" w:lineRule="auto"/>
        <w:jc w:val="both"/>
        <w:rPr>
          <w:rFonts w:cs="Arial"/>
          <w:i/>
          <w:lang w:val="fr-FR"/>
        </w:rPr>
      </w:pPr>
    </w:p>
    <w:p w14:paraId="37A67139" w14:textId="77777777" w:rsidR="007E2CB6" w:rsidRDefault="0057004D">
      <w:pPr>
        <w:spacing w:after="0" w:line="240" w:lineRule="auto"/>
        <w:jc w:val="both"/>
        <w:rPr>
          <w:rFonts w:cs="Arial"/>
          <w:b/>
          <w:iCs/>
          <w:lang w:val="fr-FR"/>
        </w:rPr>
      </w:pPr>
      <w:r>
        <w:rPr>
          <w:rFonts w:cs="Arial"/>
          <w:b/>
          <w:iCs/>
          <w:lang w:val="fr-FR"/>
        </w:rPr>
        <w:t>Décision adressée au Secrétariat</w:t>
      </w:r>
    </w:p>
    <w:p w14:paraId="0752571A" w14:textId="77777777" w:rsidR="007E2CB6" w:rsidRDefault="007E2CB6">
      <w:pPr>
        <w:spacing w:after="0" w:line="240" w:lineRule="auto"/>
        <w:jc w:val="both"/>
        <w:rPr>
          <w:rFonts w:cs="Arial"/>
          <w:iCs/>
          <w:lang w:val="fr-FR"/>
        </w:rPr>
      </w:pPr>
    </w:p>
    <w:p w14:paraId="7CE4272E" w14:textId="77777777" w:rsidR="007E2CB6" w:rsidRDefault="0057004D" w:rsidP="008959F0">
      <w:pPr>
        <w:spacing w:after="0" w:line="240" w:lineRule="auto"/>
        <w:ind w:left="851" w:hanging="851"/>
        <w:jc w:val="both"/>
        <w:rPr>
          <w:rFonts w:cs="Arial"/>
          <w:iCs/>
          <w:lang w:val="fr-FR"/>
        </w:rPr>
      </w:pPr>
      <w:r>
        <w:rPr>
          <w:rFonts w:cs="Arial"/>
          <w:iCs/>
          <w:lang w:val="fr-FR"/>
        </w:rPr>
        <w:t>15.AA</w:t>
      </w:r>
      <w:r>
        <w:rPr>
          <w:rFonts w:cs="Arial"/>
          <w:iCs/>
          <w:lang w:val="fr-FR"/>
        </w:rPr>
        <w:tab/>
        <w:t xml:space="preserve">Le Secrétariat, sous réserve de la disponibilité de ressources externes, est invité à collaborer avec des partenaires en vue de soutenir la mise en œuvre par les Parties des dix principes directeurs énoncés à l’annexe de la Résolution 14.17 sur la </w:t>
      </w:r>
      <w:r>
        <w:rPr>
          <w:rFonts w:cs="Arial"/>
          <w:i/>
          <w:iCs/>
          <w:lang w:val="fr-FR"/>
        </w:rPr>
        <w:t>participation communautaire et les moyens d’existence</w:t>
      </w:r>
      <w:r>
        <w:rPr>
          <w:rFonts w:cs="Arial"/>
          <w:iCs/>
          <w:lang w:val="fr-FR"/>
        </w:rPr>
        <w:t xml:space="preserve"> ainsi que des recommandations de l’étude intitulée </w:t>
      </w:r>
      <w:proofErr w:type="spellStart"/>
      <w:r>
        <w:rPr>
          <w:rFonts w:cs="Arial"/>
          <w:i/>
          <w:iCs/>
          <w:lang w:val="fr-FR"/>
        </w:rPr>
        <w:t>Potential</w:t>
      </w:r>
      <w:proofErr w:type="spellEnd"/>
      <w:r>
        <w:rPr>
          <w:rFonts w:cs="Arial"/>
          <w:i/>
          <w:iCs/>
          <w:lang w:val="fr-FR"/>
        </w:rPr>
        <w:t xml:space="preserve"> for Community-</w:t>
      </w:r>
      <w:proofErr w:type="spellStart"/>
      <w:r>
        <w:rPr>
          <w:rFonts w:cs="Arial"/>
          <w:i/>
          <w:iCs/>
          <w:lang w:val="fr-FR"/>
        </w:rPr>
        <w:t>based</w:t>
      </w:r>
      <w:proofErr w:type="spellEnd"/>
      <w:r>
        <w:rPr>
          <w:rFonts w:cs="Arial"/>
          <w:i/>
          <w:iCs/>
          <w:lang w:val="fr-FR"/>
        </w:rPr>
        <w:t xml:space="preserve"> </w:t>
      </w:r>
      <w:proofErr w:type="spellStart"/>
      <w:r>
        <w:rPr>
          <w:rFonts w:cs="Arial"/>
          <w:i/>
          <w:iCs/>
          <w:lang w:val="fr-FR"/>
        </w:rPr>
        <w:t>Wildlife</w:t>
      </w:r>
      <w:proofErr w:type="spellEnd"/>
      <w:r>
        <w:rPr>
          <w:rFonts w:cs="Arial"/>
          <w:i/>
          <w:iCs/>
          <w:lang w:val="fr-FR"/>
        </w:rPr>
        <w:t xml:space="preserve"> Management in Central Asia (Potentiel de gestion communautaire de la faune sauvage pour les espèces CAMI)</w:t>
      </w:r>
      <w:r>
        <w:rPr>
          <w:rFonts w:cs="Arial"/>
          <w:iCs/>
          <w:lang w:val="fr-FR"/>
        </w:rPr>
        <w:t>, notamment :</w:t>
      </w:r>
    </w:p>
    <w:p w14:paraId="57C00C64" w14:textId="77777777" w:rsidR="007E2CB6" w:rsidRDefault="007E2CB6">
      <w:pPr>
        <w:spacing w:after="0" w:line="240" w:lineRule="auto"/>
        <w:ind w:left="851" w:hanging="851"/>
        <w:jc w:val="both"/>
        <w:rPr>
          <w:rFonts w:cs="Arial"/>
          <w:iCs/>
          <w:lang w:val="fr-FR"/>
        </w:rPr>
      </w:pPr>
    </w:p>
    <w:p w14:paraId="7DA83BC1" w14:textId="77777777" w:rsidR="007E2CB6" w:rsidRDefault="0057004D" w:rsidP="008959F0">
      <w:pPr>
        <w:pStyle w:val="ListParagraph"/>
        <w:numPr>
          <w:ilvl w:val="0"/>
          <w:numId w:val="27"/>
        </w:numPr>
        <w:spacing w:after="0" w:line="240" w:lineRule="auto"/>
        <w:ind w:left="1418" w:hanging="567"/>
        <w:jc w:val="both"/>
        <w:rPr>
          <w:rFonts w:cs="Arial"/>
          <w:iCs/>
          <w:lang w:val="fr-FR"/>
        </w:rPr>
      </w:pPr>
      <w:r>
        <w:rPr>
          <w:rFonts w:cs="Arial"/>
          <w:iCs/>
          <w:lang w:val="fr-FR"/>
        </w:rPr>
        <w:t>l’élaboration de propositions de financement conjointes ;</w:t>
      </w:r>
    </w:p>
    <w:p w14:paraId="3A095CBD" w14:textId="77777777" w:rsidR="007E2CB6" w:rsidRDefault="007E2CB6" w:rsidP="008959F0">
      <w:pPr>
        <w:pStyle w:val="ListParagraph"/>
        <w:spacing w:after="0" w:line="240" w:lineRule="auto"/>
        <w:ind w:left="1418" w:hanging="567"/>
        <w:jc w:val="both"/>
        <w:rPr>
          <w:rFonts w:cs="Arial"/>
          <w:iCs/>
          <w:lang w:val="fr-FR"/>
        </w:rPr>
      </w:pPr>
    </w:p>
    <w:p w14:paraId="1437A1CB" w14:textId="77777777" w:rsidR="007E2CB6" w:rsidRDefault="0057004D" w:rsidP="008959F0">
      <w:pPr>
        <w:pStyle w:val="ListParagraph"/>
        <w:numPr>
          <w:ilvl w:val="0"/>
          <w:numId w:val="27"/>
        </w:numPr>
        <w:spacing w:after="0" w:line="240" w:lineRule="auto"/>
        <w:ind w:left="1418" w:hanging="567"/>
        <w:jc w:val="both"/>
        <w:rPr>
          <w:rFonts w:cs="Arial"/>
          <w:iCs/>
          <w:lang w:val="fr-FR"/>
        </w:rPr>
      </w:pPr>
      <w:r>
        <w:rPr>
          <w:rFonts w:cs="Arial"/>
          <w:iCs/>
          <w:lang w:val="fr-FR"/>
        </w:rPr>
        <w:t xml:space="preserve">l’organisation de visites d’échange pour les décideurs dans le cadre d’initiatives de conservation communautaires réussies ; </w:t>
      </w:r>
    </w:p>
    <w:p w14:paraId="3546A823" w14:textId="77777777" w:rsidR="007E2CB6" w:rsidRDefault="007E2CB6" w:rsidP="008959F0">
      <w:pPr>
        <w:pStyle w:val="ListParagraph"/>
        <w:spacing w:after="0" w:line="240" w:lineRule="auto"/>
        <w:ind w:left="1418" w:hanging="567"/>
        <w:jc w:val="both"/>
        <w:rPr>
          <w:rFonts w:cs="Arial"/>
          <w:iCs/>
          <w:lang w:val="fr-FR"/>
        </w:rPr>
      </w:pPr>
    </w:p>
    <w:p w14:paraId="72AD13D0" w14:textId="77777777" w:rsidR="007E2CB6" w:rsidRDefault="0057004D" w:rsidP="008959F0">
      <w:pPr>
        <w:pStyle w:val="ListParagraph"/>
        <w:numPr>
          <w:ilvl w:val="0"/>
          <w:numId w:val="27"/>
        </w:numPr>
        <w:spacing w:after="0" w:line="240" w:lineRule="auto"/>
        <w:ind w:left="1418" w:hanging="567"/>
        <w:jc w:val="both"/>
        <w:rPr>
          <w:rFonts w:cs="Arial"/>
          <w:iCs/>
          <w:lang w:val="fr-FR"/>
        </w:rPr>
      </w:pPr>
      <w:r>
        <w:rPr>
          <w:rFonts w:cs="Arial"/>
          <w:iCs/>
          <w:lang w:val="fr-FR"/>
        </w:rPr>
        <w:t xml:space="preserve">l’organisation d’ateliers de renforcement des capacités afin d’aider les décideurs à mettre en place des initiatives communautaires visant à conserver et à gérer avec succès les espèces migratrices. </w:t>
      </w:r>
    </w:p>
    <w:p w14:paraId="74DE0F3E" w14:textId="77777777" w:rsidR="007E2CB6" w:rsidRDefault="007E2CB6">
      <w:pPr>
        <w:rPr>
          <w:lang w:val="fr-FR"/>
        </w:rPr>
      </w:pPr>
    </w:p>
    <w:sectPr w:rsidR="007E2CB6">
      <w:headerReference w:type="first" r:id="rId22"/>
      <w:footerReference w:type="first" r:id="rId23"/>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820F4" w14:textId="77777777" w:rsidR="00427964" w:rsidRDefault="00427964">
      <w:pPr>
        <w:spacing w:after="0" w:line="240" w:lineRule="auto"/>
        <w:rPr>
          <w:lang w:val="fr-FR"/>
        </w:rPr>
      </w:pPr>
      <w:r>
        <w:rPr>
          <w:lang w:val="fr-FR"/>
        </w:rPr>
        <w:separator/>
      </w:r>
    </w:p>
  </w:endnote>
  <w:endnote w:type="continuationSeparator" w:id="0">
    <w:p w14:paraId="51B643E9" w14:textId="77777777" w:rsidR="00427964" w:rsidRDefault="00427964">
      <w:pPr>
        <w:spacing w:after="0" w:line="240" w:lineRule="auto"/>
        <w:rPr>
          <w:lang w:val="fr-FR"/>
        </w:rPr>
      </w:pPr>
      <w:r>
        <w:rPr>
          <w:lang w:val="fr-FR"/>
        </w:rPr>
        <w:continuationSeparator/>
      </w:r>
    </w:p>
  </w:endnote>
  <w:endnote w:type="continuationNotice" w:id="1">
    <w:p w14:paraId="4617E1BF" w14:textId="77777777" w:rsidR="00427964" w:rsidRDefault="00427964">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6489B90C"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436E266B" w14:textId="77777777"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4009" w14:textId="77777777" w:rsidR="00CF74BB" w:rsidRDefault="00CF74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451339"/>
      <w:docPartObj>
        <w:docPartGallery w:val="Page Numbers (Bottom of Page)"/>
        <w:docPartUnique/>
      </w:docPartObj>
    </w:sdtPr>
    <w:sdtEndPr>
      <w:rPr>
        <w:noProof/>
      </w:rPr>
    </w:sdtEndPr>
    <w:sdtContent>
      <w:p w14:paraId="3D0458C5" w14:textId="77777777" w:rsidR="00F11EB0" w:rsidRPr="00F11EB0" w:rsidRDefault="00F11EB0" w:rsidP="00F11EB0">
        <w:pPr>
          <w:pStyle w:val="Footer"/>
          <w:jc w:val="center"/>
          <w:rPr>
            <w:sz w:val="18"/>
            <w:szCs w:val="18"/>
          </w:rPr>
        </w:pPr>
        <w:r w:rsidRPr="00F11EB0">
          <w:rPr>
            <w:sz w:val="18"/>
            <w:szCs w:val="18"/>
          </w:rPr>
          <w:fldChar w:fldCharType="begin"/>
        </w:r>
        <w:r w:rsidRPr="00F11EB0">
          <w:rPr>
            <w:sz w:val="18"/>
            <w:szCs w:val="18"/>
          </w:rPr>
          <w:instrText xml:space="preserve"> PAGE   \* MERGEFORMAT </w:instrText>
        </w:r>
        <w:r w:rsidRPr="00F11EB0">
          <w:rPr>
            <w:sz w:val="18"/>
            <w:szCs w:val="18"/>
          </w:rPr>
          <w:fldChar w:fldCharType="separate"/>
        </w:r>
        <w:r w:rsidRPr="00F11EB0">
          <w:rPr>
            <w:noProof/>
            <w:sz w:val="18"/>
            <w:szCs w:val="18"/>
          </w:rPr>
          <w:t>2</w:t>
        </w:r>
        <w:r w:rsidRPr="00F11EB0">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3A01B" w14:textId="77777777" w:rsidR="00427964" w:rsidRDefault="00427964">
      <w:pPr>
        <w:spacing w:after="0" w:line="240" w:lineRule="auto"/>
        <w:rPr>
          <w:lang w:val="fr-FR"/>
        </w:rPr>
      </w:pPr>
      <w:r>
        <w:rPr>
          <w:lang w:val="fr-FR"/>
        </w:rPr>
        <w:separator/>
      </w:r>
    </w:p>
  </w:footnote>
  <w:footnote w:type="continuationSeparator" w:id="0">
    <w:p w14:paraId="174A09B4" w14:textId="77777777" w:rsidR="00427964" w:rsidRDefault="00427964">
      <w:pPr>
        <w:spacing w:after="0" w:line="240" w:lineRule="auto"/>
        <w:rPr>
          <w:lang w:val="fr-FR"/>
        </w:rPr>
      </w:pPr>
      <w:r>
        <w:rPr>
          <w:lang w:val="fr-FR"/>
        </w:rPr>
        <w:continuationSeparator/>
      </w:r>
    </w:p>
  </w:footnote>
  <w:footnote w:type="continuationNotice" w:id="1">
    <w:p w14:paraId="08387D0B" w14:textId="77777777" w:rsidR="00427964" w:rsidRDefault="00427964">
      <w:pPr>
        <w:spacing w:after="0" w:line="240" w:lineRule="auto"/>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0C19D" w14:textId="47CA61D8" w:rsidR="002E0DE9" w:rsidRPr="002E0DE9" w:rsidRDefault="002E0DE9" w:rsidP="002E0DE9">
    <w:pPr>
      <w:pStyle w:val="Header"/>
      <w:pBdr>
        <w:bottom w:val="single" w:sz="4" w:space="1" w:color="auto"/>
      </w:pBdr>
      <w:rPr>
        <w:i/>
        <w:sz w:val="18"/>
        <w:szCs w:val="18"/>
      </w:rPr>
    </w:pPr>
    <w:r w:rsidRPr="001C6C56">
      <w:rPr>
        <w:rFonts w:eastAsia="Times New Roman" w:cs="Arial"/>
        <w:i/>
        <w:sz w:val="18"/>
        <w:szCs w:val="18"/>
        <w:lang w:val="en-GB"/>
      </w:rPr>
      <w:t>UNEP/CMS/COP1</w:t>
    </w:r>
    <w:r w:rsidR="006A689A">
      <w:rPr>
        <w:rFonts w:eastAsia="Times New Roman" w:cs="Arial"/>
        <w:i/>
        <w:sz w:val="18"/>
        <w:szCs w:val="18"/>
        <w:lang w:val="en-GB"/>
      </w:rPr>
      <w:t>5</w:t>
    </w:r>
    <w:r w:rsidRPr="001C6C56">
      <w:rPr>
        <w:rFonts w:eastAsia="Times New Roman" w:cs="Arial"/>
        <w:i/>
        <w:sz w:val="18"/>
        <w:szCs w:val="18"/>
        <w:lang w:val="en-GB"/>
      </w:rPr>
      <w:t>/</w:t>
    </w:r>
    <w:r w:rsidR="006A7DC4" w:rsidRPr="001C6C56">
      <w:rPr>
        <w:rFonts w:eastAsia="Times New Roman" w:cs="Arial"/>
        <w:i/>
        <w:sz w:val="18"/>
        <w:szCs w:val="18"/>
        <w:lang w:val="en-GB"/>
      </w:rPr>
      <w:t>Doc</w:t>
    </w:r>
    <w:r w:rsidR="0035024E" w:rsidRPr="001C6C56">
      <w:rPr>
        <w:rFonts w:eastAsia="Times New Roman" w:cs="Arial"/>
        <w:i/>
        <w:sz w:val="18"/>
        <w:szCs w:val="18"/>
        <w:lang w:val="en-GB"/>
      </w:rPr>
      <w:t>.</w:t>
    </w:r>
    <w:r w:rsidR="0098224C">
      <w:rPr>
        <w:rFonts w:eastAsia="Times New Roman" w:cs="Arial"/>
        <w:i/>
        <w:sz w:val="18"/>
        <w:szCs w:val="18"/>
        <w:lang w:val="en-GB"/>
      </w:rPr>
      <w:t>2</w:t>
    </w:r>
    <w:r w:rsidR="003223AC">
      <w:rPr>
        <w:rFonts w:eastAsia="Times New Roman" w:cs="Arial"/>
        <w:i/>
        <w:sz w:val="18"/>
        <w:szCs w:val="18"/>
        <w:lang w:val="en-GB"/>
      </w:rPr>
      <w:t>8</w:t>
    </w:r>
    <w:r w:rsidR="00CF74BB">
      <w:rPr>
        <w:rFonts w:eastAsia="Times New Roman" w:cs="Arial"/>
        <w:i/>
        <w:sz w:val="18"/>
        <w:szCs w:val="18"/>
        <w:lang w:val="en-GB"/>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69B4F" w14:textId="059B7EF5" w:rsidR="002E0DE9" w:rsidRPr="00F11EB0" w:rsidRDefault="002E0DE9" w:rsidP="00842B75">
    <w:pPr>
      <w:pStyle w:val="Header"/>
      <w:pBdr>
        <w:bottom w:val="single" w:sz="4" w:space="1" w:color="auto"/>
      </w:pBdr>
      <w:jc w:val="right"/>
      <w:rPr>
        <w:rFonts w:eastAsia="Times New Roman" w:cs="Arial"/>
        <w:i/>
        <w:sz w:val="18"/>
        <w:szCs w:val="18"/>
        <w:lang w:val="en-GB"/>
      </w:rPr>
    </w:pPr>
    <w:r w:rsidRPr="00F11EB0">
      <w:rPr>
        <w:rFonts w:eastAsia="Times New Roman" w:cs="Arial"/>
        <w:i/>
        <w:sz w:val="18"/>
        <w:szCs w:val="18"/>
        <w:lang w:val="en-GB"/>
      </w:rPr>
      <w:t>UNEP/CMS/COP1</w:t>
    </w:r>
    <w:r w:rsidR="006A689A" w:rsidRPr="00F11EB0">
      <w:rPr>
        <w:rFonts w:eastAsia="Times New Roman" w:cs="Arial"/>
        <w:i/>
        <w:sz w:val="18"/>
        <w:szCs w:val="18"/>
        <w:lang w:val="en-GB"/>
      </w:rPr>
      <w:t>5</w:t>
    </w:r>
    <w:r w:rsidRPr="00F11EB0">
      <w:rPr>
        <w:rFonts w:eastAsia="Times New Roman" w:cs="Arial"/>
        <w:i/>
        <w:sz w:val="18"/>
        <w:szCs w:val="18"/>
        <w:lang w:val="en-GB"/>
      </w:rPr>
      <w:t>/</w:t>
    </w:r>
    <w:r w:rsidR="006A7DC4" w:rsidRPr="00F11EB0">
      <w:rPr>
        <w:rFonts w:eastAsia="Times New Roman" w:cs="Arial"/>
        <w:i/>
        <w:sz w:val="18"/>
        <w:szCs w:val="18"/>
        <w:lang w:val="en-GB"/>
      </w:rPr>
      <w:t>Doc.</w:t>
    </w:r>
    <w:r w:rsidR="0098224C" w:rsidRPr="00F11EB0">
      <w:rPr>
        <w:rFonts w:eastAsia="Times New Roman" w:cs="Arial"/>
        <w:i/>
        <w:sz w:val="18"/>
        <w:szCs w:val="18"/>
        <w:lang w:val="en-GB"/>
      </w:rPr>
      <w:t>2</w:t>
    </w:r>
    <w:r w:rsidR="003223AC">
      <w:rPr>
        <w:rFonts w:eastAsia="Times New Roman" w:cs="Arial"/>
        <w:i/>
        <w:sz w:val="18"/>
        <w:szCs w:val="18"/>
        <w:lang w:val="en-GB"/>
      </w:rPr>
      <w:t>8</w:t>
    </w:r>
    <w:r w:rsidR="0098224C" w:rsidRPr="00F11EB0">
      <w:rPr>
        <w:rFonts w:eastAsia="Times New Roman" w:cs="Arial"/>
        <w:i/>
        <w:sz w:val="18"/>
        <w:szCs w:val="18"/>
        <w:lang w:val="en-GB"/>
      </w:rPr>
      <w:t>.</w:t>
    </w:r>
    <w:r w:rsidR="00CF74BB">
      <w:rPr>
        <w:rFonts w:eastAsia="Times New Roman" w:cs="Arial"/>
        <w:i/>
        <w:sz w:val="18"/>
        <w:szCs w:val="18"/>
        <w:lang w:val="en-GB"/>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07DA" w14:textId="77777777" w:rsidR="00E012E3" w:rsidRPr="00EC2A58" w:rsidRDefault="00E012E3" w:rsidP="00E012E3">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r>
      <w:rPr>
        <w:noProof/>
      </w:rPr>
      <w:drawing>
        <wp:anchor distT="0" distB="0" distL="114300" distR="114300" simplePos="0" relativeHeight="251661312" behindDoc="0" locked="0" layoutInCell="1" allowOverlap="1" wp14:anchorId="46222FB5" wp14:editId="288D058D">
          <wp:simplePos x="0" y="0"/>
          <wp:positionH relativeFrom="column">
            <wp:posOffset>38100</wp:posOffset>
          </wp:positionH>
          <wp:positionV relativeFrom="paragraph">
            <wp:posOffset>-85725</wp:posOffset>
          </wp:positionV>
          <wp:extent cx="714375" cy="714375"/>
          <wp:effectExtent l="0" t="0" r="9525" b="9525"/>
          <wp:wrapSquare wrapText="bothSides"/>
          <wp:docPr id="1619586153"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451AC10C" wp14:editId="3E9F2CC4">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301912248"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60288" behindDoc="0" locked="0" layoutInCell="1" allowOverlap="1" wp14:anchorId="1E07C783" wp14:editId="2B7DAA1C">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12044628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281EF177" w14:textId="77777777" w:rsidR="00E012E3" w:rsidRDefault="00E012E3" w:rsidP="00E012E3">
    <w:pPr>
      <w:pStyle w:val="Header"/>
    </w:pPr>
  </w:p>
  <w:p w14:paraId="7C57B6B6" w14:textId="77777777" w:rsidR="00E012E3" w:rsidRDefault="00E012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EBDA" w14:textId="24E3E195" w:rsidR="007E2CB6" w:rsidRDefault="0057004D">
    <w:pPr>
      <w:pStyle w:val="Header"/>
      <w:pBdr>
        <w:bottom w:val="single" w:sz="4" w:space="1" w:color="auto"/>
      </w:pBdr>
      <w:rPr>
        <w:rFonts w:eastAsia="Times New Roman" w:cs="Arial"/>
        <w:i/>
        <w:sz w:val="18"/>
        <w:szCs w:val="18"/>
        <w:lang w:val="fr-FR"/>
      </w:rPr>
    </w:pPr>
    <w:r>
      <w:rPr>
        <w:rFonts w:eastAsia="Times New Roman" w:cs="Arial"/>
        <w:i/>
        <w:sz w:val="18"/>
        <w:szCs w:val="18"/>
        <w:lang w:val="fr-FR"/>
      </w:rPr>
      <w:t>UNEP/CMS/COP15/Doc.2</w:t>
    </w:r>
    <w:r w:rsidR="003223AC">
      <w:rPr>
        <w:rFonts w:eastAsia="Times New Roman" w:cs="Arial"/>
        <w:i/>
        <w:sz w:val="18"/>
        <w:szCs w:val="18"/>
        <w:lang w:val="fr-FR"/>
      </w:rPr>
      <w:t>8</w:t>
    </w:r>
    <w:r>
      <w:rPr>
        <w:rFonts w:eastAsia="Times New Roman" w:cs="Arial"/>
        <w:i/>
        <w:sz w:val="18"/>
        <w:szCs w:val="18"/>
        <w:lang w:val="fr-FR"/>
      </w:rPr>
      <w:t>.</w:t>
    </w:r>
    <w:r w:rsidR="00CF74BB">
      <w:rPr>
        <w:rFonts w:eastAsia="Times New Roman" w:cs="Arial"/>
        <w:i/>
        <w:sz w:val="18"/>
        <w:szCs w:val="18"/>
        <w:lang w:val="fr-FR"/>
      </w:rPr>
      <w:t>4</w:t>
    </w:r>
    <w:r>
      <w:rPr>
        <w:rFonts w:eastAsia="Times New Roman" w:cs="Arial"/>
        <w:i/>
        <w:sz w:val="18"/>
        <w:szCs w:val="18"/>
        <w:lang w:val="fr-FR"/>
      </w:rPr>
      <w:t>/Annexe</w:t>
    </w:r>
  </w:p>
  <w:p w14:paraId="62ED024E" w14:textId="77777777" w:rsidR="007E2CB6" w:rsidRDefault="007E2CB6">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0AA"/>
    <w:multiLevelType w:val="hybridMultilevel"/>
    <w:tmpl w:val="50CE6DA4"/>
    <w:lvl w:ilvl="0" w:tplc="D5861E28">
      <w:start w:val="1"/>
      <w:numFmt w:val="lowerLett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 w15:restartNumberingAfterBreak="0">
    <w:nsid w:val="01C51D0D"/>
    <w:multiLevelType w:val="hybridMultilevel"/>
    <w:tmpl w:val="5AACE92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A20EE"/>
    <w:multiLevelType w:val="hybridMultilevel"/>
    <w:tmpl w:val="5FEA0C90"/>
    <w:lvl w:ilvl="0" w:tplc="3EB62896">
      <w:start w:val="1"/>
      <w:numFmt w:val="lowerLetter"/>
      <w:lvlText w:val="%1)"/>
      <w:lvlJc w:val="left"/>
      <w:pPr>
        <w:ind w:left="1154" w:hanging="360"/>
      </w:pPr>
      <w:rPr>
        <w:b w:val="0"/>
        <w:bCs w:val="0"/>
        <w:i/>
        <w:iCs/>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5" w15:restartNumberingAfterBreak="0">
    <w:nsid w:val="14040C4F"/>
    <w:multiLevelType w:val="hybridMultilevel"/>
    <w:tmpl w:val="6CF08BB0"/>
    <w:lvl w:ilvl="0" w:tplc="A94081EC">
      <w:start w:val="1"/>
      <w:numFmt w:val="decimal"/>
      <w:lvlText w:val="%1."/>
      <w:lvlJc w:val="left"/>
      <w:pPr>
        <w:ind w:left="720" w:hanging="360"/>
      </w:pPr>
      <w:rPr>
        <w:rFonts w:ascii="Arial" w:hAnsi="Arial" w:cs="Arial" w:hint="default"/>
        <w:sz w:val="22"/>
        <w:szCs w:val="22"/>
      </w:rPr>
    </w:lvl>
    <w:lvl w:ilvl="1" w:tplc="CD8E4BB8">
      <w:start w:val="1"/>
      <w:numFmt w:val="lowerLetter"/>
      <w:lvlText w:val="%2)"/>
      <w:lvlJc w:val="left"/>
      <w:pPr>
        <w:ind w:left="1440" w:hanging="360"/>
      </w:pPr>
      <w:rPr>
        <w:rFonts w:hint="default"/>
      </w:rPr>
    </w:lvl>
    <w:lvl w:ilvl="2" w:tplc="8850D1CE">
      <w:numFmt w:val="bullet"/>
      <w:lvlText w:val="-"/>
      <w:lvlJc w:val="left"/>
      <w:pPr>
        <w:ind w:left="2340" w:hanging="360"/>
      </w:pPr>
      <w:rPr>
        <w:rFonts w:ascii="Arial" w:eastAsiaTheme="minorHAnsi" w:hAnsi="Arial" w:cs="Arial" w:hint="default"/>
      </w:r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20947856"/>
    <w:multiLevelType w:val="hybridMultilevel"/>
    <w:tmpl w:val="74A68DF0"/>
    <w:lvl w:ilvl="0" w:tplc="CFCC546C">
      <w:start w:val="1"/>
      <w:numFmt w:val="lowerLetter"/>
      <w:lvlText w:val="%1)"/>
      <w:lvlJc w:val="left"/>
      <w:pPr>
        <w:ind w:left="1154" w:hanging="360"/>
      </w:pPr>
      <w:rPr>
        <w:b w:val="0"/>
        <w:bCs w:val="0"/>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7" w15:restartNumberingAfterBreak="0">
    <w:nsid w:val="22100021"/>
    <w:multiLevelType w:val="hybridMultilevel"/>
    <w:tmpl w:val="95488520"/>
    <w:lvl w:ilvl="0" w:tplc="17D83132">
      <w:start w:val="9"/>
      <w:numFmt w:val="lowerLetter"/>
      <w:lvlText w:val="%1)"/>
      <w:lvlJc w:val="left"/>
      <w:pPr>
        <w:ind w:left="1514" w:hanging="360"/>
      </w:pPr>
      <w:rPr>
        <w:rFonts w:hint="default"/>
      </w:r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8"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426759F"/>
    <w:multiLevelType w:val="hybridMultilevel"/>
    <w:tmpl w:val="534CF7DA"/>
    <w:lvl w:ilvl="0" w:tplc="08090017">
      <w:start w:val="1"/>
      <w:numFmt w:val="lowerLetter"/>
      <w:lvlText w:val="%1)"/>
      <w:lvlJc w:val="left"/>
      <w:pPr>
        <w:ind w:left="1211"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0" w15:restartNumberingAfterBreak="0">
    <w:nsid w:val="24EB71BA"/>
    <w:multiLevelType w:val="hybridMultilevel"/>
    <w:tmpl w:val="FE12A0C8"/>
    <w:lvl w:ilvl="0" w:tplc="D6C25CD0">
      <w:start w:val="2"/>
      <w:numFmt w:val="lowerRoman"/>
      <w:lvlText w:val="%1)"/>
      <w:lvlJc w:val="left"/>
      <w:pPr>
        <w:ind w:left="1874" w:hanging="720"/>
      </w:pPr>
      <w:rPr>
        <w:rFonts w:hint="default"/>
      </w:r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11"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5A6C20"/>
    <w:multiLevelType w:val="hybridMultilevel"/>
    <w:tmpl w:val="5994E74E"/>
    <w:lvl w:ilvl="0" w:tplc="54222758">
      <w:start w:val="1"/>
      <w:numFmt w:val="lowerLetter"/>
      <w:lvlText w:val="%1)"/>
      <w:lvlJc w:val="left"/>
      <w:pPr>
        <w:ind w:left="1154" w:hanging="360"/>
      </w:pPr>
      <w:rPr>
        <w:b w:val="0"/>
        <w:bCs w:val="0"/>
        <w:i/>
        <w:iCs/>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13"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15:restartNumberingAfterBreak="0">
    <w:nsid w:val="45FD2E87"/>
    <w:multiLevelType w:val="hybridMultilevel"/>
    <w:tmpl w:val="395A9028"/>
    <w:lvl w:ilvl="0" w:tplc="9C587C54">
      <w:start w:val="1"/>
      <w:numFmt w:val="lowerLetter"/>
      <w:lvlText w:val="%1)"/>
      <w:lvlJc w:val="left"/>
      <w:pPr>
        <w:ind w:left="1154" w:hanging="360"/>
      </w:pPr>
      <w:rPr>
        <w:b w:val="0"/>
        <w:bCs w:val="0"/>
      </w:rPr>
    </w:lvl>
    <w:lvl w:ilvl="1" w:tplc="F8A44C08">
      <w:start w:val="1"/>
      <w:numFmt w:val="lowerRoman"/>
      <w:lvlText w:val="%2."/>
      <w:lvlJc w:val="right"/>
      <w:pPr>
        <w:ind w:left="1874" w:hanging="360"/>
      </w:pPr>
      <w:rPr>
        <w:b w:val="0"/>
        <w:bCs w:val="0"/>
      </w:r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15" w15:restartNumberingAfterBreak="0">
    <w:nsid w:val="47C755B4"/>
    <w:multiLevelType w:val="hybridMultilevel"/>
    <w:tmpl w:val="6A2CB3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7C46F6"/>
    <w:multiLevelType w:val="hybridMultilevel"/>
    <w:tmpl w:val="C9402FA0"/>
    <w:lvl w:ilvl="0" w:tplc="20000017">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4D05FC"/>
    <w:multiLevelType w:val="hybridMultilevel"/>
    <w:tmpl w:val="7B480A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A23F83"/>
    <w:multiLevelType w:val="hybridMultilevel"/>
    <w:tmpl w:val="1148389C"/>
    <w:lvl w:ilvl="0" w:tplc="1B946190">
      <w:start w:val="1"/>
      <w:numFmt w:val="decimal"/>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6BC93A6D"/>
    <w:multiLevelType w:val="hybridMultilevel"/>
    <w:tmpl w:val="D5EA2504"/>
    <w:lvl w:ilvl="0" w:tplc="FFFFFFFF">
      <w:start w:val="1"/>
      <w:numFmt w:val="lowerLetter"/>
      <w:lvlText w:val="%1)"/>
      <w:lvlJc w:val="left"/>
      <w:pPr>
        <w:ind w:left="1350" w:hanging="360"/>
      </w:pPr>
    </w:lvl>
    <w:lvl w:ilvl="1" w:tplc="08090017">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22"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4"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16"/>
  </w:num>
  <w:num w:numId="2" w16cid:durableId="1342467551">
    <w:abstractNumId w:val="22"/>
  </w:num>
  <w:num w:numId="3" w16cid:durableId="1569996155">
    <w:abstractNumId w:val="2"/>
  </w:num>
  <w:num w:numId="4" w16cid:durableId="5037120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11"/>
  </w:num>
  <w:num w:numId="8" w16cid:durableId="657730385">
    <w:abstractNumId w:val="24"/>
  </w:num>
  <w:num w:numId="9" w16cid:durableId="1150515762">
    <w:abstractNumId w:val="18"/>
  </w:num>
  <w:num w:numId="10" w16cid:durableId="627323914">
    <w:abstractNumId w:val="3"/>
  </w:num>
  <w:num w:numId="11" w16cid:durableId="1351225539">
    <w:abstractNumId w:val="12"/>
  </w:num>
  <w:num w:numId="12" w16cid:durableId="151485651">
    <w:abstractNumId w:val="4"/>
  </w:num>
  <w:num w:numId="13" w16cid:durableId="72632785">
    <w:abstractNumId w:val="6"/>
  </w:num>
  <w:num w:numId="14" w16cid:durableId="208038099">
    <w:abstractNumId w:val="14"/>
  </w:num>
  <w:num w:numId="15" w16cid:durableId="230959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1914993">
    <w:abstractNumId w:val="5"/>
  </w:num>
  <w:num w:numId="17" w16cid:durableId="550076360">
    <w:abstractNumId w:val="21"/>
  </w:num>
  <w:num w:numId="18" w16cid:durableId="1920484296">
    <w:abstractNumId w:val="20"/>
  </w:num>
  <w:num w:numId="19" w16cid:durableId="279797200">
    <w:abstractNumId w:val="8"/>
  </w:num>
  <w:num w:numId="20" w16cid:durableId="1205143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2747343">
    <w:abstractNumId w:val="19"/>
  </w:num>
  <w:num w:numId="22" w16cid:durableId="795100228">
    <w:abstractNumId w:val="15"/>
  </w:num>
  <w:num w:numId="23" w16cid:durableId="1693453728">
    <w:abstractNumId w:val="0"/>
  </w:num>
  <w:num w:numId="24" w16cid:durableId="924070244">
    <w:abstractNumId w:val="7"/>
  </w:num>
  <w:num w:numId="25" w16cid:durableId="1355496037">
    <w:abstractNumId w:val="10"/>
  </w:num>
  <w:num w:numId="26" w16cid:durableId="1209074761">
    <w:abstractNumId w:val="1"/>
  </w:num>
  <w:num w:numId="27" w16cid:durableId="237937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34C82"/>
    <w:rsid w:val="00037708"/>
    <w:rsid w:val="000434DB"/>
    <w:rsid w:val="000539AB"/>
    <w:rsid w:val="0006101D"/>
    <w:rsid w:val="00063C40"/>
    <w:rsid w:val="000661B2"/>
    <w:rsid w:val="00081045"/>
    <w:rsid w:val="00082297"/>
    <w:rsid w:val="00083881"/>
    <w:rsid w:val="000B3391"/>
    <w:rsid w:val="000B3F80"/>
    <w:rsid w:val="000C1D2C"/>
    <w:rsid w:val="000C4FBD"/>
    <w:rsid w:val="000C5A3D"/>
    <w:rsid w:val="000D3F49"/>
    <w:rsid w:val="000D763A"/>
    <w:rsid w:val="000E7269"/>
    <w:rsid w:val="000F13BB"/>
    <w:rsid w:val="001031D8"/>
    <w:rsid w:val="00103C7C"/>
    <w:rsid w:val="001110DD"/>
    <w:rsid w:val="00130890"/>
    <w:rsid w:val="00136C79"/>
    <w:rsid w:val="00137609"/>
    <w:rsid w:val="0015250B"/>
    <w:rsid w:val="00153EE6"/>
    <w:rsid w:val="001659E3"/>
    <w:rsid w:val="0017477B"/>
    <w:rsid w:val="001755C5"/>
    <w:rsid w:val="00177179"/>
    <w:rsid w:val="001815C4"/>
    <w:rsid w:val="00182640"/>
    <w:rsid w:val="00182F01"/>
    <w:rsid w:val="00184004"/>
    <w:rsid w:val="00184287"/>
    <w:rsid w:val="00190ADA"/>
    <w:rsid w:val="001A158A"/>
    <w:rsid w:val="001A2119"/>
    <w:rsid w:val="001B25C5"/>
    <w:rsid w:val="001B58E7"/>
    <w:rsid w:val="001C6C56"/>
    <w:rsid w:val="001D088A"/>
    <w:rsid w:val="001E7B42"/>
    <w:rsid w:val="001F7CEA"/>
    <w:rsid w:val="002162B8"/>
    <w:rsid w:val="00216F9B"/>
    <w:rsid w:val="00217C44"/>
    <w:rsid w:val="00227533"/>
    <w:rsid w:val="002326AB"/>
    <w:rsid w:val="00235010"/>
    <w:rsid w:val="00237692"/>
    <w:rsid w:val="002459D2"/>
    <w:rsid w:val="002536EE"/>
    <w:rsid w:val="00257CD2"/>
    <w:rsid w:val="002759D8"/>
    <w:rsid w:val="00281087"/>
    <w:rsid w:val="00284272"/>
    <w:rsid w:val="00284880"/>
    <w:rsid w:val="002A13E6"/>
    <w:rsid w:val="002A18B8"/>
    <w:rsid w:val="002B2546"/>
    <w:rsid w:val="002B2806"/>
    <w:rsid w:val="002B3F89"/>
    <w:rsid w:val="002C49F9"/>
    <w:rsid w:val="002E00FF"/>
    <w:rsid w:val="002E0DE9"/>
    <w:rsid w:val="002E6A7D"/>
    <w:rsid w:val="002F08A7"/>
    <w:rsid w:val="002F2176"/>
    <w:rsid w:val="003013F2"/>
    <w:rsid w:val="00313693"/>
    <w:rsid w:val="003223AC"/>
    <w:rsid w:val="003235AF"/>
    <w:rsid w:val="00327666"/>
    <w:rsid w:val="003313FE"/>
    <w:rsid w:val="00331D38"/>
    <w:rsid w:val="00335D10"/>
    <w:rsid w:val="0035024E"/>
    <w:rsid w:val="00355F8D"/>
    <w:rsid w:val="00356496"/>
    <w:rsid w:val="003642D9"/>
    <w:rsid w:val="003669FF"/>
    <w:rsid w:val="00380BF8"/>
    <w:rsid w:val="00382616"/>
    <w:rsid w:val="003C569E"/>
    <w:rsid w:val="003E78F2"/>
    <w:rsid w:val="003F5D88"/>
    <w:rsid w:val="0040663F"/>
    <w:rsid w:val="00421292"/>
    <w:rsid w:val="00427964"/>
    <w:rsid w:val="00431FE3"/>
    <w:rsid w:val="00434BDA"/>
    <w:rsid w:val="00443325"/>
    <w:rsid w:val="004476D2"/>
    <w:rsid w:val="004531F1"/>
    <w:rsid w:val="00454584"/>
    <w:rsid w:val="00457A20"/>
    <w:rsid w:val="004608C4"/>
    <w:rsid w:val="004639CE"/>
    <w:rsid w:val="004714F5"/>
    <w:rsid w:val="0047195A"/>
    <w:rsid w:val="00472BCE"/>
    <w:rsid w:val="00482C78"/>
    <w:rsid w:val="0049583C"/>
    <w:rsid w:val="00495B71"/>
    <w:rsid w:val="004C015B"/>
    <w:rsid w:val="004C1FDD"/>
    <w:rsid w:val="004D4077"/>
    <w:rsid w:val="004D5156"/>
    <w:rsid w:val="004D7BC5"/>
    <w:rsid w:val="00500665"/>
    <w:rsid w:val="00507798"/>
    <w:rsid w:val="00516A25"/>
    <w:rsid w:val="00516F7D"/>
    <w:rsid w:val="00522649"/>
    <w:rsid w:val="00531BD1"/>
    <w:rsid w:val="005330F7"/>
    <w:rsid w:val="0054075F"/>
    <w:rsid w:val="0054346D"/>
    <w:rsid w:val="005517EF"/>
    <w:rsid w:val="0055344C"/>
    <w:rsid w:val="00556582"/>
    <w:rsid w:val="0055659D"/>
    <w:rsid w:val="00563598"/>
    <w:rsid w:val="0057004D"/>
    <w:rsid w:val="005706F4"/>
    <w:rsid w:val="0059075E"/>
    <w:rsid w:val="005916EB"/>
    <w:rsid w:val="00594151"/>
    <w:rsid w:val="00597EB1"/>
    <w:rsid w:val="005A2A3E"/>
    <w:rsid w:val="005B23A6"/>
    <w:rsid w:val="005C28E8"/>
    <w:rsid w:val="005C5625"/>
    <w:rsid w:val="005C5C48"/>
    <w:rsid w:val="005E031D"/>
    <w:rsid w:val="005E0D23"/>
    <w:rsid w:val="005E2306"/>
    <w:rsid w:val="005E6D3C"/>
    <w:rsid w:val="005F738C"/>
    <w:rsid w:val="00602F87"/>
    <w:rsid w:val="00610891"/>
    <w:rsid w:val="00611777"/>
    <w:rsid w:val="006203F8"/>
    <w:rsid w:val="006254A3"/>
    <w:rsid w:val="006367A0"/>
    <w:rsid w:val="006367B0"/>
    <w:rsid w:val="006704FB"/>
    <w:rsid w:val="00672CE6"/>
    <w:rsid w:val="00682891"/>
    <w:rsid w:val="006867A3"/>
    <w:rsid w:val="00695F76"/>
    <w:rsid w:val="006A689A"/>
    <w:rsid w:val="006A755F"/>
    <w:rsid w:val="006A7DC4"/>
    <w:rsid w:val="006C0316"/>
    <w:rsid w:val="006C3686"/>
    <w:rsid w:val="006D2054"/>
    <w:rsid w:val="00700796"/>
    <w:rsid w:val="00704E4A"/>
    <w:rsid w:val="007112A1"/>
    <w:rsid w:val="0071181A"/>
    <w:rsid w:val="00716887"/>
    <w:rsid w:val="007259EC"/>
    <w:rsid w:val="007265DF"/>
    <w:rsid w:val="0073233F"/>
    <w:rsid w:val="00762941"/>
    <w:rsid w:val="00780862"/>
    <w:rsid w:val="00786961"/>
    <w:rsid w:val="00787A0C"/>
    <w:rsid w:val="00793CE2"/>
    <w:rsid w:val="007A25AE"/>
    <w:rsid w:val="007B7269"/>
    <w:rsid w:val="007C194B"/>
    <w:rsid w:val="007E208B"/>
    <w:rsid w:val="007E2CB6"/>
    <w:rsid w:val="007E2FC0"/>
    <w:rsid w:val="0081226B"/>
    <w:rsid w:val="00816618"/>
    <w:rsid w:val="00817706"/>
    <w:rsid w:val="00820572"/>
    <w:rsid w:val="00823C43"/>
    <w:rsid w:val="00827E33"/>
    <w:rsid w:val="00837BC1"/>
    <w:rsid w:val="00841F1B"/>
    <w:rsid w:val="00842B75"/>
    <w:rsid w:val="0085541F"/>
    <w:rsid w:val="00856486"/>
    <w:rsid w:val="00856902"/>
    <w:rsid w:val="008619CA"/>
    <w:rsid w:val="00865B74"/>
    <w:rsid w:val="00871567"/>
    <w:rsid w:val="00871E2C"/>
    <w:rsid w:val="00872FF8"/>
    <w:rsid w:val="00877B63"/>
    <w:rsid w:val="008852CE"/>
    <w:rsid w:val="008873E7"/>
    <w:rsid w:val="008940E0"/>
    <w:rsid w:val="008959F0"/>
    <w:rsid w:val="0089604E"/>
    <w:rsid w:val="008A46B8"/>
    <w:rsid w:val="008B0AC3"/>
    <w:rsid w:val="008C3A4A"/>
    <w:rsid w:val="008D1B5A"/>
    <w:rsid w:val="008D4E5F"/>
    <w:rsid w:val="008D7F9C"/>
    <w:rsid w:val="008E399F"/>
    <w:rsid w:val="008E6292"/>
    <w:rsid w:val="008E7441"/>
    <w:rsid w:val="0092141A"/>
    <w:rsid w:val="00927F6C"/>
    <w:rsid w:val="00931DDE"/>
    <w:rsid w:val="00933B90"/>
    <w:rsid w:val="00935D45"/>
    <w:rsid w:val="0093713A"/>
    <w:rsid w:val="009376F5"/>
    <w:rsid w:val="0094077B"/>
    <w:rsid w:val="00946F70"/>
    <w:rsid w:val="009501C4"/>
    <w:rsid w:val="00950890"/>
    <w:rsid w:val="00957E7E"/>
    <w:rsid w:val="00961BF6"/>
    <w:rsid w:val="009707CF"/>
    <w:rsid w:val="00972767"/>
    <w:rsid w:val="00976FB6"/>
    <w:rsid w:val="0098224C"/>
    <w:rsid w:val="0099010F"/>
    <w:rsid w:val="009939E4"/>
    <w:rsid w:val="009A08AE"/>
    <w:rsid w:val="009A2337"/>
    <w:rsid w:val="009A30C8"/>
    <w:rsid w:val="009A4FCA"/>
    <w:rsid w:val="009B28A1"/>
    <w:rsid w:val="009B3CF3"/>
    <w:rsid w:val="009D5E7B"/>
    <w:rsid w:val="009E23E5"/>
    <w:rsid w:val="009E7CF9"/>
    <w:rsid w:val="009F6C60"/>
    <w:rsid w:val="00A07EE2"/>
    <w:rsid w:val="00A13D36"/>
    <w:rsid w:val="00A23474"/>
    <w:rsid w:val="00A2500E"/>
    <w:rsid w:val="00A31087"/>
    <w:rsid w:val="00A350E8"/>
    <w:rsid w:val="00A44ED2"/>
    <w:rsid w:val="00A45986"/>
    <w:rsid w:val="00A45996"/>
    <w:rsid w:val="00A5442D"/>
    <w:rsid w:val="00A56F6E"/>
    <w:rsid w:val="00A6191A"/>
    <w:rsid w:val="00A93363"/>
    <w:rsid w:val="00AA38D3"/>
    <w:rsid w:val="00AA3EF0"/>
    <w:rsid w:val="00AA485F"/>
    <w:rsid w:val="00AB1269"/>
    <w:rsid w:val="00AC04C1"/>
    <w:rsid w:val="00AC57D3"/>
    <w:rsid w:val="00AD4F4C"/>
    <w:rsid w:val="00AF63ED"/>
    <w:rsid w:val="00B067F8"/>
    <w:rsid w:val="00B075D0"/>
    <w:rsid w:val="00B10242"/>
    <w:rsid w:val="00B15C05"/>
    <w:rsid w:val="00B20186"/>
    <w:rsid w:val="00B2055E"/>
    <w:rsid w:val="00B219A4"/>
    <w:rsid w:val="00B23155"/>
    <w:rsid w:val="00B26D15"/>
    <w:rsid w:val="00B33183"/>
    <w:rsid w:val="00B348CC"/>
    <w:rsid w:val="00B4546D"/>
    <w:rsid w:val="00B51A11"/>
    <w:rsid w:val="00B526AD"/>
    <w:rsid w:val="00B52D9C"/>
    <w:rsid w:val="00B609A5"/>
    <w:rsid w:val="00B65D97"/>
    <w:rsid w:val="00B665AB"/>
    <w:rsid w:val="00B716CD"/>
    <w:rsid w:val="00B725CA"/>
    <w:rsid w:val="00B73812"/>
    <w:rsid w:val="00B81CB2"/>
    <w:rsid w:val="00B8217E"/>
    <w:rsid w:val="00B86FD6"/>
    <w:rsid w:val="00B93B28"/>
    <w:rsid w:val="00BA41FA"/>
    <w:rsid w:val="00BA4435"/>
    <w:rsid w:val="00BA5642"/>
    <w:rsid w:val="00BB3F3C"/>
    <w:rsid w:val="00BB7FAE"/>
    <w:rsid w:val="00BC60DB"/>
    <w:rsid w:val="00BD07D9"/>
    <w:rsid w:val="00BE34CB"/>
    <w:rsid w:val="00BE54DD"/>
    <w:rsid w:val="00BF5879"/>
    <w:rsid w:val="00BF647C"/>
    <w:rsid w:val="00C01ED7"/>
    <w:rsid w:val="00C06680"/>
    <w:rsid w:val="00C07134"/>
    <w:rsid w:val="00C108C1"/>
    <w:rsid w:val="00C10F7F"/>
    <w:rsid w:val="00C22028"/>
    <w:rsid w:val="00C235F9"/>
    <w:rsid w:val="00C2360C"/>
    <w:rsid w:val="00C25742"/>
    <w:rsid w:val="00C27945"/>
    <w:rsid w:val="00C32E9F"/>
    <w:rsid w:val="00C34F42"/>
    <w:rsid w:val="00C3761D"/>
    <w:rsid w:val="00C37E42"/>
    <w:rsid w:val="00C44B12"/>
    <w:rsid w:val="00C536C3"/>
    <w:rsid w:val="00C60441"/>
    <w:rsid w:val="00C7409D"/>
    <w:rsid w:val="00C818B4"/>
    <w:rsid w:val="00C84D83"/>
    <w:rsid w:val="00C86D43"/>
    <w:rsid w:val="00C974A1"/>
    <w:rsid w:val="00CA3B21"/>
    <w:rsid w:val="00CB4360"/>
    <w:rsid w:val="00CB5C22"/>
    <w:rsid w:val="00CC1D5A"/>
    <w:rsid w:val="00CC20D1"/>
    <w:rsid w:val="00CD3323"/>
    <w:rsid w:val="00CD4EB2"/>
    <w:rsid w:val="00CE6FF2"/>
    <w:rsid w:val="00CF1D26"/>
    <w:rsid w:val="00CF5D3B"/>
    <w:rsid w:val="00CF74BB"/>
    <w:rsid w:val="00D05436"/>
    <w:rsid w:val="00D05E0B"/>
    <w:rsid w:val="00D107EC"/>
    <w:rsid w:val="00D1567A"/>
    <w:rsid w:val="00D35A41"/>
    <w:rsid w:val="00D40160"/>
    <w:rsid w:val="00D40C2F"/>
    <w:rsid w:val="00D418E6"/>
    <w:rsid w:val="00D4691A"/>
    <w:rsid w:val="00D51B2F"/>
    <w:rsid w:val="00D53A2C"/>
    <w:rsid w:val="00D61BE5"/>
    <w:rsid w:val="00D62FDB"/>
    <w:rsid w:val="00D66DB0"/>
    <w:rsid w:val="00D67113"/>
    <w:rsid w:val="00D72E8F"/>
    <w:rsid w:val="00D74AC4"/>
    <w:rsid w:val="00D8210B"/>
    <w:rsid w:val="00D93628"/>
    <w:rsid w:val="00D9600A"/>
    <w:rsid w:val="00DA4BD5"/>
    <w:rsid w:val="00DA4FB8"/>
    <w:rsid w:val="00DB611F"/>
    <w:rsid w:val="00DB6DE2"/>
    <w:rsid w:val="00DD4314"/>
    <w:rsid w:val="00DD57DD"/>
    <w:rsid w:val="00DD7EAD"/>
    <w:rsid w:val="00DE06DC"/>
    <w:rsid w:val="00DE481B"/>
    <w:rsid w:val="00DE6B4B"/>
    <w:rsid w:val="00DE752A"/>
    <w:rsid w:val="00DF44C9"/>
    <w:rsid w:val="00DF5D70"/>
    <w:rsid w:val="00E002B5"/>
    <w:rsid w:val="00E012E3"/>
    <w:rsid w:val="00E21F70"/>
    <w:rsid w:val="00E24F48"/>
    <w:rsid w:val="00E3079C"/>
    <w:rsid w:val="00E4182C"/>
    <w:rsid w:val="00E56C45"/>
    <w:rsid w:val="00E6432B"/>
    <w:rsid w:val="00E67C48"/>
    <w:rsid w:val="00E77D51"/>
    <w:rsid w:val="00EA4D5A"/>
    <w:rsid w:val="00EB3205"/>
    <w:rsid w:val="00ED1894"/>
    <w:rsid w:val="00F030FD"/>
    <w:rsid w:val="00F03132"/>
    <w:rsid w:val="00F071CF"/>
    <w:rsid w:val="00F11EB0"/>
    <w:rsid w:val="00F166B9"/>
    <w:rsid w:val="00F226AC"/>
    <w:rsid w:val="00F231E8"/>
    <w:rsid w:val="00F26BA0"/>
    <w:rsid w:val="00F44F1E"/>
    <w:rsid w:val="00F53636"/>
    <w:rsid w:val="00F67E81"/>
    <w:rsid w:val="00F67FBE"/>
    <w:rsid w:val="00F7155B"/>
    <w:rsid w:val="00F74F81"/>
    <w:rsid w:val="00F75474"/>
    <w:rsid w:val="00F949C8"/>
    <w:rsid w:val="00F95C6B"/>
    <w:rsid w:val="00F97A5B"/>
    <w:rsid w:val="00FA29AC"/>
    <w:rsid w:val="00FA5582"/>
    <w:rsid w:val="00FC3F6A"/>
    <w:rsid w:val="00FD3891"/>
    <w:rsid w:val="00FD47D4"/>
    <w:rsid w:val="00FE321E"/>
    <w:rsid w:val="00FE5976"/>
    <w:rsid w:val="00FF014C"/>
    <w:rsid w:val="00FF47CB"/>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BF2A4"/>
  <w15:chartTrackingRefBased/>
  <w15:docId w15:val="{6124199A-29C4-4AC4-A6F4-3C8A82A0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econdnumbering">
    <w:name w:val="Second numbering"/>
    <w:basedOn w:val="Normal"/>
    <w:link w:val="SecondnumberingChar"/>
    <w:qFormat/>
    <w:rsid w:val="002A13E6"/>
    <w:pPr>
      <w:numPr>
        <w:numId w:val="15"/>
      </w:numPr>
      <w:spacing w:after="0" w:line="240" w:lineRule="auto"/>
    </w:pPr>
    <w:rPr>
      <w:lang w:val="en-GB"/>
    </w:rPr>
  </w:style>
  <w:style w:type="character" w:customStyle="1" w:styleId="ListParagraphChar">
    <w:name w:val="List Paragraph Char"/>
    <w:basedOn w:val="DefaultParagraphFont"/>
    <w:link w:val="ListParagraph"/>
    <w:uiPriority w:val="34"/>
    <w:rsid w:val="002A13E6"/>
  </w:style>
  <w:style w:type="character" w:customStyle="1" w:styleId="SecondnumberingChar">
    <w:name w:val="Second numbering Char"/>
    <w:basedOn w:val="DefaultParagraphFont"/>
    <w:link w:val="Secondnumbering"/>
    <w:rsid w:val="002A13E6"/>
    <w:rPr>
      <w:lang w:val="en-GB"/>
    </w:rPr>
  </w:style>
  <w:style w:type="character" w:styleId="UnresolvedMention">
    <w:name w:val="Unresolved Mention"/>
    <w:basedOn w:val="DefaultParagraphFont"/>
    <w:uiPriority w:val="99"/>
    <w:semiHidden/>
    <w:unhideWhenUsed/>
    <w:rsid w:val="00257CD2"/>
    <w:rPr>
      <w:color w:val="605E5C"/>
      <w:shd w:val="clear" w:color="auto" w:fill="E1DFDD"/>
    </w:rPr>
  </w:style>
  <w:style w:type="character" w:styleId="FollowedHyperlink">
    <w:name w:val="FollowedHyperlink"/>
    <w:basedOn w:val="DefaultParagraphFont"/>
    <w:uiPriority w:val="99"/>
    <w:semiHidden/>
    <w:unhideWhenUsed/>
    <w:rsid w:val="00A23474"/>
    <w:rPr>
      <w:color w:val="954F72" w:themeColor="followedHyperlink"/>
      <w:u w:val="single"/>
    </w:rPr>
  </w:style>
  <w:style w:type="character" w:styleId="Mention">
    <w:name w:val="Mention"/>
    <w:basedOn w:val="DefaultParagraphFont"/>
    <w:uiPriority w:val="99"/>
    <w:unhideWhenUsed/>
    <w:rsid w:val="00793CE2"/>
    <w:rPr>
      <w:color w:val="2B579A"/>
      <w:shd w:val="clear" w:color="auto" w:fill="E1DFDD"/>
    </w:rPr>
  </w:style>
  <w:style w:type="paragraph" w:styleId="Revision">
    <w:name w:val="Revision"/>
    <w:hidden/>
    <w:uiPriority w:val="99"/>
    <w:semiHidden/>
    <w:rsid w:val="00DA4F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en/publication/potential-community-based-wildlife-management-central-asi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cms.int/sites/default/files/document/cms_cop14_res.14.17_communities-and-livelihoods_f.pdf"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fr/page/participation-communautaire-et-moyens-d%E2%80%99existence" TargetMode="Externa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2.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3.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990EFAFC-46EF-4567-8754-CC636868422D}"/>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19</cp:revision>
  <dcterms:created xsi:type="dcterms:W3CDTF">2025-08-20T10:30:00Z</dcterms:created>
  <dcterms:modified xsi:type="dcterms:W3CDTF">2025-09-12T09:10:00Z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