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8E0ADAE" w:rsidR="00002A97" w:rsidRPr="00AB195B"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AB195B">
              <w:rPr>
                <w:rFonts w:eastAsia="Times New Roman" w:cs="Arial"/>
                <w:szCs w:val="24"/>
                <w:lang w:val="fr-FR" w:eastAsia="es-ES"/>
              </w:rPr>
              <w:t>UNEP/CMS/COP1</w:t>
            </w:r>
            <w:r w:rsidR="00C22155" w:rsidRPr="00AB195B">
              <w:rPr>
                <w:rFonts w:eastAsia="Times New Roman" w:cs="Arial"/>
                <w:szCs w:val="24"/>
                <w:lang w:val="fr-FR" w:eastAsia="es-ES"/>
              </w:rPr>
              <w:t>5</w:t>
            </w:r>
            <w:r w:rsidRPr="00AB195B">
              <w:rPr>
                <w:rFonts w:eastAsia="Times New Roman" w:cs="Arial"/>
                <w:szCs w:val="24"/>
                <w:lang w:val="fr-FR" w:eastAsia="es-ES"/>
              </w:rPr>
              <w:t>/</w:t>
            </w:r>
            <w:r w:rsidR="00800CB3" w:rsidRPr="00AB195B">
              <w:rPr>
                <w:rFonts w:eastAsia="Times New Roman" w:cs="Arial"/>
                <w:szCs w:val="24"/>
                <w:lang w:val="fr-FR" w:eastAsia="es-ES"/>
              </w:rPr>
              <w:t>Doc</w:t>
            </w:r>
            <w:r w:rsidRPr="00AB195B">
              <w:rPr>
                <w:rFonts w:eastAsia="Times New Roman" w:cs="Arial"/>
                <w:szCs w:val="24"/>
                <w:lang w:val="fr-FR" w:eastAsia="es-ES"/>
              </w:rPr>
              <w:t>.</w:t>
            </w:r>
            <w:r w:rsidR="00E95E45" w:rsidRPr="00AB195B">
              <w:rPr>
                <w:rFonts w:eastAsia="Times New Roman" w:cs="Arial"/>
                <w:szCs w:val="24"/>
                <w:lang w:val="fr-FR" w:eastAsia="es-ES"/>
              </w:rPr>
              <w:t>28.3</w:t>
            </w:r>
          </w:p>
          <w:p w14:paraId="5F9B9DE6" w14:textId="67429A6B" w:rsidR="00002A97" w:rsidRPr="00AB195B" w:rsidRDefault="00AF49C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22 de </w:t>
            </w:r>
            <w:proofErr w:type="spellStart"/>
            <w:r>
              <w:rPr>
                <w:rFonts w:eastAsia="Times New Roman" w:cs="Arial"/>
                <w:szCs w:val="24"/>
                <w:lang w:val="fr-FR" w:eastAsia="es-ES"/>
              </w:rPr>
              <w:t>septiembre</w:t>
            </w:r>
            <w:proofErr w:type="spellEnd"/>
            <w:r w:rsidR="00EF1D13" w:rsidRPr="00AB195B">
              <w:rPr>
                <w:rFonts w:eastAsia="Times New Roman" w:cs="Arial"/>
                <w:szCs w:val="24"/>
                <w:lang w:val="fr-FR" w:eastAsia="es-ES"/>
              </w:rPr>
              <w:t xml:space="preserve"> </w:t>
            </w:r>
            <w:r w:rsidR="00002A97" w:rsidRPr="00AB195B">
              <w:rPr>
                <w:rFonts w:eastAsia="Times New Roman" w:cs="Arial"/>
                <w:szCs w:val="24"/>
                <w:lang w:val="fr-FR" w:eastAsia="es-ES"/>
              </w:rPr>
              <w:t>20</w:t>
            </w:r>
            <w:r w:rsidR="000F4BDA" w:rsidRPr="00AB195B">
              <w:rPr>
                <w:rFonts w:eastAsia="Times New Roman" w:cs="Arial"/>
                <w:szCs w:val="24"/>
                <w:lang w:val="fr-FR" w:eastAsia="es-ES"/>
              </w:rPr>
              <w:t>2</w:t>
            </w:r>
            <w:r w:rsidR="00BE6C85" w:rsidRPr="00AB195B">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1F1907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95E45">
        <w:rPr>
          <w:rFonts w:eastAsia="Times New Roman" w:cs="Arial"/>
          <w:szCs w:val="24"/>
          <w:lang w:val="es-ES" w:eastAsia="es-ES"/>
        </w:rPr>
        <w:t>28.3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1AB568AA" w:rsidR="00002A97" w:rsidRPr="00AB195B" w:rsidRDefault="004654AB"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586E91">
        <w:rPr>
          <w:rFonts w:eastAsia="Times New Roman" w:cs="Arial"/>
          <w:b/>
          <w:bCs/>
          <w:lang w:val="es-ES"/>
        </w:rPr>
        <w:t>ÁREAS DE CONSERVACIÓN TRANSFRONTERIZAS PARA LAS ESPECIES MIGRATORIAS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D1AEEB4">
                <wp:simplePos x="0" y="0"/>
                <wp:positionH relativeFrom="column">
                  <wp:posOffset>974785</wp:posOffset>
                </wp:positionH>
                <wp:positionV relativeFrom="paragraph">
                  <wp:posOffset>150926</wp:posOffset>
                </wp:positionV>
                <wp:extent cx="4304666" cy="2424023"/>
                <wp:effectExtent l="0" t="0" r="19685" b="14605"/>
                <wp:wrapNone/>
                <wp:docPr id="5" name="Text Box 4"/>
                <wp:cNvGraphicFramePr/>
                <a:graphic xmlns:a="http://schemas.openxmlformats.org/drawingml/2006/main">
                  <a:graphicData uri="http://schemas.microsoft.com/office/word/2010/wordprocessingShape">
                    <wps:wsp>
                      <wps:cNvSpPr txBox="1"/>
                      <wps:spPr>
                        <a:xfrm>
                          <a:off x="0" y="0"/>
                          <a:ext cx="4304666" cy="2424023"/>
                        </a:xfrm>
                        <a:prstGeom prst="rect">
                          <a:avLst/>
                        </a:prstGeom>
                        <a:solidFill>
                          <a:srgbClr val="FFFFFF"/>
                        </a:solidFill>
                        <a:ln w="3172">
                          <a:solidFill>
                            <a:srgbClr val="000000"/>
                          </a:solidFill>
                          <a:prstDash val="solid"/>
                        </a:ln>
                      </wps:spPr>
                      <wps:txbx>
                        <w:txbxContent>
                          <w:p w14:paraId="78EFDF6D" w14:textId="1DCE26E8" w:rsidR="002D5F2A" w:rsidRPr="00AF49CD" w:rsidRDefault="002D5F2A" w:rsidP="00C65E84">
                            <w:pPr>
                              <w:spacing w:after="0" w:line="240" w:lineRule="auto"/>
                              <w:rPr>
                                <w:lang w:val="es-ES"/>
                              </w:rPr>
                            </w:pPr>
                            <w:r w:rsidRPr="00AF49CD">
                              <w:rPr>
                                <w:rFonts w:eastAsia="Arial" w:cs="Arial"/>
                                <w:lang w:val="es-ES"/>
                              </w:rPr>
                              <w:t>Resumen:</w:t>
                            </w:r>
                          </w:p>
                          <w:p w14:paraId="255B4E63" w14:textId="77777777" w:rsidR="002D5F2A" w:rsidRPr="00AF49CD" w:rsidRDefault="002D5F2A" w:rsidP="00C65E84">
                            <w:pPr>
                              <w:spacing w:after="0" w:line="240" w:lineRule="auto"/>
                              <w:rPr>
                                <w:rFonts w:cs="Arial"/>
                                <w:lang w:val="es-ES"/>
                              </w:rPr>
                            </w:pPr>
                          </w:p>
                          <w:p w14:paraId="1233A61D" w14:textId="481EF02D" w:rsidR="00C65E84" w:rsidRPr="002759C8" w:rsidRDefault="00C65E84" w:rsidP="00C65E84">
                            <w:pPr>
                              <w:spacing w:after="0" w:line="240" w:lineRule="auto"/>
                              <w:jc w:val="both"/>
                              <w:rPr>
                                <w:rFonts w:cs="Arial"/>
                                <w:lang w:val="es-ES"/>
                              </w:rPr>
                            </w:pPr>
                            <w:r w:rsidRPr="002759C8">
                              <w:rPr>
                                <w:rFonts w:cs="Arial"/>
                                <w:lang w:val="es-ES"/>
                              </w:rPr>
                              <w:t>El presente documento informa acerca de los avances en la implementación de las Decisiones 14.197</w:t>
                            </w:r>
                            <w:r w:rsidRPr="002759C8">
                              <w:rPr>
                                <w:rFonts w:cs="Arial"/>
                                <w:iCs/>
                                <w:lang w:val="es-ES"/>
                              </w:rPr>
                              <w:t>–</w:t>
                            </w:r>
                            <w:r w:rsidRPr="002759C8">
                              <w:rPr>
                                <w:rFonts w:cs="Arial"/>
                                <w:lang w:val="es-ES"/>
                              </w:rPr>
                              <w:t>14.199 con respecto a las</w:t>
                            </w:r>
                            <w:r w:rsidRPr="002759C8">
                              <w:rPr>
                                <w:rFonts w:cs="Arial"/>
                                <w:i/>
                                <w:iCs/>
                                <w:lang w:val="es-ES"/>
                              </w:rPr>
                              <w:t xml:space="preserve"> Áreas de Conservación Transfronterizas para las Especies Migratorias</w:t>
                            </w:r>
                            <w:r w:rsidRPr="002759C8">
                              <w:rPr>
                                <w:rFonts w:cs="Arial"/>
                                <w:lang w:val="es-ES"/>
                              </w:rPr>
                              <w:t>. Se propone la adopción de nuevas decisiones, así como la supresión de las Decisiones 14.197</w:t>
                            </w:r>
                            <w:r w:rsidRPr="002759C8">
                              <w:rPr>
                                <w:rFonts w:cs="Arial"/>
                                <w:iCs/>
                                <w:lang w:val="es-ES"/>
                              </w:rPr>
                              <w:t>–</w:t>
                            </w:r>
                            <w:r w:rsidRPr="002759C8">
                              <w:rPr>
                                <w:rFonts w:cs="Arial"/>
                                <w:lang w:val="es-ES"/>
                              </w:rPr>
                              <w:t xml:space="preserve">14.199. Asimismo, propone consultas, entre las que se incluye un </w:t>
                            </w:r>
                            <w:r w:rsidRPr="002759C8">
                              <w:rPr>
                                <w:rFonts w:cs="Arial"/>
                                <w:color w:val="212121"/>
                                <w:lang w:val="es-ES"/>
                              </w:rPr>
                              <w:t>análisis de la rentabilidad</w:t>
                            </w:r>
                            <w:r w:rsidRPr="002759C8">
                              <w:rPr>
                                <w:rFonts w:cs="Arial"/>
                                <w:lang w:val="es-ES"/>
                              </w:rPr>
                              <w:t xml:space="preserve"> de la herramienta para </w:t>
                            </w:r>
                            <w:r w:rsidRPr="00AC7C2D">
                              <w:rPr>
                                <w:rFonts w:cs="Arial"/>
                                <w:i/>
                                <w:iCs/>
                                <w:lang w:val="es-ES"/>
                              </w:rPr>
                              <w:t>la identificación de oportunidades de conservación transfronteriza</w:t>
                            </w:r>
                            <w:r w:rsidRPr="002759C8">
                              <w:rPr>
                                <w:rFonts w:cs="Arial"/>
                                <w:lang w:val="es-ES"/>
                              </w:rPr>
                              <w:t xml:space="preserve">.  </w:t>
                            </w:r>
                          </w:p>
                          <w:p w14:paraId="627856A3" w14:textId="77777777" w:rsidR="00C65E84" w:rsidRPr="002759C8" w:rsidRDefault="00C65E84" w:rsidP="00C65E84">
                            <w:pPr>
                              <w:spacing w:after="0" w:line="240" w:lineRule="auto"/>
                              <w:jc w:val="both"/>
                              <w:rPr>
                                <w:rFonts w:cs="Arial"/>
                                <w:lang w:val="es-ES"/>
                              </w:rPr>
                            </w:pPr>
                          </w:p>
                          <w:p w14:paraId="389A4AC8" w14:textId="3DA09C95" w:rsidR="00C65E84" w:rsidRPr="00C65E84" w:rsidRDefault="00C65E84" w:rsidP="00C65E84">
                            <w:pPr>
                              <w:spacing w:after="0" w:line="240" w:lineRule="auto"/>
                              <w:jc w:val="both"/>
                              <w:rPr>
                                <w:rFonts w:cs="Arial"/>
                                <w:lang w:val="es-ES"/>
                              </w:rPr>
                            </w:pPr>
                            <w:r w:rsidRPr="002759C8">
                              <w:rPr>
                                <w:rFonts w:cs="Arial"/>
                                <w:iCs/>
                                <w:lang w:val="es-ES"/>
                              </w:rPr>
                              <w:t>Los proyectos de Decisión adjuntos contribuirán a la consecución de los Objetivos 2.1, 2.3, 3.2, 4.1, 4.2 y 5.3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9pt;width:338.95pt;height:19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" strokeweight=".08811mm">
                <v:textbox>
                  <w:txbxContent>
                    <w:p w14:paraId="78EFDF6D" w14:textId="1DCE26E8" w:rsidR="002D5F2A" w:rsidRPr="00AF49CD" w:rsidRDefault="002D5F2A" w:rsidP="00C65E84">
                      <w:pPr>
                        <w:spacing w:after="0" w:line="240" w:lineRule="auto"/>
                        <w:rPr>
                          <w:lang w:val="es-ES"/>
                        </w:rPr>
                      </w:pPr>
                      <w:r w:rsidRPr="00AF49CD">
                        <w:rPr>
                          <w:rFonts w:eastAsia="Arial" w:cs="Arial"/>
                          <w:lang w:val="es-ES"/>
                        </w:rPr>
                        <w:t>Resumen:</w:t>
                      </w:r>
                    </w:p>
                    <w:p w14:paraId="255B4E63" w14:textId="77777777" w:rsidR="002D5F2A" w:rsidRPr="00AF49CD" w:rsidRDefault="002D5F2A" w:rsidP="00C65E84">
                      <w:pPr>
                        <w:spacing w:after="0" w:line="240" w:lineRule="auto"/>
                        <w:rPr>
                          <w:rFonts w:cs="Arial"/>
                          <w:lang w:val="es-ES"/>
                        </w:rPr>
                      </w:pPr>
                    </w:p>
                    <w:p w14:paraId="1233A61D" w14:textId="481EF02D" w:rsidR="00C65E84" w:rsidRPr="002759C8" w:rsidRDefault="00C65E84" w:rsidP="00C65E84">
                      <w:pPr>
                        <w:spacing w:after="0" w:line="240" w:lineRule="auto"/>
                        <w:jc w:val="both"/>
                        <w:rPr>
                          <w:rFonts w:cs="Arial"/>
                          <w:lang w:val="es-ES"/>
                        </w:rPr>
                      </w:pPr>
                      <w:r w:rsidRPr="002759C8">
                        <w:rPr>
                          <w:rFonts w:cs="Arial"/>
                          <w:lang w:val="es-ES"/>
                        </w:rPr>
                        <w:t>El presente documento informa acerca de los avances en la implementación de las Decisiones 14.197</w:t>
                      </w:r>
                      <w:r w:rsidRPr="002759C8">
                        <w:rPr>
                          <w:rFonts w:cs="Arial"/>
                          <w:iCs/>
                          <w:lang w:val="es-ES"/>
                        </w:rPr>
                        <w:t>–</w:t>
                      </w:r>
                      <w:r w:rsidRPr="002759C8">
                        <w:rPr>
                          <w:rFonts w:cs="Arial"/>
                          <w:lang w:val="es-ES"/>
                        </w:rPr>
                        <w:t>14.199 con respecto a las</w:t>
                      </w:r>
                      <w:r w:rsidRPr="002759C8">
                        <w:rPr>
                          <w:rFonts w:cs="Arial"/>
                          <w:i/>
                          <w:iCs/>
                          <w:lang w:val="es-ES"/>
                        </w:rPr>
                        <w:t xml:space="preserve"> Áreas de Conservación Transfronterizas para las Especies Migratorias</w:t>
                      </w:r>
                      <w:r w:rsidRPr="002759C8">
                        <w:rPr>
                          <w:rFonts w:cs="Arial"/>
                          <w:lang w:val="es-ES"/>
                        </w:rPr>
                        <w:t>. Se propone la adopción de nuevas decisiones, así como la supresión de las Decisiones 14.197</w:t>
                      </w:r>
                      <w:r w:rsidRPr="002759C8">
                        <w:rPr>
                          <w:rFonts w:cs="Arial"/>
                          <w:iCs/>
                          <w:lang w:val="es-ES"/>
                        </w:rPr>
                        <w:t>–</w:t>
                      </w:r>
                      <w:r w:rsidRPr="002759C8">
                        <w:rPr>
                          <w:rFonts w:cs="Arial"/>
                          <w:lang w:val="es-ES"/>
                        </w:rPr>
                        <w:t xml:space="preserve">14.199. Asimismo, propone consultas, entre las que se incluye un </w:t>
                      </w:r>
                      <w:r w:rsidRPr="002759C8">
                        <w:rPr>
                          <w:rFonts w:cs="Arial"/>
                          <w:color w:val="212121"/>
                          <w:lang w:val="es-ES"/>
                        </w:rPr>
                        <w:t>análisis de la rentabilidad</w:t>
                      </w:r>
                      <w:r w:rsidRPr="002759C8">
                        <w:rPr>
                          <w:rFonts w:cs="Arial"/>
                          <w:lang w:val="es-ES"/>
                        </w:rPr>
                        <w:t xml:space="preserve"> de la herramienta para </w:t>
                      </w:r>
                      <w:r w:rsidRPr="00AC7C2D">
                        <w:rPr>
                          <w:rFonts w:cs="Arial"/>
                          <w:i/>
                          <w:iCs/>
                          <w:lang w:val="es-ES"/>
                        </w:rPr>
                        <w:t>la identificación de oportunidades de conservación transfronteriza</w:t>
                      </w:r>
                      <w:r w:rsidRPr="002759C8">
                        <w:rPr>
                          <w:rFonts w:cs="Arial"/>
                          <w:lang w:val="es-ES"/>
                        </w:rPr>
                        <w:t xml:space="preserve">.  </w:t>
                      </w:r>
                    </w:p>
                    <w:p w14:paraId="627856A3" w14:textId="77777777" w:rsidR="00C65E84" w:rsidRPr="002759C8" w:rsidRDefault="00C65E84" w:rsidP="00C65E84">
                      <w:pPr>
                        <w:spacing w:after="0" w:line="240" w:lineRule="auto"/>
                        <w:jc w:val="both"/>
                        <w:rPr>
                          <w:rFonts w:cs="Arial"/>
                          <w:lang w:val="es-ES"/>
                        </w:rPr>
                      </w:pPr>
                    </w:p>
                    <w:p w14:paraId="389A4AC8" w14:textId="3DA09C95" w:rsidR="00C65E84" w:rsidRPr="00C65E84" w:rsidRDefault="00C65E84" w:rsidP="00C65E84">
                      <w:pPr>
                        <w:spacing w:after="0" w:line="240" w:lineRule="auto"/>
                        <w:jc w:val="both"/>
                        <w:rPr>
                          <w:rFonts w:cs="Arial"/>
                          <w:lang w:val="es-ES"/>
                        </w:rPr>
                      </w:pPr>
                      <w:r w:rsidRPr="002759C8">
                        <w:rPr>
                          <w:rFonts w:cs="Arial"/>
                          <w:iCs/>
                          <w:lang w:val="es-ES"/>
                        </w:rPr>
                        <w:t>Los proyectos de Decisión adjuntos contribuirán a la consecución de los Objetivos 2.1, 2.3, 3.2, 4.1, 4.2 y 5.3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72F2440D" w14:textId="77777777" w:rsidR="00020C98" w:rsidRPr="00081045" w:rsidRDefault="00020C98" w:rsidP="00020C98">
      <w:pPr>
        <w:widowControl w:val="0"/>
        <w:suppressAutoHyphens/>
        <w:autoSpaceDE w:val="0"/>
        <w:autoSpaceDN w:val="0"/>
        <w:spacing w:after="0" w:line="240" w:lineRule="auto"/>
        <w:jc w:val="center"/>
        <w:textAlignment w:val="baseline"/>
        <w:rPr>
          <w:rFonts w:eastAsia="Times New Roman" w:cs="Arial"/>
          <w:b/>
          <w:bCs/>
          <w:lang w:val="en-GB"/>
        </w:rPr>
      </w:pPr>
      <w:r>
        <w:rPr>
          <w:rFonts w:eastAsia="Times New Roman" w:cs="Arial"/>
          <w:b/>
          <w:bCs/>
          <w:lang w:val="en-GB"/>
        </w:rPr>
        <w:lastRenderedPageBreak/>
        <w:t>TRANSFRONTIER CONSERVATION AREAS FOR MIGRATORY SPECIES</w:t>
      </w:r>
    </w:p>
    <w:p w14:paraId="53298F79" w14:textId="77777777" w:rsidR="00020C98" w:rsidRDefault="00020C98" w:rsidP="00020C98">
      <w:pPr>
        <w:spacing w:after="0" w:line="240" w:lineRule="auto"/>
        <w:jc w:val="both"/>
        <w:rPr>
          <w:lang w:val="en-GB"/>
        </w:rPr>
      </w:pPr>
    </w:p>
    <w:p w14:paraId="7C71EC65" w14:textId="77777777" w:rsidR="00020C98" w:rsidRPr="008C3A4A" w:rsidRDefault="00020C98" w:rsidP="00020C98">
      <w:pPr>
        <w:spacing w:after="0" w:line="240" w:lineRule="auto"/>
        <w:jc w:val="both"/>
        <w:rPr>
          <w:lang w:val="en-GB"/>
        </w:rPr>
      </w:pPr>
    </w:p>
    <w:p w14:paraId="3986DDEC" w14:textId="77777777" w:rsidR="00020C98" w:rsidRPr="00D40C2F" w:rsidRDefault="00020C98" w:rsidP="00020C98">
      <w:pPr>
        <w:suppressAutoHyphens/>
        <w:autoSpaceDN w:val="0"/>
        <w:spacing w:after="0" w:line="240" w:lineRule="auto"/>
        <w:jc w:val="both"/>
        <w:textAlignment w:val="baseline"/>
        <w:rPr>
          <w:rFonts w:eastAsia="Calibri" w:cs="Arial"/>
          <w:u w:val="single"/>
          <w:lang w:val="en-GB"/>
        </w:rPr>
      </w:pPr>
      <w:r w:rsidRPr="00D40C2F">
        <w:rPr>
          <w:rFonts w:eastAsia="Calibri" w:cs="Arial"/>
          <w:u w:val="single"/>
          <w:lang w:val="en-GB"/>
        </w:rPr>
        <w:t>Background</w:t>
      </w:r>
    </w:p>
    <w:p w14:paraId="05FC6AB3" w14:textId="77777777" w:rsidR="00020C98" w:rsidRPr="00D40C2F" w:rsidRDefault="00020C98" w:rsidP="00020C98">
      <w:pPr>
        <w:widowControl w:val="0"/>
        <w:autoSpaceDE w:val="0"/>
        <w:autoSpaceDN w:val="0"/>
        <w:adjustRightInd w:val="0"/>
        <w:spacing w:after="0" w:line="240" w:lineRule="auto"/>
        <w:jc w:val="both"/>
        <w:rPr>
          <w:rFonts w:cs="Arial"/>
          <w:lang w:val="en-GB"/>
        </w:rPr>
      </w:pPr>
    </w:p>
    <w:p w14:paraId="3F95FED6" w14:textId="3670B1C6" w:rsidR="00020C98" w:rsidRPr="00FE483A" w:rsidRDefault="007871F3" w:rsidP="00316A51">
      <w:pPr>
        <w:pStyle w:val="ListParagraph"/>
        <w:numPr>
          <w:ilvl w:val="0"/>
          <w:numId w:val="14"/>
        </w:numPr>
        <w:spacing w:after="0" w:line="240" w:lineRule="auto"/>
        <w:ind w:left="567" w:hanging="567"/>
        <w:contextualSpacing w:val="0"/>
        <w:jc w:val="both"/>
        <w:rPr>
          <w:rFonts w:cs="Arial"/>
          <w:lang w:val="es-ES"/>
        </w:rPr>
      </w:pPr>
      <w:r w:rsidRPr="007871F3">
        <w:rPr>
          <w:rFonts w:cs="Arial"/>
          <w:lang w:val="es-ES"/>
        </w:rPr>
        <w:t>El concepto de Áreas de Conservación Transfronterizas (TFCA) se incluyó en la</w:t>
      </w:r>
      <w:r w:rsidR="000F5AF8">
        <w:rPr>
          <w:rFonts w:cs="Arial"/>
          <w:lang w:val="es-ES"/>
        </w:rPr>
        <w:t xml:space="preserve"> </w:t>
      </w:r>
      <w:hyperlink r:id="rId12" w:history="1">
        <w:r w:rsidR="000F5AF8" w:rsidRPr="00396F06">
          <w:rPr>
            <w:rStyle w:val="Hyperlink"/>
            <w:rFonts w:cs="Arial"/>
            <w:lang w:val="es-ES"/>
          </w:rPr>
          <w:t>Resolución 14.16</w:t>
        </w:r>
      </w:hyperlink>
      <w:r w:rsidR="000F5AF8">
        <w:rPr>
          <w:rFonts w:cs="Arial"/>
          <w:lang w:val="es-ES"/>
        </w:rPr>
        <w:t xml:space="preserve"> </w:t>
      </w:r>
      <w:r w:rsidR="000F5AF8" w:rsidRPr="00962AF9">
        <w:rPr>
          <w:rFonts w:cs="Arial"/>
          <w:i/>
          <w:iCs/>
          <w:lang w:val="es-ES"/>
        </w:rPr>
        <w:t>Conectividad Ecológica</w:t>
      </w:r>
      <w:r w:rsidRPr="000F5AF8">
        <w:rPr>
          <w:rFonts w:cs="Arial"/>
          <w:lang w:val="es-ES"/>
        </w:rPr>
        <w:t xml:space="preserve"> y se describió (en el párrafo 1</w:t>
      </w:r>
      <w:r w:rsidR="00962AF9">
        <w:rPr>
          <w:rFonts w:cs="Arial"/>
          <w:lang w:val="es-ES"/>
        </w:rPr>
        <w:t>8</w:t>
      </w:r>
      <w:r w:rsidRPr="000F5AF8">
        <w:rPr>
          <w:rFonts w:cs="Arial"/>
          <w:lang w:val="es-ES"/>
        </w:rPr>
        <w:t xml:space="preserve">) como «el área o el componente de una amplia región ecológica que rebasa las fronteras de dos o más países, y en el ámbito de sus respectivas jurisdicciones, que puede abarcar una o más áreas protegidas, así como múltiples áreas de utilización de los recursos». El concepto de TFCA se definió inicialmente por los miembros de la Comunidad de África Meridional para el Desarrollo (SADC) en su </w:t>
      </w:r>
      <w:hyperlink r:id="rId13" w:history="1">
        <w:r w:rsidRPr="00316A51">
          <w:rPr>
            <w:rStyle w:val="Hyperlink"/>
            <w:rFonts w:cs="Arial"/>
            <w:lang w:val="es-ES"/>
          </w:rPr>
          <w:t>Protocolo sobre la conservación de la fauna silvestre y la aplicación de la Ley</w:t>
        </w:r>
      </w:hyperlink>
      <w:r w:rsidRPr="000F5AF8">
        <w:rPr>
          <w:rFonts w:cs="Arial"/>
          <w:lang w:val="es-ES"/>
        </w:rPr>
        <w:t xml:space="preserve"> de 1999. El establecimiento de las TFCA se ha convertido, desde entonces, en el objetivo de la conservación en África meridional, y constituye un ejemplo para otras regiones del continente.</w:t>
      </w:r>
      <w:r w:rsidR="00FE483A" w:rsidRPr="00FE483A">
        <w:rPr>
          <w:rFonts w:cs="Arial"/>
          <w:lang w:val="es-ES"/>
        </w:rPr>
        <w:t xml:space="preserve"> </w:t>
      </w:r>
      <w:r w:rsidR="00FE483A" w:rsidRPr="00586E91">
        <w:rPr>
          <w:rFonts w:cs="Arial"/>
          <w:lang w:val="es-ES"/>
        </w:rPr>
        <w:t>En su 14.a reunión, la Conferencia de las Partes (</w:t>
      </w:r>
      <w:r w:rsidR="00FE483A" w:rsidRPr="00586E91">
        <w:rPr>
          <w:rFonts w:eastAsia="Times New Roman" w:cs="Arial"/>
          <w:snapToGrid w:val="0"/>
          <w:color w:val="000000"/>
          <w:kern w:val="2"/>
          <w:lang w:val="es-ES"/>
        </w:rPr>
        <w:t xml:space="preserve">COP14) adoptó las Decisiones 14.197-14.199 con respecto a las </w:t>
      </w:r>
      <w:r w:rsidR="00FE483A" w:rsidRPr="00586E91">
        <w:rPr>
          <w:rFonts w:eastAsia="Times New Roman" w:cs="Arial"/>
          <w:i/>
          <w:iCs/>
          <w:snapToGrid w:val="0"/>
          <w:color w:val="000000"/>
          <w:kern w:val="2"/>
          <w:lang w:val="es-ES"/>
        </w:rPr>
        <w:t>Áreas de Conservación Transfronterizas</w:t>
      </w:r>
      <w:r w:rsidR="00FE483A" w:rsidRPr="00586E91">
        <w:rPr>
          <w:rFonts w:eastAsia="Times New Roman" w:cs="Arial"/>
          <w:snapToGrid w:val="0"/>
          <w:color w:val="000000"/>
          <w:kern w:val="2"/>
          <w:lang w:val="es-ES"/>
        </w:rPr>
        <w:t xml:space="preserve"> para apoyar a las Partes en la implementación de este enfoque:</w:t>
      </w:r>
    </w:p>
    <w:p w14:paraId="785E3F37" w14:textId="77777777" w:rsidR="00020C98" w:rsidRPr="00FE483A" w:rsidRDefault="00020C98" w:rsidP="00020C98">
      <w:pPr>
        <w:pStyle w:val="ListParagraph"/>
        <w:spacing w:after="0" w:line="240" w:lineRule="auto"/>
        <w:ind w:left="426"/>
        <w:contextualSpacing w:val="0"/>
        <w:jc w:val="both"/>
        <w:rPr>
          <w:rFonts w:eastAsia="Times New Roman" w:cs="Arial"/>
          <w:snapToGrid w:val="0"/>
          <w:color w:val="000000"/>
          <w:kern w:val="2"/>
          <w:lang w:val="es-ES"/>
        </w:rPr>
      </w:pPr>
    </w:p>
    <w:p w14:paraId="52AC1B43" w14:textId="45BD7270" w:rsidR="00020C98" w:rsidRPr="00A6670C" w:rsidRDefault="00020C98" w:rsidP="00C60CAF">
      <w:pPr>
        <w:pStyle w:val="ListParagraph"/>
        <w:spacing w:after="0" w:line="240" w:lineRule="auto"/>
        <w:contextualSpacing w:val="0"/>
        <w:jc w:val="both"/>
        <w:rPr>
          <w:rFonts w:eastAsia="Times New Roman" w:cs="Arial"/>
          <w:b/>
          <w:bCs/>
          <w:i/>
          <w:iCs/>
          <w:snapToGrid w:val="0"/>
          <w:color w:val="000000"/>
          <w:kern w:val="2"/>
          <w:sz w:val="20"/>
          <w:szCs w:val="20"/>
          <w:lang w:val="es-ES"/>
        </w:rPr>
      </w:pPr>
      <w:r w:rsidRPr="00A6670C">
        <w:rPr>
          <w:rFonts w:eastAsia="Times New Roman" w:cs="Arial"/>
          <w:b/>
          <w:bCs/>
          <w:i/>
          <w:iCs/>
          <w:snapToGrid w:val="0"/>
          <w:color w:val="000000"/>
          <w:kern w:val="2"/>
          <w:sz w:val="20"/>
          <w:szCs w:val="20"/>
          <w:lang w:val="es-ES"/>
        </w:rPr>
        <w:t xml:space="preserve">14.197 </w:t>
      </w:r>
      <w:r w:rsidR="00E80D7C" w:rsidRPr="00A6670C">
        <w:rPr>
          <w:rFonts w:eastAsia="Times New Roman" w:cs="Arial"/>
          <w:b/>
          <w:bCs/>
          <w:i/>
          <w:iCs/>
          <w:snapToGrid w:val="0"/>
          <w:color w:val="000000"/>
          <w:kern w:val="2"/>
          <w:sz w:val="20"/>
          <w:szCs w:val="20"/>
          <w:lang w:val="es-ES"/>
        </w:rPr>
        <w:t>dirigida a las Partes</w:t>
      </w:r>
    </w:p>
    <w:p w14:paraId="2F9EC3F7" w14:textId="77777777" w:rsidR="00020C98" w:rsidRPr="00A6670C" w:rsidRDefault="00020C98" w:rsidP="00C60CAF">
      <w:pPr>
        <w:pStyle w:val="ListParagraph"/>
        <w:spacing w:after="0" w:line="240" w:lineRule="auto"/>
        <w:contextualSpacing w:val="0"/>
        <w:jc w:val="both"/>
        <w:rPr>
          <w:rFonts w:eastAsia="Times New Roman" w:cs="Arial"/>
          <w:snapToGrid w:val="0"/>
          <w:color w:val="000000"/>
          <w:kern w:val="2"/>
          <w:sz w:val="20"/>
          <w:szCs w:val="20"/>
          <w:lang w:val="es-ES"/>
        </w:rPr>
      </w:pPr>
    </w:p>
    <w:p w14:paraId="78D0A069" w14:textId="5C1B3A07" w:rsidR="00020C98" w:rsidRPr="00A6670C" w:rsidRDefault="00A6670C" w:rsidP="00C60CAF">
      <w:pPr>
        <w:pStyle w:val="ListParagraph"/>
        <w:spacing w:after="0" w:line="240" w:lineRule="auto"/>
        <w:contextualSpacing w:val="0"/>
        <w:jc w:val="both"/>
        <w:rPr>
          <w:rFonts w:eastAsia="Times New Roman" w:cs="Arial"/>
          <w:i/>
          <w:iCs/>
          <w:snapToGrid w:val="0"/>
          <w:color w:val="000000"/>
          <w:kern w:val="2"/>
          <w:sz w:val="20"/>
          <w:szCs w:val="20"/>
          <w:lang w:val="es-ES"/>
        </w:rPr>
      </w:pPr>
      <w:r w:rsidRPr="00A6670C">
        <w:rPr>
          <w:rFonts w:eastAsia="Times New Roman" w:cs="Arial"/>
          <w:i/>
          <w:iCs/>
          <w:snapToGrid w:val="0"/>
          <w:color w:val="000000"/>
          <w:kern w:val="2"/>
          <w:sz w:val="20"/>
          <w:szCs w:val="20"/>
          <w:lang w:val="es-ES"/>
        </w:rPr>
        <w:t>Se invita a las Partes que son miembros de la Comunidad de África Meridional para el Desarrollo (SADC), de la Autoridad Intergubernamental para el Desarrollo (IGAD) y de la Comunidad Africana Oriental (CAO)</w:t>
      </w:r>
      <w:r w:rsidR="00020C98" w:rsidRPr="00A6670C">
        <w:rPr>
          <w:rFonts w:eastAsia="Times New Roman" w:cs="Arial"/>
          <w:i/>
          <w:iCs/>
          <w:snapToGrid w:val="0"/>
          <w:color w:val="000000"/>
          <w:kern w:val="2"/>
          <w:sz w:val="20"/>
          <w:szCs w:val="20"/>
          <w:lang w:val="es-ES"/>
        </w:rPr>
        <w:t>:</w:t>
      </w:r>
    </w:p>
    <w:p w14:paraId="76A6D97F" w14:textId="77777777" w:rsidR="00020C98" w:rsidRPr="00A6670C" w:rsidRDefault="00020C98" w:rsidP="00020C98">
      <w:pPr>
        <w:pStyle w:val="ListParagraph"/>
        <w:spacing w:after="0" w:line="240" w:lineRule="auto"/>
        <w:ind w:left="567"/>
        <w:contextualSpacing w:val="0"/>
        <w:jc w:val="both"/>
        <w:rPr>
          <w:rFonts w:eastAsia="Times New Roman" w:cs="Arial"/>
          <w:i/>
          <w:iCs/>
          <w:snapToGrid w:val="0"/>
          <w:color w:val="000000"/>
          <w:kern w:val="2"/>
          <w:sz w:val="20"/>
          <w:szCs w:val="20"/>
          <w:lang w:val="es-ES"/>
        </w:rPr>
      </w:pPr>
    </w:p>
    <w:p w14:paraId="1E245A2B" w14:textId="77777777" w:rsidR="00C60CAF" w:rsidRPr="00C60CAF" w:rsidRDefault="00C60CAF" w:rsidP="00E26184">
      <w:pPr>
        <w:pStyle w:val="ListParagraph"/>
        <w:numPr>
          <w:ilvl w:val="0"/>
          <w:numId w:val="16"/>
        </w:numPr>
        <w:spacing w:after="80" w:line="240" w:lineRule="auto"/>
        <w:ind w:left="1080"/>
        <w:contextualSpacing w:val="0"/>
        <w:jc w:val="both"/>
        <w:rPr>
          <w:rFonts w:eastAsia="Times New Roman" w:cs="Arial"/>
          <w:i/>
          <w:iCs/>
          <w:snapToGrid w:val="0"/>
          <w:color w:val="000000"/>
          <w:kern w:val="2"/>
          <w:sz w:val="20"/>
          <w:szCs w:val="20"/>
          <w:lang w:val="es-ES"/>
        </w:rPr>
      </w:pPr>
      <w:r w:rsidRPr="00C60CAF">
        <w:rPr>
          <w:rFonts w:eastAsia="Times New Roman" w:cs="Arial"/>
          <w:i/>
          <w:iCs/>
          <w:snapToGrid w:val="0"/>
          <w:color w:val="000000"/>
          <w:kern w:val="2"/>
          <w:sz w:val="20"/>
          <w:szCs w:val="20"/>
          <w:lang w:val="es-ES"/>
        </w:rPr>
        <w:t>considerar la realización de pruebas, según proceda, de la herramienta transfronteriza piloto del PNUMA-WCMC (la «Herramienta») para identificar oportunidades potenciales de conservación transfronteriza a partir de los datos de la Base de Datos Mundial sobre Áreas Protegidas y de la Base de Datos Mundial sobre Áreas Clave para la Biodiversidad; y</w:t>
      </w:r>
    </w:p>
    <w:p w14:paraId="747B6BDA" w14:textId="736ADE9E" w:rsidR="00020C98" w:rsidRPr="00C60CAF" w:rsidRDefault="00C60CAF" w:rsidP="00C60CAF">
      <w:pPr>
        <w:pStyle w:val="ListParagraph"/>
        <w:numPr>
          <w:ilvl w:val="0"/>
          <w:numId w:val="16"/>
        </w:numPr>
        <w:spacing w:after="0" w:line="240" w:lineRule="auto"/>
        <w:ind w:left="1080"/>
        <w:contextualSpacing w:val="0"/>
        <w:jc w:val="both"/>
        <w:rPr>
          <w:rFonts w:eastAsia="Times New Roman" w:cs="Arial"/>
          <w:i/>
          <w:iCs/>
          <w:snapToGrid w:val="0"/>
          <w:color w:val="000000"/>
          <w:kern w:val="2"/>
          <w:sz w:val="20"/>
          <w:szCs w:val="20"/>
          <w:lang w:val="es-ES"/>
        </w:rPr>
      </w:pPr>
      <w:r w:rsidRPr="00C60CAF">
        <w:rPr>
          <w:rFonts w:eastAsia="Times New Roman" w:cs="Arial"/>
          <w:i/>
          <w:iCs/>
          <w:snapToGrid w:val="0"/>
          <w:color w:val="000000"/>
          <w:kern w:val="2"/>
          <w:sz w:val="20"/>
          <w:szCs w:val="20"/>
          <w:lang w:val="es-ES"/>
        </w:rPr>
        <w:t>considerar la presentación de información, a través de la Secretaría, al Comité del Período de Sesiones del Consejo Científico, en su 7.ª y / o 8ª reunión, sobre las oportunidades potenciales para identificar las áreas de conservación transfronterizas, así como sobre la funcionalidad y utilidad de la Herramienta para ayudar a las Partes a identificarlas</w:t>
      </w:r>
      <w:r w:rsidR="00020C98" w:rsidRPr="00C60CAF">
        <w:rPr>
          <w:rFonts w:eastAsia="Times New Roman" w:cs="Arial"/>
          <w:i/>
          <w:iCs/>
          <w:snapToGrid w:val="0"/>
          <w:color w:val="000000"/>
          <w:kern w:val="2"/>
          <w:sz w:val="20"/>
          <w:szCs w:val="20"/>
          <w:lang w:val="es-ES"/>
        </w:rPr>
        <w:t>.</w:t>
      </w:r>
    </w:p>
    <w:p w14:paraId="3DE57378" w14:textId="77777777" w:rsidR="00020C98" w:rsidRPr="00C60CAF" w:rsidRDefault="00020C98" w:rsidP="00020C98">
      <w:pPr>
        <w:pStyle w:val="ListParagraph"/>
        <w:spacing w:after="0" w:line="240" w:lineRule="auto"/>
        <w:ind w:left="567"/>
        <w:contextualSpacing w:val="0"/>
        <w:jc w:val="both"/>
        <w:rPr>
          <w:rFonts w:eastAsia="Times New Roman" w:cs="Arial"/>
          <w:snapToGrid w:val="0"/>
          <w:color w:val="000000"/>
          <w:kern w:val="2"/>
          <w:sz w:val="20"/>
          <w:szCs w:val="20"/>
          <w:lang w:val="es-ES"/>
        </w:rPr>
      </w:pPr>
    </w:p>
    <w:p w14:paraId="268BA461" w14:textId="71187D5C" w:rsidR="00020C98" w:rsidRPr="006C1855" w:rsidRDefault="00020C98" w:rsidP="006C1855">
      <w:pPr>
        <w:pStyle w:val="ListParagraph"/>
        <w:spacing w:after="0" w:line="240" w:lineRule="auto"/>
        <w:contextualSpacing w:val="0"/>
        <w:jc w:val="both"/>
        <w:rPr>
          <w:rFonts w:eastAsia="Times New Roman" w:cs="Arial"/>
          <w:b/>
          <w:bCs/>
          <w:i/>
          <w:iCs/>
          <w:snapToGrid w:val="0"/>
          <w:color w:val="000000"/>
          <w:kern w:val="2"/>
          <w:sz w:val="20"/>
          <w:szCs w:val="20"/>
          <w:lang w:val="es-ES"/>
        </w:rPr>
      </w:pPr>
      <w:r w:rsidRPr="006C1855">
        <w:rPr>
          <w:rFonts w:eastAsia="Times New Roman" w:cs="Arial"/>
          <w:b/>
          <w:bCs/>
          <w:i/>
          <w:iCs/>
          <w:snapToGrid w:val="0"/>
          <w:color w:val="000000"/>
          <w:kern w:val="2"/>
          <w:sz w:val="20"/>
          <w:szCs w:val="20"/>
          <w:lang w:val="es-ES"/>
        </w:rPr>
        <w:t xml:space="preserve">14.198 </w:t>
      </w:r>
      <w:r w:rsidR="00E97FAF" w:rsidRPr="006C1855">
        <w:rPr>
          <w:rFonts w:eastAsia="Times New Roman" w:cs="Arial"/>
          <w:b/>
          <w:bCs/>
          <w:i/>
          <w:iCs/>
          <w:snapToGrid w:val="0"/>
          <w:color w:val="000000"/>
          <w:kern w:val="2"/>
          <w:sz w:val="20"/>
          <w:szCs w:val="20"/>
          <w:lang w:val="es-ES"/>
        </w:rPr>
        <w:t>dirigida al Consejo Científico</w:t>
      </w:r>
    </w:p>
    <w:p w14:paraId="562DD249" w14:textId="77777777" w:rsidR="00020C98" w:rsidRPr="006C1855" w:rsidRDefault="00020C98" w:rsidP="006C1855">
      <w:pPr>
        <w:pStyle w:val="ListParagraph"/>
        <w:spacing w:after="0" w:line="240" w:lineRule="auto"/>
        <w:contextualSpacing w:val="0"/>
        <w:jc w:val="both"/>
        <w:rPr>
          <w:rFonts w:eastAsia="Times New Roman" w:cs="Arial"/>
          <w:i/>
          <w:iCs/>
          <w:snapToGrid w:val="0"/>
          <w:color w:val="000000"/>
          <w:kern w:val="2"/>
          <w:sz w:val="20"/>
          <w:szCs w:val="20"/>
          <w:lang w:val="es-ES"/>
        </w:rPr>
      </w:pPr>
    </w:p>
    <w:p w14:paraId="36E92B70" w14:textId="5ACDCB9A" w:rsidR="00020C98" w:rsidRPr="006C1855" w:rsidRDefault="006C1855" w:rsidP="006C1855">
      <w:pPr>
        <w:pStyle w:val="ListParagraph"/>
        <w:spacing w:after="0" w:line="240" w:lineRule="auto"/>
        <w:contextualSpacing w:val="0"/>
        <w:jc w:val="both"/>
        <w:rPr>
          <w:rFonts w:eastAsia="Times New Roman" w:cs="Arial"/>
          <w:i/>
          <w:iCs/>
          <w:snapToGrid w:val="0"/>
          <w:color w:val="000000"/>
          <w:kern w:val="2"/>
          <w:sz w:val="20"/>
          <w:szCs w:val="20"/>
          <w:lang w:val="es-ES"/>
        </w:rPr>
      </w:pPr>
      <w:r w:rsidRPr="006C1855">
        <w:rPr>
          <w:rFonts w:eastAsia="Times New Roman" w:cs="Arial"/>
          <w:i/>
          <w:iCs/>
          <w:snapToGrid w:val="0"/>
          <w:color w:val="000000"/>
          <w:kern w:val="2"/>
          <w:sz w:val="20"/>
          <w:szCs w:val="20"/>
          <w:lang w:val="es-ES"/>
        </w:rPr>
        <w:t>Se solicita al Consejo Científico, en función de la disponibilidad de recursos revisar la utilidad de la Herramienta basándose en los informes presentados por las Partes, a través de la Secretaría, en consonancia con las Decisiones 14.197 (b) y 14.199 (b), realizar las recomendaciones oportunas a la Secretaría y a las Partes sobre su uso futuro, ayudar a identificar las mejoras que se deberían incorporar a la Herramienta e informar sobre su futura ampliación</w:t>
      </w:r>
      <w:r w:rsidR="00020C98" w:rsidRPr="006C1855">
        <w:rPr>
          <w:rFonts w:eastAsia="Times New Roman" w:cs="Arial"/>
          <w:i/>
          <w:iCs/>
          <w:snapToGrid w:val="0"/>
          <w:color w:val="000000"/>
          <w:kern w:val="2"/>
          <w:sz w:val="20"/>
          <w:szCs w:val="20"/>
          <w:lang w:val="es-ES"/>
        </w:rPr>
        <w:t>.</w:t>
      </w:r>
    </w:p>
    <w:p w14:paraId="2A343743" w14:textId="77777777" w:rsidR="00020C98" w:rsidRPr="006C1855" w:rsidRDefault="00020C98" w:rsidP="00020C98">
      <w:pPr>
        <w:pStyle w:val="ListParagraph"/>
        <w:spacing w:after="0" w:line="240" w:lineRule="auto"/>
        <w:ind w:left="567"/>
        <w:contextualSpacing w:val="0"/>
        <w:jc w:val="both"/>
        <w:rPr>
          <w:sz w:val="20"/>
          <w:szCs w:val="20"/>
          <w:lang w:val="es-ES"/>
        </w:rPr>
      </w:pPr>
    </w:p>
    <w:p w14:paraId="3038DB6F" w14:textId="6A1C206A" w:rsidR="00020C98" w:rsidRPr="00B9019C" w:rsidRDefault="00020C98" w:rsidP="00E26184">
      <w:pPr>
        <w:pStyle w:val="ListParagraph"/>
        <w:spacing w:after="0" w:line="240" w:lineRule="auto"/>
        <w:ind w:left="1080" w:hanging="360"/>
        <w:contextualSpacing w:val="0"/>
        <w:jc w:val="both"/>
        <w:rPr>
          <w:b/>
          <w:bCs/>
          <w:i/>
          <w:iCs/>
          <w:sz w:val="20"/>
          <w:szCs w:val="20"/>
          <w:lang w:val="es-ES"/>
        </w:rPr>
      </w:pPr>
      <w:r w:rsidRPr="00B9019C">
        <w:rPr>
          <w:b/>
          <w:bCs/>
          <w:i/>
          <w:iCs/>
          <w:sz w:val="20"/>
          <w:szCs w:val="20"/>
          <w:lang w:val="es-ES"/>
        </w:rPr>
        <w:t xml:space="preserve">14.199 </w:t>
      </w:r>
      <w:r w:rsidR="00FE2BF2" w:rsidRPr="00B9019C">
        <w:rPr>
          <w:b/>
          <w:bCs/>
          <w:i/>
          <w:iCs/>
          <w:sz w:val="20"/>
          <w:szCs w:val="20"/>
          <w:lang w:val="es-ES"/>
        </w:rPr>
        <w:t>dirigida a la Secretaría</w:t>
      </w:r>
    </w:p>
    <w:p w14:paraId="1046FFDA" w14:textId="77777777" w:rsidR="00020C98" w:rsidRPr="00B9019C" w:rsidRDefault="00020C98" w:rsidP="00E26184">
      <w:pPr>
        <w:pStyle w:val="ListParagraph"/>
        <w:spacing w:after="0" w:line="240" w:lineRule="auto"/>
        <w:ind w:left="1080" w:hanging="360"/>
        <w:contextualSpacing w:val="0"/>
        <w:jc w:val="both"/>
        <w:rPr>
          <w:sz w:val="20"/>
          <w:szCs w:val="20"/>
          <w:lang w:val="es-ES"/>
        </w:rPr>
      </w:pPr>
    </w:p>
    <w:p w14:paraId="0ED20F76" w14:textId="5357E881" w:rsidR="00020C98" w:rsidRPr="00E26184" w:rsidRDefault="00012CB6" w:rsidP="00E26184">
      <w:pPr>
        <w:pStyle w:val="ListParagraph"/>
        <w:spacing w:after="0" w:line="240" w:lineRule="auto"/>
        <w:ind w:left="1080" w:hanging="360"/>
        <w:contextualSpacing w:val="0"/>
        <w:jc w:val="both"/>
        <w:rPr>
          <w:i/>
          <w:iCs/>
          <w:sz w:val="20"/>
          <w:szCs w:val="20"/>
          <w:lang w:val="es-ES"/>
        </w:rPr>
      </w:pPr>
      <w:r w:rsidRPr="00E26184">
        <w:rPr>
          <w:i/>
          <w:iCs/>
          <w:sz w:val="20"/>
          <w:szCs w:val="20"/>
          <w:lang w:val="es-ES"/>
        </w:rPr>
        <w:t>La Secretaría, sujeta a la disponibilidad de recursos, deberá</w:t>
      </w:r>
      <w:r w:rsidR="00020C98" w:rsidRPr="00E26184">
        <w:rPr>
          <w:i/>
          <w:iCs/>
          <w:sz w:val="20"/>
          <w:szCs w:val="20"/>
          <w:lang w:val="es-ES"/>
        </w:rPr>
        <w:t xml:space="preserve">: </w:t>
      </w:r>
    </w:p>
    <w:p w14:paraId="2BA7DD5D" w14:textId="77777777" w:rsidR="00020C98" w:rsidRPr="00E26184" w:rsidRDefault="00020C98" w:rsidP="00E26184">
      <w:pPr>
        <w:pStyle w:val="ListParagraph"/>
        <w:spacing w:after="0" w:line="240" w:lineRule="auto"/>
        <w:ind w:left="1080" w:hanging="360"/>
        <w:contextualSpacing w:val="0"/>
        <w:jc w:val="both"/>
        <w:rPr>
          <w:i/>
          <w:iCs/>
          <w:sz w:val="20"/>
          <w:szCs w:val="20"/>
          <w:lang w:val="es-ES"/>
        </w:rPr>
      </w:pPr>
    </w:p>
    <w:p w14:paraId="5F8612D5" w14:textId="77777777" w:rsidR="00E26184" w:rsidRPr="00E26184" w:rsidRDefault="00E26184" w:rsidP="00E26184">
      <w:pPr>
        <w:pStyle w:val="ListParagraph"/>
        <w:numPr>
          <w:ilvl w:val="0"/>
          <w:numId w:val="15"/>
        </w:numPr>
        <w:spacing w:after="80" w:line="240" w:lineRule="auto"/>
        <w:ind w:left="1080"/>
        <w:contextualSpacing w:val="0"/>
        <w:jc w:val="both"/>
        <w:rPr>
          <w:i/>
          <w:iCs/>
          <w:sz w:val="20"/>
          <w:szCs w:val="20"/>
          <w:lang w:val="es-ES"/>
        </w:rPr>
      </w:pPr>
      <w:r w:rsidRPr="00E26184">
        <w:rPr>
          <w:i/>
          <w:iCs/>
          <w:sz w:val="20"/>
          <w:szCs w:val="20"/>
          <w:lang w:val="es-ES"/>
        </w:rPr>
        <w:t>en colaboración con el PNUMA-WCMC y otros socios, concienciar a las Partes acerca de la Herramienta mencionada en la Decisión 14.197;</w:t>
      </w:r>
    </w:p>
    <w:p w14:paraId="0DB3F483" w14:textId="77777777" w:rsidR="00E26184" w:rsidRPr="00E26184" w:rsidRDefault="00E26184" w:rsidP="00E26184">
      <w:pPr>
        <w:pStyle w:val="ListParagraph"/>
        <w:numPr>
          <w:ilvl w:val="0"/>
          <w:numId w:val="15"/>
        </w:numPr>
        <w:spacing w:after="80" w:line="240" w:lineRule="auto"/>
        <w:ind w:left="1080"/>
        <w:contextualSpacing w:val="0"/>
        <w:jc w:val="both"/>
        <w:rPr>
          <w:i/>
          <w:iCs/>
          <w:sz w:val="20"/>
          <w:szCs w:val="20"/>
          <w:lang w:val="es-ES"/>
        </w:rPr>
      </w:pPr>
      <w:r w:rsidRPr="00E26184">
        <w:rPr>
          <w:i/>
          <w:iCs/>
          <w:sz w:val="20"/>
          <w:szCs w:val="20"/>
          <w:lang w:val="es-ES"/>
        </w:rPr>
        <w:t>pedir a las Partes mencionadas en la Decisión 14.197 que consideren formular comentarios sobre la funcionalidad y utilidad de la Herramienta para identificar posibles oportunidades de conservación transfronteriza, y que presenten un informe sobre los comentarios recibidos al Comité del Período de Sesiones del Consejo Científico en su 7.ª y/o 8ª reunión; e</w:t>
      </w:r>
    </w:p>
    <w:p w14:paraId="278EAC04" w14:textId="6E02BA04" w:rsidR="00020C98" w:rsidRPr="00E26184" w:rsidRDefault="00E26184" w:rsidP="00E26184">
      <w:pPr>
        <w:pStyle w:val="ListParagraph"/>
        <w:numPr>
          <w:ilvl w:val="0"/>
          <w:numId w:val="15"/>
        </w:numPr>
        <w:spacing w:after="0" w:line="240" w:lineRule="auto"/>
        <w:ind w:left="1080"/>
        <w:contextualSpacing w:val="0"/>
        <w:jc w:val="both"/>
        <w:rPr>
          <w:i/>
          <w:iCs/>
          <w:sz w:val="20"/>
          <w:szCs w:val="20"/>
          <w:lang w:val="es-ES"/>
        </w:rPr>
      </w:pPr>
      <w:r w:rsidRPr="00E26184">
        <w:rPr>
          <w:i/>
          <w:iCs/>
          <w:sz w:val="20"/>
          <w:szCs w:val="20"/>
          <w:lang w:val="es-ES"/>
        </w:rPr>
        <w:t>informar a la Conferencia de las Partes en su 15.a reunión acerca de los progresos realizados en la aplicación de estas Decisiones</w:t>
      </w:r>
      <w:r w:rsidR="00020C98" w:rsidRPr="00E26184">
        <w:rPr>
          <w:i/>
          <w:iCs/>
          <w:sz w:val="20"/>
          <w:szCs w:val="20"/>
          <w:lang w:val="es-ES"/>
        </w:rPr>
        <w:t>.</w:t>
      </w:r>
    </w:p>
    <w:p w14:paraId="546BCA6E" w14:textId="77777777" w:rsidR="007E7D04" w:rsidRPr="00586E91" w:rsidRDefault="007E7D04" w:rsidP="007E7D04">
      <w:pPr>
        <w:spacing w:after="0" w:line="240" w:lineRule="auto"/>
        <w:jc w:val="both"/>
        <w:rPr>
          <w:rFonts w:cs="Arial"/>
          <w:bCs/>
          <w:u w:val="single"/>
          <w:lang w:val="es-ES"/>
        </w:rPr>
      </w:pPr>
      <w:r w:rsidRPr="00586E91">
        <w:rPr>
          <w:rFonts w:cs="Arial"/>
          <w:u w:val="single"/>
          <w:lang w:val="es-ES"/>
        </w:rPr>
        <w:lastRenderedPageBreak/>
        <w:t>Conservación interregional de la vida silvestre en África oriental y meridional</w:t>
      </w:r>
      <w:r w:rsidRPr="00586E91">
        <w:rPr>
          <w:rFonts w:cs="Arial"/>
          <w:b/>
          <w:u w:val="single"/>
          <w:lang w:val="es-ES"/>
        </w:rPr>
        <w:t xml:space="preserve"> </w:t>
      </w:r>
      <w:r w:rsidRPr="00586E91">
        <w:rPr>
          <w:rFonts w:cs="Arial"/>
          <w:bCs/>
          <w:u w:val="single"/>
          <w:lang w:val="es-ES"/>
        </w:rPr>
        <w:t>y el océano Índico</w:t>
      </w:r>
    </w:p>
    <w:p w14:paraId="4641BA33" w14:textId="77777777" w:rsidR="007E7D04" w:rsidRPr="00586E91" w:rsidRDefault="007E7D04" w:rsidP="007E7D04">
      <w:pPr>
        <w:spacing w:after="0" w:line="240" w:lineRule="auto"/>
        <w:jc w:val="both"/>
        <w:rPr>
          <w:rFonts w:cs="Arial"/>
          <w:u w:val="single"/>
          <w:lang w:val="es-ES"/>
        </w:rPr>
      </w:pPr>
    </w:p>
    <w:p w14:paraId="62910101" w14:textId="77777777" w:rsidR="007E7D04" w:rsidRPr="00586E91" w:rsidRDefault="007E7D04" w:rsidP="007E7D04">
      <w:pPr>
        <w:pStyle w:val="ListParagraph"/>
        <w:numPr>
          <w:ilvl w:val="0"/>
          <w:numId w:val="14"/>
        </w:numPr>
        <w:spacing w:after="0" w:line="240" w:lineRule="auto"/>
        <w:ind w:left="567" w:hanging="567"/>
        <w:contextualSpacing w:val="0"/>
        <w:jc w:val="both"/>
        <w:rPr>
          <w:rFonts w:cs="Arial"/>
          <w:lang w:val="es-ES"/>
        </w:rPr>
      </w:pPr>
      <w:r w:rsidRPr="00586E91">
        <w:rPr>
          <w:rFonts w:cs="Arial"/>
          <w:lang w:val="es-ES"/>
        </w:rPr>
        <w:t>El proyecto «</w:t>
      </w:r>
      <w:bookmarkStart w:id="0" w:name="_Hlk207188852"/>
      <w:r w:rsidRPr="00586E91">
        <w:rPr>
          <w:rFonts w:cs="Arial"/>
          <w:lang w:val="es-ES"/>
        </w:rPr>
        <w:t>Conservación interregional de la vida silvestre en África oriental y meridional</w:t>
      </w:r>
      <w:r w:rsidRPr="00586E91">
        <w:rPr>
          <w:b/>
          <w:lang w:val="es-ES"/>
        </w:rPr>
        <w:t xml:space="preserve"> </w:t>
      </w:r>
      <w:r w:rsidRPr="00586E91">
        <w:rPr>
          <w:rFonts w:cs="Arial"/>
          <w:lang w:val="es-ES"/>
        </w:rPr>
        <w:t xml:space="preserve">y el océano Índico» </w:t>
      </w:r>
      <w:bookmarkEnd w:id="0"/>
      <w:r w:rsidRPr="00586E91">
        <w:rPr>
          <w:rFonts w:cs="Arial"/>
          <w:lang w:val="es-ES"/>
        </w:rPr>
        <w:t xml:space="preserve">ha permitido a la Secretaría de la CMS, junto con varios socios, apoyar a los Estados del área de distribución en la implementación de la Resolución y las Decisiones relativas a las TFCA. El proyecto fue financiado por la Unión Europea y se llevó a cabo en colaboración con la Secretaría de la Convención sobre el Comercio Internacional de Especies Amenazadas de Fauna y Flora Silvestres (CITES) y la Oficina de las Naciones Unidas contra la Droga y el Delito (UNODC) y finalizó en octubre de 2024. </w:t>
      </w:r>
    </w:p>
    <w:p w14:paraId="6FE07254" w14:textId="77777777" w:rsidR="007E7D04" w:rsidRPr="00586E91" w:rsidRDefault="007E7D04" w:rsidP="007E7D04">
      <w:pPr>
        <w:pStyle w:val="ListParagraph"/>
        <w:spacing w:after="0" w:line="240" w:lineRule="auto"/>
        <w:contextualSpacing w:val="0"/>
        <w:rPr>
          <w:rFonts w:cs="Arial"/>
          <w:lang w:val="es-ES"/>
        </w:rPr>
      </w:pPr>
    </w:p>
    <w:p w14:paraId="60D6CABD" w14:textId="5CD7B471" w:rsidR="00020C98" w:rsidRPr="007E7D04" w:rsidRDefault="007E7D04" w:rsidP="007E7D04">
      <w:pPr>
        <w:pStyle w:val="ListParagraph"/>
        <w:numPr>
          <w:ilvl w:val="0"/>
          <w:numId w:val="14"/>
        </w:numPr>
        <w:spacing w:after="0" w:line="240" w:lineRule="auto"/>
        <w:ind w:left="567" w:hanging="567"/>
        <w:contextualSpacing w:val="0"/>
        <w:jc w:val="both"/>
        <w:rPr>
          <w:lang w:val="es-ES"/>
        </w:rPr>
      </w:pPr>
      <w:r w:rsidRPr="00586E91">
        <w:rPr>
          <w:lang w:val="es-ES"/>
        </w:rPr>
        <w:t>El componente del proyecto de la Secretaría de la CMS se centró en el «</w:t>
      </w:r>
      <w:r w:rsidRPr="00586E91">
        <w:rPr>
          <w:i/>
          <w:lang w:val="es-ES"/>
        </w:rPr>
        <w:t xml:space="preserve">Objetivo Específico 3: el establecimiento y gestión sostenible de Áreas de Conservación Transfronterizas (TFCA) se promovió y </w:t>
      </w:r>
      <w:r w:rsidRPr="00586E91">
        <w:rPr>
          <w:i/>
          <w:iCs/>
          <w:lang w:val="es-ES"/>
        </w:rPr>
        <w:t>fortaleció</w:t>
      </w:r>
      <w:r w:rsidRPr="00586E91">
        <w:rPr>
          <w:lang w:val="es-ES"/>
        </w:rPr>
        <w:t xml:space="preserve">». A continuación, se exponen las cinco áreas de resultados de este objetivo, junto con las actividades y los resultados obtenidos entre la COP14 y octubre de 2024. Los detalles de la implementación del proyecto antes de la COP14 se pueden consultar en el documento </w:t>
      </w:r>
      <w:hyperlink r:id="rId14" w:history="1">
        <w:r w:rsidR="00FF2B4D" w:rsidRPr="00FF2B4D">
          <w:rPr>
            <w:rStyle w:val="Hyperlink"/>
            <w:lang w:val="es-ES"/>
          </w:rPr>
          <w:t>UNEP/CMS/COP14/Doc.30.2.2/Rev.2</w:t>
        </w:r>
      </w:hyperlink>
      <w:r w:rsidRPr="00586E91">
        <w:rPr>
          <w:lang w:val="es-ES"/>
        </w:rPr>
        <w:t>.</w:t>
      </w:r>
      <w:r w:rsidR="00020C98" w:rsidRPr="007E7D04">
        <w:rPr>
          <w:lang w:val="es-ES"/>
        </w:rPr>
        <w:t xml:space="preserve"> </w:t>
      </w:r>
    </w:p>
    <w:p w14:paraId="2B2C9A6A" w14:textId="77777777" w:rsidR="00020C98" w:rsidRPr="007E7D04" w:rsidRDefault="00020C98" w:rsidP="00020C98">
      <w:pPr>
        <w:pStyle w:val="ListParagraph"/>
        <w:spacing w:after="0" w:line="240" w:lineRule="auto"/>
        <w:ind w:left="567" w:hanging="567"/>
        <w:contextualSpacing w:val="0"/>
        <w:rPr>
          <w:lang w:val="es-ES"/>
        </w:rPr>
      </w:pPr>
    </w:p>
    <w:p w14:paraId="692CA19B" w14:textId="6AB4B2DA" w:rsidR="00020C98" w:rsidRPr="00F54E61" w:rsidRDefault="00F54E61" w:rsidP="00020C98">
      <w:pPr>
        <w:spacing w:after="0" w:line="240" w:lineRule="auto"/>
        <w:jc w:val="both"/>
        <w:rPr>
          <w:i/>
          <w:lang w:val="es-ES"/>
        </w:rPr>
      </w:pPr>
      <w:r w:rsidRPr="007E7D04">
        <w:rPr>
          <w:i/>
          <w:iCs/>
          <w:lang w:val="es-ES"/>
        </w:rPr>
        <w:t>Resultado 3.1: Formulación o actualización de los instrumentos políticos de alto nivel (protocolos) que ordenan la formación de TFCA</w:t>
      </w:r>
      <w:r w:rsidR="003A2556" w:rsidRPr="007E7D04">
        <w:rPr>
          <w:i/>
          <w:iCs/>
          <w:lang w:val="es-ES"/>
        </w:rPr>
        <w:t>:</w:t>
      </w:r>
      <w:r w:rsidR="00020C98" w:rsidRPr="00F54E61">
        <w:rPr>
          <w:i/>
          <w:lang w:val="es-ES"/>
        </w:rPr>
        <w:t xml:space="preserve"> </w:t>
      </w:r>
    </w:p>
    <w:p w14:paraId="7040B3FD" w14:textId="77777777" w:rsidR="00020C98" w:rsidRPr="00F54E61" w:rsidRDefault="00020C98" w:rsidP="00020C98">
      <w:pPr>
        <w:pStyle w:val="ListParagraph"/>
        <w:spacing w:after="0" w:line="240" w:lineRule="auto"/>
        <w:ind w:left="567" w:hanging="567"/>
        <w:contextualSpacing w:val="0"/>
        <w:rPr>
          <w:i/>
          <w:lang w:val="es-ES"/>
        </w:rPr>
      </w:pPr>
    </w:p>
    <w:p w14:paraId="7D45D456" w14:textId="77100D99" w:rsidR="00020C98" w:rsidRPr="00195A48" w:rsidRDefault="00195A48" w:rsidP="00020C98">
      <w:pPr>
        <w:pStyle w:val="ListParagraph"/>
        <w:numPr>
          <w:ilvl w:val="0"/>
          <w:numId w:val="14"/>
        </w:numPr>
        <w:spacing w:after="0" w:line="240" w:lineRule="auto"/>
        <w:ind w:left="567" w:hanging="567"/>
        <w:contextualSpacing w:val="0"/>
        <w:jc w:val="both"/>
        <w:rPr>
          <w:iCs/>
          <w:lang w:val="es-ES"/>
        </w:rPr>
      </w:pPr>
      <w:r w:rsidRPr="00586E91">
        <w:rPr>
          <w:iCs/>
          <w:lang w:val="es-ES"/>
        </w:rPr>
        <w:t xml:space="preserve">Entre 2021 y 2023 se realizaron los trabajos preparatorios para elaborar un protocolo sobre las TFCA para la Autoridad Intergubernamental para el Desarrollo (IGAD), en colaboración con el Fondo para la Conservación del Guepardo (CCF) y Legal Atlas (LA), y en estrecha colaboración con la Red de Control de la Vida Silvestre del Cuerno de África (HAWEN), entidad dependiente de la IGAD. En junio de 2024, durante la 6.a reunión del Comité Ejecutivo de HAWEN, los Estados miembros de la IGAD decidieron que no era necesario el Protocolo. En su lugar, en septiembre de 2024 se llevaron a cabo consultas nacionales en los Estados miembros de la IGAD, con el apoyo de los socios del CCF y LA, para determinar las necesidades y </w:t>
      </w:r>
      <w:r w:rsidRPr="00586E91">
        <w:rPr>
          <w:iCs/>
          <w:color w:val="000000" w:themeColor="text1"/>
          <w:lang w:val="es-ES"/>
        </w:rPr>
        <w:t xml:space="preserve">deseos </w:t>
      </w:r>
      <w:r w:rsidRPr="00586E91">
        <w:rPr>
          <w:iCs/>
          <w:lang w:val="es-ES"/>
        </w:rPr>
        <w:t>de los países con respecto al establecimiento de las TFCA</w:t>
      </w:r>
      <w:r w:rsidR="00020C98" w:rsidRPr="00195A48">
        <w:rPr>
          <w:iCs/>
          <w:lang w:val="es-ES"/>
        </w:rPr>
        <w:t xml:space="preserve">. </w:t>
      </w:r>
    </w:p>
    <w:p w14:paraId="7AEFE8F1" w14:textId="77777777" w:rsidR="00020C98" w:rsidRPr="00195A48" w:rsidRDefault="00020C98" w:rsidP="00020C98">
      <w:pPr>
        <w:pStyle w:val="ListParagraph"/>
        <w:spacing w:after="0" w:line="240" w:lineRule="auto"/>
        <w:contextualSpacing w:val="0"/>
        <w:rPr>
          <w:i/>
          <w:lang w:val="es-ES"/>
        </w:rPr>
      </w:pPr>
    </w:p>
    <w:p w14:paraId="60C84F93" w14:textId="6AD757B9" w:rsidR="00020C98" w:rsidRPr="003A2556" w:rsidRDefault="003A2556" w:rsidP="00020C98">
      <w:pPr>
        <w:spacing w:after="0" w:line="240" w:lineRule="auto"/>
        <w:jc w:val="both"/>
        <w:rPr>
          <w:i/>
          <w:lang w:val="es-ES"/>
        </w:rPr>
      </w:pPr>
      <w:r w:rsidRPr="00195A48">
        <w:rPr>
          <w:i/>
          <w:lang w:val="es-ES"/>
        </w:rPr>
        <w:t>Resultado 3.2: Formulación y firma de tratados/acuerdos/</w:t>
      </w:r>
      <w:proofErr w:type="spellStart"/>
      <w:r w:rsidRPr="00195A48">
        <w:rPr>
          <w:i/>
          <w:lang w:val="es-ES"/>
        </w:rPr>
        <w:t>MdE</w:t>
      </w:r>
      <w:proofErr w:type="spellEnd"/>
      <w:r w:rsidRPr="00195A48">
        <w:rPr>
          <w:i/>
          <w:lang w:val="es-ES"/>
        </w:rPr>
        <w:t xml:space="preserve"> bilaterales y multilaterales para la cogestión de TFCA específicas</w:t>
      </w:r>
      <w:r w:rsidR="00020C98" w:rsidRPr="00195A48">
        <w:rPr>
          <w:i/>
          <w:lang w:val="es-ES"/>
        </w:rPr>
        <w:t>:</w:t>
      </w:r>
      <w:r w:rsidR="00020C98" w:rsidRPr="003A2556">
        <w:rPr>
          <w:i/>
          <w:lang w:val="es-ES"/>
        </w:rPr>
        <w:t xml:space="preserve"> </w:t>
      </w:r>
    </w:p>
    <w:p w14:paraId="7FA19523" w14:textId="77777777" w:rsidR="00020C98" w:rsidRPr="003A2556" w:rsidRDefault="00020C98" w:rsidP="00020C98">
      <w:pPr>
        <w:pStyle w:val="ListParagraph"/>
        <w:spacing w:after="0" w:line="240" w:lineRule="auto"/>
        <w:ind w:left="426"/>
        <w:contextualSpacing w:val="0"/>
        <w:jc w:val="both"/>
        <w:rPr>
          <w:i/>
          <w:lang w:val="es-ES"/>
        </w:rPr>
      </w:pPr>
    </w:p>
    <w:p w14:paraId="12CFE893" w14:textId="77777777" w:rsidR="00D4127C" w:rsidRPr="00586E91" w:rsidRDefault="00D4127C" w:rsidP="00D4127C">
      <w:pPr>
        <w:pStyle w:val="ListParagraph"/>
        <w:numPr>
          <w:ilvl w:val="0"/>
          <w:numId w:val="14"/>
        </w:numPr>
        <w:spacing w:after="80" w:line="240" w:lineRule="auto"/>
        <w:ind w:left="567" w:hanging="567"/>
        <w:contextualSpacing w:val="0"/>
        <w:jc w:val="both"/>
        <w:rPr>
          <w:iCs/>
          <w:lang w:val="es-ES"/>
        </w:rPr>
      </w:pPr>
      <w:r w:rsidRPr="00586E91">
        <w:rPr>
          <w:iCs/>
          <w:lang w:val="es-ES"/>
        </w:rPr>
        <w:t>A petición de los Gobiernos de Kenia y Tanzania, la Secretaría de la CMS, junto con la Secretaría del Grupo de Trabajo del Acuerdo de Lusaka, apoyó los preparativos para establecer una TFCA para los ecosistemas Mara-</w:t>
      </w:r>
      <w:proofErr w:type="spellStart"/>
      <w:r w:rsidRPr="00586E91">
        <w:rPr>
          <w:iCs/>
          <w:lang w:val="es-ES"/>
        </w:rPr>
        <w:t>Serengeti</w:t>
      </w:r>
      <w:proofErr w:type="spellEnd"/>
      <w:r w:rsidRPr="00586E91">
        <w:rPr>
          <w:iCs/>
          <w:lang w:val="es-ES"/>
        </w:rPr>
        <w:t xml:space="preserve"> y </w:t>
      </w:r>
      <w:proofErr w:type="spellStart"/>
      <w:r w:rsidRPr="00586E91">
        <w:rPr>
          <w:iCs/>
          <w:lang w:val="es-ES"/>
        </w:rPr>
        <w:t>Tsavo-Mkomazi</w:t>
      </w:r>
      <w:proofErr w:type="spellEnd"/>
      <w:r w:rsidRPr="00586E91">
        <w:rPr>
          <w:iCs/>
          <w:lang w:val="es-ES"/>
        </w:rPr>
        <w:t xml:space="preserve"> en Kenia y Tanzania, que incluía:</w:t>
      </w:r>
    </w:p>
    <w:p w14:paraId="4D19F817" w14:textId="77777777" w:rsidR="00D4127C" w:rsidRPr="00586E91" w:rsidRDefault="00D4127C" w:rsidP="00D4127C">
      <w:pPr>
        <w:pStyle w:val="ListParagraph"/>
        <w:numPr>
          <w:ilvl w:val="0"/>
          <w:numId w:val="20"/>
        </w:numPr>
        <w:spacing w:after="80" w:line="240" w:lineRule="auto"/>
        <w:contextualSpacing w:val="0"/>
        <w:jc w:val="both"/>
        <w:rPr>
          <w:iCs/>
          <w:lang w:val="es-ES"/>
        </w:rPr>
      </w:pPr>
      <w:r w:rsidRPr="00586E91">
        <w:rPr>
          <w:iCs/>
          <w:lang w:val="es-ES"/>
        </w:rPr>
        <w:t xml:space="preserve">un análisis de las lagunas de las TFCA, en el que se destacaron los puntos fuertes y las lagunas de los marcos de conservación existentes; </w:t>
      </w:r>
    </w:p>
    <w:p w14:paraId="784F5608" w14:textId="77777777" w:rsidR="00D4127C" w:rsidRPr="00586E91" w:rsidRDefault="00D4127C" w:rsidP="00D4127C">
      <w:pPr>
        <w:pStyle w:val="ListParagraph"/>
        <w:numPr>
          <w:ilvl w:val="0"/>
          <w:numId w:val="20"/>
        </w:numPr>
        <w:spacing w:after="80" w:line="240" w:lineRule="auto"/>
        <w:contextualSpacing w:val="0"/>
        <w:jc w:val="both"/>
        <w:rPr>
          <w:iCs/>
          <w:lang w:val="es-ES"/>
        </w:rPr>
      </w:pPr>
      <w:r w:rsidRPr="00586E91">
        <w:rPr>
          <w:iCs/>
          <w:lang w:val="es-ES"/>
        </w:rPr>
        <w:t xml:space="preserve">una misión de análisis comparativo a la TFCA </w:t>
      </w:r>
      <w:proofErr w:type="spellStart"/>
      <w:r w:rsidRPr="00586E91">
        <w:rPr>
          <w:iCs/>
          <w:lang w:val="es-ES"/>
        </w:rPr>
        <w:t>Kavango-Zambezi</w:t>
      </w:r>
      <w:proofErr w:type="spellEnd"/>
      <w:r w:rsidRPr="00586E91">
        <w:rPr>
          <w:iCs/>
          <w:lang w:val="es-ES"/>
        </w:rPr>
        <w:t xml:space="preserve"> (KAZA) (agosto de 2024, </w:t>
      </w:r>
      <w:proofErr w:type="spellStart"/>
      <w:r w:rsidRPr="00586E91">
        <w:rPr>
          <w:iCs/>
          <w:lang w:val="es-ES"/>
        </w:rPr>
        <w:t>Kasane</w:t>
      </w:r>
      <w:proofErr w:type="spellEnd"/>
      <w:r w:rsidRPr="00586E91">
        <w:rPr>
          <w:iCs/>
          <w:lang w:val="es-ES"/>
        </w:rPr>
        <w:t>, Botsuana), que proporcionara información sobre el éxito de este modelo, así como las modalidades para establecer una TFCA eficaz</w:t>
      </w:r>
      <w:r w:rsidRPr="00586E91">
        <w:rPr>
          <w:iCs/>
          <w:color w:val="000000" w:themeColor="text1"/>
          <w:lang w:val="es-ES"/>
        </w:rPr>
        <w:t xml:space="preserve">, incluidas las </w:t>
      </w:r>
      <w:r w:rsidRPr="00586E91">
        <w:rPr>
          <w:iCs/>
          <w:lang w:val="es-ES"/>
        </w:rPr>
        <w:t xml:space="preserve">estructuras de gobernanza y las medidas para mitigar los retos de conservación; </w:t>
      </w:r>
    </w:p>
    <w:p w14:paraId="16A45C48" w14:textId="77777777" w:rsidR="00D4127C" w:rsidRPr="00586E91" w:rsidRDefault="00D4127C" w:rsidP="00D4127C">
      <w:pPr>
        <w:pStyle w:val="ListParagraph"/>
        <w:numPr>
          <w:ilvl w:val="0"/>
          <w:numId w:val="20"/>
        </w:numPr>
        <w:spacing w:after="0" w:line="240" w:lineRule="auto"/>
        <w:contextualSpacing w:val="0"/>
        <w:jc w:val="both"/>
        <w:rPr>
          <w:iCs/>
          <w:lang w:val="es-ES"/>
        </w:rPr>
      </w:pPr>
      <w:r w:rsidRPr="00586E91">
        <w:rPr>
          <w:iCs/>
          <w:lang w:val="es-ES"/>
        </w:rPr>
        <w:t xml:space="preserve">reuniones consultivas entre Kenia y Tanzania a nivel técnico (septiembre de 2024, Arusha, Tanzania) para analizar los resultados del análisis de lagunas y la misión de análisis comparativo, además de aportar recomendaciones para que los dos gobiernos las tengan en cuenta. </w:t>
      </w:r>
    </w:p>
    <w:p w14:paraId="3A74F4DF" w14:textId="77777777" w:rsidR="00D4127C" w:rsidRPr="00586E91" w:rsidRDefault="00D4127C" w:rsidP="00D4127C">
      <w:pPr>
        <w:pStyle w:val="ListParagraph"/>
        <w:spacing w:after="0" w:line="240" w:lineRule="auto"/>
        <w:ind w:left="567" w:hanging="567"/>
        <w:contextualSpacing w:val="0"/>
        <w:jc w:val="both"/>
        <w:rPr>
          <w:iCs/>
          <w:lang w:val="es-ES"/>
        </w:rPr>
      </w:pPr>
    </w:p>
    <w:p w14:paraId="33E2EA20" w14:textId="77777777" w:rsidR="00D4127C" w:rsidRPr="00586E91" w:rsidRDefault="00D4127C" w:rsidP="00D4127C">
      <w:pPr>
        <w:pStyle w:val="ListParagraph"/>
        <w:numPr>
          <w:ilvl w:val="0"/>
          <w:numId w:val="14"/>
        </w:numPr>
        <w:spacing w:after="0" w:line="240" w:lineRule="auto"/>
        <w:ind w:left="567" w:hanging="567"/>
        <w:contextualSpacing w:val="0"/>
        <w:jc w:val="both"/>
        <w:rPr>
          <w:iCs/>
          <w:lang w:val="es-ES"/>
        </w:rPr>
      </w:pPr>
      <w:r w:rsidRPr="00586E91">
        <w:rPr>
          <w:iCs/>
          <w:lang w:val="es-ES"/>
        </w:rPr>
        <w:t xml:space="preserve">A petición de los Gobiernos de la República Democrática del Congo y Zambia, la Secretaría de la CMS encargó un estudio de viabilidad para el establecimiento de una </w:t>
      </w:r>
      <w:r w:rsidRPr="00586E91">
        <w:rPr>
          <w:iCs/>
          <w:lang w:val="es-ES"/>
        </w:rPr>
        <w:lastRenderedPageBreak/>
        <w:t xml:space="preserve">TFCA en el ecosistema </w:t>
      </w:r>
      <w:proofErr w:type="spellStart"/>
      <w:r w:rsidRPr="00586E91">
        <w:rPr>
          <w:iCs/>
          <w:lang w:val="es-ES"/>
        </w:rPr>
        <w:t>Mutshatsha-Kasanga</w:t>
      </w:r>
      <w:proofErr w:type="spellEnd"/>
      <w:r w:rsidRPr="00586E91">
        <w:rPr>
          <w:iCs/>
          <w:lang w:val="es-ES"/>
        </w:rPr>
        <w:t xml:space="preserve">. La demarcación propuesta para esta TFCA se basa en el hábitat de los murciélagos migratorios. </w:t>
      </w:r>
    </w:p>
    <w:p w14:paraId="233CA2AC" w14:textId="77777777" w:rsidR="00D4127C" w:rsidRPr="00586E91" w:rsidRDefault="00D4127C" w:rsidP="00D4127C">
      <w:pPr>
        <w:pStyle w:val="ListParagraph"/>
        <w:spacing w:after="0" w:line="240" w:lineRule="auto"/>
        <w:ind w:left="567" w:hanging="567"/>
        <w:contextualSpacing w:val="0"/>
        <w:rPr>
          <w:iCs/>
          <w:lang w:val="es-ES"/>
        </w:rPr>
      </w:pPr>
    </w:p>
    <w:p w14:paraId="647C4218" w14:textId="12FE2B3C" w:rsidR="00020C98" w:rsidRPr="00D4127C" w:rsidRDefault="00D4127C" w:rsidP="00D4127C">
      <w:pPr>
        <w:pStyle w:val="ListParagraph"/>
        <w:numPr>
          <w:ilvl w:val="0"/>
          <w:numId w:val="14"/>
        </w:numPr>
        <w:spacing w:after="0" w:line="240" w:lineRule="auto"/>
        <w:ind w:left="567" w:hanging="567"/>
        <w:contextualSpacing w:val="0"/>
        <w:jc w:val="both"/>
        <w:rPr>
          <w:iCs/>
          <w:lang w:val="es-ES"/>
        </w:rPr>
      </w:pPr>
      <w:r w:rsidRPr="00586E91">
        <w:rPr>
          <w:iCs/>
          <w:lang w:val="es-ES"/>
        </w:rPr>
        <w:t>En julio de 2024, la Secretaría de la CMS, en colaboración con la UICN, organizó una visita de alto nivel de representantes de los Estados miembros de la Comunidad del África Oriental a la Secretaría de la SADC y a la TFCA KAZA en Botsuana</w:t>
      </w:r>
      <w:r w:rsidR="009C68DF">
        <w:rPr>
          <w:iCs/>
          <w:lang w:val="es-ES"/>
        </w:rPr>
        <w:t>.</w:t>
      </w:r>
      <w:r w:rsidR="00020C98" w:rsidRPr="00D4127C">
        <w:rPr>
          <w:iCs/>
          <w:lang w:val="es-ES"/>
        </w:rPr>
        <w:t xml:space="preserve"> </w:t>
      </w:r>
    </w:p>
    <w:p w14:paraId="0E0086DC" w14:textId="77777777" w:rsidR="00020C98" w:rsidRPr="00D4127C" w:rsidRDefault="00020C98" w:rsidP="00020C98">
      <w:pPr>
        <w:pStyle w:val="ListParagraph"/>
        <w:spacing w:after="0" w:line="240" w:lineRule="auto"/>
        <w:ind w:left="426"/>
        <w:contextualSpacing w:val="0"/>
        <w:jc w:val="both"/>
        <w:rPr>
          <w:iCs/>
          <w:lang w:val="es-ES"/>
        </w:rPr>
      </w:pPr>
    </w:p>
    <w:p w14:paraId="45426E3A" w14:textId="2498419F" w:rsidR="00020C98" w:rsidRPr="008650F5" w:rsidRDefault="008650F5" w:rsidP="00020C98">
      <w:pPr>
        <w:spacing w:after="0" w:line="240" w:lineRule="auto"/>
        <w:jc w:val="both"/>
        <w:rPr>
          <w:i/>
          <w:lang w:val="es-ES"/>
        </w:rPr>
      </w:pPr>
      <w:r w:rsidRPr="009C68DF">
        <w:rPr>
          <w:i/>
          <w:lang w:val="es-ES"/>
        </w:rPr>
        <w:t>7. Resultado 3.3: Fomento y apoyo de la armonización de la legislación relativa a la conservación, la gestión y los delitos contra la fauna silvestre</w:t>
      </w:r>
      <w:r w:rsidR="00020C98" w:rsidRPr="009C68DF">
        <w:rPr>
          <w:i/>
          <w:lang w:val="es-ES"/>
        </w:rPr>
        <w:t>:</w:t>
      </w:r>
    </w:p>
    <w:p w14:paraId="208B8BC7" w14:textId="77777777" w:rsidR="00020C98" w:rsidRPr="008650F5" w:rsidRDefault="00020C98" w:rsidP="00020C98">
      <w:pPr>
        <w:pStyle w:val="ListParagraph"/>
        <w:spacing w:after="0" w:line="240" w:lineRule="auto"/>
        <w:ind w:left="426"/>
        <w:contextualSpacing w:val="0"/>
        <w:jc w:val="both"/>
        <w:rPr>
          <w:i/>
          <w:lang w:val="es-ES"/>
        </w:rPr>
      </w:pPr>
    </w:p>
    <w:p w14:paraId="247E0991" w14:textId="4D899DC2" w:rsidR="00020C98" w:rsidRPr="00FB5E83" w:rsidRDefault="00FB5E83" w:rsidP="00020C98">
      <w:pPr>
        <w:pStyle w:val="ListParagraph"/>
        <w:numPr>
          <w:ilvl w:val="0"/>
          <w:numId w:val="14"/>
        </w:numPr>
        <w:spacing w:after="0" w:line="240" w:lineRule="auto"/>
        <w:ind w:left="567" w:hanging="567"/>
        <w:contextualSpacing w:val="0"/>
        <w:jc w:val="both"/>
        <w:rPr>
          <w:iCs/>
          <w:lang w:val="es-ES"/>
        </w:rPr>
      </w:pPr>
      <w:r w:rsidRPr="00586E91">
        <w:rPr>
          <w:iCs/>
          <w:lang w:val="es-ES"/>
        </w:rPr>
        <w:t xml:space="preserve">Todas las actividades se completaron en 2021, tal y como se indica en el documento </w:t>
      </w:r>
      <w:hyperlink r:id="rId15" w:history="1">
        <w:r w:rsidR="00157334" w:rsidRPr="00157334">
          <w:rPr>
            <w:rStyle w:val="Hyperlink"/>
            <w:lang w:val="es-ES"/>
          </w:rPr>
          <w:t>UNEP/CMS/COP14/Doc.30.2.2/Rev.2</w:t>
        </w:r>
      </w:hyperlink>
      <w:r w:rsidR="00020C98" w:rsidRPr="00FB5E83">
        <w:rPr>
          <w:iCs/>
          <w:lang w:val="es-ES"/>
        </w:rPr>
        <w:t>.</w:t>
      </w:r>
    </w:p>
    <w:p w14:paraId="1241C2F7" w14:textId="77777777" w:rsidR="00020C98" w:rsidRPr="00FB5E83" w:rsidRDefault="00020C98" w:rsidP="00020C98">
      <w:pPr>
        <w:pStyle w:val="ListParagraph"/>
        <w:spacing w:after="0" w:line="240" w:lineRule="auto"/>
        <w:contextualSpacing w:val="0"/>
        <w:rPr>
          <w:i/>
          <w:lang w:val="es-ES"/>
        </w:rPr>
      </w:pPr>
    </w:p>
    <w:p w14:paraId="7FE1358C" w14:textId="2159ACE0" w:rsidR="00020C98" w:rsidRPr="00C503DD" w:rsidRDefault="00C503DD" w:rsidP="00020C98">
      <w:pPr>
        <w:spacing w:after="0" w:line="240" w:lineRule="auto"/>
        <w:jc w:val="both"/>
        <w:rPr>
          <w:lang w:val="es-ES"/>
        </w:rPr>
      </w:pPr>
      <w:r w:rsidRPr="00FB5E83">
        <w:rPr>
          <w:i/>
          <w:iCs/>
          <w:lang w:val="es-ES"/>
        </w:rPr>
        <w:t>Resultado 3.4: Planes de gestión de ecosistemas/paisajes y/o planes de cogestión de áreas protegidas elaborados para las TFCA, y formalmente aprobados por las autoridades de gestión competentes; y Resultado 3.5: Acciones de gestión aprobadas y aplicadas en las TFCA, según las prioridades acordadas conjuntamente:</w:t>
      </w:r>
      <w:r w:rsidR="00020C98" w:rsidRPr="00C503DD">
        <w:rPr>
          <w:lang w:val="es-ES"/>
        </w:rPr>
        <w:t xml:space="preserve"> </w:t>
      </w:r>
    </w:p>
    <w:p w14:paraId="7DD0486C" w14:textId="77777777" w:rsidR="00020C98" w:rsidRPr="00C503DD" w:rsidRDefault="00020C98" w:rsidP="00020C98">
      <w:pPr>
        <w:pStyle w:val="ListParagraph"/>
        <w:spacing w:after="0" w:line="240" w:lineRule="auto"/>
        <w:ind w:left="426"/>
        <w:contextualSpacing w:val="0"/>
        <w:jc w:val="both"/>
        <w:rPr>
          <w:lang w:val="es-ES"/>
        </w:rPr>
      </w:pPr>
    </w:p>
    <w:p w14:paraId="3369D50B" w14:textId="77777777" w:rsidR="00C948AA" w:rsidRPr="00586E91" w:rsidRDefault="00C948AA" w:rsidP="00C948AA">
      <w:pPr>
        <w:pStyle w:val="ListParagraph"/>
        <w:numPr>
          <w:ilvl w:val="0"/>
          <w:numId w:val="14"/>
        </w:numPr>
        <w:spacing w:after="80" w:line="240" w:lineRule="auto"/>
        <w:ind w:left="567" w:hanging="567"/>
        <w:contextualSpacing w:val="0"/>
        <w:jc w:val="both"/>
        <w:rPr>
          <w:lang w:val="es-ES"/>
        </w:rPr>
      </w:pPr>
      <w:r w:rsidRPr="00586E91">
        <w:rPr>
          <w:lang w:val="es-ES"/>
        </w:rPr>
        <w:t>A petición de los Estados del área de distribución correspondientes, la Secretaría de la CMS encargó la preparación de los siguientes planes y estrategias de gestión:</w:t>
      </w:r>
    </w:p>
    <w:p w14:paraId="7E1EE122" w14:textId="77777777" w:rsidR="00C948AA" w:rsidRPr="00586E91" w:rsidRDefault="00C948AA" w:rsidP="00C948AA">
      <w:pPr>
        <w:pStyle w:val="ListParagraph"/>
        <w:numPr>
          <w:ilvl w:val="0"/>
          <w:numId w:val="17"/>
        </w:numPr>
        <w:spacing w:after="80" w:line="240" w:lineRule="auto"/>
        <w:ind w:left="964" w:hanging="397"/>
        <w:contextualSpacing w:val="0"/>
        <w:jc w:val="both"/>
        <w:rPr>
          <w:lang w:val="es-ES"/>
        </w:rPr>
      </w:pPr>
      <w:r w:rsidRPr="00586E91">
        <w:rPr>
          <w:lang w:val="es-ES"/>
        </w:rPr>
        <w:t>Plan Estratégico Conjunto para la Gestión de la TFCA Gran Limpopo (Mozambique, Sudáfrica, Zimbabue)</w:t>
      </w:r>
    </w:p>
    <w:p w14:paraId="01AFC2E7" w14:textId="77777777" w:rsidR="00C948AA" w:rsidRPr="00586E91" w:rsidRDefault="00C948AA" w:rsidP="00C948AA">
      <w:pPr>
        <w:pStyle w:val="ListParagraph"/>
        <w:numPr>
          <w:ilvl w:val="0"/>
          <w:numId w:val="17"/>
        </w:numPr>
        <w:spacing w:after="80" w:line="240" w:lineRule="auto"/>
        <w:ind w:left="964" w:hanging="397"/>
        <w:contextualSpacing w:val="0"/>
        <w:jc w:val="both"/>
        <w:rPr>
          <w:lang w:val="es-ES"/>
        </w:rPr>
      </w:pPr>
      <w:r w:rsidRPr="00586E91">
        <w:rPr>
          <w:lang w:val="es-ES"/>
        </w:rPr>
        <w:t>Plan por el uso de la tierra para la TFCA del Bajo Zambeze Mana Pools (LOZAMAP) (Zambia y Zimbabue)</w:t>
      </w:r>
    </w:p>
    <w:p w14:paraId="4ED4BA9C" w14:textId="77777777" w:rsidR="00C948AA" w:rsidRPr="00586E91" w:rsidRDefault="00C948AA" w:rsidP="00C948AA">
      <w:pPr>
        <w:pStyle w:val="ListParagraph"/>
        <w:numPr>
          <w:ilvl w:val="0"/>
          <w:numId w:val="17"/>
        </w:numPr>
        <w:spacing w:after="80" w:line="240" w:lineRule="auto"/>
        <w:ind w:left="964" w:hanging="397"/>
        <w:contextualSpacing w:val="0"/>
        <w:jc w:val="both"/>
        <w:rPr>
          <w:lang w:val="es-ES"/>
        </w:rPr>
      </w:pPr>
      <w:r w:rsidRPr="00586E91">
        <w:rPr>
          <w:lang w:val="es-ES"/>
        </w:rPr>
        <w:t xml:space="preserve">Análisis de la situación como base para el Plan de Gestión Integrado de Elefantes para los parques de Tembe y Maputo en la TFCA </w:t>
      </w:r>
      <w:proofErr w:type="spellStart"/>
      <w:r w:rsidRPr="00586E91">
        <w:rPr>
          <w:lang w:val="es-ES"/>
        </w:rPr>
        <w:t>Lubombo</w:t>
      </w:r>
      <w:proofErr w:type="spellEnd"/>
      <w:r w:rsidRPr="00586E91">
        <w:rPr>
          <w:lang w:val="es-ES"/>
        </w:rPr>
        <w:t xml:space="preserve"> (</w:t>
      </w:r>
      <w:proofErr w:type="spellStart"/>
      <w:r w:rsidRPr="00586E91">
        <w:rPr>
          <w:lang w:val="es-ES"/>
        </w:rPr>
        <w:t>Esuatini</w:t>
      </w:r>
      <w:proofErr w:type="spellEnd"/>
      <w:r w:rsidRPr="00586E91">
        <w:rPr>
          <w:lang w:val="es-ES"/>
        </w:rPr>
        <w:t xml:space="preserve">, Mozambique y Sudáfrica) </w:t>
      </w:r>
    </w:p>
    <w:p w14:paraId="5207D055" w14:textId="77777777" w:rsidR="00C948AA" w:rsidRPr="00586E91" w:rsidRDefault="00C948AA" w:rsidP="00C948AA">
      <w:pPr>
        <w:pStyle w:val="ListParagraph"/>
        <w:numPr>
          <w:ilvl w:val="0"/>
          <w:numId w:val="17"/>
        </w:numPr>
        <w:spacing w:after="80" w:line="240" w:lineRule="auto"/>
        <w:ind w:left="993" w:hanging="426"/>
        <w:contextualSpacing w:val="0"/>
        <w:jc w:val="both"/>
        <w:rPr>
          <w:lang w:val="es-ES"/>
        </w:rPr>
      </w:pPr>
      <w:r w:rsidRPr="00586E91">
        <w:rPr>
          <w:lang w:val="es-ES"/>
        </w:rPr>
        <w:t>Estrategia Nacional de Conservación y Plan de Gestión de Jirafas para Zimbabue</w:t>
      </w:r>
    </w:p>
    <w:p w14:paraId="10D03FAC" w14:textId="77777777" w:rsidR="00C948AA" w:rsidRPr="00586E91" w:rsidRDefault="00C948AA" w:rsidP="00C948AA">
      <w:pPr>
        <w:pStyle w:val="ListParagraph"/>
        <w:numPr>
          <w:ilvl w:val="0"/>
          <w:numId w:val="17"/>
        </w:numPr>
        <w:spacing w:after="80" w:line="240" w:lineRule="auto"/>
        <w:ind w:left="993" w:hanging="426"/>
        <w:contextualSpacing w:val="0"/>
        <w:jc w:val="both"/>
        <w:rPr>
          <w:lang w:val="es-ES"/>
        </w:rPr>
      </w:pPr>
      <w:r w:rsidRPr="00586E91">
        <w:rPr>
          <w:lang w:val="es-ES"/>
        </w:rPr>
        <w:t xml:space="preserve">Enfoque para una Estrategia de Operaciones Conjuntas para la TFCA de </w:t>
      </w:r>
      <w:proofErr w:type="spellStart"/>
      <w:r w:rsidRPr="00586E91">
        <w:rPr>
          <w:lang w:val="es-ES"/>
        </w:rPr>
        <w:t>Kosi</w:t>
      </w:r>
      <w:proofErr w:type="spellEnd"/>
      <w:r w:rsidRPr="00586E91">
        <w:rPr>
          <w:lang w:val="es-ES"/>
        </w:rPr>
        <w:t xml:space="preserve"> Bay/Ponta do Ouro (Mozambique y Sudáfrica)</w:t>
      </w:r>
    </w:p>
    <w:p w14:paraId="20276774" w14:textId="77777777" w:rsidR="00C948AA" w:rsidRPr="00586E91" w:rsidRDefault="00C948AA" w:rsidP="00C948AA">
      <w:pPr>
        <w:pStyle w:val="ListParagraph"/>
        <w:numPr>
          <w:ilvl w:val="0"/>
          <w:numId w:val="17"/>
        </w:numPr>
        <w:spacing w:after="80" w:line="240" w:lineRule="auto"/>
        <w:ind w:left="993" w:hanging="426"/>
        <w:contextualSpacing w:val="0"/>
        <w:jc w:val="both"/>
        <w:rPr>
          <w:lang w:val="es-ES"/>
        </w:rPr>
      </w:pPr>
      <w:r w:rsidRPr="00586E91">
        <w:rPr>
          <w:lang w:val="es-ES"/>
        </w:rPr>
        <w:t>Análisis de la situación de la Estrategia de Conservación del Buitre para la SADC</w:t>
      </w:r>
    </w:p>
    <w:p w14:paraId="22B888EF" w14:textId="77777777" w:rsidR="00C948AA" w:rsidRPr="00586E91" w:rsidRDefault="00C948AA" w:rsidP="00C948AA">
      <w:pPr>
        <w:pStyle w:val="ListParagraph"/>
        <w:numPr>
          <w:ilvl w:val="0"/>
          <w:numId w:val="17"/>
        </w:numPr>
        <w:spacing w:after="80" w:line="240" w:lineRule="auto"/>
        <w:ind w:left="993" w:hanging="426"/>
        <w:contextualSpacing w:val="0"/>
        <w:jc w:val="both"/>
        <w:rPr>
          <w:lang w:val="es-ES"/>
        </w:rPr>
      </w:pPr>
      <w:r w:rsidRPr="00586E91">
        <w:rPr>
          <w:lang w:val="es-ES"/>
        </w:rPr>
        <w:t>Hoja de Ruta para la Conservación del Leopardo en África (que será consultada por los Estados del área de distribución)</w:t>
      </w:r>
    </w:p>
    <w:p w14:paraId="1C6A10B8" w14:textId="77777777" w:rsidR="00C948AA" w:rsidRPr="00586E91" w:rsidRDefault="00C948AA" w:rsidP="00C948AA">
      <w:pPr>
        <w:pStyle w:val="ListParagraph"/>
        <w:numPr>
          <w:ilvl w:val="0"/>
          <w:numId w:val="17"/>
        </w:numPr>
        <w:spacing w:after="80" w:line="240" w:lineRule="auto"/>
        <w:ind w:left="993" w:hanging="426"/>
        <w:contextualSpacing w:val="0"/>
        <w:jc w:val="both"/>
        <w:rPr>
          <w:lang w:val="es-ES"/>
        </w:rPr>
      </w:pPr>
      <w:r w:rsidRPr="00586E91">
        <w:rPr>
          <w:lang w:val="es-ES"/>
        </w:rPr>
        <w:t>Soluciones de seguros para conflictos entre seres humanos y vida silvestre en Zambia</w:t>
      </w:r>
    </w:p>
    <w:p w14:paraId="2C1018CB" w14:textId="77777777" w:rsidR="00C948AA" w:rsidRPr="00586E91" w:rsidRDefault="00C948AA" w:rsidP="00C948AA">
      <w:pPr>
        <w:pStyle w:val="ListParagraph"/>
        <w:numPr>
          <w:ilvl w:val="0"/>
          <w:numId w:val="17"/>
        </w:numPr>
        <w:spacing w:after="0" w:line="240" w:lineRule="auto"/>
        <w:ind w:left="993" w:hanging="426"/>
        <w:contextualSpacing w:val="0"/>
        <w:jc w:val="both"/>
        <w:rPr>
          <w:lang w:val="es-ES"/>
        </w:rPr>
      </w:pPr>
      <w:r w:rsidRPr="00586E91">
        <w:rPr>
          <w:lang w:val="es-ES"/>
        </w:rPr>
        <w:t>Inventario de soluciones financieras</w:t>
      </w:r>
    </w:p>
    <w:p w14:paraId="0093F533" w14:textId="77777777" w:rsidR="00C948AA" w:rsidRPr="00586E91" w:rsidRDefault="00C948AA" w:rsidP="00C948AA">
      <w:pPr>
        <w:spacing w:after="0" w:line="240" w:lineRule="auto"/>
        <w:jc w:val="both"/>
        <w:rPr>
          <w:rFonts w:cs="Arial"/>
          <w:lang w:val="es-ES"/>
        </w:rPr>
      </w:pPr>
    </w:p>
    <w:p w14:paraId="7DC36AF0" w14:textId="473243A6" w:rsidR="00020C98" w:rsidRDefault="00C948AA" w:rsidP="00C948AA">
      <w:pPr>
        <w:spacing w:after="0" w:line="240" w:lineRule="auto"/>
        <w:jc w:val="both"/>
        <w:rPr>
          <w:rFonts w:cs="Arial"/>
          <w:u w:val="single"/>
          <w:lang w:val="en-GB"/>
        </w:rPr>
      </w:pPr>
      <w:r w:rsidRPr="00586E91">
        <w:rPr>
          <w:rFonts w:cs="Arial"/>
          <w:u w:val="single"/>
          <w:lang w:val="es-ES"/>
        </w:rPr>
        <w:t>Implementación de las Decisiones 14.197-14.199</w:t>
      </w:r>
    </w:p>
    <w:p w14:paraId="4CEA75B8" w14:textId="77777777" w:rsidR="00020C98" w:rsidRPr="004B250F" w:rsidRDefault="00020C98" w:rsidP="00020C98">
      <w:pPr>
        <w:spacing w:after="0" w:line="240" w:lineRule="auto"/>
        <w:jc w:val="both"/>
        <w:rPr>
          <w:rFonts w:cs="Arial"/>
          <w:u w:val="single"/>
          <w:lang w:val="en-GB"/>
        </w:rPr>
      </w:pPr>
    </w:p>
    <w:p w14:paraId="59B2E97C" w14:textId="15964031" w:rsidR="00020C98" w:rsidRPr="007074EF" w:rsidRDefault="00F42A65" w:rsidP="00020C98">
      <w:pPr>
        <w:pStyle w:val="ListParagraph"/>
        <w:numPr>
          <w:ilvl w:val="0"/>
          <w:numId w:val="14"/>
        </w:numPr>
        <w:spacing w:after="0" w:line="240" w:lineRule="auto"/>
        <w:ind w:left="567" w:hanging="567"/>
        <w:contextualSpacing w:val="0"/>
        <w:jc w:val="both"/>
        <w:rPr>
          <w:rFonts w:cs="Arial"/>
          <w:lang w:val="es-ES"/>
        </w:rPr>
      </w:pPr>
      <w:r w:rsidRPr="00506A54">
        <w:rPr>
          <w:rFonts w:cs="Arial"/>
          <w:lang w:val="es-ES"/>
        </w:rPr>
        <w:t>En 2021, la Secretaría de la CMS encargó al Centro Mundial de Vigilancia de la Conservación de las Naciones Unidas para el Medio Ambiente (PNUMA-WCMC) que desarrollara una metodología y una nueva herramienta web de acceso al público para que se identificaran las áreas protegidas existentes en África, que sean espacialmente adyacentes, estén conectadas ecológicamente a través de las fronteras de los países, y que tienen el potencial para una gestión armonizada</w:t>
      </w:r>
      <w:r w:rsidR="00777C3A" w:rsidRPr="00506A54">
        <w:rPr>
          <w:color w:val="000000"/>
          <w:lang w:val="es-ES"/>
        </w:rPr>
        <w:t xml:space="preserve"> La herramienta (</w:t>
      </w:r>
      <w:hyperlink r:id="rId16" w:history="1">
        <w:r w:rsidR="00777C3A" w:rsidRPr="00494C75">
          <w:rPr>
            <w:rStyle w:val="Hyperlink"/>
            <w:i/>
            <w:iCs/>
            <w:lang w:val="es-ES"/>
          </w:rPr>
          <w:t>Identificación de oportunidades para la conservación transfronteriza</w:t>
        </w:r>
      </w:hyperlink>
      <w:r w:rsidR="00777C3A" w:rsidRPr="00506A54">
        <w:rPr>
          <w:color w:val="000000"/>
          <w:lang w:val="es-ES"/>
        </w:rPr>
        <w:t>) ya está en línea, y proporciona a los gobiernos, y a otros agentes, una base científica para establecer acuerdos bilaterales y multilaterales de TFCA en toda África. La herramienta se presentó en el Congreso de Áreas Protegidas de África, en Ruanda, en 2022</w:t>
      </w:r>
      <w:r w:rsidR="00020C98" w:rsidRPr="00506A54">
        <w:rPr>
          <w:rFonts w:cs="Arial"/>
          <w:lang w:val="es-ES"/>
        </w:rPr>
        <w:t xml:space="preserve">. </w:t>
      </w:r>
      <w:r w:rsidR="00C948AA" w:rsidRPr="007074EF">
        <w:rPr>
          <w:rFonts w:cs="Arial"/>
          <w:lang w:val="es-ES"/>
        </w:rPr>
        <w:t xml:space="preserve">Un </w:t>
      </w:r>
      <w:hyperlink r:id="rId17" w:history="1">
        <w:r w:rsidR="00D01A3F" w:rsidRPr="007074EF">
          <w:rPr>
            <w:rStyle w:val="Hyperlink"/>
            <w:rFonts w:cs="Arial"/>
            <w:lang w:val="es-ES"/>
          </w:rPr>
          <w:t>documento científico</w:t>
        </w:r>
      </w:hyperlink>
      <w:r w:rsidR="00020C98" w:rsidRPr="007074EF">
        <w:rPr>
          <w:rFonts w:cs="Arial"/>
          <w:lang w:val="es-ES"/>
        </w:rPr>
        <w:t xml:space="preserve"> </w:t>
      </w:r>
      <w:r w:rsidR="00506A54" w:rsidRPr="007074EF">
        <w:rPr>
          <w:rFonts w:cs="Arial"/>
          <w:lang w:val="es-ES"/>
        </w:rPr>
        <w:t>basado en un análisis realizado utilizando la herramienta</w:t>
      </w:r>
      <w:r w:rsidR="00020C98" w:rsidRPr="007074EF">
        <w:rPr>
          <w:rFonts w:cs="Arial"/>
          <w:lang w:val="es-ES"/>
        </w:rPr>
        <w:t xml:space="preserve"> </w:t>
      </w:r>
      <w:r w:rsidR="007074EF" w:rsidRPr="00586E91">
        <w:rPr>
          <w:rFonts w:cs="Arial"/>
          <w:lang w:val="es-ES"/>
        </w:rPr>
        <w:t>y en agosto de 2023, se publicó en la revista «</w:t>
      </w:r>
      <w:proofErr w:type="spellStart"/>
      <w:r w:rsidR="007074EF" w:rsidRPr="00586E91">
        <w:rPr>
          <w:rFonts w:cs="Arial"/>
          <w:lang w:val="es-ES"/>
        </w:rPr>
        <w:t>Frontiers</w:t>
      </w:r>
      <w:proofErr w:type="spellEnd"/>
      <w:r w:rsidR="007074EF" w:rsidRPr="00586E91">
        <w:rPr>
          <w:rFonts w:cs="Arial"/>
          <w:lang w:val="es-ES"/>
        </w:rPr>
        <w:t xml:space="preserve"> in </w:t>
      </w:r>
      <w:proofErr w:type="spellStart"/>
      <w:r w:rsidR="007074EF" w:rsidRPr="00586E91">
        <w:rPr>
          <w:rFonts w:cs="Arial"/>
          <w:lang w:val="es-ES"/>
        </w:rPr>
        <w:t>Conservation</w:t>
      </w:r>
      <w:proofErr w:type="spellEnd"/>
      <w:r w:rsidR="007074EF" w:rsidRPr="00586E91">
        <w:rPr>
          <w:rFonts w:cs="Arial"/>
          <w:lang w:val="es-ES"/>
        </w:rPr>
        <w:t xml:space="preserve"> </w:t>
      </w:r>
      <w:proofErr w:type="spellStart"/>
      <w:r w:rsidR="007074EF" w:rsidRPr="00586E91">
        <w:rPr>
          <w:rFonts w:cs="Arial"/>
          <w:lang w:val="es-ES"/>
        </w:rPr>
        <w:t>Science</w:t>
      </w:r>
      <w:proofErr w:type="spellEnd"/>
      <w:r w:rsidR="007074EF" w:rsidRPr="00586E91">
        <w:rPr>
          <w:rFonts w:cs="Arial"/>
          <w:lang w:val="es-ES"/>
        </w:rPr>
        <w:t>» una evaluación adicional de la conectividad funcional entre pares de áreas protegidas</w:t>
      </w:r>
      <w:r w:rsidR="00020C98" w:rsidRPr="007074EF">
        <w:rPr>
          <w:rFonts w:cs="Arial"/>
          <w:lang w:val="es-ES"/>
        </w:rPr>
        <w:t>.</w:t>
      </w:r>
    </w:p>
    <w:p w14:paraId="3FB42B7D" w14:textId="77777777" w:rsidR="00020C98" w:rsidRPr="007074EF" w:rsidRDefault="00020C98" w:rsidP="00020C98">
      <w:pPr>
        <w:pStyle w:val="ListParagraph"/>
        <w:spacing w:after="0" w:line="240" w:lineRule="auto"/>
        <w:ind w:left="567"/>
        <w:contextualSpacing w:val="0"/>
        <w:jc w:val="both"/>
        <w:rPr>
          <w:rFonts w:cs="Arial"/>
          <w:lang w:val="es-ES"/>
        </w:rPr>
      </w:pPr>
    </w:p>
    <w:p w14:paraId="56D467C4" w14:textId="77777777" w:rsidR="00C63305" w:rsidRPr="00C63305" w:rsidRDefault="00C63305" w:rsidP="00C63305">
      <w:pPr>
        <w:pStyle w:val="ListParagraph"/>
        <w:numPr>
          <w:ilvl w:val="0"/>
          <w:numId w:val="14"/>
        </w:numPr>
        <w:spacing w:after="0" w:line="240" w:lineRule="auto"/>
        <w:ind w:left="540" w:hanging="540"/>
        <w:jc w:val="both"/>
        <w:rPr>
          <w:rFonts w:cs="Arial"/>
          <w:lang w:val="es-ES"/>
        </w:rPr>
      </w:pPr>
      <w:r w:rsidRPr="00C63305">
        <w:rPr>
          <w:rFonts w:cs="Arial"/>
          <w:lang w:val="es-ES"/>
        </w:rPr>
        <w:t>De conformidad con las decisiones 14.197 a 14.199 de la COP14, la Secretaría organizó una serie de seminarios web sobre la utilidad y funcionalidad de la herramienta. La herramienta se presentó a los miembros de la Autoridad Intergubernamental para el Desarrollo (IGAD) el 6 de junio de 2024; a los miembros de la Comunidad de Desarrollo de África Austral (SADC) el 7 de junio de 2024, y a los miembros de la Comunidad de África Oriental (EAC) el 26 de junio de 2024 durante eventos ya programados. La Secretaría de la CMS organizó un evento independiente el 19 de junio de 2024 para todas las Partes de la CMS de las regiones de la IGAD, la EAC y la SADC.</w:t>
      </w:r>
    </w:p>
    <w:p w14:paraId="42E80CAA" w14:textId="77777777" w:rsidR="00020C98" w:rsidRPr="00C63305" w:rsidRDefault="00020C98" w:rsidP="00020C98">
      <w:pPr>
        <w:pStyle w:val="ListParagraph"/>
        <w:ind w:left="567"/>
        <w:jc w:val="both"/>
        <w:rPr>
          <w:rFonts w:eastAsia="Times New Roman" w:cs="Arial"/>
          <w:snapToGrid w:val="0"/>
          <w:color w:val="000000"/>
          <w:kern w:val="2"/>
          <w:lang w:val="es-ES"/>
        </w:rPr>
      </w:pPr>
    </w:p>
    <w:p w14:paraId="36B787A4" w14:textId="712A2E3A" w:rsidR="0070232E" w:rsidRPr="00410E70" w:rsidRDefault="0070232E" w:rsidP="0070232E">
      <w:pPr>
        <w:pStyle w:val="ListParagraph"/>
        <w:numPr>
          <w:ilvl w:val="0"/>
          <w:numId w:val="14"/>
        </w:numPr>
        <w:spacing w:after="0" w:line="240" w:lineRule="auto"/>
        <w:ind w:left="540" w:hanging="540"/>
        <w:jc w:val="both"/>
        <w:rPr>
          <w:rFonts w:eastAsia="Times New Roman" w:cs="Arial"/>
          <w:snapToGrid w:val="0"/>
          <w:color w:val="000000"/>
          <w:kern w:val="2"/>
          <w:lang w:val="es-ES"/>
        </w:rPr>
      </w:pPr>
      <w:r w:rsidRPr="0070232E">
        <w:rPr>
          <w:rFonts w:eastAsia="Times New Roman" w:cs="Arial"/>
          <w:snapToGrid w:val="0"/>
          <w:color w:val="000000"/>
          <w:kern w:val="2"/>
          <w:lang w:val="es-ES"/>
        </w:rPr>
        <w:t>Para facilitar la aplicación de la Decisión 14.197, se envió una encuesta a todas las Partes de la CMS, así como a los participantes en los eventos mencionados anteriormente, un total de 145 personas (</w:t>
      </w:r>
      <w:hyperlink r:id="rId18" w:history="1">
        <w:r w:rsidRPr="0070232E">
          <w:rPr>
            <w:rStyle w:val="Hyperlink"/>
            <w:lang w:val="es-ES"/>
          </w:rPr>
          <w:t>https://forms.office.com/e/wgwVTNU94p</w:t>
        </w:r>
      </w:hyperlink>
      <w:r w:rsidRPr="0070232E">
        <w:rPr>
          <w:lang w:val="es-ES"/>
        </w:rPr>
        <w:t>)</w:t>
      </w:r>
      <w:r w:rsidRPr="0070232E">
        <w:rPr>
          <w:rFonts w:eastAsia="Times New Roman" w:cs="Arial"/>
          <w:snapToGrid w:val="0"/>
          <w:color w:val="000000"/>
          <w:kern w:val="2"/>
          <w:lang w:val="es-ES"/>
        </w:rPr>
        <w:t xml:space="preserve">. Las opiniones sobre la herramienta expresadas durante los seminarios web y las respuestas a la encuesta fueron recopiladas por el PNUMA-WCMC en el informe adjunto al presente documento. </w:t>
      </w:r>
      <w:r w:rsidRPr="00410E70">
        <w:rPr>
          <w:rFonts w:eastAsia="Times New Roman" w:cs="Arial"/>
          <w:snapToGrid w:val="0"/>
          <w:color w:val="000000"/>
          <w:kern w:val="2"/>
          <w:lang w:val="es-ES"/>
        </w:rPr>
        <w:t>El PNUMA-WCMC recibió dos respuestas a la encuesta.</w:t>
      </w:r>
      <w:r w:rsidR="00410E70" w:rsidRPr="00410E70">
        <w:rPr>
          <w:rFonts w:eastAsia="Times New Roman" w:cs="Arial"/>
          <w:snapToGrid w:val="0"/>
          <w:color w:val="000000"/>
          <w:kern w:val="2"/>
          <w:lang w:val="es-ES"/>
        </w:rPr>
        <w:t xml:space="preserve"> </w:t>
      </w:r>
      <w:r w:rsidR="00410E70" w:rsidRPr="00586E91">
        <w:rPr>
          <w:rFonts w:eastAsia="Times New Roman" w:cs="Arial"/>
          <w:snapToGrid w:val="0"/>
          <w:color w:val="000000"/>
          <w:kern w:val="2"/>
          <w:lang w:val="es-ES"/>
        </w:rPr>
        <w:t>A través de debates en los talleres se recopiló más información no estructurada.</w:t>
      </w:r>
    </w:p>
    <w:p w14:paraId="7421E141" w14:textId="77777777" w:rsidR="00020C98" w:rsidRPr="00410E70" w:rsidRDefault="00020C98" w:rsidP="00020C98">
      <w:pPr>
        <w:pStyle w:val="ListParagraph"/>
        <w:spacing w:after="0" w:line="240" w:lineRule="auto"/>
        <w:ind w:left="567"/>
        <w:contextualSpacing w:val="0"/>
        <w:jc w:val="both"/>
        <w:rPr>
          <w:rFonts w:cs="Arial"/>
          <w:bCs/>
          <w:lang w:val="es-ES"/>
        </w:rPr>
      </w:pPr>
    </w:p>
    <w:p w14:paraId="680B8E9F" w14:textId="3749209B" w:rsidR="009A1872" w:rsidRPr="00586E91" w:rsidRDefault="009A1872" w:rsidP="009A1872">
      <w:pPr>
        <w:widowControl w:val="0"/>
        <w:numPr>
          <w:ilvl w:val="0"/>
          <w:numId w:val="14"/>
        </w:numPr>
        <w:autoSpaceDE w:val="0"/>
        <w:autoSpaceDN w:val="0"/>
        <w:adjustRightInd w:val="0"/>
        <w:spacing w:after="80" w:line="240" w:lineRule="auto"/>
        <w:ind w:left="567" w:hanging="567"/>
        <w:jc w:val="both"/>
        <w:rPr>
          <w:rFonts w:cs="Arial"/>
          <w:lang w:val="es-ES"/>
        </w:rPr>
      </w:pPr>
      <w:r w:rsidRPr="00586E91">
        <w:rPr>
          <w:rFonts w:cs="Arial"/>
          <w:lang w:val="es-ES"/>
        </w:rPr>
        <w:t>En la 7.a reunión del Comité del Período de Sesiones (</w:t>
      </w:r>
      <w:hyperlink r:id="rId19" w:history="1">
        <w:r w:rsidR="006F4A12" w:rsidRPr="006F4A12">
          <w:rPr>
            <w:rStyle w:val="Hyperlink"/>
            <w:rFonts w:cs="Arial"/>
            <w:lang w:val="es-ES"/>
          </w:rPr>
          <w:t>UNEP/CMS/ScC-SC7/Doc.6.1.3</w:t>
        </w:r>
      </w:hyperlink>
      <w:r w:rsidRPr="00586E91">
        <w:rPr>
          <w:rFonts w:cs="Arial"/>
          <w:lang w:val="es-ES"/>
        </w:rPr>
        <w:t xml:space="preserve">), la Secretaría remitió el informe resumido de las respuestas de las Partes al Consejo Científico, en el que se enumeraban las siguientes recomendaciones: </w:t>
      </w:r>
    </w:p>
    <w:p w14:paraId="1E6B4F97" w14:textId="77777777" w:rsidR="009A1872" w:rsidRPr="00586E91" w:rsidRDefault="009A1872" w:rsidP="009A1872">
      <w:pPr>
        <w:pStyle w:val="NoSpacing"/>
        <w:numPr>
          <w:ilvl w:val="0"/>
          <w:numId w:val="19"/>
        </w:numPr>
        <w:spacing w:after="80"/>
        <w:ind w:hanging="540"/>
        <w:jc w:val="both"/>
        <w:rPr>
          <w:rFonts w:cs="Arial"/>
          <w:bCs/>
          <w:lang w:val="es-ES"/>
        </w:rPr>
      </w:pPr>
      <w:r w:rsidRPr="00586E91">
        <w:rPr>
          <w:rFonts w:cs="Arial"/>
          <w:bCs/>
          <w:lang w:val="es-ES"/>
        </w:rPr>
        <w:t xml:space="preserve">Seguir difundiendo la encuesta. </w:t>
      </w:r>
    </w:p>
    <w:p w14:paraId="15D927EE" w14:textId="77777777" w:rsidR="009A1872" w:rsidRPr="00586E91" w:rsidRDefault="009A1872" w:rsidP="009A1872">
      <w:pPr>
        <w:pStyle w:val="NoSpacing"/>
        <w:numPr>
          <w:ilvl w:val="0"/>
          <w:numId w:val="19"/>
        </w:numPr>
        <w:spacing w:after="80"/>
        <w:ind w:hanging="540"/>
        <w:jc w:val="both"/>
        <w:rPr>
          <w:rFonts w:cs="Arial"/>
          <w:bCs/>
          <w:lang w:val="es-ES"/>
        </w:rPr>
      </w:pPr>
      <w:r w:rsidRPr="00586E91">
        <w:rPr>
          <w:rFonts w:cs="Arial"/>
          <w:bCs/>
          <w:lang w:val="es-ES"/>
        </w:rPr>
        <w:t>Considerar la posibilidad de alojar el contenido de la herramienta transfronteriza en una nueva ubicación.</w:t>
      </w:r>
    </w:p>
    <w:p w14:paraId="46DD814B" w14:textId="77777777" w:rsidR="009A1872" w:rsidRPr="00586E91" w:rsidRDefault="009A1872" w:rsidP="009A1872">
      <w:pPr>
        <w:pStyle w:val="NoSpacing"/>
        <w:numPr>
          <w:ilvl w:val="0"/>
          <w:numId w:val="19"/>
        </w:numPr>
        <w:spacing w:after="80"/>
        <w:ind w:hanging="540"/>
        <w:jc w:val="both"/>
        <w:rPr>
          <w:rFonts w:cs="Arial"/>
          <w:bCs/>
          <w:lang w:val="es-ES"/>
        </w:rPr>
      </w:pPr>
      <w:r w:rsidRPr="00586E91">
        <w:rPr>
          <w:rFonts w:cs="Arial"/>
          <w:bCs/>
          <w:lang w:val="es-ES"/>
        </w:rPr>
        <w:t>Considerar la posibilidad de compartir capas de datos con el Laboratorio de Biodiversidad de las Naciones Unidas (UNBL) y/u otras plataformas en línea. Como alternativa, considerar la posibilidad de añadir algunas capas de datos que se enumeran en las «Mejoras de contenido», o facilitar al UNBL enlaces dentro de la herramienta Transfronteriza.</w:t>
      </w:r>
    </w:p>
    <w:p w14:paraId="3AB5FE0D" w14:textId="77777777" w:rsidR="009A1872" w:rsidRPr="00586E91" w:rsidRDefault="009A1872" w:rsidP="009A1872">
      <w:pPr>
        <w:pStyle w:val="NoSpacing"/>
        <w:numPr>
          <w:ilvl w:val="0"/>
          <w:numId w:val="19"/>
        </w:numPr>
        <w:spacing w:after="80"/>
        <w:ind w:hanging="540"/>
        <w:jc w:val="both"/>
        <w:rPr>
          <w:rFonts w:cs="Arial"/>
          <w:bCs/>
          <w:lang w:val="es-ES"/>
        </w:rPr>
      </w:pPr>
      <w:r w:rsidRPr="00586E91">
        <w:rPr>
          <w:rFonts w:eastAsia="Times New Roman" w:cs="Arial"/>
          <w:bCs/>
          <w:lang w:val="es-ES" w:eastAsia="es-ES"/>
        </w:rPr>
        <w:t>Considerar la implementación de las ideas que aparecen en «Mejoras de usabilidad».</w:t>
      </w:r>
    </w:p>
    <w:p w14:paraId="72E01076" w14:textId="77777777" w:rsidR="009A1872" w:rsidRPr="00586E91" w:rsidRDefault="009A1872" w:rsidP="009A1872">
      <w:pPr>
        <w:pStyle w:val="NoSpacing"/>
        <w:numPr>
          <w:ilvl w:val="0"/>
          <w:numId w:val="19"/>
        </w:numPr>
        <w:ind w:hanging="540"/>
        <w:jc w:val="both"/>
        <w:rPr>
          <w:rFonts w:cs="Arial"/>
          <w:bCs/>
          <w:lang w:val="es-ES"/>
        </w:rPr>
      </w:pPr>
      <w:r w:rsidRPr="00586E91">
        <w:rPr>
          <w:rFonts w:eastAsia="Times New Roman" w:cs="Arial"/>
          <w:bCs/>
          <w:lang w:val="es-ES" w:eastAsia="es-ES"/>
        </w:rPr>
        <w:t>Mejorar el contenido y la visibilidad de la información que se facilita sobre la metodología de la capa de datos.</w:t>
      </w:r>
    </w:p>
    <w:p w14:paraId="18E4739C" w14:textId="77777777" w:rsidR="009A1872" w:rsidRPr="00586E91" w:rsidRDefault="009A1872" w:rsidP="009A1872">
      <w:pPr>
        <w:widowControl w:val="0"/>
        <w:autoSpaceDE w:val="0"/>
        <w:autoSpaceDN w:val="0"/>
        <w:adjustRightInd w:val="0"/>
        <w:spacing w:after="0" w:line="240" w:lineRule="auto"/>
        <w:ind w:left="426"/>
        <w:jc w:val="both"/>
        <w:rPr>
          <w:rFonts w:cs="Arial"/>
          <w:lang w:val="es-ES"/>
        </w:rPr>
      </w:pPr>
    </w:p>
    <w:p w14:paraId="0F33DB27" w14:textId="573121FA" w:rsidR="009A1872" w:rsidRPr="00586E91" w:rsidRDefault="009A1872" w:rsidP="009A1872">
      <w:pPr>
        <w:numPr>
          <w:ilvl w:val="0"/>
          <w:numId w:val="14"/>
        </w:numPr>
        <w:autoSpaceDE w:val="0"/>
        <w:autoSpaceDN w:val="0"/>
        <w:adjustRightInd w:val="0"/>
        <w:spacing w:after="0" w:line="240" w:lineRule="auto"/>
        <w:ind w:left="567" w:hanging="567"/>
        <w:jc w:val="both"/>
        <w:rPr>
          <w:rFonts w:cs="Arial"/>
          <w:lang w:val="es-ES"/>
        </w:rPr>
      </w:pPr>
      <w:r w:rsidRPr="00586E91">
        <w:rPr>
          <w:rFonts w:cs="Arial"/>
          <w:lang w:val="es-ES"/>
        </w:rPr>
        <w:t>El Consejo Científico aprobó las recomendaciones, insistiendo en la necesidad de añadir más capas de datos para reforzar los criterios de referencia y mostrar los rangos de distribución de la vida silvestre. Se señaló que la herramienta debería incorporar datos de todos los usos de la tierra y las partes interesadas para tomar las decisiones, garantizando que no solo sirva como herramienta de conservación, sino que funcione como un instrumento independiente y práctico para la toma de decisiones (</w:t>
      </w:r>
      <w:hyperlink r:id="rId20" w:history="1">
        <w:r w:rsidR="00A83758" w:rsidRPr="00A83758">
          <w:rPr>
            <w:rStyle w:val="Hyperlink"/>
            <w:rFonts w:cs="Arial"/>
            <w:lang w:val="es-ES"/>
          </w:rPr>
          <w:t>UNEP/CMS/ScC-SC7/</w:t>
        </w:r>
        <w:r w:rsidR="00A83758">
          <w:rPr>
            <w:rStyle w:val="Hyperlink"/>
            <w:rFonts w:cs="Arial"/>
            <w:lang w:val="es-ES"/>
          </w:rPr>
          <w:t>Informe</w:t>
        </w:r>
      </w:hyperlink>
      <w:r w:rsidRPr="00586E91">
        <w:rPr>
          <w:rFonts w:cs="Arial"/>
          <w:lang w:val="es-ES"/>
        </w:rPr>
        <w:t xml:space="preserve">). </w:t>
      </w:r>
    </w:p>
    <w:p w14:paraId="536B127A" w14:textId="77777777" w:rsidR="009A1872" w:rsidRPr="00586E91" w:rsidRDefault="009A1872" w:rsidP="009A1872">
      <w:pPr>
        <w:widowControl w:val="0"/>
        <w:autoSpaceDE w:val="0"/>
        <w:autoSpaceDN w:val="0"/>
        <w:adjustRightInd w:val="0"/>
        <w:spacing w:after="0" w:line="240" w:lineRule="auto"/>
        <w:ind w:left="426"/>
        <w:jc w:val="both"/>
        <w:rPr>
          <w:rFonts w:cs="Arial"/>
          <w:lang w:val="es-ES"/>
        </w:rPr>
      </w:pPr>
    </w:p>
    <w:p w14:paraId="4DB0ABB6" w14:textId="77777777" w:rsidR="009A1872" w:rsidRPr="00586E91" w:rsidRDefault="009A1872" w:rsidP="009A1872">
      <w:pPr>
        <w:spacing w:after="0" w:line="240" w:lineRule="auto"/>
        <w:jc w:val="both"/>
        <w:rPr>
          <w:rFonts w:cs="Arial"/>
          <w:u w:val="single"/>
          <w:lang w:val="es-ES"/>
        </w:rPr>
      </w:pPr>
      <w:r w:rsidRPr="00586E91">
        <w:rPr>
          <w:rFonts w:cs="Arial"/>
          <w:u w:val="single"/>
          <w:lang w:val="es-ES"/>
        </w:rPr>
        <w:t>Debate y análisis</w:t>
      </w:r>
    </w:p>
    <w:p w14:paraId="0DB83359" w14:textId="77777777" w:rsidR="009A1872" w:rsidRPr="00586E91" w:rsidRDefault="009A1872" w:rsidP="009A1872">
      <w:pPr>
        <w:widowControl w:val="0"/>
        <w:autoSpaceDE w:val="0"/>
        <w:autoSpaceDN w:val="0"/>
        <w:adjustRightInd w:val="0"/>
        <w:spacing w:after="0" w:line="240" w:lineRule="auto"/>
        <w:jc w:val="both"/>
        <w:rPr>
          <w:rFonts w:cs="Arial"/>
          <w:lang w:val="es-ES"/>
        </w:rPr>
      </w:pPr>
    </w:p>
    <w:p w14:paraId="6E9682B8" w14:textId="77777777" w:rsidR="009A1872" w:rsidRPr="00586E91" w:rsidRDefault="009A1872" w:rsidP="009A1872">
      <w:pPr>
        <w:numPr>
          <w:ilvl w:val="0"/>
          <w:numId w:val="14"/>
        </w:numPr>
        <w:autoSpaceDE w:val="0"/>
        <w:autoSpaceDN w:val="0"/>
        <w:adjustRightInd w:val="0"/>
        <w:spacing w:after="0" w:line="240" w:lineRule="auto"/>
        <w:ind w:left="567" w:hanging="567"/>
        <w:jc w:val="both"/>
        <w:rPr>
          <w:rFonts w:cs="Arial"/>
          <w:lang w:val="es-ES"/>
        </w:rPr>
      </w:pPr>
      <w:r w:rsidRPr="00586E91">
        <w:rPr>
          <w:rFonts w:cs="Arial"/>
          <w:lang w:val="es-ES"/>
        </w:rPr>
        <w:t>Habida cuenta del escaso número de respuestas recibidas y de los comentarios formulados durante las presentaciones de la herramienta, conviene examinar con detenimiento las ventajas de cualquier desarrollo ulterior. Este análisis debería incluir una revisión de otras herramientas existentes para evitar duplicidades. Al mismo tiempo, se deben identificar los usuarios a los que se dirige la herramienta y sus necesidades, en estrecha colaboración con las Partes, basándose en la experiencia de los Estados miembros de la SADC en el establecimiento de las TFCA. Una vez se determinen los usuarios a los que se dirigen y sus necesidades, es preciso tener en cuenta las recomendaciones refrendadas por el Consejo Científico.</w:t>
      </w:r>
    </w:p>
    <w:p w14:paraId="1F21BF30" w14:textId="77777777" w:rsidR="009A1872" w:rsidRPr="00586E91" w:rsidRDefault="009A1872" w:rsidP="009A1872">
      <w:pPr>
        <w:autoSpaceDE w:val="0"/>
        <w:autoSpaceDN w:val="0"/>
        <w:adjustRightInd w:val="0"/>
        <w:spacing w:after="0" w:line="240" w:lineRule="auto"/>
        <w:ind w:left="360"/>
        <w:jc w:val="both"/>
        <w:rPr>
          <w:rFonts w:cs="Arial"/>
          <w:lang w:val="es-ES"/>
        </w:rPr>
      </w:pPr>
    </w:p>
    <w:p w14:paraId="6CB04F1B" w14:textId="77777777" w:rsidR="009A1872" w:rsidRPr="00586E91" w:rsidRDefault="009A1872" w:rsidP="009A1872">
      <w:pPr>
        <w:spacing w:after="0" w:line="240" w:lineRule="auto"/>
        <w:jc w:val="both"/>
        <w:rPr>
          <w:rFonts w:cs="Arial"/>
          <w:lang w:val="es-ES"/>
        </w:rPr>
      </w:pPr>
      <w:r w:rsidRPr="00586E91">
        <w:rPr>
          <w:rFonts w:cs="Arial"/>
          <w:u w:val="single"/>
          <w:lang w:val="es-ES"/>
        </w:rPr>
        <w:t>Acciones recomendadas</w:t>
      </w:r>
    </w:p>
    <w:p w14:paraId="42D7A144" w14:textId="77777777" w:rsidR="009A1872" w:rsidRPr="00586E91" w:rsidRDefault="009A1872" w:rsidP="009A1872">
      <w:pPr>
        <w:spacing w:after="0" w:line="240" w:lineRule="auto"/>
        <w:jc w:val="both"/>
        <w:rPr>
          <w:rFonts w:cs="Arial"/>
          <w:lang w:val="es-ES"/>
        </w:rPr>
      </w:pPr>
    </w:p>
    <w:p w14:paraId="65527B41" w14:textId="77777777" w:rsidR="009A1872" w:rsidRPr="00586E91" w:rsidRDefault="009A1872" w:rsidP="009A1872">
      <w:pPr>
        <w:widowControl w:val="0"/>
        <w:numPr>
          <w:ilvl w:val="0"/>
          <w:numId w:val="14"/>
        </w:numPr>
        <w:autoSpaceDE w:val="0"/>
        <w:autoSpaceDN w:val="0"/>
        <w:adjustRightInd w:val="0"/>
        <w:spacing w:after="0" w:line="240" w:lineRule="auto"/>
        <w:ind w:left="567" w:hanging="567"/>
        <w:jc w:val="both"/>
        <w:rPr>
          <w:rFonts w:cs="Arial"/>
          <w:lang w:val="es-ES"/>
        </w:rPr>
      </w:pPr>
      <w:r w:rsidRPr="00586E91">
        <w:rPr>
          <w:rFonts w:cs="Arial"/>
          <w:lang w:val="es-ES" w:eastAsia="es-ES"/>
        </w:rPr>
        <w:t>Se recomienda a la Conferencia de las Partes que:</w:t>
      </w:r>
    </w:p>
    <w:p w14:paraId="284F4661" w14:textId="77777777" w:rsidR="009A1872" w:rsidRPr="00586E91" w:rsidRDefault="009A1872" w:rsidP="009A1872">
      <w:pPr>
        <w:spacing w:after="0" w:line="240" w:lineRule="auto"/>
        <w:jc w:val="both"/>
        <w:rPr>
          <w:lang w:val="es-ES"/>
        </w:rPr>
      </w:pPr>
    </w:p>
    <w:p w14:paraId="044BC1F2" w14:textId="77777777" w:rsidR="009A1872" w:rsidRDefault="009A1872" w:rsidP="00EB7869">
      <w:pPr>
        <w:pStyle w:val="Secondnumbering"/>
        <w:numPr>
          <w:ilvl w:val="0"/>
          <w:numId w:val="18"/>
        </w:numPr>
        <w:ind w:left="1080" w:hanging="513"/>
        <w:jc w:val="both"/>
        <w:rPr>
          <w:lang w:val="es-ES"/>
        </w:rPr>
      </w:pPr>
      <w:r w:rsidRPr="00586E91">
        <w:rPr>
          <w:lang w:val="es-ES"/>
        </w:rPr>
        <w:t>adopte los proyectos de Decisión que figuran en el Anexo del presente documento; y</w:t>
      </w:r>
    </w:p>
    <w:p w14:paraId="02F18320" w14:textId="77777777" w:rsidR="00EB7869" w:rsidRDefault="00EB7869" w:rsidP="00EB7869">
      <w:pPr>
        <w:pStyle w:val="Secondnumbering"/>
        <w:numPr>
          <w:ilvl w:val="0"/>
          <w:numId w:val="0"/>
        </w:numPr>
        <w:ind w:left="1080" w:hanging="513"/>
        <w:jc w:val="both"/>
        <w:rPr>
          <w:lang w:val="es-ES"/>
        </w:rPr>
      </w:pPr>
    </w:p>
    <w:p w14:paraId="559E8564" w14:textId="44DFCC2A" w:rsidR="002D5F2A" w:rsidRPr="00EB7869" w:rsidRDefault="009A1872" w:rsidP="00EB7869">
      <w:pPr>
        <w:pStyle w:val="Secondnumbering"/>
        <w:numPr>
          <w:ilvl w:val="0"/>
          <w:numId w:val="18"/>
        </w:numPr>
        <w:ind w:left="1080" w:hanging="513"/>
        <w:jc w:val="both"/>
        <w:rPr>
          <w:lang w:val="es-ES"/>
        </w:rPr>
      </w:pPr>
      <w:r w:rsidRPr="00EB7869">
        <w:rPr>
          <w:rFonts w:cs="Arial"/>
          <w:lang w:val="es-ES"/>
        </w:rPr>
        <w:t xml:space="preserve">elimine las Decisiones </w:t>
      </w:r>
      <w:r w:rsidRPr="00EB7869">
        <w:rPr>
          <w:rFonts w:eastAsia="Times New Roman" w:cs="Arial"/>
          <w:snapToGrid w:val="0"/>
          <w:color w:val="000000"/>
          <w:kern w:val="2"/>
          <w:lang w:val="es-ES"/>
        </w:rPr>
        <w:t>14.197-14.199</w:t>
      </w:r>
    </w:p>
    <w:p w14:paraId="7A8237CD" w14:textId="77777777" w:rsidR="00020C98" w:rsidRPr="00AF49CD" w:rsidRDefault="00020C98" w:rsidP="00020C98">
      <w:pPr>
        <w:rPr>
          <w:rFonts w:eastAsia="Times New Roman" w:cs="Arial"/>
          <w:lang w:val="es-ES" w:eastAsia="es-ES"/>
        </w:rPr>
        <w:sectPr w:rsidR="00020C98" w:rsidRPr="00AF49CD" w:rsidSect="00323406">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F3B2B44" w14:textId="7B328CC4" w:rsidR="00C5147F" w:rsidRPr="00586E91" w:rsidRDefault="00B44096" w:rsidP="00C5147F">
      <w:pPr>
        <w:spacing w:after="0" w:line="240" w:lineRule="auto"/>
        <w:jc w:val="right"/>
        <w:rPr>
          <w:rFonts w:cs="Arial"/>
          <w:b/>
          <w:bCs/>
          <w:lang w:val="es-ES"/>
        </w:rPr>
      </w:pPr>
      <w:r w:rsidRPr="00586E91">
        <w:rPr>
          <w:rFonts w:cs="Arial"/>
          <w:b/>
          <w:lang w:val="es-ES"/>
        </w:rPr>
        <w:lastRenderedPageBreak/>
        <w:t>ANEXO</w:t>
      </w:r>
    </w:p>
    <w:p w14:paraId="5BF7B215" w14:textId="77777777" w:rsidR="00C5147F" w:rsidRDefault="00C5147F" w:rsidP="00C5147F">
      <w:pPr>
        <w:spacing w:after="0" w:line="240" w:lineRule="auto"/>
        <w:rPr>
          <w:rFonts w:cs="Arial"/>
          <w:lang w:val="es-ES"/>
        </w:rPr>
      </w:pPr>
    </w:p>
    <w:p w14:paraId="61DE3A2F" w14:textId="77777777" w:rsidR="00EB7869" w:rsidRPr="00586E91" w:rsidRDefault="00EB7869" w:rsidP="00C5147F">
      <w:pPr>
        <w:spacing w:after="0" w:line="240" w:lineRule="auto"/>
        <w:rPr>
          <w:rFonts w:cs="Arial"/>
          <w:lang w:val="es-ES"/>
        </w:rPr>
      </w:pPr>
    </w:p>
    <w:p w14:paraId="4877BC6D" w14:textId="77777777" w:rsidR="00C5147F" w:rsidRPr="00586E91" w:rsidRDefault="00C5147F" w:rsidP="00C5147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586E91">
        <w:rPr>
          <w:rFonts w:cs="Arial"/>
          <w:bCs/>
          <w:lang w:val="es-ES"/>
        </w:rPr>
        <w:t>PROYECTOS DE DECISIÓN</w:t>
      </w:r>
    </w:p>
    <w:p w14:paraId="3484718C" w14:textId="77777777" w:rsidR="00C5147F" w:rsidRPr="00586E91" w:rsidRDefault="00C5147F" w:rsidP="00C5147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5804DA6E" w14:textId="77777777" w:rsidR="00C5147F" w:rsidRPr="00586E91" w:rsidRDefault="00C5147F" w:rsidP="00C5147F">
      <w:pPr>
        <w:widowControl w:val="0"/>
        <w:suppressAutoHyphens/>
        <w:autoSpaceDE w:val="0"/>
        <w:autoSpaceDN w:val="0"/>
        <w:spacing w:after="120" w:line="240" w:lineRule="auto"/>
        <w:jc w:val="center"/>
        <w:textAlignment w:val="baseline"/>
        <w:rPr>
          <w:rFonts w:eastAsia="Times New Roman" w:cs="Arial"/>
          <w:b/>
          <w:bCs/>
          <w:lang w:val="es-ES"/>
        </w:rPr>
      </w:pPr>
      <w:r w:rsidRPr="00586E91">
        <w:rPr>
          <w:rFonts w:eastAsia="Times New Roman" w:cs="Arial"/>
          <w:b/>
          <w:bCs/>
          <w:lang w:val="es-ES"/>
        </w:rPr>
        <w:t>ÁREAS DE CONSERVACIÓN TRANSFRONTERIZAS PARA LAS ESPECIES MIGRATORIAS</w:t>
      </w:r>
    </w:p>
    <w:p w14:paraId="4D3C8E3E" w14:textId="77777777" w:rsidR="00C5147F" w:rsidRDefault="00C5147F" w:rsidP="00C5147F">
      <w:pPr>
        <w:spacing w:after="0" w:line="240" w:lineRule="auto"/>
        <w:jc w:val="both"/>
        <w:rPr>
          <w:rFonts w:cs="Arial"/>
          <w:i/>
          <w:lang w:val="es-ES"/>
        </w:rPr>
      </w:pPr>
    </w:p>
    <w:p w14:paraId="14F69084" w14:textId="77777777" w:rsidR="00EB7869" w:rsidRPr="00586E91" w:rsidRDefault="00EB7869" w:rsidP="00C5147F">
      <w:pPr>
        <w:spacing w:after="0" w:line="240" w:lineRule="auto"/>
        <w:jc w:val="both"/>
        <w:rPr>
          <w:rFonts w:cs="Arial"/>
          <w:i/>
          <w:lang w:val="es-ES"/>
        </w:rPr>
      </w:pPr>
    </w:p>
    <w:p w14:paraId="2729CA06" w14:textId="77777777" w:rsidR="00C5147F" w:rsidRPr="00586E91" w:rsidRDefault="00C5147F" w:rsidP="00C5147F">
      <w:pPr>
        <w:spacing w:after="0" w:line="240" w:lineRule="auto"/>
        <w:jc w:val="both"/>
        <w:rPr>
          <w:rFonts w:cs="Arial"/>
          <w:b/>
          <w:iCs/>
          <w:lang w:val="es-ES"/>
        </w:rPr>
      </w:pPr>
      <w:r w:rsidRPr="00586E91">
        <w:rPr>
          <w:rFonts w:cs="Arial"/>
          <w:b/>
          <w:iCs/>
          <w:lang w:val="es-ES"/>
        </w:rPr>
        <w:t>Dirigido al Consejo Científico</w:t>
      </w:r>
    </w:p>
    <w:p w14:paraId="0938186E" w14:textId="77777777" w:rsidR="00C5147F" w:rsidRPr="00586E91" w:rsidRDefault="00C5147F" w:rsidP="00C5147F">
      <w:pPr>
        <w:spacing w:after="0" w:line="240" w:lineRule="auto"/>
        <w:jc w:val="both"/>
        <w:rPr>
          <w:rFonts w:cs="Arial"/>
          <w:iCs/>
          <w:lang w:val="es-ES"/>
        </w:rPr>
      </w:pPr>
    </w:p>
    <w:p w14:paraId="480DFC0B" w14:textId="77777777" w:rsidR="00C5147F" w:rsidRPr="00586E91" w:rsidRDefault="00C5147F" w:rsidP="00EB7869">
      <w:pPr>
        <w:spacing w:after="0" w:line="240" w:lineRule="auto"/>
        <w:ind w:left="900" w:hanging="900"/>
        <w:jc w:val="both"/>
        <w:rPr>
          <w:rFonts w:cs="Arial"/>
          <w:iCs/>
          <w:lang w:val="es-ES"/>
        </w:rPr>
      </w:pPr>
      <w:r w:rsidRPr="00586E91">
        <w:rPr>
          <w:rFonts w:cs="Arial"/>
          <w:iCs/>
          <w:lang w:val="es-ES"/>
        </w:rPr>
        <w:t>15.AA</w:t>
      </w:r>
      <w:r w:rsidRPr="00586E91">
        <w:rPr>
          <w:rFonts w:cs="Arial"/>
          <w:iCs/>
          <w:lang w:val="es-ES"/>
        </w:rPr>
        <w:tab/>
        <w:t xml:space="preserve">Teniendo en cuenta las recomendaciones del Comité del Período de Sesiones que se formularon en su 7.a reunión, se solicita al Consejo Científico que establezca un grupo de trabajo, que incluya a representantes de la región de la Comunidad de África Meridional para el Desarrollo (la región líder en el establecimiento de áreas de conservación transfronterizas), con el fin de: </w:t>
      </w:r>
    </w:p>
    <w:p w14:paraId="5B8B01CB" w14:textId="77777777" w:rsidR="00C5147F" w:rsidRPr="00586E91" w:rsidRDefault="00C5147F" w:rsidP="00C5147F">
      <w:pPr>
        <w:spacing w:after="0" w:line="240" w:lineRule="auto"/>
        <w:ind w:left="851" w:hanging="851"/>
        <w:jc w:val="both"/>
        <w:rPr>
          <w:rFonts w:cs="Arial"/>
          <w:iCs/>
          <w:lang w:val="es-ES"/>
        </w:rPr>
      </w:pPr>
    </w:p>
    <w:p w14:paraId="7ED0B3BD" w14:textId="77777777" w:rsidR="00C5147F" w:rsidRPr="00586E91" w:rsidRDefault="00C5147F" w:rsidP="00EB7869">
      <w:pPr>
        <w:pStyle w:val="ListParagraph"/>
        <w:numPr>
          <w:ilvl w:val="0"/>
          <w:numId w:val="21"/>
        </w:numPr>
        <w:spacing w:after="0" w:line="240" w:lineRule="auto"/>
        <w:ind w:left="1440" w:hanging="540"/>
        <w:jc w:val="both"/>
        <w:rPr>
          <w:rFonts w:cs="Arial"/>
          <w:iCs/>
          <w:lang w:val="es-ES"/>
        </w:rPr>
      </w:pPr>
      <w:r w:rsidRPr="00586E91">
        <w:rPr>
          <w:rFonts w:cs="Arial"/>
          <w:iCs/>
          <w:lang w:val="es-ES"/>
        </w:rPr>
        <w:t xml:space="preserve">determinar los usuarios a los que se dirige la herramienta para </w:t>
      </w:r>
      <w:r w:rsidRPr="00586E91">
        <w:rPr>
          <w:rFonts w:cs="Arial"/>
          <w:lang w:val="es-ES"/>
        </w:rPr>
        <w:t>identificar oportunidades de conservación transfronteriza,</w:t>
      </w:r>
      <w:r w:rsidRPr="00586E91">
        <w:rPr>
          <w:rFonts w:cs="Arial"/>
          <w:i/>
          <w:iCs/>
          <w:lang w:val="es-ES"/>
        </w:rPr>
        <w:t xml:space="preserve"> </w:t>
      </w:r>
      <w:r w:rsidRPr="00586E91">
        <w:rPr>
          <w:rFonts w:cs="Arial"/>
          <w:iCs/>
          <w:lang w:val="es-ES"/>
        </w:rPr>
        <w:t>en estrecha colaboración con las Partes y otras partes interesadas;</w:t>
      </w:r>
    </w:p>
    <w:p w14:paraId="278C688D" w14:textId="77777777" w:rsidR="00C5147F" w:rsidRPr="00586E91" w:rsidRDefault="00C5147F" w:rsidP="00EB7869">
      <w:pPr>
        <w:pStyle w:val="ListParagraph"/>
        <w:spacing w:after="0" w:line="240" w:lineRule="auto"/>
        <w:ind w:left="1440" w:hanging="540"/>
        <w:jc w:val="both"/>
        <w:rPr>
          <w:rFonts w:cs="Arial"/>
          <w:iCs/>
          <w:lang w:val="es-ES"/>
        </w:rPr>
      </w:pPr>
    </w:p>
    <w:p w14:paraId="5093ABAF" w14:textId="77777777" w:rsidR="00C5147F" w:rsidRPr="00586E91" w:rsidRDefault="00C5147F" w:rsidP="00EB7869">
      <w:pPr>
        <w:pStyle w:val="ListParagraph"/>
        <w:numPr>
          <w:ilvl w:val="0"/>
          <w:numId w:val="21"/>
        </w:numPr>
        <w:spacing w:after="0" w:line="240" w:lineRule="auto"/>
        <w:ind w:left="1440" w:hanging="540"/>
        <w:jc w:val="both"/>
        <w:rPr>
          <w:rFonts w:cs="Arial"/>
          <w:iCs/>
          <w:lang w:val="es-ES"/>
        </w:rPr>
      </w:pPr>
      <w:r w:rsidRPr="00586E91">
        <w:rPr>
          <w:rFonts w:cs="Arial"/>
          <w:iCs/>
          <w:lang w:val="es-ES"/>
        </w:rPr>
        <w:t>celebrar consultas con los usuarios objetivo para determinar sus necesidades, la utilidad de la herramienta y los ajustes técnicos necesarios para mejorarla teniendo en cuenta las recomendaciones formuladas en la 7.a reunión del Comité del Período de Sesiones; y</w:t>
      </w:r>
    </w:p>
    <w:p w14:paraId="4C2E36D5" w14:textId="77777777" w:rsidR="00C5147F" w:rsidRPr="00586E91" w:rsidRDefault="00C5147F" w:rsidP="00EB7869">
      <w:pPr>
        <w:pStyle w:val="ListParagraph"/>
        <w:spacing w:after="0" w:line="240" w:lineRule="auto"/>
        <w:ind w:left="1440" w:hanging="540"/>
        <w:jc w:val="both"/>
        <w:rPr>
          <w:rFonts w:cs="Arial"/>
          <w:iCs/>
          <w:lang w:val="es-ES"/>
        </w:rPr>
      </w:pPr>
    </w:p>
    <w:p w14:paraId="23FA768D" w14:textId="77777777" w:rsidR="00C5147F" w:rsidRPr="00586E91" w:rsidRDefault="00C5147F" w:rsidP="00EB7869">
      <w:pPr>
        <w:pStyle w:val="ListParagraph"/>
        <w:numPr>
          <w:ilvl w:val="0"/>
          <w:numId w:val="21"/>
        </w:numPr>
        <w:spacing w:after="0" w:line="240" w:lineRule="auto"/>
        <w:ind w:left="1440" w:hanging="540"/>
        <w:jc w:val="both"/>
        <w:rPr>
          <w:rFonts w:cs="Arial"/>
          <w:iCs/>
          <w:lang w:val="es-ES"/>
        </w:rPr>
      </w:pPr>
      <w:r w:rsidRPr="00586E91">
        <w:rPr>
          <w:rFonts w:cs="Arial"/>
          <w:iCs/>
          <w:lang w:val="es-ES"/>
        </w:rPr>
        <w:t>en función de los resultados de a) y b), identificar, en estrecha colaboración con los usuarios objetivo, otros parámetros y funciones que se deben añadir a la herramienta.</w:t>
      </w:r>
    </w:p>
    <w:p w14:paraId="5AA2CBA6" w14:textId="77777777" w:rsidR="00C5147F" w:rsidRPr="00586E91" w:rsidRDefault="00C5147F" w:rsidP="00C5147F">
      <w:pPr>
        <w:pStyle w:val="ListParagraph"/>
        <w:spacing w:after="0" w:line="240" w:lineRule="auto"/>
        <w:ind w:left="2356"/>
        <w:jc w:val="both"/>
        <w:rPr>
          <w:rFonts w:cs="Arial"/>
          <w:iCs/>
          <w:lang w:val="es-ES"/>
        </w:rPr>
      </w:pPr>
    </w:p>
    <w:p w14:paraId="326B83A3" w14:textId="77777777" w:rsidR="00C5147F" w:rsidRPr="00586E91" w:rsidRDefault="00C5147F" w:rsidP="00C5147F">
      <w:pPr>
        <w:spacing w:after="0" w:line="240" w:lineRule="auto"/>
        <w:jc w:val="both"/>
        <w:rPr>
          <w:rFonts w:cs="Arial"/>
          <w:b/>
          <w:iCs/>
          <w:lang w:val="es-ES"/>
        </w:rPr>
      </w:pPr>
      <w:r w:rsidRPr="00586E91">
        <w:rPr>
          <w:rFonts w:cs="Arial"/>
          <w:b/>
          <w:iCs/>
          <w:lang w:val="es-ES"/>
        </w:rPr>
        <w:t>Dirigido a la Secretaría</w:t>
      </w:r>
    </w:p>
    <w:p w14:paraId="61A5C002" w14:textId="77777777" w:rsidR="00C5147F" w:rsidRPr="00586E91" w:rsidRDefault="00C5147F" w:rsidP="00C5147F">
      <w:pPr>
        <w:spacing w:after="0" w:line="240" w:lineRule="auto"/>
        <w:jc w:val="both"/>
        <w:rPr>
          <w:rFonts w:cs="Arial"/>
          <w:iCs/>
          <w:lang w:val="es-ES"/>
        </w:rPr>
      </w:pPr>
    </w:p>
    <w:p w14:paraId="2EC3E49E" w14:textId="77777777" w:rsidR="00C5147F" w:rsidRPr="00586E91" w:rsidRDefault="00C5147F" w:rsidP="00EB7869">
      <w:pPr>
        <w:spacing w:after="0" w:line="240" w:lineRule="auto"/>
        <w:ind w:left="900" w:hanging="900"/>
        <w:jc w:val="both"/>
        <w:rPr>
          <w:rFonts w:cs="Arial"/>
          <w:iCs/>
          <w:lang w:val="es-ES"/>
        </w:rPr>
      </w:pPr>
      <w:r w:rsidRPr="00586E91">
        <w:rPr>
          <w:rFonts w:cs="Arial"/>
          <w:iCs/>
          <w:lang w:val="es-ES"/>
        </w:rPr>
        <w:t>15.BB</w:t>
      </w:r>
      <w:r w:rsidRPr="00586E91">
        <w:rPr>
          <w:rFonts w:cs="Arial"/>
          <w:iCs/>
          <w:lang w:val="es-ES"/>
        </w:rPr>
        <w:tab/>
        <w:t>En función de la disponibilidad de recursos externos y en cooperación con el PNUMA</w:t>
      </w:r>
      <w:r w:rsidRPr="00586E91">
        <w:rPr>
          <w:rFonts w:eastAsia="Times New Roman" w:cs="Arial"/>
          <w:snapToGrid w:val="0"/>
          <w:color w:val="000000"/>
          <w:kern w:val="2"/>
          <w:lang w:val="es-ES"/>
        </w:rPr>
        <w:t>–</w:t>
      </w:r>
      <w:r w:rsidRPr="00586E91">
        <w:rPr>
          <w:rFonts w:cs="Arial"/>
          <w:iCs/>
          <w:lang w:val="es-ES"/>
        </w:rPr>
        <w:t xml:space="preserve">WCMC, la Secretaría, prestará apoyo al Grupo de Trabajo creado en virtud de la Decisión </w:t>
      </w:r>
      <w:proofErr w:type="gramStart"/>
      <w:r w:rsidRPr="00586E91">
        <w:rPr>
          <w:rFonts w:cs="Arial"/>
          <w:iCs/>
          <w:lang w:val="es-ES"/>
        </w:rPr>
        <w:t>15.AA</w:t>
      </w:r>
      <w:proofErr w:type="gramEnd"/>
      <w:r w:rsidRPr="00586E91">
        <w:rPr>
          <w:rFonts w:cs="Arial"/>
          <w:iCs/>
          <w:lang w:val="es-ES"/>
        </w:rPr>
        <w:t xml:space="preserve"> y evaluará los costes y beneficios del futuro desarrollo y mantenimiento de la herramienta.</w:t>
      </w:r>
    </w:p>
    <w:p w14:paraId="2C265DB6" w14:textId="77777777" w:rsidR="00C5147F" w:rsidRPr="00586E91" w:rsidRDefault="00C5147F" w:rsidP="00C5147F">
      <w:pPr>
        <w:spacing w:after="0" w:line="240" w:lineRule="auto"/>
        <w:ind w:left="851" w:hanging="851"/>
        <w:jc w:val="both"/>
        <w:rPr>
          <w:rFonts w:cs="Arial"/>
          <w:iCs/>
          <w:lang w:val="es-ES"/>
        </w:rPr>
      </w:pPr>
    </w:p>
    <w:p w14:paraId="56E5E090" w14:textId="77777777" w:rsidR="00C5147F" w:rsidRPr="00586E91" w:rsidRDefault="00C5147F" w:rsidP="00C5147F">
      <w:pPr>
        <w:spacing w:after="0" w:line="240" w:lineRule="auto"/>
        <w:ind w:left="720" w:hanging="720"/>
        <w:jc w:val="both"/>
        <w:rPr>
          <w:rFonts w:cs="Arial"/>
          <w:iCs/>
          <w:lang w:val="es-ES"/>
        </w:rPr>
      </w:pPr>
    </w:p>
    <w:p w14:paraId="4BE4DF29" w14:textId="77777777" w:rsidR="00C5147F" w:rsidRPr="00586E91" w:rsidRDefault="00C5147F" w:rsidP="00C5147F">
      <w:pPr>
        <w:rPr>
          <w:lang w:val="es-ES"/>
        </w:rPr>
      </w:pPr>
    </w:p>
    <w:p w14:paraId="1377EB15" w14:textId="77777777" w:rsidR="00020C98" w:rsidRPr="00C5147F" w:rsidRDefault="00020C98" w:rsidP="00C5147F">
      <w:pPr>
        <w:spacing w:after="0" w:line="240" w:lineRule="auto"/>
        <w:jc w:val="right"/>
        <w:rPr>
          <w:rFonts w:eastAsia="Times New Roman" w:cs="Arial"/>
          <w:lang w:val="es-ES" w:eastAsia="es-ES"/>
        </w:rPr>
      </w:pPr>
    </w:p>
    <w:sectPr w:rsidR="00020C98" w:rsidRPr="00C5147F" w:rsidSect="00323406">
      <w:headerReference w:type="first" r:id="rId27"/>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030D" w14:textId="77777777" w:rsidR="00FD3D98" w:rsidRDefault="00FD3D98" w:rsidP="00002A97">
      <w:pPr>
        <w:spacing w:after="0" w:line="240" w:lineRule="auto"/>
      </w:pPr>
      <w:r>
        <w:separator/>
      </w:r>
    </w:p>
  </w:endnote>
  <w:endnote w:type="continuationSeparator" w:id="0">
    <w:p w14:paraId="3E2248CF" w14:textId="77777777" w:rsidR="00FD3D98" w:rsidRDefault="00FD3D9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88F5105"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663572"/>
      <w:docPartObj>
        <w:docPartGallery w:val="Page Numbers (Bottom of Page)"/>
        <w:docPartUnique/>
      </w:docPartObj>
    </w:sdtPr>
    <w:sdtEndPr>
      <w:rPr>
        <w:noProof/>
        <w:sz w:val="18"/>
        <w:szCs w:val="18"/>
      </w:rPr>
    </w:sdtEndPr>
    <w:sdtContent>
      <w:p w14:paraId="79C415ED" w14:textId="75AF3DE6" w:rsidR="00217A21" w:rsidRPr="00217A21" w:rsidRDefault="00217A21">
        <w:pPr>
          <w:pStyle w:val="Footer"/>
          <w:jc w:val="center"/>
          <w:rPr>
            <w:sz w:val="18"/>
            <w:szCs w:val="18"/>
          </w:rPr>
        </w:pPr>
        <w:r w:rsidRPr="00217A21">
          <w:rPr>
            <w:sz w:val="18"/>
            <w:szCs w:val="18"/>
          </w:rPr>
          <w:fldChar w:fldCharType="begin"/>
        </w:r>
        <w:r w:rsidRPr="00217A21">
          <w:rPr>
            <w:sz w:val="18"/>
            <w:szCs w:val="18"/>
          </w:rPr>
          <w:instrText xml:space="preserve"> PAGE   \* MERGEFORMAT </w:instrText>
        </w:r>
        <w:r w:rsidRPr="00217A21">
          <w:rPr>
            <w:sz w:val="18"/>
            <w:szCs w:val="18"/>
          </w:rPr>
          <w:fldChar w:fldCharType="separate"/>
        </w:r>
        <w:r w:rsidRPr="00217A21">
          <w:rPr>
            <w:noProof/>
            <w:sz w:val="18"/>
            <w:szCs w:val="18"/>
          </w:rPr>
          <w:t>2</w:t>
        </w:r>
        <w:r w:rsidRPr="00217A2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B4CD" w14:textId="77777777" w:rsidR="00FD3D98" w:rsidRDefault="00FD3D98" w:rsidP="00002A97">
      <w:pPr>
        <w:spacing w:after="0" w:line="240" w:lineRule="auto"/>
      </w:pPr>
      <w:r>
        <w:separator/>
      </w:r>
    </w:p>
  </w:footnote>
  <w:footnote w:type="continuationSeparator" w:id="0">
    <w:p w14:paraId="56FD31E8" w14:textId="77777777" w:rsidR="00FD3D98" w:rsidRDefault="00FD3D98"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A3B0CF9"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E95E45">
      <w:rPr>
        <w:rFonts w:eastAsia="Times New Roman" w:cs="Arial"/>
        <w:i/>
        <w:sz w:val="18"/>
        <w:szCs w:val="18"/>
        <w:lang w:val="fr-FR" w:eastAsia="es-ES"/>
      </w:rPr>
      <w:t>28.3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6558232"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2B5BD9">
      <w:rPr>
        <w:rFonts w:eastAsia="Times New Roman" w:cs="Arial"/>
        <w:i/>
        <w:sz w:val="18"/>
        <w:szCs w:val="18"/>
        <w:lang w:val="fr-FR" w:eastAsia="es-ES"/>
      </w:rPr>
      <w:t>28.3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CB89" w14:textId="4C4077A9" w:rsidR="00020C98" w:rsidRPr="00002A97" w:rsidRDefault="00020C98" w:rsidP="00EB7869">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sidR="00EB7869">
      <w:rPr>
        <w:rFonts w:eastAsia="Times New Roman" w:cs="Arial"/>
        <w:i/>
        <w:sz w:val="18"/>
        <w:szCs w:val="18"/>
        <w:lang w:val="fr-FR" w:eastAsia="es-ES"/>
      </w:rPr>
      <w:t>28.3/</w:t>
    </w:r>
    <w:proofErr w:type="spellStart"/>
    <w:r w:rsidR="00EB7869">
      <w:rPr>
        <w:rFonts w:eastAsia="Times New Roman" w:cs="Arial"/>
        <w:i/>
        <w:sz w:val="18"/>
        <w:szCs w:val="18"/>
        <w:lang w:val="fr-FR" w:eastAsia="es-ES"/>
      </w:rPr>
      <w:t>Anexo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642E"/>
    <w:multiLevelType w:val="hybridMultilevel"/>
    <w:tmpl w:val="D7C2BC78"/>
    <w:lvl w:ilvl="0" w:tplc="55922C38">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5" w15:restartNumberingAfterBreak="0">
    <w:nsid w:val="14040C4F"/>
    <w:multiLevelType w:val="hybridMultilevel"/>
    <w:tmpl w:val="32461884"/>
    <w:lvl w:ilvl="0" w:tplc="05D296B2">
      <w:start w:val="1"/>
      <w:numFmt w:val="decimal"/>
      <w:lvlText w:val="%1."/>
      <w:lvlJc w:val="left"/>
      <w:pPr>
        <w:ind w:left="720" w:hanging="360"/>
      </w:pPr>
      <w:rPr>
        <w:rFonts w:ascii="Arial" w:hAnsi="Arial" w:cs="Arial" w:hint="default"/>
        <w:b w:val="0"/>
        <w:bCs/>
        <w:i w:val="0"/>
        <w:iCs w:val="0"/>
        <w:sz w:val="22"/>
        <w:szCs w:val="22"/>
      </w:rPr>
    </w:lvl>
    <w:lvl w:ilvl="1" w:tplc="CD8E4BB8">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4751E"/>
    <w:multiLevelType w:val="hybridMultilevel"/>
    <w:tmpl w:val="F43AEE8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67365EBF"/>
    <w:multiLevelType w:val="hybridMultilevel"/>
    <w:tmpl w:val="35BCCBD4"/>
    <w:lvl w:ilvl="0" w:tplc="20000017">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8" w15:restartNumberingAfterBreak="0">
    <w:nsid w:val="6D6F1067"/>
    <w:multiLevelType w:val="hybridMultilevel"/>
    <w:tmpl w:val="34CA8598"/>
    <w:lvl w:ilvl="0" w:tplc="9D24EBDE">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75B86ADE"/>
    <w:multiLevelType w:val="hybridMultilevel"/>
    <w:tmpl w:val="4A5E8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1"/>
  </w:num>
  <w:num w:numId="5" w16cid:durableId="37974177">
    <w:abstractNumId w:val="7"/>
  </w:num>
  <w:num w:numId="6" w16cid:durableId="1958830237">
    <w:abstractNumId w:val="12"/>
  </w:num>
  <w:num w:numId="7" w16cid:durableId="396439182">
    <w:abstractNumId w:val="14"/>
  </w:num>
  <w:num w:numId="8" w16cid:durableId="260603560">
    <w:abstractNumId w:val="10"/>
  </w:num>
  <w:num w:numId="9" w16cid:durableId="1356272424">
    <w:abstractNumId w:val="8"/>
  </w:num>
  <w:num w:numId="10" w16cid:durableId="630594039">
    <w:abstractNumId w:val="21"/>
  </w:num>
  <w:num w:numId="11" w16cid:durableId="2069759870">
    <w:abstractNumId w:val="13"/>
  </w:num>
  <w:num w:numId="12" w16cid:durableId="904724938">
    <w:abstractNumId w:val="15"/>
  </w:num>
  <w:num w:numId="13"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1914993">
    <w:abstractNumId w:val="5"/>
  </w:num>
  <w:num w:numId="15" w16cid:durableId="110444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7495619">
    <w:abstractNumId w:val="4"/>
  </w:num>
  <w:num w:numId="17" w16cid:durableId="42019563">
    <w:abstractNumId w:val="18"/>
  </w:num>
  <w:num w:numId="18" w16cid:durableId="890655869">
    <w:abstractNumId w:val="16"/>
  </w:num>
  <w:num w:numId="19" w16cid:durableId="1540514461">
    <w:abstractNumId w:val="9"/>
  </w:num>
  <w:num w:numId="20" w16cid:durableId="217975984">
    <w:abstractNumId w:val="19"/>
  </w:num>
  <w:num w:numId="21" w16cid:durableId="2129202192">
    <w:abstractNumId w:val="17"/>
  </w:num>
  <w:num w:numId="22" w16cid:durableId="68474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2CB6"/>
    <w:rsid w:val="00020C98"/>
    <w:rsid w:val="00040D1E"/>
    <w:rsid w:val="000D7BB2"/>
    <w:rsid w:val="000E192F"/>
    <w:rsid w:val="000F4BDA"/>
    <w:rsid w:val="000F5AF8"/>
    <w:rsid w:val="00127CCF"/>
    <w:rsid w:val="00152D66"/>
    <w:rsid w:val="00154A11"/>
    <w:rsid w:val="00157334"/>
    <w:rsid w:val="00166CB7"/>
    <w:rsid w:val="001722A0"/>
    <w:rsid w:val="00192411"/>
    <w:rsid w:val="00195A48"/>
    <w:rsid w:val="001E6CDF"/>
    <w:rsid w:val="001E73E0"/>
    <w:rsid w:val="00217A21"/>
    <w:rsid w:val="0024152C"/>
    <w:rsid w:val="00256158"/>
    <w:rsid w:val="002A40B8"/>
    <w:rsid w:val="002A5ABE"/>
    <w:rsid w:val="002B5BD9"/>
    <w:rsid w:val="002D5F2A"/>
    <w:rsid w:val="002F43C9"/>
    <w:rsid w:val="002F7EC2"/>
    <w:rsid w:val="003133A7"/>
    <w:rsid w:val="00316A51"/>
    <w:rsid w:val="00323406"/>
    <w:rsid w:val="00396F06"/>
    <w:rsid w:val="003A2556"/>
    <w:rsid w:val="00410E70"/>
    <w:rsid w:val="00430A25"/>
    <w:rsid w:val="00457C8A"/>
    <w:rsid w:val="004654AB"/>
    <w:rsid w:val="00494C75"/>
    <w:rsid w:val="004C7808"/>
    <w:rsid w:val="00506A54"/>
    <w:rsid w:val="005330F7"/>
    <w:rsid w:val="00563598"/>
    <w:rsid w:val="00591364"/>
    <w:rsid w:val="00592262"/>
    <w:rsid w:val="0059243E"/>
    <w:rsid w:val="005C39FC"/>
    <w:rsid w:val="006114FC"/>
    <w:rsid w:val="006C1855"/>
    <w:rsid w:val="006C2EF5"/>
    <w:rsid w:val="006F22B0"/>
    <w:rsid w:val="006F4A12"/>
    <w:rsid w:val="0070232E"/>
    <w:rsid w:val="007074EF"/>
    <w:rsid w:val="00730B5A"/>
    <w:rsid w:val="00777C3A"/>
    <w:rsid w:val="007871F3"/>
    <w:rsid w:val="00790422"/>
    <w:rsid w:val="007B53CC"/>
    <w:rsid w:val="007C212E"/>
    <w:rsid w:val="007E5A82"/>
    <w:rsid w:val="007E7D04"/>
    <w:rsid w:val="00800CB3"/>
    <w:rsid w:val="00810C64"/>
    <w:rsid w:val="008425E9"/>
    <w:rsid w:val="008650F5"/>
    <w:rsid w:val="00890936"/>
    <w:rsid w:val="008D686F"/>
    <w:rsid w:val="009059D0"/>
    <w:rsid w:val="00943D15"/>
    <w:rsid w:val="00962AF9"/>
    <w:rsid w:val="009A1872"/>
    <w:rsid w:val="009C68DF"/>
    <w:rsid w:val="00A421D2"/>
    <w:rsid w:val="00A6670C"/>
    <w:rsid w:val="00A83758"/>
    <w:rsid w:val="00A96EB9"/>
    <w:rsid w:val="00AB195B"/>
    <w:rsid w:val="00AC09AE"/>
    <w:rsid w:val="00AC7C2D"/>
    <w:rsid w:val="00AF49CD"/>
    <w:rsid w:val="00B104EC"/>
    <w:rsid w:val="00B40E07"/>
    <w:rsid w:val="00B44096"/>
    <w:rsid w:val="00B9019C"/>
    <w:rsid w:val="00BC5707"/>
    <w:rsid w:val="00BE6C85"/>
    <w:rsid w:val="00BF7838"/>
    <w:rsid w:val="00C22155"/>
    <w:rsid w:val="00C41DAD"/>
    <w:rsid w:val="00C503DD"/>
    <w:rsid w:val="00C5147F"/>
    <w:rsid w:val="00C60CAF"/>
    <w:rsid w:val="00C63305"/>
    <w:rsid w:val="00C65E84"/>
    <w:rsid w:val="00C664E8"/>
    <w:rsid w:val="00C948AA"/>
    <w:rsid w:val="00CB333D"/>
    <w:rsid w:val="00CE41E5"/>
    <w:rsid w:val="00CF660D"/>
    <w:rsid w:val="00D01A3F"/>
    <w:rsid w:val="00D201DF"/>
    <w:rsid w:val="00D4127C"/>
    <w:rsid w:val="00D70275"/>
    <w:rsid w:val="00D84650"/>
    <w:rsid w:val="00E26150"/>
    <w:rsid w:val="00E26184"/>
    <w:rsid w:val="00E607BD"/>
    <w:rsid w:val="00E77A9F"/>
    <w:rsid w:val="00E80D7C"/>
    <w:rsid w:val="00E81B4A"/>
    <w:rsid w:val="00E95E45"/>
    <w:rsid w:val="00E97FAF"/>
    <w:rsid w:val="00EB7869"/>
    <w:rsid w:val="00EF1D13"/>
    <w:rsid w:val="00F0433B"/>
    <w:rsid w:val="00F147ED"/>
    <w:rsid w:val="00F42A65"/>
    <w:rsid w:val="00F54E61"/>
    <w:rsid w:val="00F75299"/>
    <w:rsid w:val="00F973DB"/>
    <w:rsid w:val="00FB5E83"/>
    <w:rsid w:val="00FD3D98"/>
    <w:rsid w:val="00FE2BF2"/>
    <w:rsid w:val="00FE483A"/>
    <w:rsid w:val="00FF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7E7D04"/>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styleId="CommentReference">
    <w:name w:val="annotation reference"/>
    <w:basedOn w:val="DefaultParagraphFont"/>
    <w:uiPriority w:val="99"/>
    <w:semiHidden/>
    <w:unhideWhenUsed/>
    <w:rsid w:val="00020C98"/>
    <w:rPr>
      <w:sz w:val="16"/>
      <w:szCs w:val="16"/>
    </w:rPr>
  </w:style>
  <w:style w:type="paragraph" w:styleId="CommentText">
    <w:name w:val="annotation text"/>
    <w:basedOn w:val="Normal"/>
    <w:link w:val="CommentTextChar"/>
    <w:uiPriority w:val="99"/>
    <w:unhideWhenUsed/>
    <w:rsid w:val="00020C98"/>
    <w:pPr>
      <w:spacing w:line="240" w:lineRule="auto"/>
    </w:pPr>
    <w:rPr>
      <w:sz w:val="20"/>
      <w:szCs w:val="20"/>
    </w:rPr>
  </w:style>
  <w:style w:type="character" w:customStyle="1" w:styleId="CommentTextChar">
    <w:name w:val="Comment Text Char"/>
    <w:basedOn w:val="DefaultParagraphFont"/>
    <w:link w:val="CommentText"/>
    <w:uiPriority w:val="99"/>
    <w:rsid w:val="00020C98"/>
    <w:rPr>
      <w:sz w:val="20"/>
      <w:szCs w:val="20"/>
    </w:rPr>
  </w:style>
  <w:style w:type="paragraph" w:customStyle="1" w:styleId="Secondnumbering">
    <w:name w:val="Second numbering"/>
    <w:basedOn w:val="Normal"/>
    <w:link w:val="SecondnumberingChar"/>
    <w:qFormat/>
    <w:rsid w:val="00020C98"/>
    <w:pPr>
      <w:numPr>
        <w:numId w:val="13"/>
      </w:numPr>
      <w:spacing w:after="0" w:line="240" w:lineRule="auto"/>
    </w:pPr>
    <w:rPr>
      <w:lang w:val="en-GB"/>
    </w:rPr>
  </w:style>
  <w:style w:type="character" w:customStyle="1" w:styleId="SecondnumberingChar">
    <w:name w:val="Second numbering Char"/>
    <w:basedOn w:val="DefaultParagraphFont"/>
    <w:link w:val="Secondnumbering"/>
    <w:rsid w:val="00020C98"/>
    <w:rPr>
      <w:lang w:val="en-GB"/>
    </w:rPr>
  </w:style>
  <w:style w:type="paragraph" w:styleId="NoSpacing">
    <w:name w:val="No Spacing"/>
    <w:uiPriority w:val="1"/>
    <w:qFormat/>
    <w:rsid w:val="00020C98"/>
    <w:pPr>
      <w:spacing w:after="0" w:line="240" w:lineRule="auto"/>
    </w:pPr>
  </w:style>
  <w:style w:type="character" w:styleId="UnresolvedMention">
    <w:name w:val="Unresolved Mention"/>
    <w:basedOn w:val="DefaultParagraphFont"/>
    <w:uiPriority w:val="99"/>
    <w:semiHidden/>
    <w:unhideWhenUsed/>
    <w:rsid w:val="00396F06"/>
    <w:rPr>
      <w:color w:val="605E5C"/>
      <w:shd w:val="clear" w:color="auto" w:fill="E1DFDD"/>
    </w:rPr>
  </w:style>
  <w:style w:type="character" w:styleId="FollowedHyperlink">
    <w:name w:val="FollowedHyperlink"/>
    <w:basedOn w:val="DefaultParagraphFont"/>
    <w:uiPriority w:val="99"/>
    <w:semiHidden/>
    <w:unhideWhenUsed/>
    <w:rsid w:val="00316A51"/>
    <w:rPr>
      <w:color w:val="954F72" w:themeColor="followedHyperlink"/>
      <w:u w:val="single"/>
    </w:rPr>
  </w:style>
  <w:style w:type="character" w:customStyle="1" w:styleId="Heading2Char">
    <w:name w:val="Heading 2 Char"/>
    <w:basedOn w:val="DefaultParagraphFont"/>
    <w:link w:val="Heading2"/>
    <w:uiPriority w:val="99"/>
    <w:semiHidden/>
    <w:rsid w:val="007E7D04"/>
    <w:rPr>
      <w:rFonts w:ascii="Times New Roman" w:eastAsia="Times New Roman" w:hAnsi="Times New Roman" w:cs="Times New Roman"/>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dc.int/sites/default/files/2021-08/Wildlife_Conservation.pdf" TargetMode="External"/><Relationship Id="rId18" Type="http://schemas.openxmlformats.org/officeDocument/2006/relationships/hyperlink" Target="https://forms.office.com/e/wgwVTNU94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ms.int/es/node/42151" TargetMode="External"/><Relationship Id="rId17" Type="http://schemas.openxmlformats.org/officeDocument/2006/relationships/hyperlink" Target="https://www.frontiersin.org/journals/conservation-science/articles/10.3389/fcosc.2023.1237849/full?utm_source=Email_to_authors_&amp;utm_medium=Email&amp;utm_content=T1_11.5e1_author&amp;utm_campaign=Email_publication&amp;field=&amp;journalName=Frontiers_in_Conservation_Science&amp;id=1237849"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ransboundarycms.app/" TargetMode="External"/><Relationship Id="rId20" Type="http://schemas.openxmlformats.org/officeDocument/2006/relationships/hyperlink" Target="https://www.cms.int/en/document/meeting-report-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ms.int/en/document/trans-frontier-conservation-areas"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cms.int/en/document/transfrontier-conservation-areas-migratory-specie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rans-frontier-conservation-areas"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A66E2975-27C6-491F-BAEF-8F7880CB738A}"/>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153</TotalTime>
  <Pages>7</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55</cp:revision>
  <dcterms:created xsi:type="dcterms:W3CDTF">2025-09-25T12:59:00Z</dcterms:created>
  <dcterms:modified xsi:type="dcterms:W3CDTF">2025-10-02T09:45:00Z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