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C4F18" w14:paraId="20A3DAA5" w14:textId="77777777" w:rsidTr="0043389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433898">
            <w:pPr>
              <w:keepNext/>
              <w:widowControl w:val="0"/>
              <w:suppressAutoHyphens/>
              <w:autoSpaceDE w:val="0"/>
              <w:autoSpaceDN w:val="0"/>
              <w:spacing w:after="0" w:line="240" w:lineRule="auto"/>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433898">
            <w:pPr>
              <w:keepNext/>
              <w:widowControl w:val="0"/>
              <w:suppressAutoHyphens/>
              <w:autoSpaceDE w:val="0"/>
              <w:autoSpaceDN w:val="0"/>
              <w:spacing w:after="0" w:line="240" w:lineRule="auto"/>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433898">
            <w:pPr>
              <w:keepNext/>
              <w:widowControl w:val="0"/>
              <w:suppressAutoHyphens/>
              <w:autoSpaceDE w:val="0"/>
              <w:autoSpaceDN w:val="0"/>
              <w:spacing w:after="0" w:line="240" w:lineRule="auto"/>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78C3AE60" w:rsidR="00EC2A58" w:rsidRPr="00AF3AEC" w:rsidRDefault="00EC2A58" w:rsidP="0043389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line="240" w:lineRule="auto"/>
              <w:jc w:val="left"/>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433898">
              <w:rPr>
                <w:rFonts w:eastAsia="Arial" w:cs="Arial"/>
                <w:lang w:val="fr-FR"/>
              </w:rPr>
              <w:t>28.3</w:t>
            </w:r>
          </w:p>
          <w:p w14:paraId="51739494" w14:textId="50A815EF" w:rsidR="00EC2A58" w:rsidRPr="00AF3AEC" w:rsidRDefault="00433898" w:rsidP="0043389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line="240" w:lineRule="auto"/>
              <w:jc w:val="left"/>
              <w:textAlignment w:val="baseline"/>
              <w:rPr>
                <w:rFonts w:eastAsia="Arial" w:cs="Arial"/>
                <w:lang w:val="fr-FR"/>
              </w:rPr>
            </w:pPr>
            <w:r>
              <w:rPr>
                <w:rFonts w:eastAsia="Arial" w:cs="Arial"/>
                <w:lang w:val="fr-FR"/>
              </w:rPr>
              <w:t>23 septembre</w:t>
            </w:r>
            <w:r w:rsidR="00EC2A58" w:rsidRPr="00AF3AEC">
              <w:rPr>
                <w:rFonts w:eastAsia="Arial" w:cs="Arial"/>
                <w:lang w:val="fr-FR"/>
              </w:rPr>
              <w:t xml:space="preserve"> 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433898">
            <w:pPr>
              <w:widowControl w:val="0"/>
              <w:suppressAutoHyphens/>
              <w:autoSpaceDE w:val="0"/>
              <w:autoSpaceDN w:val="0"/>
              <w:spacing w:after="0" w:line="240" w:lineRule="auto"/>
              <w:jc w:val="left"/>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433898">
            <w:pPr>
              <w:widowControl w:val="0"/>
              <w:suppressAutoHyphens/>
              <w:autoSpaceDE w:val="0"/>
              <w:autoSpaceDN w:val="0"/>
              <w:spacing w:line="240" w:lineRule="auto"/>
              <w:jc w:val="left"/>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433898">
      <w:pPr>
        <w:widowControl w:val="0"/>
        <w:tabs>
          <w:tab w:val="left" w:pos="-1057"/>
          <w:tab w:val="left" w:pos="-720"/>
        </w:tabs>
        <w:suppressAutoHyphens/>
        <w:autoSpaceDE w:val="0"/>
        <w:autoSpaceDN w:val="0"/>
        <w:spacing w:after="0" w:line="240" w:lineRule="auto"/>
        <w:jc w:val="left"/>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43389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jc w:val="left"/>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345007BC" w:rsidR="00EC2A58" w:rsidRPr="00EC2A58" w:rsidRDefault="00EC2A58" w:rsidP="00433898">
      <w:pPr>
        <w:widowControl w:val="0"/>
        <w:suppressAutoHyphens/>
        <w:autoSpaceDE w:val="0"/>
        <w:autoSpaceDN w:val="0"/>
        <w:spacing w:after="0" w:line="228" w:lineRule="auto"/>
        <w:jc w:val="left"/>
        <w:textAlignment w:val="baseline"/>
        <w:rPr>
          <w:rFonts w:ascii="Calibri" w:eastAsia="Calibri" w:hAnsi="Calibri" w:cs="Times New Roman"/>
          <w:lang w:val="fr-FR"/>
        </w:rPr>
      </w:pPr>
      <w:r w:rsidRPr="00EC2A58">
        <w:rPr>
          <w:rFonts w:eastAsia="Arial" w:cs="Arial"/>
          <w:iCs/>
          <w:lang w:val="fr-FR"/>
        </w:rPr>
        <w:t xml:space="preserve">Point </w:t>
      </w:r>
      <w:r w:rsidR="00433898">
        <w:rPr>
          <w:rFonts w:eastAsia="Arial" w:cs="Arial"/>
          <w:iCs/>
          <w:lang w:val="fr-FR"/>
        </w:rPr>
        <w:t>28.3</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2B15EC68" w:rsidR="00EC2A58" w:rsidRPr="00433898" w:rsidRDefault="00433898" w:rsidP="00433898">
      <w:pPr>
        <w:pStyle w:val="Heading2"/>
        <w:spacing w:after="120" w:line="240" w:lineRule="auto"/>
        <w:rPr>
          <w:sz w:val="22"/>
          <w:szCs w:val="22"/>
          <w:lang w:val="fr-FR"/>
        </w:rPr>
      </w:pPr>
      <w:r w:rsidRPr="00433898">
        <w:rPr>
          <w:sz w:val="22"/>
          <w:szCs w:val="22"/>
          <w:lang w:val="fr-FR"/>
        </w:rPr>
        <w:t>AIRES DE CONSERVATION TRANSFRONTI</w:t>
      </w:r>
      <w:r>
        <w:rPr>
          <w:sz w:val="22"/>
          <w:szCs w:val="22"/>
          <w:lang w:val="fr-FR"/>
        </w:rPr>
        <w:t>È</w:t>
      </w:r>
      <w:r w:rsidRPr="00433898">
        <w:rPr>
          <w:sz w:val="22"/>
          <w:szCs w:val="22"/>
          <w:lang w:val="fr-FR"/>
        </w:rPr>
        <w:t>RES POUR LES ESP</w:t>
      </w:r>
      <w:r>
        <w:rPr>
          <w:sz w:val="22"/>
          <w:szCs w:val="22"/>
          <w:lang w:val="fr-FR"/>
        </w:rPr>
        <w:t>È</w:t>
      </w:r>
      <w:r w:rsidRPr="00433898">
        <w:rPr>
          <w:sz w:val="22"/>
          <w:szCs w:val="22"/>
          <w:lang w:val="fr-FR"/>
        </w:rPr>
        <w:t>CES MIGRATRICES</w:t>
      </w:r>
    </w:p>
    <w:p w14:paraId="0AB80070" w14:textId="716F70A5"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C532077">
                <wp:simplePos x="0" y="0"/>
                <wp:positionH relativeFrom="column">
                  <wp:posOffset>777923</wp:posOffset>
                </wp:positionH>
                <wp:positionV relativeFrom="paragraph">
                  <wp:posOffset>149027</wp:posOffset>
                </wp:positionV>
                <wp:extent cx="4374108" cy="2408830"/>
                <wp:effectExtent l="0" t="0" r="26670" b="10795"/>
                <wp:wrapNone/>
                <wp:docPr id="5" name="Text Box 4"/>
                <wp:cNvGraphicFramePr/>
                <a:graphic xmlns:a="http://schemas.openxmlformats.org/drawingml/2006/main">
                  <a:graphicData uri="http://schemas.microsoft.com/office/word/2010/wordprocessingShape">
                    <wps:wsp>
                      <wps:cNvSpPr txBox="1"/>
                      <wps:spPr>
                        <a:xfrm>
                          <a:off x="0" y="0"/>
                          <a:ext cx="4374108" cy="2408830"/>
                        </a:xfrm>
                        <a:prstGeom prst="rect">
                          <a:avLst/>
                        </a:prstGeom>
                        <a:solidFill>
                          <a:srgbClr val="FFFFFF"/>
                        </a:solidFill>
                        <a:ln w="3172">
                          <a:solidFill>
                            <a:srgbClr val="000000"/>
                          </a:solidFill>
                          <a:prstDash val="solid"/>
                        </a:ln>
                      </wps:spPr>
                      <wps:txbx>
                        <w:txbxContent>
                          <w:p w14:paraId="1663EA6C" w14:textId="77777777" w:rsidR="00EC2A58" w:rsidRDefault="00EC2A58" w:rsidP="00433898">
                            <w:pPr>
                              <w:spacing w:after="0"/>
                              <w:jc w:val="both"/>
                            </w:pPr>
                            <w:r>
                              <w:rPr>
                                <w:rFonts w:eastAsia="Arial" w:cs="Arial"/>
                                <w:lang w:val="fr-FR"/>
                              </w:rPr>
                              <w:t>Résumé:</w:t>
                            </w:r>
                          </w:p>
                          <w:p w14:paraId="1224F1D3" w14:textId="77777777" w:rsidR="00EC2A58" w:rsidRDefault="00EC2A58" w:rsidP="00433898">
                            <w:pPr>
                              <w:spacing w:after="0"/>
                              <w:jc w:val="both"/>
                              <w:rPr>
                                <w:rFonts w:cs="Arial"/>
                                <w:lang w:val="fr-FR"/>
                              </w:rPr>
                            </w:pPr>
                          </w:p>
                          <w:p w14:paraId="3123191F" w14:textId="77777777" w:rsidR="000B251A" w:rsidRPr="0026419A" w:rsidRDefault="000B251A" w:rsidP="00AF5E1A">
                            <w:pPr>
                              <w:shd w:val="clear" w:color="auto" w:fill="FFFFFF"/>
                              <w:spacing w:after="0" w:line="240" w:lineRule="auto"/>
                              <w:jc w:val="both"/>
                              <w:rPr>
                                <w:rFonts w:cs="Arial"/>
                                <w:color w:val="222222"/>
                                <w:lang w:val="fr-FR"/>
                              </w:rPr>
                            </w:pPr>
                            <w:r w:rsidRPr="0026419A">
                              <w:rPr>
                                <w:rFonts w:cs="Arial"/>
                                <w:color w:val="222222"/>
                                <w:lang w:val="fr-FR"/>
                              </w:rPr>
                              <w:t>Le présent document fait état des avancées dans la mise en œuvre des décisions 14.197 à 14.199 </w:t>
                            </w:r>
                            <w:r w:rsidRPr="0026419A">
                              <w:rPr>
                                <w:rFonts w:cs="Arial"/>
                                <w:i/>
                                <w:iCs/>
                                <w:color w:val="222222"/>
                                <w:lang w:val="fr-FR"/>
                              </w:rPr>
                              <w:t>Aires de conservation transfrontières pour les espèces migratrices.</w:t>
                            </w:r>
                            <w:r w:rsidRPr="0026419A">
                              <w:rPr>
                                <w:rFonts w:cs="Arial"/>
                                <w:color w:val="222222"/>
                                <w:lang w:val="fr-FR"/>
                              </w:rPr>
                              <w:t> Il propose l'adoption de nouvelles décisions et la suppression des décisions 14.197 à 14.199. Il propose également des consultations, notamment </w:t>
                            </w:r>
                            <w:r w:rsidRPr="0026419A">
                              <w:rPr>
                                <w:rFonts w:cs="Arial"/>
                                <w:color w:val="212121"/>
                                <w:lang w:val="fr-FR"/>
                              </w:rPr>
                              <w:t>une analyse coûts-avantages,</w:t>
                            </w:r>
                            <w:r w:rsidRPr="0026419A">
                              <w:rPr>
                                <w:rFonts w:cs="Arial"/>
                                <w:color w:val="222222"/>
                                <w:lang w:val="fr-FR"/>
                              </w:rPr>
                              <w:t> sur l'outil pour </w:t>
                            </w:r>
                            <w:hyperlink r:id="rId12" w:tgtFrame="_blank" w:history="1">
                              <w:r w:rsidRPr="0026419A">
                                <w:rPr>
                                  <w:rStyle w:val="Hyperlink"/>
                                  <w:rFonts w:cs="Arial"/>
                                  <w:i/>
                                  <w:iCs/>
                                  <w:lang w:val="fr-FR"/>
                                </w:rPr>
                                <w:t>identifier les opportunités de conservation transfrontière</w:t>
                              </w:r>
                            </w:hyperlink>
                            <w:r w:rsidRPr="0026419A">
                              <w:rPr>
                                <w:rFonts w:cs="Arial"/>
                                <w:color w:val="222222"/>
                                <w:lang w:val="fr-FR"/>
                              </w:rPr>
                              <w:t>. </w:t>
                            </w:r>
                          </w:p>
                          <w:p w14:paraId="2A878FC2" w14:textId="77777777" w:rsidR="000B251A" w:rsidRPr="0026419A" w:rsidRDefault="000B251A" w:rsidP="00AF5E1A">
                            <w:pPr>
                              <w:shd w:val="clear" w:color="auto" w:fill="FFFFFF"/>
                              <w:spacing w:after="0" w:line="240" w:lineRule="auto"/>
                              <w:jc w:val="both"/>
                              <w:rPr>
                                <w:rFonts w:cs="Arial"/>
                                <w:color w:val="222222"/>
                                <w:lang w:val="fr-FR"/>
                              </w:rPr>
                            </w:pPr>
                            <w:r w:rsidRPr="0026419A">
                              <w:rPr>
                                <w:rFonts w:cs="Arial"/>
                                <w:color w:val="222222"/>
                                <w:lang w:val="fr-FR"/>
                              </w:rPr>
                              <w:t> </w:t>
                            </w:r>
                          </w:p>
                          <w:p w14:paraId="2DA2C29F" w14:textId="77777777" w:rsidR="000B251A" w:rsidRPr="0026419A" w:rsidRDefault="000B251A" w:rsidP="00AF5E1A">
                            <w:pPr>
                              <w:shd w:val="clear" w:color="auto" w:fill="FFFFFF"/>
                              <w:spacing w:after="0" w:line="240" w:lineRule="auto"/>
                              <w:jc w:val="both"/>
                              <w:rPr>
                                <w:rFonts w:cs="Arial"/>
                                <w:color w:val="222222"/>
                                <w:lang w:val="fr-FR"/>
                              </w:rPr>
                            </w:pPr>
                            <w:r w:rsidRPr="0026419A">
                              <w:rPr>
                                <w:rFonts w:cs="Arial"/>
                                <w:color w:val="222222"/>
                                <w:lang w:val="fr-FR"/>
                              </w:rPr>
                              <w:t>Le projet de décisions ci-joint contribuerait à la réalisation des cibles 2.1, 2.3, 3.2, 4.1, 4.2 et 5.3 du Plan stratégique de Samarcande pour les espèces migratrices 2024–2032.</w:t>
                            </w:r>
                          </w:p>
                          <w:p w14:paraId="4F8EB784" w14:textId="77777777" w:rsidR="000B251A" w:rsidRDefault="000B251A" w:rsidP="00433898">
                            <w:pPr>
                              <w:spacing w:after="0"/>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25pt;margin-top:11.75pt;width:344.4pt;height:18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" strokeweight=".08811mm">
                <v:textbox>
                  <w:txbxContent>
                    <w:p w14:paraId="1663EA6C" w14:textId="77777777" w:rsidR="00EC2A58" w:rsidRDefault="00EC2A58" w:rsidP="00433898">
                      <w:pPr>
                        <w:spacing w:after="0"/>
                        <w:jc w:val="both"/>
                      </w:pPr>
                      <w:r>
                        <w:rPr>
                          <w:rFonts w:eastAsia="Arial" w:cs="Arial"/>
                          <w:lang w:val="fr-FR"/>
                        </w:rPr>
                        <w:t>Résumé:</w:t>
                      </w:r>
                    </w:p>
                    <w:p w14:paraId="1224F1D3" w14:textId="77777777" w:rsidR="00EC2A58" w:rsidRDefault="00EC2A58" w:rsidP="00433898">
                      <w:pPr>
                        <w:spacing w:after="0"/>
                        <w:jc w:val="both"/>
                        <w:rPr>
                          <w:rFonts w:cs="Arial"/>
                          <w:lang w:val="fr-FR"/>
                        </w:rPr>
                      </w:pPr>
                    </w:p>
                    <w:p w14:paraId="3123191F" w14:textId="77777777" w:rsidR="000B251A" w:rsidRPr="0026419A" w:rsidRDefault="000B251A" w:rsidP="00AF5E1A">
                      <w:pPr>
                        <w:shd w:val="clear" w:color="auto" w:fill="FFFFFF"/>
                        <w:spacing w:after="0" w:line="240" w:lineRule="auto"/>
                        <w:jc w:val="both"/>
                        <w:rPr>
                          <w:rFonts w:cs="Arial"/>
                          <w:color w:val="222222"/>
                          <w:lang w:val="fr-FR"/>
                        </w:rPr>
                      </w:pPr>
                      <w:r w:rsidRPr="0026419A">
                        <w:rPr>
                          <w:rFonts w:cs="Arial"/>
                          <w:color w:val="222222"/>
                          <w:lang w:val="fr-FR"/>
                        </w:rPr>
                        <w:t>Le présent document fait état des avancées dans la mise en œuvre des décisions 14.197 à 14.199 </w:t>
                      </w:r>
                      <w:r w:rsidRPr="0026419A">
                        <w:rPr>
                          <w:rFonts w:cs="Arial"/>
                          <w:i/>
                          <w:iCs/>
                          <w:color w:val="222222"/>
                          <w:lang w:val="fr-FR"/>
                        </w:rPr>
                        <w:t>Aires de conservation transfrontières pour les espèces migratrices.</w:t>
                      </w:r>
                      <w:r w:rsidRPr="0026419A">
                        <w:rPr>
                          <w:rFonts w:cs="Arial"/>
                          <w:color w:val="222222"/>
                          <w:lang w:val="fr-FR"/>
                        </w:rPr>
                        <w:t> Il propose l'adoption de nouvelles décisions et la suppression des décisions 14.197 à 14.199. Il propose également des consultations, notamment </w:t>
                      </w:r>
                      <w:r w:rsidRPr="0026419A">
                        <w:rPr>
                          <w:rFonts w:cs="Arial"/>
                          <w:color w:val="212121"/>
                          <w:lang w:val="fr-FR"/>
                        </w:rPr>
                        <w:t>une analyse coûts-avantages,</w:t>
                      </w:r>
                      <w:r w:rsidRPr="0026419A">
                        <w:rPr>
                          <w:rFonts w:cs="Arial"/>
                          <w:color w:val="222222"/>
                          <w:lang w:val="fr-FR"/>
                        </w:rPr>
                        <w:t> sur l'outil pour </w:t>
                      </w:r>
                      <w:hyperlink r:id="rId13" w:tgtFrame="_blank" w:history="1">
                        <w:r w:rsidRPr="0026419A">
                          <w:rPr>
                            <w:rStyle w:val="Hyperlink"/>
                            <w:rFonts w:cs="Arial"/>
                            <w:i/>
                            <w:iCs/>
                            <w:lang w:val="fr-FR"/>
                          </w:rPr>
                          <w:t>identifier les opportunités de conservation transfrontière</w:t>
                        </w:r>
                      </w:hyperlink>
                      <w:r w:rsidRPr="0026419A">
                        <w:rPr>
                          <w:rFonts w:cs="Arial"/>
                          <w:color w:val="222222"/>
                          <w:lang w:val="fr-FR"/>
                        </w:rPr>
                        <w:t>. </w:t>
                      </w:r>
                    </w:p>
                    <w:p w14:paraId="2A878FC2" w14:textId="77777777" w:rsidR="000B251A" w:rsidRPr="0026419A" w:rsidRDefault="000B251A" w:rsidP="00AF5E1A">
                      <w:pPr>
                        <w:shd w:val="clear" w:color="auto" w:fill="FFFFFF"/>
                        <w:spacing w:after="0" w:line="240" w:lineRule="auto"/>
                        <w:jc w:val="both"/>
                        <w:rPr>
                          <w:rFonts w:cs="Arial"/>
                          <w:color w:val="222222"/>
                          <w:lang w:val="fr-FR"/>
                        </w:rPr>
                      </w:pPr>
                      <w:r w:rsidRPr="0026419A">
                        <w:rPr>
                          <w:rFonts w:cs="Arial"/>
                          <w:color w:val="222222"/>
                          <w:lang w:val="fr-FR"/>
                        </w:rPr>
                        <w:t> </w:t>
                      </w:r>
                    </w:p>
                    <w:p w14:paraId="2DA2C29F" w14:textId="77777777" w:rsidR="000B251A" w:rsidRPr="0026419A" w:rsidRDefault="000B251A" w:rsidP="00AF5E1A">
                      <w:pPr>
                        <w:shd w:val="clear" w:color="auto" w:fill="FFFFFF"/>
                        <w:spacing w:after="0" w:line="240" w:lineRule="auto"/>
                        <w:jc w:val="both"/>
                        <w:rPr>
                          <w:rFonts w:cs="Arial"/>
                          <w:color w:val="222222"/>
                          <w:lang w:val="fr-FR"/>
                        </w:rPr>
                      </w:pPr>
                      <w:r w:rsidRPr="0026419A">
                        <w:rPr>
                          <w:rFonts w:cs="Arial"/>
                          <w:color w:val="222222"/>
                          <w:lang w:val="fr-FR"/>
                        </w:rPr>
                        <w:t>Le projet de décisions ci-joint contribuerait à la réalisation des cibles 2.1, 2.3, 3.2, 4.1, 4.2 et 5.3 du Plan stratégique de Samarcande pour les espèces migratrices 2024–2032.</w:t>
                      </w:r>
                    </w:p>
                    <w:p w14:paraId="4F8EB784" w14:textId="77777777" w:rsidR="000B251A" w:rsidRDefault="000B251A" w:rsidP="00433898">
                      <w:pPr>
                        <w:spacing w:after="0"/>
                        <w:jc w:val="both"/>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433898">
      <w:pPr>
        <w:widowControl w:val="0"/>
        <w:suppressAutoHyphens/>
        <w:autoSpaceDE w:val="0"/>
        <w:autoSpaceDN w:val="0"/>
        <w:spacing w:after="0" w:line="240" w:lineRule="auto"/>
        <w:jc w:val="both"/>
        <w:textAlignment w:val="baseline"/>
        <w:rPr>
          <w:rFonts w:eastAsia="Times New Roman" w:cs="Arial"/>
          <w:lang w:val="fr-FR"/>
        </w:rPr>
      </w:pPr>
    </w:p>
    <w:p w14:paraId="21055227" w14:textId="77777777" w:rsidR="00EC2A58" w:rsidRPr="00EC2A58" w:rsidRDefault="00EC2A58" w:rsidP="00433898">
      <w:pPr>
        <w:widowControl w:val="0"/>
        <w:suppressAutoHyphens/>
        <w:autoSpaceDE w:val="0"/>
        <w:autoSpaceDN w:val="0"/>
        <w:spacing w:after="0" w:line="240" w:lineRule="auto"/>
        <w:jc w:val="both"/>
        <w:textAlignment w:val="baseline"/>
        <w:rPr>
          <w:rFonts w:eastAsia="Times New Roman" w:cs="Arial"/>
          <w:lang w:val="fr-FR"/>
        </w:rPr>
      </w:pPr>
    </w:p>
    <w:p w14:paraId="6F10B63A" w14:textId="5BB9322A" w:rsidR="00433898" w:rsidRDefault="00433898" w:rsidP="00433898">
      <w:pPr>
        <w:spacing w:after="0" w:line="240" w:lineRule="auto"/>
        <w:jc w:val="both"/>
        <w:rPr>
          <w:rFonts w:eastAsia="Times New Roman" w:cs="Arial"/>
          <w:lang w:val="fr-FR"/>
        </w:rPr>
      </w:pPr>
      <w:r>
        <w:rPr>
          <w:rFonts w:eastAsia="Times New Roman" w:cs="Arial"/>
          <w:lang w:val="fr-FR"/>
        </w:rPr>
        <w:br w:type="page"/>
      </w:r>
    </w:p>
    <w:p w14:paraId="514A707F" w14:textId="4D340240" w:rsidR="00433898" w:rsidRPr="00433898" w:rsidRDefault="00433898" w:rsidP="00433898">
      <w:pPr>
        <w:pStyle w:val="Heading2"/>
        <w:rPr>
          <w:sz w:val="22"/>
          <w:szCs w:val="22"/>
          <w:lang w:val="fr-FR"/>
        </w:rPr>
      </w:pPr>
      <w:bookmarkStart w:id="2" w:name="_Toc162002076"/>
      <w:r w:rsidRPr="00433898">
        <w:rPr>
          <w:sz w:val="22"/>
          <w:szCs w:val="22"/>
          <w:lang w:val="fr-FR"/>
        </w:rPr>
        <w:lastRenderedPageBreak/>
        <w:t>AIRES DE CONSERVATION TRANSFRONTI</w:t>
      </w:r>
      <w:r>
        <w:rPr>
          <w:sz w:val="22"/>
          <w:szCs w:val="22"/>
          <w:lang w:val="fr-FR"/>
        </w:rPr>
        <w:t>È</w:t>
      </w:r>
      <w:r w:rsidRPr="00433898">
        <w:rPr>
          <w:sz w:val="22"/>
          <w:szCs w:val="22"/>
          <w:lang w:val="fr-FR"/>
        </w:rPr>
        <w:t>RES POUR LES ESP</w:t>
      </w:r>
      <w:r>
        <w:rPr>
          <w:sz w:val="22"/>
          <w:szCs w:val="22"/>
          <w:lang w:val="fr-FR"/>
        </w:rPr>
        <w:t>È</w:t>
      </w:r>
      <w:r w:rsidRPr="00433898">
        <w:rPr>
          <w:sz w:val="22"/>
          <w:szCs w:val="22"/>
          <w:lang w:val="fr-FR"/>
        </w:rPr>
        <w:t>CES MIGRATRICES</w:t>
      </w:r>
      <w:bookmarkEnd w:id="2"/>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66697A42" w14:textId="77777777" w:rsidR="00EC2A58" w:rsidRPr="00EC2A58" w:rsidRDefault="00EC2A58" w:rsidP="00433898">
      <w:pPr>
        <w:spacing w:after="0" w:line="240" w:lineRule="auto"/>
        <w:jc w:val="both"/>
        <w:rPr>
          <w:lang w:val="fr-FR"/>
        </w:rPr>
      </w:pPr>
    </w:p>
    <w:p w14:paraId="208EABF2" w14:textId="6CF1AE1A" w:rsidR="00433898" w:rsidRPr="00555EB1" w:rsidRDefault="00433898" w:rsidP="00012C9E">
      <w:pPr>
        <w:pStyle w:val="ListParagraph"/>
        <w:numPr>
          <w:ilvl w:val="0"/>
          <w:numId w:val="2"/>
        </w:numPr>
        <w:spacing w:after="0" w:line="240" w:lineRule="auto"/>
        <w:ind w:left="567" w:hanging="567"/>
        <w:contextualSpacing w:val="0"/>
        <w:jc w:val="both"/>
        <w:rPr>
          <w:rFonts w:cs="Arial"/>
          <w:lang w:val="fr-FR"/>
        </w:rPr>
      </w:pPr>
      <w:r w:rsidRPr="00433898">
        <w:rPr>
          <w:lang w:val="fr-FR"/>
        </w:rPr>
        <w:t xml:space="preserve">Le concept d’aires de conservation transfrontières (ACT) est inscrit dans la </w:t>
      </w:r>
      <w:hyperlink r:id="rId14" w:history="1">
        <w:r w:rsidRPr="00433898">
          <w:rPr>
            <w:rStyle w:val="Hyperlink"/>
            <w:lang w:val="fr-FR"/>
          </w:rPr>
          <w:t>Résolution 14.16</w:t>
        </w:r>
      </w:hyperlink>
      <w:r w:rsidRPr="00433898">
        <w:rPr>
          <w:lang w:val="fr-FR"/>
        </w:rPr>
        <w:t xml:space="preserve"> </w:t>
      </w:r>
      <w:r w:rsidRPr="00433898">
        <w:rPr>
          <w:i/>
          <w:iCs/>
          <w:lang w:val="fr-FR"/>
        </w:rPr>
        <w:t>Connectivité écologique</w:t>
      </w:r>
      <w:r w:rsidRPr="00433898">
        <w:rPr>
          <w:lang w:val="fr-FR"/>
        </w:rPr>
        <w:t xml:space="preserve">, et défini </w:t>
      </w:r>
      <w:r>
        <w:rPr>
          <w:lang w:val="fr-FR"/>
        </w:rPr>
        <w:t>(</w:t>
      </w:r>
      <w:r w:rsidRPr="00433898">
        <w:rPr>
          <w:lang w:val="fr-FR"/>
        </w:rPr>
        <w:t>au paragraphe 1</w:t>
      </w:r>
      <w:r>
        <w:rPr>
          <w:lang w:val="fr-FR"/>
        </w:rPr>
        <w:t>8)</w:t>
      </w:r>
      <w:r w:rsidRPr="00433898">
        <w:rPr>
          <w:lang w:val="fr-FR"/>
        </w:rPr>
        <w:t xml:space="preserve"> comme « une aire ou composante d’une vaste région écologique qui chevauche les frontières de deux pays ou plus et se trouve sous leur juridiction nationale, qui peut être composée d’une aire protégée ou plus, ainsi que de plusieurs aires d’utilisation des ressources ». Le concept d’ACT a été initialement défini par les membres de la Communauté de développement de l’Afrique australe dans leur </w:t>
      </w:r>
      <w:hyperlink r:id="rId15" w:history="1">
        <w:r w:rsidRPr="00433898">
          <w:rPr>
            <w:rStyle w:val="Hyperlink"/>
            <w:lang w:val="fr-FR"/>
          </w:rPr>
          <w:t>Protocole sur la conservation de la faune et de la flore sauvages et l’imposition des lois</w:t>
        </w:r>
      </w:hyperlink>
      <w:r w:rsidRPr="00433898">
        <w:rPr>
          <w:lang w:val="fr-FR"/>
        </w:rPr>
        <w:t xml:space="preserve"> de 1999. Depuis, la création d’ACT est devenue un élément essentiel des efforts de conservation en Afrique australe, constituant un exemple pour d’autres régions du continent</w:t>
      </w:r>
      <w:r>
        <w:rPr>
          <w:lang w:val="fr-FR"/>
        </w:rPr>
        <w:t xml:space="preserve">. </w:t>
      </w:r>
      <w:r w:rsidR="003D14B1" w:rsidRPr="000F677C">
        <w:rPr>
          <w:rFonts w:cs="Arial"/>
          <w:lang w:val="fr-FR"/>
        </w:rPr>
        <w:t>Lors de sa 14</w:t>
      </w:r>
      <w:r w:rsidR="003D14B1" w:rsidRPr="000F677C">
        <w:rPr>
          <w:rFonts w:cs="Arial"/>
          <w:vertAlign w:val="superscript"/>
          <w:lang w:val="fr-FR"/>
        </w:rPr>
        <w:t>e</w:t>
      </w:r>
      <w:r w:rsidR="003D14B1" w:rsidRPr="000F677C">
        <w:rPr>
          <w:rFonts w:cs="Arial"/>
          <w:lang w:val="fr-FR"/>
        </w:rPr>
        <w:t xml:space="preserve"> session, la Conférence des Parties (</w:t>
      </w:r>
      <w:r w:rsidR="003D14B1" w:rsidRPr="000F677C">
        <w:rPr>
          <w:rFonts w:eastAsia="Times New Roman" w:cs="Arial"/>
          <w:snapToGrid w:val="0"/>
          <w:color w:val="000000"/>
          <w:kern w:val="2"/>
          <w:lang w:val="fr-FR"/>
        </w:rPr>
        <w:t xml:space="preserve">COP14) a adopté les décisions 14.197 à 14.199 </w:t>
      </w:r>
      <w:r w:rsidR="003D14B1" w:rsidRPr="000F677C">
        <w:rPr>
          <w:rFonts w:eastAsia="Times New Roman" w:cs="Arial"/>
          <w:i/>
          <w:iCs/>
          <w:snapToGrid w:val="0"/>
          <w:color w:val="000000"/>
          <w:kern w:val="2"/>
          <w:lang w:val="fr-FR"/>
        </w:rPr>
        <w:t>Aires de conservation transfrontières</w:t>
      </w:r>
      <w:r w:rsidR="003D14B1" w:rsidRPr="000F677C">
        <w:rPr>
          <w:rFonts w:eastAsia="Times New Roman" w:cs="Arial"/>
          <w:snapToGrid w:val="0"/>
          <w:color w:val="000000"/>
          <w:kern w:val="2"/>
          <w:lang w:val="fr-FR"/>
        </w:rPr>
        <w:t xml:space="preserve"> (ACT) pour soutenir les Parties dans la mise en œuvre de cette approche:</w:t>
      </w:r>
    </w:p>
    <w:p w14:paraId="77842D42" w14:textId="1C671C50" w:rsidR="00896FBB" w:rsidRPr="003D14B1" w:rsidRDefault="00896FBB" w:rsidP="00433898">
      <w:pPr>
        <w:spacing w:after="0" w:line="240" w:lineRule="auto"/>
        <w:jc w:val="both"/>
        <w:rPr>
          <w:lang w:val="fr-FR"/>
        </w:rPr>
      </w:pPr>
    </w:p>
    <w:p w14:paraId="303DA93A" w14:textId="2681C710" w:rsidR="00BA33FE" w:rsidRPr="00433898" w:rsidRDefault="00433898" w:rsidP="00433898">
      <w:pPr>
        <w:spacing w:after="0" w:line="240" w:lineRule="auto"/>
        <w:ind w:left="851"/>
        <w:jc w:val="both"/>
        <w:rPr>
          <w:b/>
          <w:bCs/>
          <w:i/>
          <w:iCs/>
          <w:sz w:val="20"/>
          <w:szCs w:val="20"/>
          <w:lang w:val="fr-FR"/>
        </w:rPr>
      </w:pPr>
      <w:r w:rsidRPr="00433898">
        <w:rPr>
          <w:b/>
          <w:bCs/>
          <w:i/>
          <w:iCs/>
          <w:sz w:val="20"/>
          <w:szCs w:val="20"/>
          <w:lang w:val="fr-FR"/>
        </w:rPr>
        <w:t>14.197 À l’adresse des Parties</w:t>
      </w:r>
    </w:p>
    <w:p w14:paraId="0079959B" w14:textId="77777777" w:rsidR="00433898" w:rsidRPr="00433898" w:rsidRDefault="00433898" w:rsidP="00433898">
      <w:pPr>
        <w:spacing w:after="0" w:line="240" w:lineRule="auto"/>
        <w:ind w:left="851"/>
        <w:jc w:val="both"/>
        <w:rPr>
          <w:sz w:val="20"/>
          <w:szCs w:val="20"/>
          <w:lang w:val="fr-FR"/>
        </w:rPr>
      </w:pPr>
    </w:p>
    <w:p w14:paraId="35572131" w14:textId="727CEFE4" w:rsidR="00433898" w:rsidRDefault="00433898" w:rsidP="00232C39">
      <w:pPr>
        <w:spacing w:after="0" w:line="240" w:lineRule="auto"/>
        <w:ind w:left="851"/>
        <w:jc w:val="both"/>
        <w:rPr>
          <w:rFonts w:eastAsia="Calibri" w:cs="Arial"/>
          <w:i/>
          <w:iCs/>
          <w:sz w:val="20"/>
          <w:szCs w:val="20"/>
          <w:lang w:val="fr-FR"/>
        </w:rPr>
      </w:pPr>
      <w:r w:rsidRPr="00433898">
        <w:rPr>
          <w:rFonts w:eastAsia="Calibri" w:cs="Arial"/>
          <w:i/>
          <w:iCs/>
          <w:sz w:val="20"/>
          <w:szCs w:val="20"/>
          <w:lang w:val="fr-FR"/>
        </w:rPr>
        <w:t>Les Parties qui sont membres de la Communauté de développement de l’Afrique australe, de l’Autorité intergouvernementale pour le développement ou de la Communauté de l’Afrique de l’Est sont invitées à :</w:t>
      </w:r>
    </w:p>
    <w:p w14:paraId="164C02CF" w14:textId="77777777" w:rsidR="00232C39" w:rsidRPr="00433898" w:rsidRDefault="00232C39" w:rsidP="00232C39">
      <w:pPr>
        <w:spacing w:after="0" w:line="240" w:lineRule="auto"/>
        <w:ind w:left="851"/>
        <w:jc w:val="both"/>
        <w:rPr>
          <w:rFonts w:eastAsia="Calibri" w:cs="Arial"/>
          <w:i/>
          <w:iCs/>
          <w:sz w:val="20"/>
          <w:szCs w:val="20"/>
          <w:lang w:val="fr-FR"/>
        </w:rPr>
      </w:pPr>
    </w:p>
    <w:p w14:paraId="786BF017" w14:textId="77777777" w:rsidR="00433898" w:rsidRDefault="00433898" w:rsidP="00433898">
      <w:pPr>
        <w:numPr>
          <w:ilvl w:val="0"/>
          <w:numId w:val="3"/>
        </w:numPr>
        <w:suppressAutoHyphens/>
        <w:spacing w:after="80" w:line="240" w:lineRule="auto"/>
        <w:ind w:left="1276" w:hanging="425"/>
        <w:jc w:val="both"/>
        <w:rPr>
          <w:rFonts w:eastAsia="Calibri" w:cs="Arial"/>
          <w:i/>
          <w:iCs/>
          <w:sz w:val="20"/>
          <w:szCs w:val="20"/>
          <w:lang w:val="fr-FR"/>
        </w:rPr>
      </w:pPr>
      <w:r w:rsidRPr="00433898">
        <w:rPr>
          <w:rFonts w:eastAsia="Calibri" w:cs="Arial"/>
          <w:i/>
          <w:iCs/>
          <w:sz w:val="20"/>
          <w:szCs w:val="20"/>
          <w:lang w:val="fr-FR"/>
        </w:rPr>
        <w:t>envisager de tester, le cas échéant, l’outil pilote transfrontalier du Centre mondial de surveillance pour la conservation du Programme des Nations Unies pour l’environnement (PNUE ; ci-après désigné l’« outil ») afin de déterminer les possibilités d’actions de conservation transfrontières à l’aide des données de la base de données mondiale sur les zones protégées et de la base de données mondiale sur les zones clés pour la biodiversité ; et</w:t>
      </w:r>
    </w:p>
    <w:p w14:paraId="1702E78B" w14:textId="02F126D8" w:rsidR="00433898" w:rsidRDefault="00433898" w:rsidP="00433898">
      <w:pPr>
        <w:numPr>
          <w:ilvl w:val="0"/>
          <w:numId w:val="3"/>
        </w:numPr>
        <w:suppressAutoHyphens/>
        <w:spacing w:after="0" w:line="240" w:lineRule="auto"/>
        <w:ind w:left="1276" w:hanging="425"/>
        <w:jc w:val="both"/>
        <w:rPr>
          <w:rFonts w:eastAsia="Calibri" w:cs="Arial"/>
          <w:i/>
          <w:iCs/>
          <w:sz w:val="20"/>
          <w:szCs w:val="20"/>
          <w:lang w:val="fr-FR"/>
        </w:rPr>
      </w:pPr>
      <w:r w:rsidRPr="00433898">
        <w:rPr>
          <w:rFonts w:eastAsia="Calibri" w:cs="Arial"/>
          <w:i/>
          <w:iCs/>
          <w:sz w:val="20"/>
          <w:szCs w:val="20"/>
          <w:lang w:val="fr-FR"/>
        </w:rPr>
        <w:t>par l’intermédiaire du Secrétariat, envisager de rendre compte au Comité de session du Conseil scientifique lors de sa 7</w:t>
      </w:r>
      <w:r w:rsidRPr="00433898">
        <w:rPr>
          <w:rFonts w:cs="Arial"/>
          <w:i/>
          <w:iCs/>
          <w:sz w:val="20"/>
          <w:szCs w:val="20"/>
          <w:vertAlign w:val="superscript"/>
          <w:lang w:val="fr-FR"/>
        </w:rPr>
        <w:t>e</w:t>
      </w:r>
      <w:r w:rsidRPr="00433898">
        <w:rPr>
          <w:rFonts w:eastAsia="Calibri" w:cs="Arial"/>
          <w:i/>
          <w:iCs/>
          <w:sz w:val="20"/>
          <w:szCs w:val="20"/>
          <w:lang w:val="fr-FR"/>
        </w:rPr>
        <w:t xml:space="preserve"> ou de sa 8</w:t>
      </w:r>
      <w:r w:rsidRPr="00433898">
        <w:rPr>
          <w:rFonts w:eastAsia="Calibri" w:cs="Arial"/>
          <w:i/>
          <w:iCs/>
          <w:sz w:val="20"/>
          <w:szCs w:val="20"/>
          <w:vertAlign w:val="superscript"/>
          <w:lang w:val="fr-FR"/>
        </w:rPr>
        <w:t xml:space="preserve">e </w:t>
      </w:r>
      <w:r w:rsidRPr="00433898">
        <w:rPr>
          <w:rFonts w:eastAsia="Calibri" w:cs="Arial"/>
          <w:i/>
          <w:iCs/>
          <w:sz w:val="20"/>
          <w:szCs w:val="20"/>
          <w:lang w:val="fr-FR"/>
        </w:rPr>
        <w:t>réunion des zones de conservation transfrontières potentielles recensées, ainsi que de la fonctionnalité et de l’utilité de l’outil à cette fin.</w:t>
      </w:r>
    </w:p>
    <w:p w14:paraId="4AA49750" w14:textId="77777777" w:rsidR="00433898" w:rsidRDefault="00433898" w:rsidP="00433898">
      <w:pPr>
        <w:suppressAutoHyphens/>
        <w:spacing w:after="0" w:line="240" w:lineRule="auto"/>
        <w:ind w:left="851"/>
        <w:jc w:val="both"/>
        <w:rPr>
          <w:rFonts w:eastAsia="Calibri" w:cs="Arial"/>
          <w:i/>
          <w:iCs/>
          <w:sz w:val="20"/>
          <w:szCs w:val="20"/>
          <w:lang w:val="fr-FR"/>
        </w:rPr>
      </w:pPr>
    </w:p>
    <w:p w14:paraId="6D15E0E9" w14:textId="580D4B5A" w:rsidR="00433898" w:rsidRDefault="00433898" w:rsidP="00433898">
      <w:pPr>
        <w:suppressAutoHyphens/>
        <w:spacing w:after="0" w:line="240" w:lineRule="auto"/>
        <w:ind w:left="851"/>
        <w:jc w:val="both"/>
        <w:rPr>
          <w:rFonts w:eastAsia="Calibri" w:cs="Arial"/>
          <w:b/>
          <w:bCs/>
          <w:i/>
          <w:iCs/>
          <w:sz w:val="20"/>
          <w:szCs w:val="20"/>
          <w:lang w:val="fr-FR"/>
        </w:rPr>
      </w:pPr>
      <w:r w:rsidRPr="00433898">
        <w:rPr>
          <w:rFonts w:eastAsia="Calibri" w:cs="Arial"/>
          <w:b/>
          <w:bCs/>
          <w:i/>
          <w:iCs/>
          <w:sz w:val="20"/>
          <w:szCs w:val="20"/>
          <w:lang w:val="fr-FR"/>
        </w:rPr>
        <w:t>14.198 À l’adresse du Conseil scientifique</w:t>
      </w:r>
    </w:p>
    <w:p w14:paraId="31F6E03C" w14:textId="77777777" w:rsidR="00433898" w:rsidRDefault="00433898" w:rsidP="00433898">
      <w:pPr>
        <w:suppressAutoHyphens/>
        <w:spacing w:after="0" w:line="240" w:lineRule="auto"/>
        <w:ind w:left="851"/>
        <w:jc w:val="both"/>
        <w:rPr>
          <w:rFonts w:eastAsia="Calibri" w:cs="Arial"/>
          <w:i/>
          <w:iCs/>
          <w:sz w:val="20"/>
          <w:szCs w:val="20"/>
          <w:lang w:val="fr-FR"/>
        </w:rPr>
      </w:pPr>
    </w:p>
    <w:p w14:paraId="63153230" w14:textId="1719A320" w:rsidR="00433898" w:rsidRDefault="00D46E1D" w:rsidP="00433898">
      <w:pPr>
        <w:suppressAutoHyphens/>
        <w:spacing w:after="0" w:line="240" w:lineRule="auto"/>
        <w:ind w:left="851"/>
        <w:jc w:val="both"/>
        <w:rPr>
          <w:rFonts w:eastAsia="Calibri" w:cs="Arial"/>
          <w:i/>
          <w:iCs/>
          <w:sz w:val="20"/>
          <w:szCs w:val="20"/>
          <w:lang w:val="fr-FR"/>
        </w:rPr>
      </w:pPr>
      <w:r w:rsidRPr="00D46E1D">
        <w:rPr>
          <w:rFonts w:eastAsia="Calibri" w:cs="Arial"/>
          <w:i/>
          <w:iCs/>
          <w:sz w:val="20"/>
          <w:szCs w:val="20"/>
          <w:lang w:val="fr-FR"/>
        </w:rPr>
        <w:t>Le Conseil scientifique est prié, sous réserve de la disponibilité de ressources  d’examiner l’utilité de l’outil sur la base des rapports soumis par les Parties par l’intermédiaire du Secrétariat conformément au paragraphe (b) de la Décision 14.197 et au paragraphe (b) de la Décision 14.199, formuler des recommandations appropriées à l’intention du Secrétariat et des Parties sur son utilisation ultérieure, et aider à déterminer quelles améliorations devraient être apportées à l’outil afin d’orienter son expansion future, sous réserve de la disponibilité de ressources externes.</w:t>
      </w:r>
    </w:p>
    <w:p w14:paraId="7F10F7E5" w14:textId="77777777" w:rsidR="00D46E1D" w:rsidRDefault="00D46E1D" w:rsidP="00433898">
      <w:pPr>
        <w:suppressAutoHyphens/>
        <w:spacing w:after="0" w:line="240" w:lineRule="auto"/>
        <w:ind w:left="851"/>
        <w:jc w:val="both"/>
        <w:rPr>
          <w:rFonts w:eastAsia="Calibri" w:cs="Arial"/>
          <w:i/>
          <w:iCs/>
          <w:sz w:val="20"/>
          <w:szCs w:val="20"/>
          <w:lang w:val="fr-FR"/>
        </w:rPr>
      </w:pPr>
    </w:p>
    <w:p w14:paraId="143059C1" w14:textId="2DAA2A16" w:rsidR="00D46E1D" w:rsidRPr="00FD4A27" w:rsidRDefault="00D46E1D" w:rsidP="00433898">
      <w:pPr>
        <w:suppressAutoHyphens/>
        <w:spacing w:after="0" w:line="240" w:lineRule="auto"/>
        <w:ind w:left="851"/>
        <w:jc w:val="both"/>
        <w:rPr>
          <w:rFonts w:eastAsia="Calibri" w:cs="Arial"/>
          <w:b/>
          <w:bCs/>
          <w:i/>
          <w:iCs/>
          <w:sz w:val="20"/>
          <w:szCs w:val="20"/>
          <w:lang w:val="fr-FR"/>
        </w:rPr>
      </w:pPr>
      <w:r w:rsidRPr="00FD4A27">
        <w:rPr>
          <w:rFonts w:eastAsia="Calibri" w:cs="Arial"/>
          <w:b/>
          <w:bCs/>
          <w:i/>
          <w:iCs/>
          <w:sz w:val="20"/>
          <w:szCs w:val="20"/>
          <w:lang w:val="fr-FR"/>
        </w:rPr>
        <w:t xml:space="preserve">14.199 </w:t>
      </w:r>
      <w:r w:rsidR="00FE691F" w:rsidRPr="00FD4A27">
        <w:rPr>
          <w:rFonts w:eastAsia="Calibri" w:cs="Arial"/>
          <w:b/>
          <w:bCs/>
          <w:i/>
          <w:iCs/>
          <w:sz w:val="20"/>
          <w:szCs w:val="20"/>
          <w:lang w:val="fr-FR"/>
        </w:rPr>
        <w:t>À l’adresse du Secrétariat</w:t>
      </w:r>
    </w:p>
    <w:p w14:paraId="218AD3D6" w14:textId="77777777" w:rsidR="00FE691F" w:rsidRDefault="00FE691F" w:rsidP="00433898">
      <w:pPr>
        <w:suppressAutoHyphens/>
        <w:spacing w:after="0" w:line="240" w:lineRule="auto"/>
        <w:ind w:left="851"/>
        <w:jc w:val="both"/>
        <w:rPr>
          <w:rFonts w:eastAsia="Calibri" w:cs="Arial"/>
          <w:sz w:val="20"/>
          <w:szCs w:val="20"/>
          <w:lang w:val="fr-FR"/>
        </w:rPr>
      </w:pPr>
    </w:p>
    <w:p w14:paraId="1460D266" w14:textId="25FBBE7F" w:rsidR="003B1FDB" w:rsidRDefault="003B1FDB" w:rsidP="00232C39">
      <w:pPr>
        <w:spacing w:after="0" w:line="240" w:lineRule="auto"/>
        <w:ind w:left="851"/>
        <w:jc w:val="both"/>
        <w:rPr>
          <w:rFonts w:eastAsia="Calibri" w:cs="Arial"/>
          <w:i/>
          <w:iCs/>
          <w:sz w:val="20"/>
          <w:szCs w:val="20"/>
          <w:lang w:val="fr-FR"/>
        </w:rPr>
      </w:pPr>
      <w:r w:rsidRPr="00FD4A27">
        <w:rPr>
          <w:rFonts w:eastAsia="Calibri" w:cs="Arial"/>
          <w:i/>
          <w:iCs/>
          <w:sz w:val="20"/>
          <w:szCs w:val="20"/>
          <w:lang w:val="fr-FR"/>
        </w:rPr>
        <w:t xml:space="preserve">Le Secrétariat, sous réserve de la disponibilité de ressources, est invité à : </w:t>
      </w:r>
    </w:p>
    <w:p w14:paraId="60DA6201" w14:textId="77777777" w:rsidR="00232C39" w:rsidRPr="00FD4A27" w:rsidRDefault="00232C39" w:rsidP="00232C39">
      <w:pPr>
        <w:spacing w:after="0" w:line="240" w:lineRule="auto"/>
        <w:ind w:left="851"/>
        <w:jc w:val="both"/>
        <w:rPr>
          <w:rFonts w:eastAsia="Calibri" w:cs="Arial"/>
          <w:i/>
          <w:iCs/>
          <w:sz w:val="20"/>
          <w:szCs w:val="20"/>
          <w:lang w:val="fr-FR"/>
        </w:rPr>
      </w:pPr>
    </w:p>
    <w:p w14:paraId="46101D94" w14:textId="1FDDC283" w:rsidR="003B1FDB" w:rsidRPr="00FD4A27" w:rsidRDefault="003B1FDB" w:rsidP="00232C39">
      <w:pPr>
        <w:numPr>
          <w:ilvl w:val="0"/>
          <w:numId w:val="4"/>
        </w:numPr>
        <w:suppressAutoHyphens/>
        <w:spacing w:after="80" w:line="240" w:lineRule="auto"/>
        <w:ind w:left="1276" w:hanging="425"/>
        <w:jc w:val="both"/>
        <w:rPr>
          <w:rFonts w:eastAsia="Calibri" w:cs="Arial"/>
          <w:i/>
          <w:iCs/>
          <w:sz w:val="20"/>
          <w:szCs w:val="20"/>
          <w:lang w:val="fr-FR"/>
        </w:rPr>
      </w:pPr>
      <w:bookmarkStart w:id="3" w:name="_Hlk137461095"/>
      <w:r w:rsidRPr="00FD4A27">
        <w:rPr>
          <w:rFonts w:eastAsia="Calibri" w:cs="Arial"/>
          <w:i/>
          <w:iCs/>
          <w:sz w:val="20"/>
          <w:szCs w:val="20"/>
          <w:lang w:val="fr-FR"/>
        </w:rPr>
        <w:t>en collaboration avec le Centre mondial de surveillance pour la conservation du PNUE et d’autres partenaires, sensibiliser les Parties mentionnées dans la Décision 14.197 à l’outil ;</w:t>
      </w:r>
    </w:p>
    <w:bookmarkEnd w:id="3"/>
    <w:p w14:paraId="66E7805A" w14:textId="77777777" w:rsidR="00232C39" w:rsidRDefault="003B1FDB" w:rsidP="00232C39">
      <w:pPr>
        <w:numPr>
          <w:ilvl w:val="0"/>
          <w:numId w:val="4"/>
        </w:numPr>
        <w:suppressAutoHyphens/>
        <w:spacing w:after="0" w:line="240" w:lineRule="auto"/>
        <w:ind w:left="1276" w:hanging="425"/>
        <w:jc w:val="both"/>
        <w:rPr>
          <w:rFonts w:eastAsia="Calibri" w:cs="Arial"/>
          <w:i/>
          <w:iCs/>
          <w:sz w:val="20"/>
          <w:szCs w:val="20"/>
          <w:lang w:val="fr-FR"/>
        </w:rPr>
      </w:pPr>
      <w:r w:rsidRPr="00FD4A27">
        <w:rPr>
          <w:rFonts w:eastAsia="Calibri" w:cs="Arial"/>
          <w:i/>
          <w:iCs/>
          <w:sz w:val="20"/>
          <w:szCs w:val="20"/>
          <w:lang w:val="fr-FR"/>
        </w:rPr>
        <w:t>demander aux Parties mentionnées dans la décision 14.197 d’envisager de partager un retour d’information sur la fonctionnalité et l’utilité de l’outil dans la détermination des possibilités d’actions de conservation transfrontalières, et soumettre un rapport sur le retour d’information reçu au Comité de session du Conseil scientifique lors de sa 7</w:t>
      </w:r>
      <w:r w:rsidRPr="00FD4A27">
        <w:rPr>
          <w:rFonts w:eastAsia="Calibri" w:cs="Arial"/>
          <w:i/>
          <w:iCs/>
          <w:sz w:val="20"/>
          <w:szCs w:val="20"/>
          <w:vertAlign w:val="superscript"/>
          <w:lang w:val="fr-FR"/>
        </w:rPr>
        <w:t>e</w:t>
      </w:r>
      <w:r w:rsidRPr="00FD4A27">
        <w:rPr>
          <w:rFonts w:eastAsia="Calibri" w:cs="Arial"/>
          <w:i/>
          <w:iCs/>
          <w:sz w:val="20"/>
          <w:szCs w:val="20"/>
          <w:lang w:val="fr-FR"/>
        </w:rPr>
        <w:t xml:space="preserve"> et/ou de sa 8</w:t>
      </w:r>
      <w:r w:rsidRPr="00FD4A27">
        <w:rPr>
          <w:rFonts w:eastAsia="Calibri" w:cs="Arial"/>
          <w:i/>
          <w:iCs/>
          <w:sz w:val="20"/>
          <w:szCs w:val="20"/>
          <w:vertAlign w:val="superscript"/>
          <w:lang w:val="fr-FR"/>
        </w:rPr>
        <w:t>e</w:t>
      </w:r>
      <w:r w:rsidRPr="00FD4A27">
        <w:rPr>
          <w:rFonts w:eastAsia="Calibri" w:cs="Arial"/>
          <w:i/>
          <w:iCs/>
          <w:sz w:val="20"/>
          <w:szCs w:val="20"/>
          <w:lang w:val="fr-FR"/>
        </w:rPr>
        <w:t xml:space="preserve"> réunion ; et</w:t>
      </w:r>
    </w:p>
    <w:p w14:paraId="63F82880" w14:textId="0CAD1411" w:rsidR="00FE691F" w:rsidRDefault="003B1FDB" w:rsidP="00232C39">
      <w:pPr>
        <w:numPr>
          <w:ilvl w:val="0"/>
          <w:numId w:val="4"/>
        </w:numPr>
        <w:suppressAutoHyphens/>
        <w:spacing w:after="0" w:line="240" w:lineRule="auto"/>
        <w:ind w:left="1276" w:hanging="425"/>
        <w:jc w:val="both"/>
        <w:rPr>
          <w:rFonts w:eastAsia="Calibri" w:cs="Arial"/>
          <w:i/>
          <w:iCs/>
          <w:sz w:val="20"/>
          <w:szCs w:val="20"/>
          <w:lang w:val="fr-FR"/>
        </w:rPr>
      </w:pPr>
      <w:r w:rsidRPr="00232C39">
        <w:rPr>
          <w:rFonts w:eastAsia="Calibri" w:cs="Arial"/>
          <w:i/>
          <w:iCs/>
          <w:sz w:val="20"/>
          <w:szCs w:val="20"/>
          <w:lang w:val="fr-FR"/>
        </w:rPr>
        <w:lastRenderedPageBreak/>
        <w:t>rendre compte à la Conférence des Parties, lors de sa 15</w:t>
      </w:r>
      <w:r w:rsidRPr="00232C39">
        <w:rPr>
          <w:rFonts w:cs="Arial"/>
          <w:i/>
          <w:iCs/>
          <w:sz w:val="20"/>
          <w:szCs w:val="20"/>
          <w:vertAlign w:val="superscript"/>
          <w:lang w:val="fr-FR"/>
        </w:rPr>
        <w:t>e</w:t>
      </w:r>
      <w:r w:rsidRPr="00232C39">
        <w:rPr>
          <w:rFonts w:eastAsia="Calibri" w:cs="Arial"/>
          <w:i/>
          <w:iCs/>
          <w:sz w:val="20"/>
          <w:szCs w:val="20"/>
          <w:lang w:val="fr-FR"/>
        </w:rPr>
        <w:t xml:space="preserve"> réunion, des progrès accomplis dans la mise en œuvre de ces Décisions.</w:t>
      </w:r>
    </w:p>
    <w:p w14:paraId="6573C68E" w14:textId="77777777" w:rsidR="006E2A41" w:rsidRDefault="006E2A41" w:rsidP="006E2A41">
      <w:pPr>
        <w:suppressAutoHyphens/>
        <w:spacing w:after="0" w:line="240" w:lineRule="auto"/>
        <w:jc w:val="both"/>
        <w:rPr>
          <w:rFonts w:eastAsia="Calibri" w:cs="Arial"/>
          <w:lang w:val="fr-FR"/>
        </w:rPr>
      </w:pPr>
    </w:p>
    <w:p w14:paraId="26D96A79" w14:textId="77777777" w:rsidR="00007CB6" w:rsidRPr="000F677C" w:rsidRDefault="00007CB6" w:rsidP="00007CB6">
      <w:pPr>
        <w:spacing w:after="0" w:line="240" w:lineRule="auto"/>
        <w:jc w:val="both"/>
        <w:rPr>
          <w:rFonts w:cs="Arial"/>
          <w:bCs/>
          <w:u w:val="single"/>
          <w:lang w:val="fr-FR"/>
        </w:rPr>
      </w:pPr>
      <w:r w:rsidRPr="000F677C">
        <w:rPr>
          <w:rFonts w:cs="Arial"/>
          <w:u w:val="single"/>
          <w:lang w:val="fr-FR"/>
        </w:rPr>
        <w:t>Conservation interrégionale de la faune et de la flore sauvages en Afrique orientale et australe</w:t>
      </w:r>
      <w:r w:rsidRPr="000F677C">
        <w:rPr>
          <w:rFonts w:cs="Arial"/>
          <w:b/>
          <w:u w:val="single"/>
          <w:lang w:val="fr-FR"/>
        </w:rPr>
        <w:t xml:space="preserve"> </w:t>
      </w:r>
      <w:r w:rsidRPr="000F677C">
        <w:rPr>
          <w:rFonts w:cs="Arial"/>
          <w:bCs/>
          <w:u w:val="single"/>
          <w:lang w:val="fr-FR"/>
        </w:rPr>
        <w:t>et dans l'océan Indien</w:t>
      </w:r>
    </w:p>
    <w:p w14:paraId="7DD671A7" w14:textId="77777777" w:rsidR="00007CB6" w:rsidRPr="000F677C" w:rsidRDefault="00007CB6" w:rsidP="00007CB6">
      <w:pPr>
        <w:spacing w:after="0" w:line="240" w:lineRule="auto"/>
        <w:jc w:val="both"/>
        <w:rPr>
          <w:rFonts w:cs="Arial"/>
          <w:u w:val="single"/>
          <w:lang w:val="fr-FR"/>
        </w:rPr>
      </w:pPr>
    </w:p>
    <w:p w14:paraId="26D321BC" w14:textId="77777777" w:rsidR="00007CB6" w:rsidRPr="000F677C" w:rsidRDefault="00007CB6" w:rsidP="00007CB6">
      <w:pPr>
        <w:pStyle w:val="ListParagraph"/>
        <w:numPr>
          <w:ilvl w:val="0"/>
          <w:numId w:val="2"/>
        </w:numPr>
        <w:spacing w:after="0" w:line="240" w:lineRule="auto"/>
        <w:ind w:left="567" w:hanging="567"/>
        <w:contextualSpacing w:val="0"/>
        <w:jc w:val="both"/>
        <w:rPr>
          <w:rFonts w:cs="Arial"/>
          <w:lang w:val="fr-FR"/>
        </w:rPr>
      </w:pPr>
      <w:r w:rsidRPr="000F677C">
        <w:rPr>
          <w:rFonts w:cs="Arial"/>
          <w:lang w:val="fr-FR"/>
        </w:rPr>
        <w:t>Le projet «</w:t>
      </w:r>
      <w:bookmarkStart w:id="4" w:name="_Hlk207188852"/>
      <w:r w:rsidRPr="000F677C">
        <w:rPr>
          <w:rFonts w:cs="Arial"/>
          <w:lang w:val="fr-FR"/>
        </w:rPr>
        <w:t xml:space="preserve"> Conservation interrégionale de la faune et de la flore sauvages en Afrique orientale et australe</w:t>
      </w:r>
      <w:r w:rsidRPr="000F677C">
        <w:rPr>
          <w:b/>
          <w:lang w:val="fr-FR"/>
        </w:rPr>
        <w:t xml:space="preserve"> </w:t>
      </w:r>
      <w:r w:rsidRPr="000F677C">
        <w:rPr>
          <w:rFonts w:cs="Arial"/>
          <w:bCs/>
          <w:lang w:val="fr-FR"/>
        </w:rPr>
        <w:t>et dans l'océan Indien »</w:t>
      </w:r>
      <w:r w:rsidRPr="000F677C">
        <w:rPr>
          <w:rFonts w:cs="Arial"/>
          <w:lang w:val="fr-FR"/>
        </w:rPr>
        <w:t xml:space="preserve"> </w:t>
      </w:r>
      <w:bookmarkEnd w:id="4"/>
      <w:r w:rsidRPr="000F677C">
        <w:rPr>
          <w:rFonts w:cs="Arial"/>
          <w:lang w:val="fr-FR"/>
        </w:rPr>
        <w:t xml:space="preserve">a permis au Secrétariat de la CMS, avec plusieurs partenaires, de soutenir les États de l'aire de répartition dans la mise en œuvre de la Résolution et des décisions relatives aux ACT. Le projet a été financé par l'Union européenne et a été mis en œuvre en partenariat avec le Secrétariat de la Convention sur le commerce international des espèces de faune et de flore sauvages menacées d'extinction (CITES) et l'Office des Nations Unies contre la drogue et le crime (ONUDC). Le projet s'est terminé en octobre 2024. </w:t>
      </w:r>
    </w:p>
    <w:p w14:paraId="0D66EB16" w14:textId="77777777" w:rsidR="00007CB6" w:rsidRDefault="00007CB6" w:rsidP="006E2A41">
      <w:pPr>
        <w:suppressAutoHyphens/>
        <w:spacing w:after="0" w:line="240" w:lineRule="auto"/>
        <w:jc w:val="both"/>
        <w:rPr>
          <w:rFonts w:eastAsia="Calibri" w:cs="Arial"/>
          <w:lang w:val="fr-FR"/>
        </w:rPr>
      </w:pPr>
    </w:p>
    <w:p w14:paraId="5256FFF7" w14:textId="1CFC593D" w:rsidR="005B61A2" w:rsidRPr="000F677C" w:rsidRDefault="004775C7" w:rsidP="005B61A2">
      <w:pPr>
        <w:pStyle w:val="ListParagraph"/>
        <w:numPr>
          <w:ilvl w:val="0"/>
          <w:numId w:val="2"/>
        </w:numPr>
        <w:spacing w:after="0" w:line="240" w:lineRule="auto"/>
        <w:ind w:left="567" w:hanging="567"/>
        <w:contextualSpacing w:val="0"/>
        <w:jc w:val="both"/>
        <w:rPr>
          <w:lang w:val="fr-FR"/>
        </w:rPr>
      </w:pPr>
      <w:r w:rsidRPr="009F7C93">
        <w:rPr>
          <w:rFonts w:eastAsia="Calibri" w:cs="Arial"/>
          <w:lang w:val="fr-FR"/>
        </w:rPr>
        <w:t xml:space="preserve">La participation du Secrétariat de la CMS à ce projet est concentrée sur l’« </w:t>
      </w:r>
      <w:r w:rsidRPr="009F7C93">
        <w:rPr>
          <w:rFonts w:eastAsia="Calibri" w:cs="Arial"/>
          <w:i/>
          <w:iCs/>
          <w:lang w:val="fr-FR"/>
        </w:rPr>
        <w:t xml:space="preserve">Objectif spécifique 3 : Promotion et renforcement de l’établissement et de la gestion durable des aires de conservation transfrontières (ACT) </w:t>
      </w:r>
      <w:r w:rsidRPr="009F7C93">
        <w:rPr>
          <w:rFonts w:eastAsia="Calibri" w:cs="Arial"/>
          <w:lang w:val="fr-FR"/>
        </w:rPr>
        <w:t>». Les cinq domaines de résultats de cet objectif sont présentés ci-dessous, ainsi que les activités entreprises et les résultats obtenus</w:t>
      </w:r>
      <w:r w:rsidR="00A677DC" w:rsidRPr="009F7C93">
        <w:rPr>
          <w:rFonts w:eastAsia="Calibri" w:cs="Arial"/>
          <w:lang w:val="fr-FR"/>
        </w:rPr>
        <w:t xml:space="preserve"> </w:t>
      </w:r>
      <w:r w:rsidR="005B61A2" w:rsidRPr="000F677C">
        <w:rPr>
          <w:lang w:val="fr-FR"/>
        </w:rPr>
        <w:t xml:space="preserve">Des détails sur la mise en œuvre du projet avant la COP14 sont disponibles dans le document </w:t>
      </w:r>
      <w:hyperlink r:id="rId16" w:history="1">
        <w:r w:rsidR="005B61A2" w:rsidRPr="000F677C">
          <w:rPr>
            <w:rStyle w:val="Hyperlink"/>
            <w:lang w:val="fr-FR"/>
          </w:rPr>
          <w:t>UNEP/CMS/COP14/Doc.30.2.2/Rev.2</w:t>
        </w:r>
      </w:hyperlink>
      <w:r w:rsidR="005B61A2" w:rsidRPr="000F677C">
        <w:rPr>
          <w:lang w:val="fr-FR"/>
        </w:rPr>
        <w:t xml:space="preserve">. </w:t>
      </w:r>
    </w:p>
    <w:p w14:paraId="65381AD7" w14:textId="6EA67EEB" w:rsidR="006E2A41" w:rsidRPr="005B61A2" w:rsidRDefault="006E2A41" w:rsidP="005B61A2">
      <w:pPr>
        <w:spacing w:after="0" w:line="240" w:lineRule="auto"/>
        <w:jc w:val="both"/>
        <w:rPr>
          <w:rFonts w:eastAsia="Calibri" w:cs="Arial"/>
          <w:lang w:val="fr-FR"/>
        </w:rPr>
      </w:pPr>
    </w:p>
    <w:p w14:paraId="4A17490D" w14:textId="385A0BB6" w:rsidR="00A677DC" w:rsidRDefault="00476FAE" w:rsidP="00476FAE">
      <w:pPr>
        <w:suppressAutoHyphens/>
        <w:spacing w:after="0" w:line="240" w:lineRule="auto"/>
        <w:jc w:val="both"/>
        <w:rPr>
          <w:rFonts w:eastAsia="Calibri" w:cs="Arial"/>
          <w:i/>
          <w:iCs/>
          <w:lang w:val="fr-FR"/>
        </w:rPr>
      </w:pPr>
      <w:r w:rsidRPr="00476FAE">
        <w:rPr>
          <w:rFonts w:eastAsia="Calibri" w:cs="Arial"/>
          <w:i/>
          <w:iCs/>
          <w:lang w:val="fr-FR"/>
        </w:rPr>
        <w:t>Résultat 3.1 : Formulation et actualisation d’instruments politiques de haut niveau (protocoles) imposant la création d’ACT.</w:t>
      </w:r>
    </w:p>
    <w:p w14:paraId="5E0651A1" w14:textId="77777777" w:rsidR="00476FAE" w:rsidRDefault="00476FAE" w:rsidP="00476FAE">
      <w:pPr>
        <w:suppressAutoHyphens/>
        <w:spacing w:after="0" w:line="240" w:lineRule="auto"/>
        <w:jc w:val="both"/>
        <w:rPr>
          <w:rFonts w:eastAsia="Calibri" w:cs="Arial"/>
          <w:i/>
          <w:iCs/>
          <w:lang w:val="fr-FR"/>
        </w:rPr>
      </w:pPr>
    </w:p>
    <w:p w14:paraId="04E4B600" w14:textId="77777777" w:rsidR="00D66A06" w:rsidRPr="000F677C" w:rsidRDefault="00D66A06" w:rsidP="00D66A06">
      <w:pPr>
        <w:pStyle w:val="ListParagraph"/>
        <w:numPr>
          <w:ilvl w:val="0"/>
          <w:numId w:val="2"/>
        </w:numPr>
        <w:spacing w:after="0" w:line="240" w:lineRule="auto"/>
        <w:ind w:left="567" w:hanging="567"/>
        <w:contextualSpacing w:val="0"/>
        <w:jc w:val="both"/>
        <w:rPr>
          <w:iCs/>
          <w:lang w:val="fr-FR"/>
        </w:rPr>
      </w:pPr>
      <w:r w:rsidRPr="000F677C">
        <w:rPr>
          <w:iCs/>
          <w:lang w:val="fr-FR"/>
        </w:rPr>
        <w:t xml:space="preserve">Des travaux préparatoires visant à élaborer un protocole sur les ACT pour l'Autorité intergouvernementale pour le développement (IGAD) ont été menés entre 2021 et 2023, en partenariat avec le </w:t>
      </w:r>
      <w:proofErr w:type="spellStart"/>
      <w:r w:rsidRPr="000F677C">
        <w:rPr>
          <w:iCs/>
          <w:lang w:val="fr-FR"/>
        </w:rPr>
        <w:t>Cheetah</w:t>
      </w:r>
      <w:proofErr w:type="spellEnd"/>
      <w:r w:rsidRPr="000F677C">
        <w:rPr>
          <w:iCs/>
          <w:lang w:val="fr-FR"/>
        </w:rPr>
        <w:t xml:space="preserve"> Conservation </w:t>
      </w:r>
      <w:proofErr w:type="spellStart"/>
      <w:r w:rsidRPr="000F677C">
        <w:rPr>
          <w:iCs/>
          <w:lang w:val="fr-FR"/>
        </w:rPr>
        <w:t>Fund</w:t>
      </w:r>
      <w:proofErr w:type="spellEnd"/>
      <w:r w:rsidRPr="000F677C">
        <w:rPr>
          <w:iCs/>
          <w:lang w:val="fr-FR"/>
        </w:rPr>
        <w:t xml:space="preserve"> (CCF) et Legal Atlas (LA), et en étroite consultation avec le Comité exécutif du Réseau de lutte contre la criminalité liée aux espèces sauvages de la Corne de l'Afrique (HAWEN, une entité placée sous l'égide de l'IGAD). En juin 2024, lors de la 6</w:t>
      </w:r>
      <w:r w:rsidRPr="000F677C">
        <w:rPr>
          <w:iCs/>
          <w:vertAlign w:val="superscript"/>
          <w:lang w:val="fr-FR"/>
        </w:rPr>
        <w:t>e</w:t>
      </w:r>
      <w:r w:rsidRPr="000F677C">
        <w:rPr>
          <w:iCs/>
          <w:lang w:val="fr-FR"/>
        </w:rPr>
        <w:t xml:space="preserve"> réunion du Comité exécutif HAWEN, les États membres de l'IGAD ont décidé qu'ils n'avaient pas besoin du protocole. Au lieu de cela, des consultations nationales ont été menées en septembre 2024 dans les États membres de l'IGAD, avec le soutien des partenaires CCF et </w:t>
      </w:r>
      <w:proofErr w:type="gramStart"/>
      <w:r w:rsidRPr="000F677C">
        <w:rPr>
          <w:iCs/>
          <w:lang w:val="fr-FR"/>
        </w:rPr>
        <w:t>LA</w:t>
      </w:r>
      <w:proofErr w:type="gramEnd"/>
      <w:r w:rsidRPr="000F677C">
        <w:rPr>
          <w:iCs/>
          <w:lang w:val="fr-FR"/>
        </w:rPr>
        <w:t xml:space="preserve">, afin de déterminer les besoins et </w:t>
      </w:r>
      <w:r w:rsidRPr="000F677C">
        <w:rPr>
          <w:iCs/>
          <w:color w:val="000000" w:themeColor="text1"/>
          <w:lang w:val="fr-FR"/>
        </w:rPr>
        <w:t xml:space="preserve">les souhaits </w:t>
      </w:r>
      <w:r w:rsidRPr="000F677C">
        <w:rPr>
          <w:iCs/>
          <w:lang w:val="fr-FR"/>
        </w:rPr>
        <w:t xml:space="preserve">concernant l'établissement d'ACT. </w:t>
      </w:r>
    </w:p>
    <w:p w14:paraId="568455A9" w14:textId="77777777" w:rsidR="00EA7860" w:rsidRDefault="00EA7860" w:rsidP="00476FAE">
      <w:pPr>
        <w:suppressAutoHyphens/>
        <w:spacing w:after="0" w:line="240" w:lineRule="auto"/>
        <w:jc w:val="both"/>
        <w:rPr>
          <w:rFonts w:eastAsia="Calibri" w:cs="Arial"/>
          <w:i/>
          <w:iCs/>
          <w:lang w:val="fr-FR"/>
        </w:rPr>
      </w:pPr>
    </w:p>
    <w:p w14:paraId="650FBD84" w14:textId="2103A758" w:rsidR="00476FAE" w:rsidRDefault="00476FAE" w:rsidP="00476FAE">
      <w:pPr>
        <w:suppressAutoHyphens/>
        <w:spacing w:after="0" w:line="240" w:lineRule="auto"/>
        <w:jc w:val="both"/>
        <w:rPr>
          <w:rFonts w:eastAsia="Calibri" w:cs="Arial"/>
          <w:i/>
          <w:iCs/>
          <w:lang w:val="fr-FR"/>
        </w:rPr>
      </w:pPr>
      <w:r w:rsidRPr="00476FAE">
        <w:rPr>
          <w:rFonts w:eastAsia="Calibri" w:cs="Arial"/>
          <w:i/>
          <w:iCs/>
          <w:lang w:val="fr-FR"/>
        </w:rPr>
        <w:t>Résultat 3.2 : Formulation et signature de traités, d’accords et de mémorandums d’entente bilatéraux et multilatéraux relatifs à la cogestion d’ACT.</w:t>
      </w:r>
    </w:p>
    <w:p w14:paraId="4B73DD63" w14:textId="77777777" w:rsidR="00476FAE" w:rsidRDefault="00476FAE" w:rsidP="00476FAE">
      <w:pPr>
        <w:suppressAutoHyphens/>
        <w:spacing w:after="0" w:line="240" w:lineRule="auto"/>
        <w:jc w:val="both"/>
        <w:rPr>
          <w:rFonts w:eastAsia="Calibri" w:cs="Arial"/>
          <w:i/>
          <w:iCs/>
          <w:lang w:val="fr-FR"/>
        </w:rPr>
      </w:pPr>
    </w:p>
    <w:p w14:paraId="3C619293" w14:textId="01299E42" w:rsidR="00670778" w:rsidRPr="000F677C" w:rsidRDefault="00670778" w:rsidP="00670778">
      <w:pPr>
        <w:pStyle w:val="ListParagraph"/>
        <w:numPr>
          <w:ilvl w:val="0"/>
          <w:numId w:val="2"/>
        </w:numPr>
        <w:spacing w:after="80" w:line="240" w:lineRule="auto"/>
        <w:ind w:left="567" w:hanging="567"/>
        <w:contextualSpacing w:val="0"/>
        <w:jc w:val="both"/>
        <w:rPr>
          <w:iCs/>
          <w:lang w:val="fr-FR"/>
        </w:rPr>
      </w:pPr>
      <w:r w:rsidRPr="000F677C">
        <w:rPr>
          <w:iCs/>
          <w:lang w:val="fr-FR"/>
        </w:rPr>
        <w:t xml:space="preserve">À la demande des gouvernements du Kenya et de la Tanzanie, le Secrétariat de la CMS, en collaboration avec le Secrétariat de la Lusaka Agreement </w:t>
      </w:r>
      <w:proofErr w:type="spellStart"/>
      <w:r w:rsidRPr="000F677C">
        <w:rPr>
          <w:iCs/>
          <w:lang w:val="fr-FR"/>
        </w:rPr>
        <w:t>Task</w:t>
      </w:r>
      <w:proofErr w:type="spellEnd"/>
      <w:r w:rsidRPr="000F677C">
        <w:rPr>
          <w:iCs/>
          <w:lang w:val="fr-FR"/>
        </w:rPr>
        <w:t xml:space="preserve"> Force, a soutenu les préparatifs en vue de l'établissement d'une ACT pour les écosystèmes de </w:t>
      </w:r>
      <w:proofErr w:type="spellStart"/>
      <w:r w:rsidRPr="000F677C">
        <w:rPr>
          <w:iCs/>
          <w:lang w:val="fr-FR"/>
        </w:rPr>
        <w:t>Mara</w:t>
      </w:r>
      <w:proofErr w:type="spellEnd"/>
      <w:r w:rsidRPr="000F677C">
        <w:rPr>
          <w:iCs/>
          <w:lang w:val="fr-FR"/>
        </w:rPr>
        <w:t xml:space="preserve">-Serengeti et de </w:t>
      </w:r>
      <w:proofErr w:type="spellStart"/>
      <w:r w:rsidRPr="000F677C">
        <w:rPr>
          <w:iCs/>
          <w:lang w:val="fr-FR"/>
        </w:rPr>
        <w:t>Tsavo-Mkomazi</w:t>
      </w:r>
      <w:proofErr w:type="spellEnd"/>
      <w:r w:rsidRPr="000F677C">
        <w:rPr>
          <w:iCs/>
          <w:lang w:val="fr-FR"/>
        </w:rPr>
        <w:t xml:space="preserve"> au Kenya et en Tanzanie. Ces préparatifs comprenaient:</w:t>
      </w:r>
    </w:p>
    <w:p w14:paraId="0640DEE2" w14:textId="77777777" w:rsidR="00670778" w:rsidRPr="000F677C" w:rsidRDefault="00670778" w:rsidP="00670778">
      <w:pPr>
        <w:pStyle w:val="ListParagraph"/>
        <w:numPr>
          <w:ilvl w:val="0"/>
          <w:numId w:val="6"/>
        </w:numPr>
        <w:spacing w:after="80" w:line="240" w:lineRule="auto"/>
        <w:contextualSpacing w:val="0"/>
        <w:jc w:val="both"/>
        <w:rPr>
          <w:iCs/>
          <w:lang w:val="fr-FR"/>
        </w:rPr>
      </w:pPr>
      <w:r w:rsidRPr="000F677C">
        <w:rPr>
          <w:iCs/>
          <w:lang w:val="fr-FR"/>
        </w:rPr>
        <w:t xml:space="preserve">une analyse des lacunes des ACT, mettant en évidence les points forts et les lacunes des cadres de conservation existants ; </w:t>
      </w:r>
    </w:p>
    <w:p w14:paraId="01B3308A" w14:textId="34A90758" w:rsidR="00670778" w:rsidRPr="000F677C" w:rsidRDefault="00670778" w:rsidP="00670778">
      <w:pPr>
        <w:pStyle w:val="ListParagraph"/>
        <w:numPr>
          <w:ilvl w:val="0"/>
          <w:numId w:val="6"/>
        </w:numPr>
        <w:spacing w:after="80" w:line="240" w:lineRule="auto"/>
        <w:contextualSpacing w:val="0"/>
        <w:jc w:val="both"/>
        <w:rPr>
          <w:iCs/>
          <w:lang w:val="fr-FR"/>
        </w:rPr>
      </w:pPr>
      <w:r w:rsidRPr="000F677C">
        <w:rPr>
          <w:iCs/>
          <w:lang w:val="fr-FR"/>
        </w:rPr>
        <w:t xml:space="preserve">une mission d'évaluation de l'ACT de </w:t>
      </w:r>
      <w:proofErr w:type="spellStart"/>
      <w:r w:rsidRPr="000F677C">
        <w:rPr>
          <w:iCs/>
          <w:lang w:val="fr-FR"/>
        </w:rPr>
        <w:t>Kavango-Zambezi</w:t>
      </w:r>
      <w:proofErr w:type="spellEnd"/>
      <w:r w:rsidRPr="000F677C">
        <w:rPr>
          <w:iCs/>
          <w:lang w:val="fr-FR"/>
        </w:rPr>
        <w:t xml:space="preserve"> (KAZA) (août 2024, </w:t>
      </w:r>
      <w:proofErr w:type="spellStart"/>
      <w:r w:rsidRPr="000F677C">
        <w:rPr>
          <w:iCs/>
          <w:lang w:val="fr-FR"/>
        </w:rPr>
        <w:t>Kasane</w:t>
      </w:r>
      <w:proofErr w:type="spellEnd"/>
      <w:r w:rsidRPr="000F677C">
        <w:rPr>
          <w:iCs/>
          <w:lang w:val="fr-FR"/>
        </w:rPr>
        <w:t>, Botswana), offrant des renseignements sur la réussite de ce modèle et des modalités de mise en place d'une ACT efficace</w:t>
      </w:r>
      <w:r w:rsidRPr="000F677C">
        <w:rPr>
          <w:iCs/>
          <w:color w:val="000000" w:themeColor="text1"/>
          <w:lang w:val="fr-FR"/>
        </w:rPr>
        <w:t>, notamment</w:t>
      </w:r>
      <w:r w:rsidRPr="000F677C">
        <w:rPr>
          <w:iCs/>
          <w:lang w:val="fr-FR"/>
        </w:rPr>
        <w:t xml:space="preserve"> les structures de gouvernance et les mesures visant à atténuer les défis en matière de conservation; </w:t>
      </w:r>
    </w:p>
    <w:p w14:paraId="5259C698" w14:textId="77777777" w:rsidR="00670778" w:rsidRPr="000F677C" w:rsidRDefault="00670778" w:rsidP="00683AB7">
      <w:pPr>
        <w:pStyle w:val="ListParagraph"/>
        <w:numPr>
          <w:ilvl w:val="0"/>
          <w:numId w:val="6"/>
        </w:numPr>
        <w:spacing w:after="0" w:line="240" w:lineRule="auto"/>
        <w:ind w:left="924" w:hanging="357"/>
        <w:contextualSpacing w:val="0"/>
        <w:jc w:val="both"/>
        <w:rPr>
          <w:iCs/>
          <w:lang w:val="fr-FR"/>
        </w:rPr>
      </w:pPr>
      <w:r w:rsidRPr="000F677C">
        <w:rPr>
          <w:iCs/>
          <w:lang w:val="fr-FR"/>
        </w:rPr>
        <w:t xml:space="preserve">des réunions consultatives entre le Kenya et la Tanzanie au niveau technique (septembre 2024, Arusha, Tanzanie) pour examiner les résultats de l'analyse des lacunes et de la mission d'évaluation, et formuler des recommandations à l'intention des deux gouvernements. </w:t>
      </w:r>
    </w:p>
    <w:p w14:paraId="6B0F956E" w14:textId="77777777" w:rsidR="00670778" w:rsidRPr="000F677C" w:rsidRDefault="00670778" w:rsidP="00670778">
      <w:pPr>
        <w:pStyle w:val="ListParagraph"/>
        <w:numPr>
          <w:ilvl w:val="0"/>
          <w:numId w:val="2"/>
        </w:numPr>
        <w:spacing w:after="0" w:line="240" w:lineRule="auto"/>
        <w:ind w:left="567" w:hanging="567"/>
        <w:contextualSpacing w:val="0"/>
        <w:jc w:val="both"/>
        <w:rPr>
          <w:iCs/>
          <w:lang w:val="fr-FR"/>
        </w:rPr>
      </w:pPr>
      <w:r w:rsidRPr="000F677C">
        <w:rPr>
          <w:iCs/>
          <w:lang w:val="fr-FR"/>
        </w:rPr>
        <w:lastRenderedPageBreak/>
        <w:t xml:space="preserve">À la demande des gouvernements de la République démocratique du Congo et de la Zambie, le Secrétariat de la CMS a commandé une étude de faisabilité en vue de l'établissement d'une ACT dans l'écosystème de </w:t>
      </w:r>
      <w:proofErr w:type="spellStart"/>
      <w:r w:rsidRPr="000F677C">
        <w:rPr>
          <w:iCs/>
          <w:lang w:val="fr-FR"/>
        </w:rPr>
        <w:t>Mutshatsha</w:t>
      </w:r>
      <w:proofErr w:type="spellEnd"/>
      <w:r w:rsidRPr="000F677C">
        <w:rPr>
          <w:iCs/>
          <w:lang w:val="fr-FR"/>
        </w:rPr>
        <w:t>–</w:t>
      </w:r>
      <w:proofErr w:type="spellStart"/>
      <w:r w:rsidRPr="000F677C">
        <w:rPr>
          <w:iCs/>
          <w:lang w:val="fr-FR"/>
        </w:rPr>
        <w:t>Kasanga</w:t>
      </w:r>
      <w:proofErr w:type="spellEnd"/>
      <w:r w:rsidRPr="000F677C">
        <w:rPr>
          <w:iCs/>
          <w:lang w:val="fr-FR"/>
        </w:rPr>
        <w:t xml:space="preserve">. La délimitation proposée de cette ACT est fondée sur l'habitat des chauves-souris migratrices. </w:t>
      </w:r>
    </w:p>
    <w:p w14:paraId="4FE49E23" w14:textId="77777777" w:rsidR="00670778" w:rsidRPr="000F677C" w:rsidRDefault="00670778" w:rsidP="00670778">
      <w:pPr>
        <w:pStyle w:val="ListParagraph"/>
        <w:spacing w:after="0" w:line="240" w:lineRule="auto"/>
        <w:ind w:left="567" w:hanging="567"/>
        <w:contextualSpacing w:val="0"/>
        <w:rPr>
          <w:iCs/>
          <w:lang w:val="fr-FR"/>
        </w:rPr>
      </w:pPr>
    </w:p>
    <w:p w14:paraId="10938440" w14:textId="77777777" w:rsidR="00670778" w:rsidRPr="000F677C" w:rsidRDefault="00670778" w:rsidP="00670778">
      <w:pPr>
        <w:pStyle w:val="ListParagraph"/>
        <w:numPr>
          <w:ilvl w:val="0"/>
          <w:numId w:val="2"/>
        </w:numPr>
        <w:spacing w:after="0" w:line="240" w:lineRule="auto"/>
        <w:ind w:left="567" w:hanging="567"/>
        <w:contextualSpacing w:val="0"/>
        <w:jc w:val="both"/>
        <w:rPr>
          <w:iCs/>
          <w:lang w:val="fr-FR"/>
        </w:rPr>
      </w:pPr>
      <w:r w:rsidRPr="000F677C">
        <w:rPr>
          <w:iCs/>
          <w:lang w:val="fr-FR"/>
        </w:rPr>
        <w:t xml:space="preserve">En juillet 2024, le Secrétariat de la CMS, en coopération avec l'UICN, a organisé une visite de haut niveau des représentants des États membres de la Communauté d'Afrique de l'Est au Secrétariat de la SADC (Communauté de développement de l'Afrique australe) et à l'ACT KAZA au Botswana. </w:t>
      </w:r>
    </w:p>
    <w:p w14:paraId="765150F2" w14:textId="77777777" w:rsidR="00D66A06" w:rsidRDefault="00D66A06" w:rsidP="00476FAE">
      <w:pPr>
        <w:suppressAutoHyphens/>
        <w:spacing w:after="0" w:line="240" w:lineRule="auto"/>
        <w:jc w:val="both"/>
        <w:rPr>
          <w:rFonts w:eastAsia="Calibri" w:cs="Arial"/>
          <w:i/>
          <w:iCs/>
          <w:lang w:val="fr-FR"/>
        </w:rPr>
      </w:pPr>
    </w:p>
    <w:p w14:paraId="3A787277" w14:textId="7A721566" w:rsidR="00476FAE" w:rsidRDefault="009F7C93" w:rsidP="00476FAE">
      <w:pPr>
        <w:suppressAutoHyphens/>
        <w:spacing w:after="0" w:line="240" w:lineRule="auto"/>
        <w:jc w:val="both"/>
        <w:rPr>
          <w:rFonts w:eastAsia="Calibri" w:cs="Arial"/>
          <w:i/>
          <w:iCs/>
          <w:lang w:val="fr-FR"/>
        </w:rPr>
      </w:pPr>
      <w:r w:rsidRPr="009F7C93">
        <w:rPr>
          <w:rFonts w:eastAsia="Calibri" w:cs="Arial"/>
          <w:i/>
          <w:iCs/>
          <w:lang w:val="fr-FR"/>
        </w:rPr>
        <w:t>Résultat 3.3 : Promotion et soutien de l’harmonisation des législations relatives à la conservation de la vie sauvage, à la gestion et à la criminalité.</w:t>
      </w:r>
    </w:p>
    <w:p w14:paraId="3A7F6D4E" w14:textId="77777777" w:rsidR="009F7C93" w:rsidRDefault="009F7C93" w:rsidP="00476FAE">
      <w:pPr>
        <w:suppressAutoHyphens/>
        <w:spacing w:after="0" w:line="240" w:lineRule="auto"/>
        <w:jc w:val="both"/>
        <w:rPr>
          <w:rFonts w:eastAsia="Calibri" w:cs="Arial"/>
          <w:i/>
          <w:iCs/>
          <w:lang w:val="fr-FR"/>
        </w:rPr>
      </w:pPr>
    </w:p>
    <w:p w14:paraId="3A5E6F09" w14:textId="77777777" w:rsidR="00E167FD" w:rsidRPr="000F677C" w:rsidRDefault="00E167FD" w:rsidP="00E167FD">
      <w:pPr>
        <w:pStyle w:val="ListParagraph"/>
        <w:numPr>
          <w:ilvl w:val="0"/>
          <w:numId w:val="2"/>
        </w:numPr>
        <w:spacing w:after="0" w:line="240" w:lineRule="auto"/>
        <w:ind w:left="567" w:hanging="567"/>
        <w:contextualSpacing w:val="0"/>
        <w:jc w:val="both"/>
        <w:rPr>
          <w:iCs/>
          <w:lang w:val="fr-FR"/>
        </w:rPr>
      </w:pPr>
      <w:r w:rsidRPr="000F677C">
        <w:rPr>
          <w:iCs/>
          <w:lang w:val="fr-FR"/>
        </w:rPr>
        <w:t xml:space="preserve">Toutes les activités ont été finalisées en 2021, comme indiqué dans le document </w:t>
      </w:r>
      <w:hyperlink r:id="rId17" w:history="1">
        <w:r w:rsidRPr="000F677C">
          <w:rPr>
            <w:rStyle w:val="Hyperlink"/>
            <w:iCs/>
            <w:lang w:val="fr-FR"/>
          </w:rPr>
          <w:t>UNEP/CMS/COP14/Doc.30.2.2/Rev.2</w:t>
        </w:r>
      </w:hyperlink>
      <w:r w:rsidRPr="000F677C">
        <w:rPr>
          <w:iCs/>
          <w:lang w:val="fr-FR"/>
        </w:rPr>
        <w:t>.</w:t>
      </w:r>
    </w:p>
    <w:p w14:paraId="3E1D9B19" w14:textId="77777777" w:rsidR="00670778" w:rsidRDefault="00670778" w:rsidP="00476FAE">
      <w:pPr>
        <w:suppressAutoHyphens/>
        <w:spacing w:after="0" w:line="240" w:lineRule="auto"/>
        <w:jc w:val="both"/>
        <w:rPr>
          <w:rFonts w:eastAsia="Calibri" w:cs="Arial"/>
          <w:i/>
          <w:iCs/>
          <w:lang w:val="fr-FR"/>
        </w:rPr>
      </w:pPr>
    </w:p>
    <w:p w14:paraId="6AA65689" w14:textId="389430C5" w:rsidR="009F7C93" w:rsidRDefault="009F7C93" w:rsidP="00476FAE">
      <w:pPr>
        <w:suppressAutoHyphens/>
        <w:spacing w:after="0" w:line="240" w:lineRule="auto"/>
        <w:jc w:val="both"/>
        <w:rPr>
          <w:rFonts w:eastAsia="Calibri" w:cs="Arial"/>
          <w:i/>
          <w:iCs/>
          <w:lang w:val="fr-FR"/>
        </w:rPr>
      </w:pPr>
      <w:r w:rsidRPr="009F7C93">
        <w:rPr>
          <w:rFonts w:eastAsia="Calibri" w:cs="Arial"/>
          <w:i/>
          <w:iCs/>
          <w:lang w:val="fr-FR"/>
        </w:rPr>
        <w:t>Résultat 3.4 : Préparation et approbation officielle par les autorités de gestion responsables de plans de gestion des écosystèmes et paysages ou de plans de cogestion des zones protégées à destination des ACT ; et Résultat 3.5 : Mise en œuvre dans les ACT des mesures de gestion approuvées conformément aux priorités convenues conjointement.</w:t>
      </w:r>
    </w:p>
    <w:p w14:paraId="16A80F43" w14:textId="77777777" w:rsidR="00B302DE" w:rsidRDefault="00B302DE" w:rsidP="00476FAE">
      <w:pPr>
        <w:suppressAutoHyphens/>
        <w:spacing w:after="0" w:line="240" w:lineRule="auto"/>
        <w:jc w:val="both"/>
        <w:rPr>
          <w:rFonts w:eastAsia="Calibri" w:cs="Arial"/>
          <w:lang w:val="fr-FR"/>
        </w:rPr>
      </w:pPr>
    </w:p>
    <w:p w14:paraId="17BFE0A4" w14:textId="77777777" w:rsidR="00D96ED0" w:rsidRPr="000F677C" w:rsidRDefault="00D96ED0" w:rsidP="00D96ED0">
      <w:pPr>
        <w:pStyle w:val="ListParagraph"/>
        <w:numPr>
          <w:ilvl w:val="0"/>
          <w:numId w:val="2"/>
        </w:numPr>
        <w:spacing w:after="80" w:line="240" w:lineRule="auto"/>
        <w:ind w:left="567" w:hanging="567"/>
        <w:contextualSpacing w:val="0"/>
        <w:jc w:val="both"/>
        <w:rPr>
          <w:lang w:val="fr-FR"/>
        </w:rPr>
      </w:pPr>
      <w:r w:rsidRPr="000F677C">
        <w:rPr>
          <w:lang w:val="fr-FR"/>
        </w:rPr>
        <w:t>À la demande des États de l'aire de répartition concernés, le Secrétariat de la CMS a commandé la préparation des plans et stratégies de gestion suivants :</w:t>
      </w:r>
    </w:p>
    <w:p w14:paraId="3719ACE6" w14:textId="77777777" w:rsidR="00D96ED0" w:rsidRPr="000F677C" w:rsidRDefault="00D96ED0" w:rsidP="00D96ED0">
      <w:pPr>
        <w:pStyle w:val="ListParagraph"/>
        <w:numPr>
          <w:ilvl w:val="0"/>
          <w:numId w:val="7"/>
        </w:numPr>
        <w:spacing w:after="80" w:line="240" w:lineRule="auto"/>
        <w:ind w:left="964" w:hanging="397"/>
        <w:contextualSpacing w:val="0"/>
        <w:jc w:val="both"/>
        <w:rPr>
          <w:lang w:val="fr-FR"/>
        </w:rPr>
      </w:pPr>
      <w:r w:rsidRPr="000F677C">
        <w:rPr>
          <w:lang w:val="fr-FR"/>
        </w:rPr>
        <w:t>Plan stratégique de gestion conjoint pour l'ACT du Grand Limpopo (</w:t>
      </w:r>
      <w:r w:rsidRPr="000F677C">
        <w:rPr>
          <w:rFonts w:cs="Arial"/>
          <w:lang w:val="fr-FR"/>
        </w:rPr>
        <w:t>Mozambique, Afrique du Sud, Zimbabwe)</w:t>
      </w:r>
    </w:p>
    <w:p w14:paraId="6F0ACBAB" w14:textId="77777777" w:rsidR="00D96ED0" w:rsidRPr="000F677C" w:rsidRDefault="00D96ED0" w:rsidP="00D96ED0">
      <w:pPr>
        <w:pStyle w:val="ListParagraph"/>
        <w:numPr>
          <w:ilvl w:val="0"/>
          <w:numId w:val="7"/>
        </w:numPr>
        <w:spacing w:after="80" w:line="240" w:lineRule="auto"/>
        <w:ind w:left="964" w:hanging="397"/>
        <w:contextualSpacing w:val="0"/>
        <w:jc w:val="both"/>
        <w:rPr>
          <w:lang w:val="fr-FR"/>
        </w:rPr>
      </w:pPr>
      <w:r w:rsidRPr="000F677C">
        <w:rPr>
          <w:lang w:val="fr-FR"/>
        </w:rPr>
        <w:t>Plan d'utilisation des terres pour l'ACT de Mana Pools sur le Zambèze inférieur (</w:t>
      </w:r>
      <w:r w:rsidRPr="000F677C">
        <w:rPr>
          <w:rFonts w:cs="Arial"/>
          <w:lang w:val="fr-FR"/>
        </w:rPr>
        <w:t>LOZAMAP) (Zambie et Zimbabwe)</w:t>
      </w:r>
    </w:p>
    <w:p w14:paraId="0C345057" w14:textId="77777777" w:rsidR="00D96ED0" w:rsidRPr="000F677C" w:rsidRDefault="00D96ED0" w:rsidP="00D96ED0">
      <w:pPr>
        <w:pStyle w:val="ListParagraph"/>
        <w:numPr>
          <w:ilvl w:val="0"/>
          <w:numId w:val="7"/>
        </w:numPr>
        <w:spacing w:after="80" w:line="240" w:lineRule="auto"/>
        <w:ind w:left="964" w:hanging="397"/>
        <w:contextualSpacing w:val="0"/>
        <w:jc w:val="both"/>
        <w:rPr>
          <w:lang w:val="fr-FR"/>
        </w:rPr>
      </w:pPr>
      <w:r w:rsidRPr="000F677C">
        <w:rPr>
          <w:lang w:val="fr-FR"/>
        </w:rPr>
        <w:t xml:space="preserve">Analyse de la situation comme base du plan de gestion intégrée des éléphants pour les parcs de </w:t>
      </w:r>
      <w:proofErr w:type="spellStart"/>
      <w:r w:rsidRPr="000F677C">
        <w:rPr>
          <w:lang w:val="fr-FR"/>
        </w:rPr>
        <w:t>Tembe</w:t>
      </w:r>
      <w:proofErr w:type="spellEnd"/>
      <w:r w:rsidRPr="000F677C">
        <w:rPr>
          <w:lang w:val="fr-FR"/>
        </w:rPr>
        <w:t xml:space="preserve"> et de Maputo dans l'ACT de </w:t>
      </w:r>
      <w:proofErr w:type="spellStart"/>
      <w:r w:rsidRPr="000F677C">
        <w:rPr>
          <w:lang w:val="fr-FR"/>
        </w:rPr>
        <w:t>Lubombo</w:t>
      </w:r>
      <w:proofErr w:type="spellEnd"/>
      <w:r w:rsidRPr="000F677C">
        <w:rPr>
          <w:lang w:val="fr-FR"/>
        </w:rPr>
        <w:t xml:space="preserve"> (Eswatini, Mozambique et Afrique du Sud) </w:t>
      </w:r>
    </w:p>
    <w:p w14:paraId="4DFADEC4" w14:textId="77777777" w:rsidR="00D96ED0" w:rsidRPr="000F677C" w:rsidRDefault="00D96ED0" w:rsidP="00D96ED0">
      <w:pPr>
        <w:pStyle w:val="ListParagraph"/>
        <w:numPr>
          <w:ilvl w:val="0"/>
          <w:numId w:val="7"/>
        </w:numPr>
        <w:spacing w:after="80" w:line="240" w:lineRule="auto"/>
        <w:ind w:left="993" w:hanging="426"/>
        <w:contextualSpacing w:val="0"/>
        <w:jc w:val="both"/>
        <w:rPr>
          <w:lang w:val="fr-FR"/>
        </w:rPr>
      </w:pPr>
      <w:r w:rsidRPr="000F677C">
        <w:rPr>
          <w:lang w:val="fr-FR"/>
        </w:rPr>
        <w:t>Stratégie nationale de conservation des girafes et plan de gestion pour le Zimbabwe</w:t>
      </w:r>
    </w:p>
    <w:p w14:paraId="2C40D1C8" w14:textId="77777777" w:rsidR="00D96ED0" w:rsidRPr="000F677C" w:rsidRDefault="00D96ED0" w:rsidP="00D96ED0">
      <w:pPr>
        <w:pStyle w:val="ListParagraph"/>
        <w:numPr>
          <w:ilvl w:val="0"/>
          <w:numId w:val="7"/>
        </w:numPr>
        <w:spacing w:after="80" w:line="240" w:lineRule="auto"/>
        <w:ind w:left="993" w:hanging="426"/>
        <w:contextualSpacing w:val="0"/>
        <w:jc w:val="both"/>
        <w:rPr>
          <w:lang w:val="fr-FR"/>
        </w:rPr>
      </w:pPr>
      <w:r w:rsidRPr="000F677C">
        <w:rPr>
          <w:lang w:val="fr-FR"/>
        </w:rPr>
        <w:t xml:space="preserve">Approche pour une stratégie d'opérations conjointes pour l'ACT de Kosi Bay/Ponta do </w:t>
      </w:r>
      <w:proofErr w:type="spellStart"/>
      <w:r w:rsidRPr="000F677C">
        <w:rPr>
          <w:lang w:val="fr-FR"/>
        </w:rPr>
        <w:t>Ouro</w:t>
      </w:r>
      <w:proofErr w:type="spellEnd"/>
      <w:r w:rsidRPr="000F677C">
        <w:rPr>
          <w:lang w:val="fr-FR"/>
        </w:rPr>
        <w:t xml:space="preserve"> (Mozambique et Afrique du Sud)</w:t>
      </w:r>
    </w:p>
    <w:p w14:paraId="4DBCB18F" w14:textId="77777777" w:rsidR="00D96ED0" w:rsidRPr="000F677C" w:rsidRDefault="00D96ED0" w:rsidP="00D96ED0">
      <w:pPr>
        <w:pStyle w:val="ListParagraph"/>
        <w:numPr>
          <w:ilvl w:val="0"/>
          <w:numId w:val="7"/>
        </w:numPr>
        <w:spacing w:after="80" w:line="240" w:lineRule="auto"/>
        <w:ind w:left="993" w:hanging="426"/>
        <w:contextualSpacing w:val="0"/>
        <w:jc w:val="both"/>
        <w:rPr>
          <w:lang w:val="fr-FR"/>
        </w:rPr>
      </w:pPr>
      <w:r w:rsidRPr="000F677C">
        <w:rPr>
          <w:lang w:val="fr-FR"/>
        </w:rPr>
        <w:t>Analyse situationnelle pour la stratégie de conservation des vautours de la SADC</w:t>
      </w:r>
    </w:p>
    <w:p w14:paraId="5AF494DD" w14:textId="77777777" w:rsidR="00D96ED0" w:rsidRPr="000F677C" w:rsidRDefault="00D96ED0" w:rsidP="00D96ED0">
      <w:pPr>
        <w:pStyle w:val="ListParagraph"/>
        <w:numPr>
          <w:ilvl w:val="0"/>
          <w:numId w:val="7"/>
        </w:numPr>
        <w:spacing w:after="80" w:line="240" w:lineRule="auto"/>
        <w:ind w:left="993" w:hanging="426"/>
        <w:contextualSpacing w:val="0"/>
        <w:jc w:val="both"/>
        <w:rPr>
          <w:lang w:val="fr-FR"/>
        </w:rPr>
      </w:pPr>
      <w:r w:rsidRPr="000F677C">
        <w:rPr>
          <w:lang w:val="fr-FR"/>
        </w:rPr>
        <w:t>Feuille de route pour la conservation du léopard en Afrique (à consulter par les États de l'aire de répartition)</w:t>
      </w:r>
    </w:p>
    <w:p w14:paraId="73FFBAEC" w14:textId="77777777" w:rsidR="00D96ED0" w:rsidRPr="000F677C" w:rsidRDefault="00D96ED0" w:rsidP="00D96ED0">
      <w:pPr>
        <w:pStyle w:val="ListParagraph"/>
        <w:numPr>
          <w:ilvl w:val="0"/>
          <w:numId w:val="7"/>
        </w:numPr>
        <w:spacing w:after="80" w:line="240" w:lineRule="auto"/>
        <w:ind w:left="993" w:hanging="426"/>
        <w:contextualSpacing w:val="0"/>
        <w:jc w:val="both"/>
        <w:rPr>
          <w:lang w:val="fr-FR"/>
        </w:rPr>
      </w:pPr>
      <w:r w:rsidRPr="000F677C">
        <w:rPr>
          <w:lang w:val="fr-FR"/>
        </w:rPr>
        <w:t>Solutions d'assurance pour les conflits entre l'homme et les espèces sauvages en Zambie</w:t>
      </w:r>
    </w:p>
    <w:p w14:paraId="34B2EB5E" w14:textId="77777777" w:rsidR="00D96ED0" w:rsidRPr="000F677C" w:rsidRDefault="00D96ED0" w:rsidP="00D96ED0">
      <w:pPr>
        <w:pStyle w:val="ListParagraph"/>
        <w:numPr>
          <w:ilvl w:val="0"/>
          <w:numId w:val="7"/>
        </w:numPr>
        <w:spacing w:after="0" w:line="240" w:lineRule="auto"/>
        <w:ind w:left="993" w:hanging="426"/>
        <w:contextualSpacing w:val="0"/>
        <w:jc w:val="both"/>
        <w:rPr>
          <w:lang w:val="fr-FR"/>
        </w:rPr>
      </w:pPr>
      <w:r w:rsidRPr="000F677C">
        <w:rPr>
          <w:lang w:val="fr-FR"/>
        </w:rPr>
        <w:t>Inventaire des solutions financières</w:t>
      </w:r>
    </w:p>
    <w:p w14:paraId="4EFC43E6" w14:textId="77777777" w:rsidR="00D96ED0" w:rsidRPr="000F677C" w:rsidRDefault="00D96ED0" w:rsidP="00D96ED0">
      <w:pPr>
        <w:spacing w:after="0" w:line="240" w:lineRule="auto"/>
        <w:jc w:val="both"/>
        <w:rPr>
          <w:rFonts w:cs="Arial"/>
          <w:lang w:val="fr-FR"/>
        </w:rPr>
      </w:pPr>
    </w:p>
    <w:p w14:paraId="3EC5A4B9" w14:textId="77777777" w:rsidR="00D96ED0" w:rsidRPr="000F677C" w:rsidRDefault="00D96ED0" w:rsidP="00D96ED0">
      <w:pPr>
        <w:spacing w:after="0" w:line="240" w:lineRule="auto"/>
        <w:jc w:val="both"/>
        <w:rPr>
          <w:rFonts w:cs="Arial"/>
          <w:u w:val="single"/>
          <w:lang w:val="fr-FR"/>
        </w:rPr>
      </w:pPr>
      <w:r w:rsidRPr="000F677C">
        <w:rPr>
          <w:rFonts w:cs="Arial"/>
          <w:u w:val="single"/>
          <w:lang w:val="fr-FR"/>
        </w:rPr>
        <w:t>Mise en œuvre des décisions 14.197 à 14.199</w:t>
      </w:r>
    </w:p>
    <w:p w14:paraId="621041C0" w14:textId="77777777" w:rsidR="00B302DE" w:rsidRPr="00B302DE" w:rsidRDefault="00B302DE" w:rsidP="00476FAE">
      <w:pPr>
        <w:suppressAutoHyphens/>
        <w:spacing w:after="0" w:line="240" w:lineRule="auto"/>
        <w:jc w:val="both"/>
        <w:rPr>
          <w:rFonts w:eastAsia="Calibri" w:cs="Arial"/>
          <w:lang w:val="fr-FR"/>
        </w:rPr>
      </w:pPr>
    </w:p>
    <w:p w14:paraId="4045FFC2" w14:textId="58718F8A" w:rsidR="00FF0AEC" w:rsidRDefault="00CC3446" w:rsidP="00FF0AEC">
      <w:pPr>
        <w:pStyle w:val="ListParagraph"/>
        <w:numPr>
          <w:ilvl w:val="0"/>
          <w:numId w:val="2"/>
        </w:numPr>
        <w:spacing w:after="0" w:line="240" w:lineRule="auto"/>
        <w:ind w:left="567" w:hanging="567"/>
        <w:jc w:val="both"/>
        <w:rPr>
          <w:rFonts w:cs="Arial"/>
          <w:lang w:val="fr-FR"/>
        </w:rPr>
      </w:pPr>
      <w:r w:rsidRPr="00016EFB">
        <w:rPr>
          <w:rFonts w:eastAsia="Calibri" w:cs="Arial"/>
          <w:lang w:val="fr-FR"/>
        </w:rPr>
        <w:t>En 2021, le Secrétariat de la CMS a demandé au Centre mondial de surveillance pour la conservation du Programme des Nations Unies pour l’Environnement d’élaborer une méthodologie et un nouvel outil en ligne accessible au public permettant de déterminer quelles zones protégées existantes en Afrique sont spatialement adjacentes à travers les frontières nationales et pourraient donc faire l’objet d’une gestion harmonisée.</w:t>
      </w:r>
      <w:r w:rsidR="00EC5079" w:rsidRPr="00016EFB">
        <w:rPr>
          <w:rFonts w:eastAsia="Calibri" w:cs="Arial"/>
          <w:lang w:val="fr-FR"/>
        </w:rPr>
        <w:t xml:space="preserve"> </w:t>
      </w:r>
      <w:r w:rsidRPr="00016EFB">
        <w:rPr>
          <w:rFonts w:eastAsia="Calibri" w:cs="Arial"/>
          <w:lang w:val="fr-FR"/>
        </w:rPr>
        <w:t>Cet outil (</w:t>
      </w:r>
      <w:hyperlink r:id="rId18" w:history="1">
        <w:r w:rsidRPr="00016EFB">
          <w:rPr>
            <w:rStyle w:val="Hyperlink"/>
            <w:rFonts w:eastAsia="Calibri" w:cs="Arial"/>
            <w:lang w:val="fr-FR"/>
          </w:rPr>
          <w:t>Identifier les opportunités de conservation transfrontalière</w:t>
        </w:r>
      </w:hyperlink>
      <w:r w:rsidRPr="00016EFB">
        <w:rPr>
          <w:rFonts w:eastAsia="Calibri" w:cs="Arial"/>
          <w:lang w:val="fr-FR"/>
        </w:rPr>
        <w:t xml:space="preserve">), désormais disponible en ligne, fournit aux gouvernements et aux autres acteurs une base scientifique pour l’établissement d’accords bilatéraux et multilatéraux relatifs aux ACT dans toute l’Afrique. Il a été lancé lors du Congrès africain sur les aires protégées qui s’est tenu au Rwanda en 2022. Un article scientifique s’appuyant sur une analyse réalisée à l’aide de </w:t>
      </w:r>
      <w:r w:rsidRPr="00016EFB">
        <w:rPr>
          <w:rFonts w:eastAsia="Calibri" w:cs="Arial"/>
          <w:lang w:val="fr-FR"/>
        </w:rPr>
        <w:lastRenderedPageBreak/>
        <w:t xml:space="preserve">cet outil </w:t>
      </w:r>
      <w:r w:rsidR="006307F6" w:rsidRPr="00016EFB">
        <w:rPr>
          <w:rFonts w:cs="Arial"/>
          <w:lang w:val="fr-FR"/>
        </w:rPr>
        <w:t xml:space="preserve">et une évaluation supplémentaire de la connectivité fonctionnelle entre les paires de zones protégées a été publiée dans la revue « </w:t>
      </w:r>
      <w:proofErr w:type="spellStart"/>
      <w:r w:rsidR="006307F6" w:rsidRPr="00016EFB">
        <w:rPr>
          <w:rFonts w:cs="Arial"/>
          <w:lang w:val="fr-FR"/>
        </w:rPr>
        <w:t>Frontiers</w:t>
      </w:r>
      <w:proofErr w:type="spellEnd"/>
      <w:r w:rsidR="006307F6" w:rsidRPr="00016EFB">
        <w:rPr>
          <w:rFonts w:cs="Arial"/>
          <w:lang w:val="fr-FR"/>
        </w:rPr>
        <w:t xml:space="preserve"> in Conservation Science » en août 2023</w:t>
      </w:r>
      <w:r w:rsidR="00FF0AEC">
        <w:rPr>
          <w:rFonts w:cs="Arial"/>
          <w:lang w:val="fr-FR"/>
        </w:rPr>
        <w:t>.</w:t>
      </w:r>
    </w:p>
    <w:p w14:paraId="6B0F1E24" w14:textId="77777777" w:rsidR="00FF0AEC" w:rsidRDefault="00FF0AEC" w:rsidP="00FF0AEC">
      <w:pPr>
        <w:pStyle w:val="ListParagraph"/>
        <w:spacing w:after="0" w:line="240" w:lineRule="auto"/>
        <w:ind w:left="567"/>
        <w:jc w:val="both"/>
        <w:rPr>
          <w:rFonts w:cs="Arial"/>
          <w:lang w:val="fr-FR"/>
        </w:rPr>
      </w:pPr>
    </w:p>
    <w:p w14:paraId="549DF98E" w14:textId="5C519174" w:rsidR="00FF0AEC" w:rsidRPr="00FF0AEC" w:rsidRDefault="000434B7" w:rsidP="00FF0AEC">
      <w:pPr>
        <w:pStyle w:val="ListParagraph"/>
        <w:numPr>
          <w:ilvl w:val="0"/>
          <w:numId w:val="2"/>
        </w:numPr>
        <w:spacing w:after="0" w:line="240" w:lineRule="auto"/>
        <w:ind w:left="567" w:hanging="567"/>
        <w:jc w:val="both"/>
        <w:rPr>
          <w:rFonts w:cs="Arial"/>
          <w:lang w:val="fr-FR"/>
        </w:rPr>
      </w:pPr>
      <w:r w:rsidRPr="00FF0AEC">
        <w:rPr>
          <w:lang w:val="fr-FR"/>
        </w:rPr>
        <w:t xml:space="preserve">Conformément aux </w:t>
      </w:r>
      <w:r w:rsidR="004A5079" w:rsidRPr="00FF0AEC">
        <w:rPr>
          <w:lang w:val="fr-FR"/>
        </w:rPr>
        <w:t>D</w:t>
      </w:r>
      <w:r w:rsidRPr="00FF0AEC">
        <w:rPr>
          <w:lang w:val="fr-FR"/>
        </w:rPr>
        <w:t>écisions 14.197 à 14.199 de la COP14</w:t>
      </w:r>
      <w:r w:rsidR="007032C1" w:rsidRPr="00FF0AEC">
        <w:rPr>
          <w:lang w:val="fr-FR"/>
        </w:rPr>
        <w:t xml:space="preserve">, le Secrétariat a organisé une série de séminaires en ligne sur l’utilité et la fonctionnalité de l’outil. L’outil a été présenté aux membres de l’IGAD le 6 juin 2024, aux membres de la SADC le 7 juin 2024 et aux membres de l’EAC le 26 juin 2024 lors d’événements préexistants. Un événement autonome a été organisé par le Secrétariat de la CMS le 19 juin 2024 pour toutes les Parties à la CMS des régions de l’IGAD, de l’EAC et de la SADC. </w:t>
      </w:r>
    </w:p>
    <w:p w14:paraId="44366D02" w14:textId="77777777" w:rsidR="00FF0AEC" w:rsidRPr="00FF0AEC" w:rsidRDefault="00FF0AEC" w:rsidP="00FF0AEC">
      <w:pPr>
        <w:spacing w:after="0" w:line="240" w:lineRule="auto"/>
        <w:jc w:val="both"/>
        <w:rPr>
          <w:rFonts w:cs="Arial"/>
          <w:lang w:val="fr-FR"/>
        </w:rPr>
      </w:pPr>
    </w:p>
    <w:p w14:paraId="0B741BC9" w14:textId="5E0DDB2B" w:rsidR="000A2043" w:rsidRPr="00FF0AEC" w:rsidRDefault="007032C1" w:rsidP="00FF0AEC">
      <w:pPr>
        <w:pStyle w:val="ListParagraph"/>
        <w:numPr>
          <w:ilvl w:val="0"/>
          <w:numId w:val="2"/>
        </w:numPr>
        <w:spacing w:after="0" w:line="240" w:lineRule="auto"/>
        <w:ind w:left="567" w:hanging="567"/>
        <w:jc w:val="both"/>
        <w:rPr>
          <w:lang w:val="fr-FR"/>
        </w:rPr>
      </w:pPr>
      <w:r w:rsidRPr="00FF0AEC">
        <w:rPr>
          <w:lang w:val="fr-FR"/>
        </w:rPr>
        <w:t xml:space="preserve">Pour faciliter la mise en œuvre de la </w:t>
      </w:r>
      <w:r w:rsidR="003E56FB" w:rsidRPr="00FF0AEC">
        <w:rPr>
          <w:lang w:val="fr-FR"/>
        </w:rPr>
        <w:t>D</w:t>
      </w:r>
      <w:r w:rsidRPr="00FF0AEC">
        <w:rPr>
          <w:lang w:val="fr-FR"/>
        </w:rPr>
        <w:t>écision 1</w:t>
      </w:r>
      <w:r w:rsidR="003E56FB" w:rsidRPr="00FF0AEC">
        <w:rPr>
          <w:lang w:val="fr-FR"/>
        </w:rPr>
        <w:t>4</w:t>
      </w:r>
      <w:r w:rsidRPr="00FF0AEC">
        <w:rPr>
          <w:lang w:val="fr-FR"/>
        </w:rPr>
        <w:t xml:space="preserve">.197, une enquête a été envoyée </w:t>
      </w:r>
      <w:r w:rsidR="002C7556" w:rsidRPr="00FF0AEC">
        <w:rPr>
          <w:lang w:val="fr-FR"/>
        </w:rPr>
        <w:t>(</w:t>
      </w:r>
      <w:hyperlink r:id="rId19" w:history="1">
        <w:r w:rsidR="002C7556" w:rsidRPr="00FF0AEC">
          <w:rPr>
            <w:rStyle w:val="Hyperlink"/>
            <w:lang w:val="fr-FR"/>
          </w:rPr>
          <w:t>https://forms.office.com/e/wgwVTNU94p</w:t>
        </w:r>
      </w:hyperlink>
      <w:r w:rsidR="002C7556" w:rsidRPr="00FF0AEC">
        <w:rPr>
          <w:lang w:val="fr-FR"/>
        </w:rPr>
        <w:t xml:space="preserve">) </w:t>
      </w:r>
      <w:r w:rsidRPr="00FF0AEC">
        <w:rPr>
          <w:lang w:val="fr-FR"/>
        </w:rPr>
        <w:t xml:space="preserve">à toutes les Parties à la CMS ainsi qu’aux participants aux événements susmentionnés, soit un total de 145 personnes. Le WCMC a compilé les commentaires sur l’outil fournis au cours des webinaires et les réponses à l’enquête dans le document en annexe du présent document. Au total, le WCMC a reçu deux réponses à l’enquête. </w:t>
      </w:r>
      <w:r w:rsidR="000A2043" w:rsidRPr="00FF0AEC">
        <w:rPr>
          <w:rFonts w:eastAsia="Times New Roman" w:cs="Arial"/>
          <w:snapToGrid w:val="0"/>
          <w:color w:val="000000"/>
          <w:kern w:val="2"/>
          <w:lang w:val="fr-FR"/>
        </w:rPr>
        <w:t>D'autres retours non structurés ont été recueillis lors des discussions tenues pendant les ateliers.</w:t>
      </w:r>
    </w:p>
    <w:p w14:paraId="30808388" w14:textId="77777777" w:rsidR="00B50402" w:rsidRPr="000F677C" w:rsidRDefault="00B50402" w:rsidP="00B50402">
      <w:pPr>
        <w:pStyle w:val="ListParagraph"/>
        <w:spacing w:after="0" w:line="240" w:lineRule="auto"/>
        <w:ind w:left="567"/>
        <w:contextualSpacing w:val="0"/>
        <w:jc w:val="both"/>
        <w:rPr>
          <w:rFonts w:cs="Arial"/>
          <w:bCs/>
          <w:lang w:val="fr-FR"/>
        </w:rPr>
      </w:pPr>
    </w:p>
    <w:p w14:paraId="4D42BCAA" w14:textId="77777777" w:rsidR="00B50402" w:rsidRPr="000F677C" w:rsidRDefault="00B50402" w:rsidP="00B50402">
      <w:pPr>
        <w:widowControl w:val="0"/>
        <w:numPr>
          <w:ilvl w:val="0"/>
          <w:numId w:val="2"/>
        </w:numPr>
        <w:autoSpaceDE w:val="0"/>
        <w:autoSpaceDN w:val="0"/>
        <w:adjustRightInd w:val="0"/>
        <w:spacing w:after="80" w:line="240" w:lineRule="auto"/>
        <w:ind w:left="567" w:hanging="567"/>
        <w:jc w:val="both"/>
        <w:rPr>
          <w:rFonts w:cs="Arial"/>
          <w:lang w:val="fr-FR"/>
        </w:rPr>
      </w:pPr>
      <w:r w:rsidRPr="000F677C">
        <w:rPr>
          <w:rFonts w:cs="Arial"/>
          <w:lang w:val="fr-FR"/>
        </w:rPr>
        <w:t>Le Secrétariat a soumis le rapport de synthèse des réponses des Parties au Conseil scientifique lors de la 7</w:t>
      </w:r>
      <w:r w:rsidRPr="000F677C">
        <w:rPr>
          <w:rFonts w:cs="Arial"/>
          <w:vertAlign w:val="superscript"/>
          <w:lang w:val="fr-FR"/>
        </w:rPr>
        <w:t>e</w:t>
      </w:r>
      <w:r w:rsidRPr="000F677C">
        <w:rPr>
          <w:rFonts w:cs="Arial"/>
          <w:lang w:val="fr-FR"/>
        </w:rPr>
        <w:t xml:space="preserve"> réunion de son Comité de session (</w:t>
      </w:r>
      <w:hyperlink r:id="rId20" w:history="1">
        <w:r w:rsidRPr="000F677C">
          <w:rPr>
            <w:rStyle w:val="Hyperlink"/>
            <w:rFonts w:cs="Arial"/>
            <w:lang w:val="fr-FR"/>
          </w:rPr>
          <w:t>UNEP/CMS/ScC-SC7/Doc.6.1.3</w:t>
        </w:r>
      </w:hyperlink>
      <w:r w:rsidRPr="000F677C">
        <w:rPr>
          <w:rFonts w:cs="Arial"/>
          <w:lang w:val="fr-FR"/>
        </w:rPr>
        <w:t xml:space="preserve">), énumérant les recommandations suivantes : </w:t>
      </w:r>
    </w:p>
    <w:p w14:paraId="144CB1CF" w14:textId="77777777" w:rsidR="00B50402" w:rsidRPr="000F677C" w:rsidRDefault="00B50402" w:rsidP="00B50402">
      <w:pPr>
        <w:pStyle w:val="NoSpacing"/>
        <w:numPr>
          <w:ilvl w:val="0"/>
          <w:numId w:val="11"/>
        </w:numPr>
        <w:spacing w:after="80"/>
        <w:ind w:hanging="540"/>
        <w:jc w:val="both"/>
        <w:rPr>
          <w:rFonts w:cs="Arial"/>
          <w:bCs/>
          <w:lang w:val="fr-FR"/>
        </w:rPr>
      </w:pPr>
      <w:r w:rsidRPr="000F677C">
        <w:rPr>
          <w:rFonts w:cs="Arial"/>
          <w:bCs/>
          <w:lang w:val="fr-FR"/>
        </w:rPr>
        <w:t xml:space="preserve">Faire circuler davantage l'enquête. </w:t>
      </w:r>
    </w:p>
    <w:p w14:paraId="5D4E02D4" w14:textId="77777777" w:rsidR="00B50402" w:rsidRPr="000F677C" w:rsidRDefault="00B50402" w:rsidP="00B50402">
      <w:pPr>
        <w:pStyle w:val="NoSpacing"/>
        <w:numPr>
          <w:ilvl w:val="0"/>
          <w:numId w:val="11"/>
        </w:numPr>
        <w:spacing w:after="80"/>
        <w:ind w:hanging="540"/>
        <w:jc w:val="both"/>
        <w:rPr>
          <w:rFonts w:cs="Arial"/>
          <w:bCs/>
          <w:lang w:val="fr-FR"/>
        </w:rPr>
      </w:pPr>
      <w:r w:rsidRPr="000F677C">
        <w:rPr>
          <w:rFonts w:cs="Arial"/>
          <w:bCs/>
          <w:lang w:val="fr-FR"/>
        </w:rPr>
        <w:t>Envisager d'héberger le contenu de l'outil transfrontière à un nouvel endroit.</w:t>
      </w:r>
    </w:p>
    <w:p w14:paraId="14CF5470" w14:textId="77777777" w:rsidR="00B50402" w:rsidRPr="000F677C" w:rsidRDefault="00B50402" w:rsidP="00B50402">
      <w:pPr>
        <w:pStyle w:val="NoSpacing"/>
        <w:numPr>
          <w:ilvl w:val="0"/>
          <w:numId w:val="11"/>
        </w:numPr>
        <w:spacing w:after="80"/>
        <w:ind w:hanging="540"/>
        <w:jc w:val="both"/>
        <w:rPr>
          <w:rFonts w:cs="Arial"/>
          <w:bCs/>
          <w:lang w:val="fr-FR"/>
        </w:rPr>
      </w:pPr>
      <w:r w:rsidRPr="000F677C">
        <w:rPr>
          <w:rFonts w:cs="Arial"/>
          <w:bCs/>
          <w:lang w:val="fr-FR"/>
        </w:rPr>
        <w:t xml:space="preserve">Envisager de partager les couches de données avec UN </w:t>
      </w:r>
      <w:proofErr w:type="spellStart"/>
      <w:r w:rsidRPr="000F677C">
        <w:rPr>
          <w:rFonts w:cs="Arial"/>
          <w:bCs/>
          <w:lang w:val="fr-FR"/>
        </w:rPr>
        <w:t>Biodiversity</w:t>
      </w:r>
      <w:proofErr w:type="spellEnd"/>
      <w:r w:rsidRPr="000F677C">
        <w:rPr>
          <w:rFonts w:cs="Arial"/>
          <w:bCs/>
          <w:lang w:val="fr-FR"/>
        </w:rPr>
        <w:t xml:space="preserve"> </w:t>
      </w:r>
      <w:proofErr w:type="spellStart"/>
      <w:r w:rsidRPr="000F677C">
        <w:rPr>
          <w:rFonts w:cs="Arial"/>
          <w:bCs/>
          <w:lang w:val="fr-FR"/>
        </w:rPr>
        <w:t>Lab</w:t>
      </w:r>
      <w:proofErr w:type="spellEnd"/>
      <w:r w:rsidRPr="000F677C">
        <w:rPr>
          <w:rFonts w:cs="Arial"/>
          <w:bCs/>
          <w:lang w:val="fr-FR"/>
        </w:rPr>
        <w:t xml:space="preserve"> (UNBL) et d’autres plateformes en ligne. Par ailleurs, envisager d’ajouter certaines couches de données énumérées dans la section « Amélioration du contenu » ou de fournir des liens vers UNBL dans l’outil transfrontière.</w:t>
      </w:r>
    </w:p>
    <w:p w14:paraId="70E702DC" w14:textId="77777777" w:rsidR="00B50402" w:rsidRPr="000F677C" w:rsidRDefault="00B50402" w:rsidP="00B50402">
      <w:pPr>
        <w:pStyle w:val="NoSpacing"/>
        <w:numPr>
          <w:ilvl w:val="0"/>
          <w:numId w:val="11"/>
        </w:numPr>
        <w:spacing w:after="80"/>
        <w:ind w:hanging="540"/>
        <w:jc w:val="both"/>
        <w:rPr>
          <w:rFonts w:cs="Arial"/>
          <w:bCs/>
          <w:lang w:val="fr-FR"/>
        </w:rPr>
      </w:pPr>
      <w:r w:rsidRPr="000F677C">
        <w:rPr>
          <w:rFonts w:eastAsia="Times New Roman" w:cs="Arial"/>
          <w:bCs/>
          <w:lang w:val="fr-FR" w:eastAsia="en-GB"/>
        </w:rPr>
        <w:t>Envisager de mettre en œuvre les idées</w:t>
      </w:r>
      <w:r w:rsidRPr="000F677C">
        <w:rPr>
          <w:rFonts w:cs="Arial"/>
          <w:bCs/>
          <w:lang w:val="fr-FR"/>
        </w:rPr>
        <w:t xml:space="preserve"> énumérées dans la section « Amélioration de l'ergonomie ».</w:t>
      </w:r>
    </w:p>
    <w:p w14:paraId="69659846" w14:textId="77777777" w:rsidR="00B50402" w:rsidRPr="000F677C" w:rsidRDefault="00B50402" w:rsidP="00B50402">
      <w:pPr>
        <w:pStyle w:val="NoSpacing"/>
        <w:numPr>
          <w:ilvl w:val="0"/>
          <w:numId w:val="11"/>
        </w:numPr>
        <w:ind w:hanging="540"/>
        <w:jc w:val="both"/>
        <w:rPr>
          <w:rFonts w:cs="Arial"/>
          <w:bCs/>
          <w:lang w:val="fr-FR"/>
        </w:rPr>
      </w:pPr>
      <w:r w:rsidRPr="000F677C">
        <w:rPr>
          <w:rFonts w:eastAsia="Times New Roman" w:cs="Arial"/>
          <w:bCs/>
          <w:lang w:val="fr-FR" w:eastAsia="en-GB"/>
        </w:rPr>
        <w:t>Améliorer le contenu et la visibilité des informations fournies sur la méthodologie des couches de données.</w:t>
      </w:r>
    </w:p>
    <w:p w14:paraId="798F9410" w14:textId="77777777" w:rsidR="00B50402" w:rsidRPr="000F677C" w:rsidRDefault="00B50402" w:rsidP="00B50402">
      <w:pPr>
        <w:widowControl w:val="0"/>
        <w:autoSpaceDE w:val="0"/>
        <w:autoSpaceDN w:val="0"/>
        <w:adjustRightInd w:val="0"/>
        <w:spacing w:after="0" w:line="240" w:lineRule="auto"/>
        <w:ind w:left="426"/>
        <w:jc w:val="both"/>
        <w:rPr>
          <w:rFonts w:cs="Arial"/>
          <w:lang w:val="fr-FR"/>
        </w:rPr>
      </w:pPr>
    </w:p>
    <w:p w14:paraId="14301377" w14:textId="77777777" w:rsidR="00B50402" w:rsidRPr="000F677C" w:rsidRDefault="00B50402" w:rsidP="00B50402">
      <w:pPr>
        <w:numPr>
          <w:ilvl w:val="0"/>
          <w:numId w:val="2"/>
        </w:numPr>
        <w:autoSpaceDE w:val="0"/>
        <w:autoSpaceDN w:val="0"/>
        <w:adjustRightInd w:val="0"/>
        <w:spacing w:after="0" w:line="240" w:lineRule="auto"/>
        <w:ind w:left="567" w:hanging="567"/>
        <w:jc w:val="both"/>
        <w:rPr>
          <w:rFonts w:cs="Arial"/>
          <w:lang w:val="fr-FR"/>
        </w:rPr>
      </w:pPr>
      <w:r w:rsidRPr="000F677C">
        <w:rPr>
          <w:rFonts w:cs="Arial"/>
          <w:lang w:val="fr-FR"/>
        </w:rPr>
        <w:t>Le Conseil scientifique a approuvé les recommandations, en soulignant la nécessité d'ajouter d'autres couches de données pour renforcer les niveaux de référence, et de montrer les aires de répartition des espèces sauvages. Il a été indiqué que l'outil devrait intégrer des données provenant de toutes les utilisations des terres et de toutes les parties prenantes afin d'orienter les décisions, de sorte qu'il ne présente pas uniquement un point de vue conservationniste, mais qu'il devienne un outil indépendant utile à la prise de décision (</w:t>
      </w:r>
      <w:hyperlink r:id="rId21" w:history="1">
        <w:r w:rsidRPr="000F677C">
          <w:rPr>
            <w:rStyle w:val="Hyperlink"/>
            <w:rFonts w:cs="Arial"/>
            <w:lang w:val="fr-FR"/>
          </w:rPr>
          <w:t>UNEP/CMS/ScC-SC7/Report</w:t>
        </w:r>
      </w:hyperlink>
      <w:r w:rsidRPr="000F677C">
        <w:rPr>
          <w:rFonts w:cs="Arial"/>
          <w:lang w:val="fr-FR"/>
        </w:rPr>
        <w:t xml:space="preserve">). </w:t>
      </w:r>
    </w:p>
    <w:p w14:paraId="13677434" w14:textId="77777777" w:rsidR="00B50402" w:rsidRPr="000F677C" w:rsidRDefault="00B50402" w:rsidP="00B50402">
      <w:pPr>
        <w:widowControl w:val="0"/>
        <w:autoSpaceDE w:val="0"/>
        <w:autoSpaceDN w:val="0"/>
        <w:adjustRightInd w:val="0"/>
        <w:spacing w:after="0" w:line="240" w:lineRule="auto"/>
        <w:ind w:left="426"/>
        <w:jc w:val="both"/>
        <w:rPr>
          <w:rFonts w:cs="Arial"/>
          <w:lang w:val="fr-FR"/>
        </w:rPr>
      </w:pPr>
    </w:p>
    <w:p w14:paraId="02E1BCAC" w14:textId="77777777" w:rsidR="00B50402" w:rsidRPr="000F677C" w:rsidRDefault="00B50402" w:rsidP="00B50402">
      <w:pPr>
        <w:spacing w:after="0" w:line="240" w:lineRule="auto"/>
        <w:jc w:val="both"/>
        <w:rPr>
          <w:rFonts w:cs="Arial"/>
          <w:u w:val="single"/>
          <w:lang w:val="fr-FR"/>
        </w:rPr>
      </w:pPr>
      <w:r w:rsidRPr="000F677C">
        <w:rPr>
          <w:rFonts w:cs="Arial"/>
          <w:u w:val="single"/>
          <w:lang w:val="fr-FR"/>
        </w:rPr>
        <w:t>Discussion et analyse</w:t>
      </w:r>
    </w:p>
    <w:p w14:paraId="290FB46E" w14:textId="77777777" w:rsidR="00B50402" w:rsidRPr="000F677C" w:rsidRDefault="00B50402" w:rsidP="00B50402">
      <w:pPr>
        <w:widowControl w:val="0"/>
        <w:autoSpaceDE w:val="0"/>
        <w:autoSpaceDN w:val="0"/>
        <w:adjustRightInd w:val="0"/>
        <w:spacing w:after="0" w:line="240" w:lineRule="auto"/>
        <w:jc w:val="both"/>
        <w:rPr>
          <w:rFonts w:cs="Arial"/>
          <w:lang w:val="fr-FR"/>
        </w:rPr>
      </w:pPr>
    </w:p>
    <w:p w14:paraId="5A899E4D" w14:textId="77777777" w:rsidR="00B50402" w:rsidRPr="000F677C" w:rsidRDefault="00B50402" w:rsidP="00B50402">
      <w:pPr>
        <w:numPr>
          <w:ilvl w:val="0"/>
          <w:numId w:val="2"/>
        </w:numPr>
        <w:autoSpaceDE w:val="0"/>
        <w:autoSpaceDN w:val="0"/>
        <w:adjustRightInd w:val="0"/>
        <w:spacing w:after="0" w:line="240" w:lineRule="auto"/>
        <w:ind w:left="567" w:hanging="567"/>
        <w:jc w:val="both"/>
        <w:rPr>
          <w:rFonts w:cs="Arial"/>
          <w:lang w:val="fr-FR"/>
        </w:rPr>
      </w:pPr>
      <w:r w:rsidRPr="000F677C">
        <w:rPr>
          <w:rFonts w:cs="Arial"/>
          <w:lang w:val="fr-FR"/>
        </w:rPr>
        <w:t>Compte tenu du faible nombre de réponses reçues et des commentaires formulés lors des présentations de l'outil, il est essentiel d'examiner avec soin les avantages de tout développement ultérieur. Cette démarche devrait inclure un examen des autres outils existants afin d'éviter les doublons. Dans le même temps, les utilisateurs cibles de l'outil et leurs besoins devraient être identifiés, en étroite consultation avec les Parties, en s'appuyant sur l'expérience des États membres de la SADC dans l'établissement d'ACT. Une fois que les utilisateurs cibles et leurs besoins ont été déterminés, les recommandations approuvées par le Conseil scientifique doivent être dûment prises en considération.</w:t>
      </w:r>
    </w:p>
    <w:p w14:paraId="6C8AE59C" w14:textId="77777777" w:rsidR="00B50402" w:rsidRPr="000F677C" w:rsidRDefault="00B50402" w:rsidP="00B50402">
      <w:pPr>
        <w:autoSpaceDE w:val="0"/>
        <w:autoSpaceDN w:val="0"/>
        <w:adjustRightInd w:val="0"/>
        <w:spacing w:after="0" w:line="240" w:lineRule="auto"/>
        <w:ind w:left="360"/>
        <w:jc w:val="both"/>
        <w:rPr>
          <w:rFonts w:cs="Arial"/>
          <w:lang w:val="fr-FR"/>
        </w:rPr>
      </w:pPr>
    </w:p>
    <w:p w14:paraId="27977242" w14:textId="77777777" w:rsidR="00B50402" w:rsidRPr="000F677C" w:rsidRDefault="00B50402" w:rsidP="00B50402">
      <w:pPr>
        <w:spacing w:after="0" w:line="240" w:lineRule="auto"/>
        <w:jc w:val="both"/>
        <w:rPr>
          <w:rFonts w:cs="Arial"/>
          <w:lang w:val="fr-FR"/>
        </w:rPr>
      </w:pPr>
      <w:r w:rsidRPr="000F677C">
        <w:rPr>
          <w:rFonts w:cs="Arial"/>
          <w:u w:val="single"/>
          <w:lang w:val="fr-FR"/>
        </w:rPr>
        <w:lastRenderedPageBreak/>
        <w:t>Actions recommandées</w:t>
      </w:r>
    </w:p>
    <w:p w14:paraId="780706B2" w14:textId="77777777" w:rsidR="00B50402" w:rsidRPr="000F677C" w:rsidRDefault="00B50402" w:rsidP="00B50402">
      <w:pPr>
        <w:spacing w:after="0" w:line="240" w:lineRule="auto"/>
        <w:jc w:val="both"/>
        <w:rPr>
          <w:rFonts w:cs="Arial"/>
          <w:lang w:val="fr-FR"/>
        </w:rPr>
      </w:pPr>
    </w:p>
    <w:p w14:paraId="4098C7C3" w14:textId="77777777" w:rsidR="00B50402" w:rsidRPr="000F677C" w:rsidRDefault="00B50402" w:rsidP="00B50402">
      <w:pPr>
        <w:widowControl w:val="0"/>
        <w:numPr>
          <w:ilvl w:val="0"/>
          <w:numId w:val="2"/>
        </w:numPr>
        <w:autoSpaceDE w:val="0"/>
        <w:autoSpaceDN w:val="0"/>
        <w:adjustRightInd w:val="0"/>
        <w:spacing w:after="0" w:line="240" w:lineRule="auto"/>
        <w:ind w:left="567" w:hanging="567"/>
        <w:jc w:val="both"/>
        <w:rPr>
          <w:rFonts w:cs="Arial"/>
          <w:lang w:val="fr-FR"/>
        </w:rPr>
      </w:pPr>
      <w:r w:rsidRPr="000F677C">
        <w:rPr>
          <w:rFonts w:cs="Arial"/>
          <w:lang w:val="fr-FR" w:eastAsia="en-GB"/>
        </w:rPr>
        <w:t>Il est recommandé à la Conférence des Parties</w:t>
      </w:r>
      <w:r w:rsidRPr="000F677C">
        <w:rPr>
          <w:rFonts w:cs="Arial"/>
          <w:lang w:val="fr-FR"/>
        </w:rPr>
        <w:t xml:space="preserve"> :</w:t>
      </w:r>
    </w:p>
    <w:p w14:paraId="4034494C" w14:textId="77777777" w:rsidR="00B50402" w:rsidRPr="000F677C" w:rsidRDefault="00B50402" w:rsidP="00B50402">
      <w:pPr>
        <w:spacing w:after="0" w:line="240" w:lineRule="auto"/>
        <w:jc w:val="both"/>
        <w:rPr>
          <w:lang w:val="fr-FR"/>
        </w:rPr>
      </w:pPr>
    </w:p>
    <w:p w14:paraId="30ECD110" w14:textId="77777777" w:rsidR="00B50402" w:rsidRPr="000F677C" w:rsidRDefault="00B50402" w:rsidP="00B50402">
      <w:pPr>
        <w:pStyle w:val="Secondnumbering"/>
        <w:numPr>
          <w:ilvl w:val="0"/>
          <w:numId w:val="10"/>
        </w:numPr>
        <w:ind w:left="993" w:hanging="426"/>
        <w:jc w:val="both"/>
        <w:rPr>
          <w:lang w:val="fr-FR"/>
        </w:rPr>
      </w:pPr>
      <w:r w:rsidRPr="000F677C">
        <w:rPr>
          <w:lang w:val="fr-FR"/>
        </w:rPr>
        <w:t>d'adopter le projet de décisions figurant à l'Annexe du présent document ;</w:t>
      </w:r>
    </w:p>
    <w:p w14:paraId="081D0E3C" w14:textId="77777777" w:rsidR="00B50402" w:rsidRPr="000F677C" w:rsidRDefault="00B50402" w:rsidP="00B50402">
      <w:pPr>
        <w:spacing w:after="0" w:line="240" w:lineRule="auto"/>
        <w:ind w:left="993" w:hanging="426"/>
        <w:jc w:val="both"/>
        <w:rPr>
          <w:rFonts w:cs="Arial"/>
          <w:lang w:val="fr-FR"/>
        </w:rPr>
      </w:pPr>
    </w:p>
    <w:p w14:paraId="5DB7C8D8" w14:textId="77777777" w:rsidR="00B50402" w:rsidRPr="000F677C" w:rsidRDefault="00B50402" w:rsidP="00B50402">
      <w:pPr>
        <w:pStyle w:val="Secondnumbering"/>
        <w:numPr>
          <w:ilvl w:val="0"/>
          <w:numId w:val="10"/>
        </w:numPr>
        <w:ind w:left="993" w:hanging="426"/>
        <w:jc w:val="both"/>
        <w:rPr>
          <w:lang w:val="fr-FR"/>
        </w:rPr>
      </w:pPr>
      <w:r w:rsidRPr="000F677C">
        <w:rPr>
          <w:rFonts w:cs="Arial"/>
          <w:lang w:val="fr-FR"/>
        </w:rPr>
        <w:t xml:space="preserve">de supprimer les décisions </w:t>
      </w:r>
      <w:r w:rsidRPr="000F677C">
        <w:rPr>
          <w:rFonts w:eastAsia="Times New Roman" w:cs="Arial"/>
          <w:snapToGrid w:val="0"/>
          <w:color w:val="000000"/>
          <w:kern w:val="2"/>
          <w:lang w:val="fr-FR"/>
        </w:rPr>
        <w:t>14.197 à 14.199</w:t>
      </w:r>
      <w:r w:rsidRPr="000F677C">
        <w:rPr>
          <w:rFonts w:cs="Arial"/>
          <w:lang w:val="fr-FR"/>
        </w:rPr>
        <w:t>.</w:t>
      </w:r>
    </w:p>
    <w:p w14:paraId="4935C6DE" w14:textId="77777777" w:rsidR="00B50402" w:rsidRDefault="00B50402" w:rsidP="000A2043">
      <w:pPr>
        <w:spacing w:after="160" w:line="259" w:lineRule="auto"/>
        <w:ind w:left="567" w:hanging="567"/>
        <w:jc w:val="both"/>
        <w:rPr>
          <w:rFonts w:eastAsia="Calibri" w:cs="Arial"/>
          <w:lang w:val="fr-FR"/>
        </w:rPr>
        <w:sectPr w:rsidR="00B50402" w:rsidSect="007C0105">
          <w:headerReference w:type="even" r:id="rId22"/>
          <w:headerReference w:type="default" r:id="rId23"/>
          <w:footerReference w:type="even" r:id="rId24"/>
          <w:footerReference w:type="default" r:id="rId25"/>
          <w:headerReference w:type="first" r:id="rId26"/>
          <w:pgSz w:w="11906" w:h="16838" w:code="9"/>
          <w:pgMar w:top="1440" w:right="1440" w:bottom="1440" w:left="1440" w:header="568" w:footer="720" w:gutter="0"/>
          <w:cols w:space="720"/>
          <w:titlePg/>
          <w:docGrid w:linePitch="360"/>
        </w:sectPr>
      </w:pPr>
    </w:p>
    <w:p w14:paraId="6C3CE2E7" w14:textId="77777777" w:rsidR="00121E4B" w:rsidRPr="000F677C" w:rsidRDefault="00121E4B" w:rsidP="00121E4B">
      <w:pPr>
        <w:spacing w:after="0" w:line="240" w:lineRule="auto"/>
        <w:jc w:val="right"/>
        <w:rPr>
          <w:rFonts w:cs="Arial"/>
          <w:b/>
          <w:bCs/>
          <w:caps/>
          <w:lang w:val="fr-FR"/>
        </w:rPr>
      </w:pPr>
      <w:r w:rsidRPr="000F677C">
        <w:rPr>
          <w:rFonts w:cs="Arial"/>
          <w:b/>
          <w:caps/>
          <w:lang w:val="fr-FR"/>
        </w:rPr>
        <w:lastRenderedPageBreak/>
        <w:t>Annexe</w:t>
      </w:r>
    </w:p>
    <w:p w14:paraId="76D99C05" w14:textId="77777777" w:rsidR="00121E4B" w:rsidRPr="000F677C" w:rsidRDefault="00121E4B" w:rsidP="00121E4B">
      <w:pPr>
        <w:spacing w:after="0" w:line="240" w:lineRule="auto"/>
        <w:rPr>
          <w:rFonts w:cs="Arial"/>
          <w:lang w:val="fr-FR"/>
        </w:rPr>
      </w:pPr>
    </w:p>
    <w:p w14:paraId="15435F6F" w14:textId="77777777" w:rsidR="00121E4B" w:rsidRPr="000F677C" w:rsidRDefault="00121E4B" w:rsidP="00121E4B">
      <w:pPr>
        <w:pBdr>
          <w:top w:val="single" w:sz="6" w:space="0" w:color="FFFFFF"/>
          <w:left w:val="single" w:sz="6" w:space="0" w:color="FFFFFF"/>
          <w:bottom w:val="single" w:sz="6" w:space="0" w:color="FFFFFF"/>
          <w:right w:val="single" w:sz="6" w:space="0" w:color="FFFFFF"/>
        </w:pBdr>
        <w:spacing w:after="0" w:line="240" w:lineRule="auto"/>
        <w:outlineLvl w:val="1"/>
        <w:rPr>
          <w:rFonts w:cs="Arial"/>
          <w:bCs/>
          <w:caps/>
          <w:lang w:val="fr-FR"/>
        </w:rPr>
      </w:pPr>
      <w:r w:rsidRPr="000F677C">
        <w:rPr>
          <w:rFonts w:cs="Arial"/>
          <w:bCs/>
          <w:caps/>
          <w:lang w:val="fr-FR"/>
        </w:rPr>
        <w:t>PROJET DE DÉCISIONS</w:t>
      </w:r>
    </w:p>
    <w:p w14:paraId="54B0E34A" w14:textId="77777777" w:rsidR="00121E4B" w:rsidRPr="000F677C" w:rsidRDefault="00121E4B" w:rsidP="00121E4B">
      <w:pPr>
        <w:pBdr>
          <w:top w:val="single" w:sz="6" w:space="0" w:color="FFFFFF"/>
          <w:left w:val="single" w:sz="6" w:space="0" w:color="FFFFFF"/>
          <w:bottom w:val="single" w:sz="6" w:space="0" w:color="FFFFFF"/>
          <w:right w:val="single" w:sz="6" w:space="0" w:color="FFFFFF"/>
        </w:pBdr>
        <w:spacing w:after="0" w:line="240" w:lineRule="auto"/>
        <w:outlineLvl w:val="1"/>
        <w:rPr>
          <w:rFonts w:cs="Arial"/>
          <w:bCs/>
          <w:caps/>
          <w:lang w:val="fr-FR"/>
        </w:rPr>
      </w:pPr>
    </w:p>
    <w:p w14:paraId="210C700B" w14:textId="77777777" w:rsidR="00121E4B" w:rsidRPr="000F677C" w:rsidRDefault="00121E4B" w:rsidP="00121E4B">
      <w:pPr>
        <w:widowControl w:val="0"/>
        <w:suppressAutoHyphens/>
        <w:autoSpaceDE w:val="0"/>
        <w:autoSpaceDN w:val="0"/>
        <w:spacing w:line="240" w:lineRule="auto"/>
        <w:textAlignment w:val="baseline"/>
        <w:rPr>
          <w:rFonts w:eastAsia="Times New Roman" w:cs="Arial"/>
          <w:b/>
          <w:bCs/>
          <w:lang w:val="fr-FR"/>
        </w:rPr>
      </w:pPr>
      <w:r w:rsidRPr="000F677C">
        <w:rPr>
          <w:rFonts w:eastAsia="Times New Roman" w:cs="Arial"/>
          <w:b/>
          <w:bCs/>
          <w:lang w:val="fr-FR"/>
        </w:rPr>
        <w:t>AIRES DE CONSERVATION TRANSFRONTIÈRES POUR LES ESPÈCES MIGRATRICES</w:t>
      </w:r>
    </w:p>
    <w:p w14:paraId="75330785" w14:textId="77777777" w:rsidR="00121E4B" w:rsidRPr="000F677C" w:rsidRDefault="00121E4B" w:rsidP="00121E4B">
      <w:pPr>
        <w:spacing w:after="0" w:line="240" w:lineRule="auto"/>
        <w:jc w:val="both"/>
        <w:rPr>
          <w:rFonts w:cs="Arial"/>
          <w:i/>
          <w:lang w:val="fr-FR"/>
        </w:rPr>
      </w:pPr>
    </w:p>
    <w:p w14:paraId="41B47BFE" w14:textId="77777777" w:rsidR="00121E4B" w:rsidRPr="000F677C" w:rsidRDefault="00121E4B" w:rsidP="00121E4B">
      <w:pPr>
        <w:spacing w:after="0" w:line="240" w:lineRule="auto"/>
        <w:jc w:val="both"/>
        <w:rPr>
          <w:rFonts w:cs="Arial"/>
          <w:b/>
          <w:iCs/>
          <w:lang w:val="fr-FR"/>
        </w:rPr>
      </w:pPr>
      <w:r w:rsidRPr="000F677C">
        <w:rPr>
          <w:rFonts w:cs="Arial"/>
          <w:b/>
          <w:iCs/>
          <w:lang w:val="fr-FR"/>
        </w:rPr>
        <w:t>À l'adresse du Conseil scientifique</w:t>
      </w:r>
    </w:p>
    <w:p w14:paraId="440590B8" w14:textId="77777777" w:rsidR="00121E4B" w:rsidRPr="000F677C" w:rsidRDefault="00121E4B" w:rsidP="00121E4B">
      <w:pPr>
        <w:spacing w:after="0" w:line="240" w:lineRule="auto"/>
        <w:jc w:val="both"/>
        <w:rPr>
          <w:rFonts w:cs="Arial"/>
          <w:iCs/>
          <w:lang w:val="fr-FR"/>
        </w:rPr>
      </w:pPr>
    </w:p>
    <w:p w14:paraId="248DCDB2" w14:textId="77777777" w:rsidR="00121E4B" w:rsidRPr="000F677C" w:rsidRDefault="00121E4B" w:rsidP="00121E4B">
      <w:pPr>
        <w:spacing w:after="0" w:line="240" w:lineRule="auto"/>
        <w:ind w:left="851" w:hanging="851"/>
        <w:jc w:val="both"/>
        <w:rPr>
          <w:rFonts w:cs="Arial"/>
          <w:iCs/>
          <w:lang w:val="fr-FR"/>
        </w:rPr>
      </w:pPr>
      <w:r w:rsidRPr="000F677C">
        <w:rPr>
          <w:rFonts w:cs="Arial"/>
          <w:iCs/>
          <w:lang w:val="fr-FR"/>
        </w:rPr>
        <w:t>15.AA</w:t>
      </w:r>
      <w:r w:rsidRPr="000F677C">
        <w:rPr>
          <w:rFonts w:cs="Arial"/>
          <w:iCs/>
          <w:lang w:val="fr-FR"/>
        </w:rPr>
        <w:tab/>
        <w:t>Compte tenu des recommandations émanant de la 7</w:t>
      </w:r>
      <w:r w:rsidRPr="000F677C">
        <w:rPr>
          <w:rFonts w:cs="Arial"/>
          <w:iCs/>
          <w:vertAlign w:val="superscript"/>
          <w:lang w:val="fr-FR"/>
        </w:rPr>
        <w:t>e</w:t>
      </w:r>
      <w:r w:rsidRPr="000F677C">
        <w:rPr>
          <w:rFonts w:cs="Arial"/>
          <w:iCs/>
          <w:lang w:val="fr-FR"/>
        </w:rPr>
        <w:t xml:space="preserve"> réunion du Comité de session, il est demandé au Conseil scientifique d'établir un groupe de travail, comprenant des représentants de la région de la Communauté de développement de l'Afrique australe (la région chef de file pour l'établissement d'aires de conservation transfrontières), pour : </w:t>
      </w:r>
    </w:p>
    <w:p w14:paraId="6F18D9E3" w14:textId="77777777" w:rsidR="00121E4B" w:rsidRPr="000F677C" w:rsidRDefault="00121E4B" w:rsidP="00121E4B">
      <w:pPr>
        <w:spacing w:after="0" w:line="240" w:lineRule="auto"/>
        <w:ind w:left="851" w:hanging="851"/>
        <w:jc w:val="both"/>
        <w:rPr>
          <w:rFonts w:cs="Arial"/>
          <w:iCs/>
          <w:lang w:val="fr-FR"/>
        </w:rPr>
      </w:pPr>
    </w:p>
    <w:p w14:paraId="276BCA75" w14:textId="77777777" w:rsidR="00121E4B" w:rsidRPr="000F677C" w:rsidRDefault="00121E4B" w:rsidP="00121E4B">
      <w:pPr>
        <w:pStyle w:val="ListParagraph"/>
        <w:numPr>
          <w:ilvl w:val="0"/>
          <w:numId w:val="12"/>
        </w:numPr>
        <w:spacing w:after="0" w:line="240" w:lineRule="auto"/>
        <w:ind w:left="1418" w:hanging="567"/>
        <w:jc w:val="both"/>
        <w:rPr>
          <w:rFonts w:cs="Arial"/>
          <w:iCs/>
          <w:lang w:val="fr-FR"/>
        </w:rPr>
      </w:pPr>
      <w:r w:rsidRPr="000F677C">
        <w:rPr>
          <w:rFonts w:cs="Arial"/>
          <w:iCs/>
          <w:lang w:val="fr-FR"/>
        </w:rPr>
        <w:t xml:space="preserve">déterminer les utilisateurs cibles de l'outil pour </w:t>
      </w:r>
      <w:r w:rsidRPr="000F677C">
        <w:rPr>
          <w:rFonts w:cs="Arial"/>
          <w:lang w:val="fr-FR"/>
        </w:rPr>
        <w:t>identifier les opportunités de conservation transfrontière</w:t>
      </w:r>
      <w:r w:rsidRPr="000F677C">
        <w:rPr>
          <w:lang w:val="fr-FR"/>
        </w:rPr>
        <w:t>,</w:t>
      </w:r>
      <w:r w:rsidRPr="000F677C">
        <w:rPr>
          <w:rFonts w:cs="Arial"/>
          <w:i/>
          <w:iCs/>
          <w:lang w:val="fr-FR"/>
        </w:rPr>
        <w:t xml:space="preserve"> </w:t>
      </w:r>
      <w:r w:rsidRPr="000F677C">
        <w:rPr>
          <w:rFonts w:cs="Arial"/>
          <w:iCs/>
          <w:lang w:val="fr-FR"/>
        </w:rPr>
        <w:t>en étroite consultation avec les Parties et les autres parties prenantes ;</w:t>
      </w:r>
    </w:p>
    <w:p w14:paraId="6D42C10B" w14:textId="77777777" w:rsidR="00121E4B" w:rsidRPr="000F677C" w:rsidRDefault="00121E4B" w:rsidP="00121E4B">
      <w:pPr>
        <w:pStyle w:val="ListParagraph"/>
        <w:spacing w:after="0" w:line="240" w:lineRule="auto"/>
        <w:ind w:left="1418" w:hanging="567"/>
        <w:jc w:val="both"/>
        <w:rPr>
          <w:rFonts w:cs="Arial"/>
          <w:iCs/>
          <w:lang w:val="fr-FR"/>
        </w:rPr>
      </w:pPr>
    </w:p>
    <w:p w14:paraId="34F4BB55" w14:textId="77777777" w:rsidR="00121E4B" w:rsidRPr="000F677C" w:rsidRDefault="00121E4B" w:rsidP="00121E4B">
      <w:pPr>
        <w:pStyle w:val="ListParagraph"/>
        <w:numPr>
          <w:ilvl w:val="0"/>
          <w:numId w:val="12"/>
        </w:numPr>
        <w:spacing w:after="0" w:line="240" w:lineRule="auto"/>
        <w:ind w:left="1418" w:hanging="567"/>
        <w:jc w:val="both"/>
        <w:rPr>
          <w:rFonts w:cs="Arial"/>
          <w:iCs/>
          <w:lang w:val="fr-FR"/>
        </w:rPr>
      </w:pPr>
      <w:r w:rsidRPr="000F677C">
        <w:rPr>
          <w:rFonts w:cs="Arial"/>
          <w:iCs/>
          <w:lang w:val="fr-FR"/>
        </w:rPr>
        <w:t>mener, en tenant compte des recommandations émanant de la 7</w:t>
      </w:r>
      <w:r w:rsidRPr="000F677C">
        <w:rPr>
          <w:rFonts w:cs="Arial"/>
          <w:iCs/>
          <w:vertAlign w:val="superscript"/>
          <w:lang w:val="fr-FR"/>
        </w:rPr>
        <w:t>e</w:t>
      </w:r>
      <w:r w:rsidRPr="000F677C">
        <w:rPr>
          <w:rFonts w:cs="Arial"/>
          <w:iCs/>
          <w:lang w:val="fr-FR"/>
        </w:rPr>
        <w:t xml:space="preserve"> réunion du Comité de session, des consultations avec les utilisateurs cibles afin d'identifier leurs besoins, l'applicabilité de l'outil et les éventuels ajustements techniques nécessaires pour l'améliorer ;</w:t>
      </w:r>
    </w:p>
    <w:p w14:paraId="2BC37AEE" w14:textId="77777777" w:rsidR="00121E4B" w:rsidRPr="000F677C" w:rsidRDefault="00121E4B" w:rsidP="00121E4B">
      <w:pPr>
        <w:pStyle w:val="ListParagraph"/>
        <w:spacing w:after="0" w:line="240" w:lineRule="auto"/>
        <w:ind w:left="1418" w:hanging="567"/>
        <w:jc w:val="both"/>
        <w:rPr>
          <w:rFonts w:cs="Arial"/>
          <w:iCs/>
          <w:lang w:val="fr-FR"/>
        </w:rPr>
      </w:pPr>
    </w:p>
    <w:p w14:paraId="054FC824" w14:textId="77777777" w:rsidR="00121E4B" w:rsidRPr="000F677C" w:rsidRDefault="00121E4B" w:rsidP="00121E4B">
      <w:pPr>
        <w:pStyle w:val="ListParagraph"/>
        <w:numPr>
          <w:ilvl w:val="0"/>
          <w:numId w:val="12"/>
        </w:numPr>
        <w:spacing w:after="0" w:line="240" w:lineRule="auto"/>
        <w:ind w:left="1418" w:hanging="567"/>
        <w:jc w:val="both"/>
        <w:rPr>
          <w:rFonts w:cs="Arial"/>
          <w:iCs/>
          <w:lang w:val="fr-FR"/>
        </w:rPr>
      </w:pPr>
      <w:r w:rsidRPr="000F677C">
        <w:rPr>
          <w:rFonts w:cs="Arial"/>
          <w:iCs/>
          <w:lang w:val="fr-FR"/>
        </w:rPr>
        <w:t>sur la base des résultats des points a) et b), identifier, en étroite consultation avec les utilisateurs cibles, les paramètres et fonctions supplémentaires à ajouter à l'outil.</w:t>
      </w:r>
    </w:p>
    <w:p w14:paraId="60BDD216" w14:textId="77777777" w:rsidR="00121E4B" w:rsidRPr="000F677C" w:rsidRDefault="00121E4B" w:rsidP="00121E4B">
      <w:pPr>
        <w:pStyle w:val="ListParagraph"/>
        <w:spacing w:after="0" w:line="240" w:lineRule="auto"/>
        <w:ind w:left="2356"/>
        <w:jc w:val="both"/>
        <w:rPr>
          <w:rFonts w:cs="Arial"/>
          <w:iCs/>
          <w:lang w:val="fr-FR"/>
        </w:rPr>
      </w:pPr>
    </w:p>
    <w:p w14:paraId="6D317AFE" w14:textId="77777777" w:rsidR="00121E4B" w:rsidRPr="000F677C" w:rsidRDefault="00121E4B" w:rsidP="00121E4B">
      <w:pPr>
        <w:spacing w:after="0" w:line="240" w:lineRule="auto"/>
        <w:jc w:val="both"/>
        <w:rPr>
          <w:rFonts w:cs="Arial"/>
          <w:b/>
          <w:iCs/>
          <w:lang w:val="fr-FR"/>
        </w:rPr>
      </w:pPr>
      <w:r w:rsidRPr="000F677C">
        <w:rPr>
          <w:rFonts w:cs="Arial"/>
          <w:b/>
          <w:iCs/>
          <w:lang w:val="fr-FR"/>
        </w:rPr>
        <w:t>À l'adresse du Secrétariat</w:t>
      </w:r>
    </w:p>
    <w:p w14:paraId="1E485CC9" w14:textId="77777777" w:rsidR="00121E4B" w:rsidRPr="000F677C" w:rsidRDefault="00121E4B" w:rsidP="00121E4B">
      <w:pPr>
        <w:spacing w:after="0" w:line="240" w:lineRule="auto"/>
        <w:jc w:val="both"/>
        <w:rPr>
          <w:rFonts w:cs="Arial"/>
          <w:iCs/>
          <w:lang w:val="fr-FR"/>
        </w:rPr>
      </w:pPr>
    </w:p>
    <w:p w14:paraId="591C3DE5" w14:textId="77777777" w:rsidR="00121E4B" w:rsidRPr="000F677C" w:rsidRDefault="00121E4B" w:rsidP="00121E4B">
      <w:pPr>
        <w:spacing w:after="0" w:line="240" w:lineRule="auto"/>
        <w:ind w:left="1276" w:hanging="1276"/>
        <w:jc w:val="both"/>
        <w:rPr>
          <w:rFonts w:cs="Arial"/>
          <w:iCs/>
          <w:lang w:val="fr-FR"/>
        </w:rPr>
      </w:pPr>
      <w:r w:rsidRPr="000F677C">
        <w:rPr>
          <w:rFonts w:cs="Arial"/>
          <w:iCs/>
          <w:lang w:val="fr-FR"/>
        </w:rPr>
        <w:t>15.BB</w:t>
      </w:r>
      <w:r w:rsidRPr="000F677C">
        <w:rPr>
          <w:rFonts w:cs="Arial"/>
          <w:iCs/>
          <w:lang w:val="fr-FR"/>
        </w:rPr>
        <w:tab/>
        <w:t>Le Secrétariat, sous réserve de la disponibilité de ressources externes et en coopération avec le PNUE</w:t>
      </w:r>
      <w:r w:rsidRPr="000F677C">
        <w:rPr>
          <w:rFonts w:eastAsia="Times New Roman" w:cs="Arial"/>
          <w:snapToGrid w:val="0"/>
          <w:color w:val="000000"/>
          <w:kern w:val="2"/>
          <w:lang w:val="fr-FR"/>
        </w:rPr>
        <w:t>–</w:t>
      </w:r>
      <w:r w:rsidRPr="000F677C">
        <w:rPr>
          <w:rFonts w:cs="Arial"/>
          <w:iCs/>
          <w:lang w:val="fr-FR"/>
        </w:rPr>
        <w:t>WCMC, soutiendra le Groupe de travail établi en vertu de la décision 15.AA et évaluera les coûts et les avantages de la poursuite du développement et de la maintenance de l'outil.</w:t>
      </w:r>
    </w:p>
    <w:p w14:paraId="2B7F60D8" w14:textId="77777777" w:rsidR="00121E4B" w:rsidRPr="000F677C" w:rsidRDefault="00121E4B" w:rsidP="00121E4B">
      <w:pPr>
        <w:spacing w:after="0" w:line="240" w:lineRule="auto"/>
        <w:ind w:left="851" w:hanging="851"/>
        <w:jc w:val="both"/>
        <w:rPr>
          <w:rFonts w:cs="Arial"/>
          <w:iCs/>
          <w:lang w:val="fr-FR"/>
        </w:rPr>
      </w:pPr>
    </w:p>
    <w:p w14:paraId="258DB3AA" w14:textId="005A92AA" w:rsidR="00B302DE" w:rsidRPr="000A2043" w:rsidRDefault="00B302DE" w:rsidP="00EE0B94">
      <w:pPr>
        <w:spacing w:after="160" w:line="259" w:lineRule="auto"/>
        <w:jc w:val="both"/>
        <w:rPr>
          <w:rFonts w:eastAsia="Calibri" w:cs="Arial"/>
          <w:lang w:val="fr-FR"/>
        </w:rPr>
      </w:pPr>
    </w:p>
    <w:sectPr w:rsidR="00B302DE" w:rsidRPr="000A2043" w:rsidSect="00121E4B">
      <w:headerReference w:type="first" r:id="rId27"/>
      <w:foot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781B" w14:textId="77777777" w:rsidR="00D434A9" w:rsidRDefault="00D434A9" w:rsidP="00EC2A58">
      <w:pPr>
        <w:spacing w:after="0" w:line="240" w:lineRule="auto"/>
      </w:pPr>
      <w:r>
        <w:separator/>
      </w:r>
    </w:p>
  </w:endnote>
  <w:endnote w:type="continuationSeparator" w:id="0">
    <w:p w14:paraId="7CD3F5AC" w14:textId="77777777" w:rsidR="00D434A9" w:rsidRDefault="00D434A9"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26834470"/>
      <w:docPartObj>
        <w:docPartGallery w:val="Page Numbers (Bottom of Page)"/>
        <w:docPartUnique/>
      </w:docPartObj>
    </w:sdtPr>
    <w:sdtEndPr>
      <w:rPr>
        <w:noProof/>
      </w:rPr>
    </w:sdtEndPr>
    <w:sdtContent>
      <w:p w14:paraId="2047C386" w14:textId="77777777" w:rsidR="00121E4B" w:rsidRPr="00AC6C69" w:rsidRDefault="00121E4B" w:rsidP="00A415A9">
        <w:pPr>
          <w:pStyle w:val="Footer"/>
          <w:rPr>
            <w:sz w:val="18"/>
            <w:szCs w:val="18"/>
          </w:rPr>
        </w:pPr>
        <w:r w:rsidRPr="00AC6C69">
          <w:rPr>
            <w:sz w:val="18"/>
            <w:szCs w:val="18"/>
          </w:rPr>
          <w:fldChar w:fldCharType="begin"/>
        </w:r>
        <w:r w:rsidRPr="00AC6C69">
          <w:rPr>
            <w:sz w:val="18"/>
            <w:szCs w:val="18"/>
          </w:rPr>
          <w:instrText xml:space="preserve"> PAGE   \* MERGEFORMAT </w:instrText>
        </w:r>
        <w:r w:rsidRPr="00AC6C69">
          <w:rPr>
            <w:sz w:val="18"/>
            <w:szCs w:val="18"/>
          </w:rPr>
          <w:fldChar w:fldCharType="separate"/>
        </w:r>
        <w:r>
          <w:rPr>
            <w:noProof/>
            <w:sz w:val="18"/>
            <w:szCs w:val="18"/>
          </w:rPr>
          <w:t>6</w:t>
        </w:r>
        <w:r w:rsidRPr="00AC6C6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5ACF" w14:textId="77777777" w:rsidR="00D434A9" w:rsidRDefault="00D434A9" w:rsidP="00EC2A58">
      <w:pPr>
        <w:spacing w:after="0" w:line="240" w:lineRule="auto"/>
      </w:pPr>
      <w:r>
        <w:separator/>
      </w:r>
    </w:p>
  </w:footnote>
  <w:footnote w:type="continuationSeparator" w:id="0">
    <w:p w14:paraId="2923E16A" w14:textId="77777777" w:rsidR="00D434A9" w:rsidRDefault="00D434A9"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03855958" w:rsidR="00EC2A58" w:rsidRPr="00AF3AEC" w:rsidRDefault="00EC2A58" w:rsidP="0043389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left"/>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433898">
      <w:rPr>
        <w:rFonts w:eastAsia="Arial" w:cs="Arial"/>
        <w:i/>
        <w:sz w:val="18"/>
        <w:szCs w:val="18"/>
        <w:lang w:val="fr-FR"/>
      </w:rPr>
      <w:t>28.3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4230A159" w:rsidR="00EC2A58" w:rsidRPr="00232C39"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232C39" w:rsidRPr="00232C39">
      <w:rPr>
        <w:rFonts w:eastAsia="Arial" w:cs="Arial"/>
        <w:i/>
        <w:sz w:val="18"/>
        <w:szCs w:val="18"/>
        <w:lang w:val="fr-FR"/>
      </w:rPr>
      <w:t>28.3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5" w:name="_Hlk208560916"/>
    <w:bookmarkStart w:id="6"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B26D" w14:textId="77777777" w:rsidR="00121E4B" w:rsidRDefault="00121E4B" w:rsidP="00EE0B94">
    <w:pPr>
      <w:pStyle w:val="Header"/>
      <w:pBdr>
        <w:bottom w:val="single" w:sz="4" w:space="1" w:color="auto"/>
      </w:pBdr>
      <w:jc w:val="right"/>
      <w:rPr>
        <w:i/>
        <w:sz w:val="18"/>
        <w:szCs w:val="18"/>
        <w:lang w:val="fr-FR"/>
      </w:rPr>
    </w:pPr>
    <w:r>
      <w:rPr>
        <w:rFonts w:eastAsia="Times New Roman" w:cs="Arial"/>
        <w:i/>
        <w:sz w:val="18"/>
        <w:szCs w:val="18"/>
        <w:lang w:val="fr-FR"/>
      </w:rPr>
      <w:t>UNEP/CMS/COP15/Doc.28.3/Annexe</w:t>
    </w:r>
  </w:p>
  <w:p w14:paraId="1086FD55" w14:textId="77777777" w:rsidR="00121E4B" w:rsidRDefault="00121E4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C4F"/>
    <w:multiLevelType w:val="hybridMultilevel"/>
    <w:tmpl w:val="9562609A"/>
    <w:lvl w:ilvl="0" w:tplc="05D296B2">
      <w:start w:val="1"/>
      <w:numFmt w:val="decimal"/>
      <w:lvlText w:val="%1."/>
      <w:lvlJc w:val="left"/>
      <w:pPr>
        <w:ind w:left="720" w:hanging="360"/>
      </w:pPr>
      <w:rPr>
        <w:rFonts w:ascii="Arial" w:hAnsi="Arial" w:cs="Arial" w:hint="default"/>
        <w:b w:val="0"/>
        <w:bCs/>
        <w:i w:val="0"/>
        <w:iCs w:val="0"/>
        <w:sz w:val="22"/>
        <w:szCs w:val="22"/>
      </w:rPr>
    </w:lvl>
    <w:lvl w:ilvl="1" w:tplc="CD8E4BB8">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4EA19FF"/>
    <w:multiLevelType w:val="hybridMultilevel"/>
    <w:tmpl w:val="F22ADC3E"/>
    <w:lvl w:ilvl="0" w:tplc="CD0A8AEA">
      <w:start w:val="1"/>
      <w:numFmt w:val="decimal"/>
      <w:lvlText w:val="%1."/>
      <w:lvlJc w:val="left"/>
      <w:pPr>
        <w:ind w:left="360" w:hanging="360"/>
      </w:pPr>
      <w:rPr>
        <w:b w:val="0"/>
        <w:bCs w:val="0"/>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18A41FB"/>
    <w:multiLevelType w:val="hybridMultilevel"/>
    <w:tmpl w:val="DA0825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8A4751E"/>
    <w:multiLevelType w:val="hybridMultilevel"/>
    <w:tmpl w:val="F43AEE8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67365EBF"/>
    <w:multiLevelType w:val="hybridMultilevel"/>
    <w:tmpl w:val="35BCCBD4"/>
    <w:lvl w:ilvl="0" w:tplc="20000017">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15:restartNumberingAfterBreak="0">
    <w:nsid w:val="6D6F1067"/>
    <w:multiLevelType w:val="hybridMultilevel"/>
    <w:tmpl w:val="34CA8598"/>
    <w:lvl w:ilvl="0" w:tplc="9D24EBDE">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75B86ADE"/>
    <w:multiLevelType w:val="hybridMultilevel"/>
    <w:tmpl w:val="4A5E8D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78D67C75"/>
    <w:multiLevelType w:val="hybridMultilevel"/>
    <w:tmpl w:val="13842F0C"/>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num w:numId="1" w16cid:durableId="238902923">
    <w:abstractNumId w:val="5"/>
  </w:num>
  <w:num w:numId="2" w16cid:durableId="921914993">
    <w:abstractNumId w:val="0"/>
  </w:num>
  <w:num w:numId="3" w16cid:durableId="1756972736">
    <w:abstractNumId w:val="11"/>
  </w:num>
  <w:num w:numId="4" w16cid:durableId="110444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399074">
    <w:abstractNumId w:val="1"/>
  </w:num>
  <w:num w:numId="6" w16cid:durableId="1652127358">
    <w:abstractNumId w:val="9"/>
  </w:num>
  <w:num w:numId="7" w16cid:durableId="1114981727">
    <w:abstractNumId w:val="8"/>
  </w:num>
  <w:num w:numId="8" w16cid:durableId="246041622">
    <w:abstractNumId w:val="3"/>
  </w:num>
  <w:num w:numId="9" w16cid:durableId="1028220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2156164">
    <w:abstractNumId w:val="6"/>
  </w:num>
  <w:num w:numId="11" w16cid:durableId="925723762">
    <w:abstractNumId w:val="4"/>
  </w:num>
  <w:num w:numId="12" w16cid:durableId="2020620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7CB6"/>
    <w:rsid w:val="00012C9E"/>
    <w:rsid w:val="00016EFB"/>
    <w:rsid w:val="000434B7"/>
    <w:rsid w:val="00086EA8"/>
    <w:rsid w:val="000A2043"/>
    <w:rsid w:val="000B251A"/>
    <w:rsid w:val="000D2642"/>
    <w:rsid w:val="000E5A29"/>
    <w:rsid w:val="00116D09"/>
    <w:rsid w:val="00117293"/>
    <w:rsid w:val="00121E4B"/>
    <w:rsid w:val="00232C39"/>
    <w:rsid w:val="002C7556"/>
    <w:rsid w:val="003831DB"/>
    <w:rsid w:val="003A4AF5"/>
    <w:rsid w:val="003B1FDB"/>
    <w:rsid w:val="003D14B1"/>
    <w:rsid w:val="003E56FB"/>
    <w:rsid w:val="003E6307"/>
    <w:rsid w:val="00433898"/>
    <w:rsid w:val="004465FF"/>
    <w:rsid w:val="004731E6"/>
    <w:rsid w:val="00476FAE"/>
    <w:rsid w:val="004775C7"/>
    <w:rsid w:val="004A5079"/>
    <w:rsid w:val="005330F7"/>
    <w:rsid w:val="00545E35"/>
    <w:rsid w:val="00555EB1"/>
    <w:rsid w:val="00562C31"/>
    <w:rsid w:val="00563598"/>
    <w:rsid w:val="005B61A2"/>
    <w:rsid w:val="005C4E76"/>
    <w:rsid w:val="005D1E01"/>
    <w:rsid w:val="005F6562"/>
    <w:rsid w:val="006307F6"/>
    <w:rsid w:val="00670778"/>
    <w:rsid w:val="00683AB7"/>
    <w:rsid w:val="006B0D91"/>
    <w:rsid w:val="006B4B0D"/>
    <w:rsid w:val="006E2A41"/>
    <w:rsid w:val="007032C1"/>
    <w:rsid w:val="0071181A"/>
    <w:rsid w:val="007C0105"/>
    <w:rsid w:val="00833D03"/>
    <w:rsid w:val="0083494C"/>
    <w:rsid w:val="008639F4"/>
    <w:rsid w:val="00870459"/>
    <w:rsid w:val="00871276"/>
    <w:rsid w:val="00896FBB"/>
    <w:rsid w:val="008E55E9"/>
    <w:rsid w:val="0092738C"/>
    <w:rsid w:val="00957E7E"/>
    <w:rsid w:val="00981584"/>
    <w:rsid w:val="009C22BF"/>
    <w:rsid w:val="009D5591"/>
    <w:rsid w:val="009F7C93"/>
    <w:rsid w:val="00A677DC"/>
    <w:rsid w:val="00A8521C"/>
    <w:rsid w:val="00A95195"/>
    <w:rsid w:val="00AF3AEC"/>
    <w:rsid w:val="00AF5E1A"/>
    <w:rsid w:val="00B302DE"/>
    <w:rsid w:val="00B50402"/>
    <w:rsid w:val="00B53FD4"/>
    <w:rsid w:val="00BA33FE"/>
    <w:rsid w:val="00C7547E"/>
    <w:rsid w:val="00CB4AC9"/>
    <w:rsid w:val="00CC3446"/>
    <w:rsid w:val="00CE34A0"/>
    <w:rsid w:val="00D434A9"/>
    <w:rsid w:val="00D44990"/>
    <w:rsid w:val="00D46E1D"/>
    <w:rsid w:val="00D66A06"/>
    <w:rsid w:val="00D835F7"/>
    <w:rsid w:val="00D96ED0"/>
    <w:rsid w:val="00DD01C0"/>
    <w:rsid w:val="00E167FD"/>
    <w:rsid w:val="00E30B62"/>
    <w:rsid w:val="00E62DE2"/>
    <w:rsid w:val="00E65072"/>
    <w:rsid w:val="00E84420"/>
    <w:rsid w:val="00EA6F65"/>
    <w:rsid w:val="00EA7860"/>
    <w:rsid w:val="00EC2A58"/>
    <w:rsid w:val="00EC5079"/>
    <w:rsid w:val="00EE0B94"/>
    <w:rsid w:val="00EE166A"/>
    <w:rsid w:val="00EE7472"/>
    <w:rsid w:val="00F65EC5"/>
    <w:rsid w:val="00F935F6"/>
    <w:rsid w:val="00FC4F18"/>
    <w:rsid w:val="00FD4A27"/>
    <w:rsid w:val="00FE691F"/>
    <w:rsid w:val="00FF0AEC"/>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20" w:line="254"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33898"/>
    <w:pPr>
      <w:keepNext/>
      <w:keepLines/>
      <w:autoSpaceDN w:val="0"/>
      <w:spacing w:after="0"/>
      <w:textAlignment w:val="baseline"/>
      <w:outlineLvl w:val="1"/>
    </w:pPr>
    <w:rPr>
      <w:rFonts w:eastAsiaTheme="majorEastAsia" w:cstheme="majorBidi"/>
      <w:b/>
      <w:kern w:val="2"/>
      <w:sz w:val="20"/>
      <w:szCs w:val="3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Hyperlink">
    <w:name w:val="Hyperlink"/>
    <w:basedOn w:val="DefaultParagraphFont"/>
    <w:uiPriority w:val="99"/>
    <w:unhideWhenUsed/>
    <w:rsid w:val="00433898"/>
    <w:rPr>
      <w:color w:val="0563C1" w:themeColor="hyperlink"/>
      <w:u w:val="single"/>
    </w:rPr>
  </w:style>
  <w:style w:type="character" w:styleId="UnresolvedMention">
    <w:name w:val="Unresolved Mention"/>
    <w:basedOn w:val="DefaultParagraphFont"/>
    <w:uiPriority w:val="99"/>
    <w:semiHidden/>
    <w:unhideWhenUsed/>
    <w:rsid w:val="00433898"/>
    <w:rPr>
      <w:color w:val="605E5C"/>
      <w:shd w:val="clear" w:color="auto" w:fill="E1DFDD"/>
    </w:rPr>
  </w:style>
  <w:style w:type="character" w:customStyle="1" w:styleId="ListParagraphChar">
    <w:name w:val="List Paragraph Char"/>
    <w:basedOn w:val="DefaultParagraphFont"/>
    <w:link w:val="ListParagraph"/>
    <w:uiPriority w:val="34"/>
    <w:rsid w:val="00433898"/>
  </w:style>
  <w:style w:type="character" w:customStyle="1" w:styleId="Heading2Char">
    <w:name w:val="Heading 2 Char"/>
    <w:basedOn w:val="DefaultParagraphFont"/>
    <w:link w:val="Heading2"/>
    <w:uiPriority w:val="9"/>
    <w:rsid w:val="00433898"/>
    <w:rPr>
      <w:rFonts w:eastAsiaTheme="majorEastAsia" w:cstheme="majorBidi"/>
      <w:b/>
      <w:kern w:val="2"/>
      <w:sz w:val="20"/>
      <w:szCs w:val="32"/>
      <w:lang w:val="hr-HR"/>
      <w14:ligatures w14:val="standardContextual"/>
    </w:rPr>
  </w:style>
  <w:style w:type="paragraph" w:styleId="NormalWeb">
    <w:name w:val="Normal (Web)"/>
    <w:basedOn w:val="Normal"/>
    <w:uiPriority w:val="99"/>
    <w:semiHidden/>
    <w:unhideWhenUsed/>
    <w:rsid w:val="00CC3446"/>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032C1"/>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7032C1"/>
    <w:rPr>
      <w:sz w:val="20"/>
      <w:szCs w:val="20"/>
    </w:rPr>
  </w:style>
  <w:style w:type="character" w:styleId="FootnoteReference">
    <w:name w:val="footnote reference"/>
    <w:basedOn w:val="DefaultParagraphFont"/>
    <w:uiPriority w:val="99"/>
    <w:unhideWhenUsed/>
    <w:rsid w:val="007032C1"/>
    <w:rPr>
      <w:vertAlign w:val="superscript"/>
    </w:rPr>
  </w:style>
  <w:style w:type="paragraph" w:customStyle="1" w:styleId="Secondnumbering">
    <w:name w:val="Second numbering"/>
    <w:basedOn w:val="Normal"/>
    <w:link w:val="SecondnumberingChar"/>
    <w:qFormat/>
    <w:rsid w:val="00B50402"/>
    <w:pPr>
      <w:numPr>
        <w:numId w:val="9"/>
      </w:numPr>
      <w:spacing w:after="0" w:line="240" w:lineRule="auto"/>
      <w:jc w:val="left"/>
    </w:pPr>
    <w:rPr>
      <w:lang w:val="en-GB"/>
    </w:rPr>
  </w:style>
  <w:style w:type="character" w:customStyle="1" w:styleId="SecondnumberingChar">
    <w:name w:val="Second numbering Char"/>
    <w:basedOn w:val="DefaultParagraphFont"/>
    <w:link w:val="Secondnumbering"/>
    <w:rsid w:val="00B50402"/>
    <w:rPr>
      <w:lang w:val="en-GB"/>
    </w:rPr>
  </w:style>
  <w:style w:type="paragraph" w:styleId="NoSpacing">
    <w:name w:val="No Spacing"/>
    <w:uiPriority w:val="1"/>
    <w:qFormat/>
    <w:rsid w:val="00B50402"/>
    <w:pPr>
      <w:spacing w:after="0" w:line="240" w:lineRule="auto"/>
      <w:jc w:val="left"/>
    </w:pPr>
  </w:style>
  <w:style w:type="character" w:styleId="FollowedHyperlink">
    <w:name w:val="FollowedHyperlink"/>
    <w:basedOn w:val="DefaultParagraphFont"/>
    <w:uiPriority w:val="99"/>
    <w:semiHidden/>
    <w:unhideWhenUsed/>
    <w:rsid w:val="00683A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boundarycms.app/" TargetMode="External"/><Relationship Id="rId18" Type="http://schemas.openxmlformats.org/officeDocument/2006/relationships/hyperlink" Target="https://www.transboundarycms.ap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ms.int/sites/default/files/document/cms_scc-sc7_report_f.pdf" TargetMode="External"/><Relationship Id="rId7" Type="http://schemas.openxmlformats.org/officeDocument/2006/relationships/settings" Target="settings.xml"/><Relationship Id="rId12" Type="http://schemas.openxmlformats.org/officeDocument/2006/relationships/hyperlink" Target="https://www.transboundarycms.app/" TargetMode="External"/><Relationship Id="rId17" Type="http://schemas.openxmlformats.org/officeDocument/2006/relationships/hyperlink" Target="https://www.cms.int/sites/default/files/document/cms_cop14_doc.30.2.2_rev2_transfrontier-conservation-area_f.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ms.int/en/document/trans-frontier-conservation-areas" TargetMode="External"/><Relationship Id="rId20" Type="http://schemas.openxmlformats.org/officeDocument/2006/relationships/hyperlink" Target="https://aquatic-warbler.cms.int/sites/default/files/document/cms_scc-sc7_doc.6.1.3_transfrontier-conservation-areas_f.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adc.int/sites/default/files/2021-08/Wildlife_Conservation.pdf"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forms.office.com/e/wgwVTNU94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ecological-connectivity"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14A41-6321-4CDC-A9F3-0C764D692BA0}"/>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50</cp:revision>
  <dcterms:created xsi:type="dcterms:W3CDTF">2025-09-24T08:01:00Z</dcterms:created>
  <dcterms:modified xsi:type="dcterms:W3CDTF">2025-09-29T08:51:00Z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