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E907C6" w14:paraId="35EEA24B"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E907C6"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bookmarkStart w:id="0" w:name="_Hlk209532339"/>
            <w:r w:rsidRPr="00E907C6">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E907C6"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E907C6">
              <w:rPr>
                <w:rFonts w:eastAsia="Times New Roman" w:cs="Arial"/>
                <w:b/>
                <w:sz w:val="32"/>
                <w:szCs w:val="32"/>
                <w:lang w:val="en-GB"/>
              </w:rPr>
              <w:t>CONVENTION ON</w:t>
            </w:r>
          </w:p>
          <w:p w14:paraId="7B8C75A2" w14:textId="77777777" w:rsidR="002E0DE9" w:rsidRPr="00E907C6"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E907C6">
              <w:rPr>
                <w:rFonts w:eastAsia="Times New Roman" w:cs="Arial"/>
                <w:b/>
                <w:sz w:val="32"/>
                <w:szCs w:val="32"/>
                <w:lang w:val="en-GB"/>
              </w:rPr>
              <w:t>MIGRATORY</w:t>
            </w:r>
          </w:p>
          <w:p w14:paraId="5689BF36" w14:textId="77777777" w:rsidR="002E0DE9" w:rsidRPr="00E907C6"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E907C6">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1F4C1DC6" w:rsidR="002E0DE9" w:rsidRPr="00E907C6"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E907C6">
              <w:rPr>
                <w:rFonts w:eastAsia="Times New Roman" w:cs="Arial"/>
                <w:lang w:val="en-GB"/>
              </w:rPr>
              <w:t>UNEP/CMS/COP1</w:t>
            </w:r>
            <w:r w:rsidR="006A689A" w:rsidRPr="00E907C6">
              <w:rPr>
                <w:rFonts w:eastAsia="Times New Roman" w:cs="Arial"/>
                <w:lang w:val="en-GB"/>
              </w:rPr>
              <w:t>5</w:t>
            </w:r>
            <w:r w:rsidRPr="00E907C6">
              <w:rPr>
                <w:rFonts w:eastAsia="Times New Roman" w:cs="Arial"/>
                <w:lang w:val="en-GB"/>
              </w:rPr>
              <w:t>/</w:t>
            </w:r>
            <w:r w:rsidR="006A7DC4" w:rsidRPr="00E907C6">
              <w:rPr>
                <w:rFonts w:eastAsia="Times New Roman" w:cs="Arial"/>
                <w:lang w:val="en-GB"/>
              </w:rPr>
              <w:t>Doc.</w:t>
            </w:r>
            <w:r w:rsidR="00402EA6" w:rsidRPr="00E907C6">
              <w:rPr>
                <w:rFonts w:eastAsia="Times New Roman" w:cs="Arial"/>
                <w:lang w:val="en-GB"/>
              </w:rPr>
              <w:t>28.3</w:t>
            </w:r>
          </w:p>
          <w:p w14:paraId="1FCC85D7" w14:textId="3CF7E5DC" w:rsidR="002E0DE9" w:rsidRPr="00E907C6" w:rsidRDefault="0008572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sidRPr="00E907C6">
              <w:rPr>
                <w:rFonts w:eastAsia="Times New Roman" w:cs="Arial"/>
                <w:lang w:val="en-GB"/>
              </w:rPr>
              <w:t>22 September</w:t>
            </w:r>
            <w:r w:rsidR="005E031D" w:rsidRPr="00E907C6">
              <w:rPr>
                <w:rFonts w:eastAsia="Times New Roman" w:cs="Arial"/>
                <w:lang w:val="en-GB"/>
              </w:rPr>
              <w:t xml:space="preserve"> </w:t>
            </w:r>
            <w:r w:rsidR="002E0DE9" w:rsidRPr="00E907C6">
              <w:rPr>
                <w:rFonts w:eastAsia="Times New Roman" w:cs="Arial"/>
                <w:lang w:val="en-GB"/>
              </w:rPr>
              <w:t>20</w:t>
            </w:r>
            <w:r w:rsidR="00842B75" w:rsidRPr="00E907C6">
              <w:rPr>
                <w:rFonts w:eastAsia="Times New Roman" w:cs="Arial"/>
                <w:lang w:val="en-GB"/>
              </w:rPr>
              <w:t>2</w:t>
            </w:r>
            <w:r w:rsidR="00D61BE5" w:rsidRPr="00E907C6">
              <w:rPr>
                <w:rFonts w:eastAsia="Times New Roman" w:cs="Arial"/>
                <w:lang w:val="en-GB"/>
              </w:rPr>
              <w:t>5</w:t>
            </w:r>
          </w:p>
          <w:p w14:paraId="04374ECB" w14:textId="77777777" w:rsidR="002E0DE9" w:rsidRPr="00E907C6"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E907C6">
              <w:rPr>
                <w:rFonts w:eastAsia="Times New Roman" w:cs="Arial"/>
                <w:lang w:val="en-GB"/>
              </w:rPr>
              <w:t>Original: English</w:t>
            </w:r>
          </w:p>
          <w:p w14:paraId="58D67260" w14:textId="77777777" w:rsidR="002E0DE9" w:rsidRPr="00E907C6"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E907C6"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E907C6"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E907C6">
        <w:rPr>
          <w:rFonts w:eastAsia="Times New Roman" w:cs="Arial"/>
          <w:lang w:val="en-GB"/>
        </w:rPr>
        <w:t>1</w:t>
      </w:r>
      <w:r w:rsidR="006A689A" w:rsidRPr="00E907C6">
        <w:rPr>
          <w:rFonts w:eastAsia="Times New Roman" w:cs="Arial"/>
          <w:lang w:val="en-GB"/>
        </w:rPr>
        <w:t>5</w:t>
      </w:r>
      <w:r w:rsidRPr="00E907C6">
        <w:rPr>
          <w:rFonts w:eastAsia="Times New Roman" w:cs="Arial"/>
          <w:vertAlign w:val="superscript"/>
          <w:lang w:val="en-GB"/>
        </w:rPr>
        <w:t>th</w:t>
      </w:r>
      <w:r w:rsidRPr="00E907C6">
        <w:rPr>
          <w:rFonts w:eastAsia="Times New Roman" w:cs="Arial"/>
          <w:lang w:val="en-GB"/>
        </w:rPr>
        <w:t xml:space="preserve"> MEETING OF THE CONFERENCE OF THE PARTIES</w:t>
      </w:r>
    </w:p>
    <w:p w14:paraId="1053F937" w14:textId="57B6BD01" w:rsidR="002E0DE9" w:rsidRPr="00E907C6"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E907C6">
        <w:rPr>
          <w:rFonts w:eastAsia="Times New Roman" w:cs="Arial"/>
          <w:bCs/>
          <w:lang w:val="en-GB"/>
        </w:rPr>
        <w:t>Campo Grande, Brazil</w:t>
      </w:r>
      <w:r w:rsidR="008E7441" w:rsidRPr="00E907C6">
        <w:rPr>
          <w:rFonts w:eastAsia="Times New Roman" w:cs="Arial"/>
          <w:bCs/>
          <w:lang w:val="en-GB"/>
        </w:rPr>
        <w:t>, 23 to 29 March 2026</w:t>
      </w:r>
    </w:p>
    <w:p w14:paraId="008C6855" w14:textId="76EC3B1C"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E907C6">
        <w:rPr>
          <w:rFonts w:eastAsia="Times New Roman" w:cs="Arial"/>
          <w:iCs/>
          <w:lang w:val="en-GB"/>
        </w:rPr>
        <w:t xml:space="preserve">Agenda Item </w:t>
      </w:r>
      <w:r w:rsidR="00402EA6" w:rsidRPr="00E907C6">
        <w:rPr>
          <w:rFonts w:eastAsia="Times New Roman" w:cs="Arial"/>
          <w:iCs/>
          <w:lang w:val="en-GB"/>
        </w:rPr>
        <w:t>28.3</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1B42DF7" w14:textId="021BF3E6" w:rsidR="00081045" w:rsidRPr="00081045" w:rsidRDefault="00D51E59" w:rsidP="005E031D">
      <w:pPr>
        <w:widowControl w:val="0"/>
        <w:suppressAutoHyphens/>
        <w:autoSpaceDE w:val="0"/>
        <w:autoSpaceDN w:val="0"/>
        <w:spacing w:after="120" w:line="240" w:lineRule="auto"/>
        <w:jc w:val="center"/>
        <w:textAlignment w:val="baseline"/>
        <w:rPr>
          <w:rFonts w:eastAsia="Times New Roman" w:cs="Arial"/>
          <w:b/>
          <w:bCs/>
          <w:lang w:val="en-GB"/>
        </w:rPr>
      </w:pPr>
      <w:r>
        <w:rPr>
          <w:rFonts w:eastAsia="Times New Roman" w:cs="Arial"/>
          <w:b/>
          <w:bCs/>
          <w:lang w:val="en-GB"/>
        </w:rPr>
        <w:t>TRANSFRONTIER CONSERVATION AREAS FOR MIGRATORY SPECIES</w:t>
      </w:r>
    </w:p>
    <w:p w14:paraId="22A41750" w14:textId="4D5A96A9"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E907C6"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E907C6">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1C357076">
                <wp:simplePos x="0" y="0"/>
                <wp:positionH relativeFrom="margin">
                  <wp:posOffset>895350</wp:posOffset>
                </wp:positionH>
                <wp:positionV relativeFrom="margin">
                  <wp:posOffset>2657475</wp:posOffset>
                </wp:positionV>
                <wp:extent cx="4219575" cy="2286000"/>
                <wp:effectExtent l="0" t="0" r="28575" b="19050"/>
                <wp:wrapSquare wrapText="bothSides"/>
                <wp:docPr id="5" name="Text Box 5"/>
                <wp:cNvGraphicFramePr/>
                <a:graphic xmlns:a="http://schemas.openxmlformats.org/drawingml/2006/main">
                  <a:graphicData uri="http://schemas.microsoft.com/office/word/2010/wordprocessingShape">
                    <wps:wsp>
                      <wps:cNvSpPr txBox="1"/>
                      <wps:spPr>
                        <a:xfrm>
                          <a:off x="0" y="0"/>
                          <a:ext cx="4219575" cy="2286000"/>
                        </a:xfrm>
                        <a:prstGeom prst="rect">
                          <a:avLst/>
                        </a:prstGeom>
                        <a:solidFill>
                          <a:srgbClr val="FFFFFF"/>
                        </a:solidFill>
                        <a:ln w="3172">
                          <a:solidFill>
                            <a:srgbClr val="000000"/>
                          </a:solidFill>
                          <a:prstDash val="solid"/>
                        </a:ln>
                      </wps:spPr>
                      <wps:txbx>
                        <w:txbxContent>
                          <w:p w14:paraId="1AB47360" w14:textId="77777777" w:rsidR="002E0DE9" w:rsidRDefault="002E0DE9" w:rsidP="00440C65">
                            <w:pPr>
                              <w:spacing w:after="0"/>
                              <w:rPr>
                                <w:rFonts w:cs="Arial"/>
                              </w:rPr>
                            </w:pPr>
                            <w:r>
                              <w:rPr>
                                <w:rFonts w:cs="Arial"/>
                              </w:rPr>
                              <w:t>Summary:</w:t>
                            </w:r>
                          </w:p>
                          <w:p w14:paraId="17BAE7D8" w14:textId="77777777" w:rsidR="00440C65" w:rsidRPr="00E907C6" w:rsidRDefault="00440C65" w:rsidP="00440C65">
                            <w:pPr>
                              <w:spacing w:after="0" w:line="240" w:lineRule="auto"/>
                              <w:jc w:val="both"/>
                              <w:rPr>
                                <w:rFonts w:cs="Arial"/>
                              </w:rPr>
                            </w:pPr>
                          </w:p>
                          <w:p w14:paraId="785D0542" w14:textId="58D7F5E9" w:rsidR="00440C65" w:rsidRPr="00E907C6" w:rsidRDefault="00440C65" w:rsidP="004B2D45">
                            <w:pPr>
                              <w:spacing w:after="0" w:line="240" w:lineRule="auto"/>
                              <w:jc w:val="both"/>
                              <w:rPr>
                                <w:rFonts w:cs="Arial"/>
                              </w:rPr>
                            </w:pPr>
                            <w:r w:rsidRPr="00E907C6">
                              <w:rPr>
                                <w:rFonts w:cs="Arial"/>
                              </w:rPr>
                              <w:t>This document reports on progress to implement Decision</w:t>
                            </w:r>
                            <w:r w:rsidR="00314DFC" w:rsidRPr="00E907C6">
                              <w:rPr>
                                <w:rFonts w:cs="Arial"/>
                              </w:rPr>
                              <w:t xml:space="preserve">s </w:t>
                            </w:r>
                            <w:r w:rsidR="00217024" w:rsidRPr="00E907C6">
                              <w:rPr>
                                <w:rFonts w:cs="Arial"/>
                              </w:rPr>
                              <w:t>14.197</w:t>
                            </w:r>
                            <w:r w:rsidR="007C1E00" w:rsidRPr="00E907C6">
                              <w:rPr>
                                <w:rFonts w:cs="Arial"/>
                                <w:iCs/>
                              </w:rPr>
                              <w:t>–</w:t>
                            </w:r>
                            <w:r w:rsidR="00314DFC" w:rsidRPr="00E907C6">
                              <w:rPr>
                                <w:rFonts w:cs="Arial"/>
                              </w:rPr>
                              <w:t xml:space="preserve">14.199 </w:t>
                            </w:r>
                            <w:r w:rsidR="000426ED" w:rsidRPr="00E907C6">
                              <w:rPr>
                                <w:rFonts w:cs="Arial"/>
                                <w:i/>
                                <w:iCs/>
                              </w:rPr>
                              <w:t>Transfrontier Conservation Areas for Migratory Species</w:t>
                            </w:r>
                            <w:r w:rsidR="00834F74" w:rsidRPr="00E907C6">
                              <w:rPr>
                                <w:rFonts w:cs="Arial"/>
                              </w:rPr>
                              <w:t xml:space="preserve">. It </w:t>
                            </w:r>
                            <w:r w:rsidRPr="00E907C6">
                              <w:rPr>
                                <w:rFonts w:cs="Arial"/>
                              </w:rPr>
                              <w:t>propos</w:t>
                            </w:r>
                            <w:r w:rsidR="00834F74" w:rsidRPr="00E907C6">
                              <w:rPr>
                                <w:rFonts w:cs="Arial"/>
                              </w:rPr>
                              <w:t>es</w:t>
                            </w:r>
                            <w:r w:rsidRPr="00E907C6">
                              <w:rPr>
                                <w:rFonts w:cs="Arial"/>
                              </w:rPr>
                              <w:t xml:space="preserve"> the adoption </w:t>
                            </w:r>
                            <w:r w:rsidR="00C26A06" w:rsidRPr="00E907C6">
                              <w:rPr>
                                <w:rFonts w:cs="Arial"/>
                              </w:rPr>
                              <w:t xml:space="preserve">of new </w:t>
                            </w:r>
                            <w:r w:rsidR="00E7193C" w:rsidRPr="00E907C6">
                              <w:rPr>
                                <w:rFonts w:cs="Arial"/>
                              </w:rPr>
                              <w:t xml:space="preserve">Decisions </w:t>
                            </w:r>
                            <w:r w:rsidR="00F60DAB" w:rsidRPr="00E907C6">
                              <w:rPr>
                                <w:rFonts w:cs="Arial"/>
                              </w:rPr>
                              <w:t xml:space="preserve">and </w:t>
                            </w:r>
                            <w:r w:rsidR="005C0D77" w:rsidRPr="00E907C6">
                              <w:rPr>
                                <w:rFonts w:cs="Arial"/>
                              </w:rPr>
                              <w:t xml:space="preserve">the </w:t>
                            </w:r>
                            <w:r w:rsidR="00F60DAB" w:rsidRPr="00E907C6">
                              <w:rPr>
                                <w:rFonts w:cs="Arial"/>
                              </w:rPr>
                              <w:t xml:space="preserve">deletion </w:t>
                            </w:r>
                            <w:r w:rsidRPr="00E907C6">
                              <w:rPr>
                                <w:rFonts w:cs="Arial"/>
                              </w:rPr>
                              <w:t xml:space="preserve">of </w:t>
                            </w:r>
                            <w:r w:rsidR="00695141" w:rsidRPr="00E907C6">
                              <w:rPr>
                                <w:rFonts w:cs="Arial"/>
                              </w:rPr>
                              <w:t>Decisions</w:t>
                            </w:r>
                            <w:r w:rsidR="00C26A06" w:rsidRPr="00E907C6">
                              <w:rPr>
                                <w:rFonts w:cs="Arial"/>
                              </w:rPr>
                              <w:t xml:space="preserve"> 14.197</w:t>
                            </w:r>
                            <w:r w:rsidR="007C1E00" w:rsidRPr="00E907C6">
                              <w:rPr>
                                <w:rFonts w:cs="Arial"/>
                                <w:iCs/>
                              </w:rPr>
                              <w:t>–</w:t>
                            </w:r>
                            <w:r w:rsidR="00C26A06" w:rsidRPr="00E907C6">
                              <w:rPr>
                                <w:rFonts w:cs="Arial"/>
                              </w:rPr>
                              <w:t>14.199</w:t>
                            </w:r>
                            <w:r w:rsidRPr="00E907C6">
                              <w:rPr>
                                <w:rFonts w:cs="Arial"/>
                              </w:rPr>
                              <w:t xml:space="preserve">. </w:t>
                            </w:r>
                            <w:r w:rsidR="00695152" w:rsidRPr="00E907C6">
                              <w:rPr>
                                <w:rFonts w:cs="Arial"/>
                              </w:rPr>
                              <w:t>It also</w:t>
                            </w:r>
                            <w:r w:rsidRPr="00E907C6">
                              <w:rPr>
                                <w:rFonts w:cs="Arial"/>
                              </w:rPr>
                              <w:t xml:space="preserve"> proposes </w:t>
                            </w:r>
                            <w:r w:rsidR="00126CA7" w:rsidRPr="00E907C6">
                              <w:rPr>
                                <w:rFonts w:cs="Arial"/>
                              </w:rPr>
                              <w:t xml:space="preserve">consultations, including a </w:t>
                            </w:r>
                            <w:r w:rsidR="00126CA7" w:rsidRPr="00E907C6">
                              <w:rPr>
                                <w:rFonts w:cs="Arial"/>
                                <w:color w:val="212121"/>
                              </w:rPr>
                              <w:t>cost benefit analys</w:t>
                            </w:r>
                            <w:r w:rsidR="00497378" w:rsidRPr="00E907C6">
                              <w:rPr>
                                <w:rFonts w:cs="Arial"/>
                                <w:color w:val="212121"/>
                              </w:rPr>
                              <w:t>i</w:t>
                            </w:r>
                            <w:r w:rsidR="00126CA7" w:rsidRPr="00E907C6">
                              <w:rPr>
                                <w:rFonts w:cs="Arial"/>
                                <w:color w:val="212121"/>
                              </w:rPr>
                              <w:t>s</w:t>
                            </w:r>
                            <w:r w:rsidR="003D5615" w:rsidRPr="00E907C6">
                              <w:rPr>
                                <w:rFonts w:cs="Arial"/>
                              </w:rPr>
                              <w:t>,</w:t>
                            </w:r>
                            <w:r w:rsidR="00126CA7" w:rsidRPr="00E907C6">
                              <w:rPr>
                                <w:rFonts w:cs="Arial"/>
                              </w:rPr>
                              <w:t xml:space="preserve"> </w:t>
                            </w:r>
                            <w:r w:rsidR="003D5615" w:rsidRPr="00E907C6">
                              <w:rPr>
                                <w:rFonts w:cs="Arial"/>
                              </w:rPr>
                              <w:t>on</w:t>
                            </w:r>
                            <w:r w:rsidR="00126CA7" w:rsidRPr="00E907C6">
                              <w:rPr>
                                <w:rFonts w:cs="Arial"/>
                              </w:rPr>
                              <w:t xml:space="preserve"> the </w:t>
                            </w:r>
                            <w:r w:rsidR="00E069A6" w:rsidRPr="00E907C6">
                              <w:rPr>
                                <w:rFonts w:cs="Arial"/>
                              </w:rPr>
                              <w:t>t</w:t>
                            </w:r>
                            <w:r w:rsidR="00126CA7" w:rsidRPr="00E907C6">
                              <w:rPr>
                                <w:rFonts w:cs="Arial"/>
                              </w:rPr>
                              <w:t>ool</w:t>
                            </w:r>
                            <w:r w:rsidR="00E06E28" w:rsidRPr="00E907C6">
                              <w:rPr>
                                <w:rFonts w:cs="Arial"/>
                              </w:rPr>
                              <w:t xml:space="preserve"> for</w:t>
                            </w:r>
                            <w:r w:rsidR="00E069A6" w:rsidRPr="00E907C6">
                              <w:rPr>
                                <w:rFonts w:cs="Arial"/>
                              </w:rPr>
                              <w:t xml:space="preserve"> </w:t>
                            </w:r>
                            <w:hyperlink r:id="rId12" w:history="1">
                              <w:r w:rsidR="008D175E" w:rsidRPr="00E907C6">
                                <w:rPr>
                                  <w:rStyle w:val="Hyperlink"/>
                                  <w:rFonts w:cs="Arial"/>
                                  <w:i/>
                                  <w:iCs/>
                                  <w:color w:val="auto"/>
                                  <w:u w:val="none"/>
                                </w:rPr>
                                <w:t>Identifying opportunities for transboundary conservation</w:t>
                              </w:r>
                            </w:hyperlink>
                            <w:r w:rsidR="00497378" w:rsidRPr="00E907C6">
                              <w:rPr>
                                <w:rFonts w:cs="Arial"/>
                              </w:rPr>
                              <w:t>.</w:t>
                            </w:r>
                            <w:r w:rsidRPr="00E907C6">
                              <w:rPr>
                                <w:rFonts w:cs="Arial"/>
                              </w:rPr>
                              <w:t xml:space="preserve"> </w:t>
                            </w:r>
                            <w:r w:rsidR="00BA485A" w:rsidRPr="00E907C6">
                              <w:rPr>
                                <w:rFonts w:cs="Arial"/>
                              </w:rPr>
                              <w:t xml:space="preserve"> </w:t>
                            </w:r>
                          </w:p>
                          <w:p w14:paraId="239FB33C" w14:textId="77777777" w:rsidR="00440C65" w:rsidRPr="00E907C6" w:rsidRDefault="00440C65" w:rsidP="004B2D45">
                            <w:pPr>
                              <w:spacing w:after="0" w:line="240" w:lineRule="auto"/>
                              <w:jc w:val="both"/>
                              <w:rPr>
                                <w:rFonts w:cs="Arial"/>
                              </w:rPr>
                            </w:pPr>
                          </w:p>
                          <w:p w14:paraId="0EB033B4" w14:textId="1C068CB1" w:rsidR="00440C65" w:rsidRPr="00E907C6" w:rsidRDefault="00440C65" w:rsidP="00E907C6">
                            <w:pPr>
                              <w:spacing w:after="0" w:line="240" w:lineRule="auto"/>
                              <w:jc w:val="both"/>
                              <w:rPr>
                                <w:rFonts w:cs="Arial"/>
                                <w:iCs/>
                              </w:rPr>
                            </w:pPr>
                            <w:r w:rsidRPr="00E907C6">
                              <w:rPr>
                                <w:rFonts w:cs="Arial"/>
                                <w:iCs/>
                              </w:rPr>
                              <w:t xml:space="preserve">The attached draft Decisions would support the achievement of Targets </w:t>
                            </w:r>
                            <w:r w:rsidR="00536AFC" w:rsidRPr="00E907C6">
                              <w:rPr>
                                <w:rFonts w:cs="Arial"/>
                                <w:iCs/>
                              </w:rPr>
                              <w:t>2.1</w:t>
                            </w:r>
                            <w:r w:rsidR="0081380D" w:rsidRPr="00E907C6">
                              <w:rPr>
                                <w:rFonts w:cs="Arial"/>
                                <w:iCs/>
                              </w:rPr>
                              <w:t>, 2.3</w:t>
                            </w:r>
                            <w:r w:rsidR="004C5D09" w:rsidRPr="00E907C6">
                              <w:rPr>
                                <w:rFonts w:cs="Arial"/>
                                <w:iCs/>
                              </w:rPr>
                              <w:t>, 3.2</w:t>
                            </w:r>
                            <w:r w:rsidR="006B6FB8" w:rsidRPr="00E907C6">
                              <w:rPr>
                                <w:rFonts w:cs="Arial"/>
                                <w:iCs/>
                              </w:rPr>
                              <w:t>,</w:t>
                            </w:r>
                            <w:r w:rsidR="004C5D09" w:rsidRPr="00E907C6">
                              <w:rPr>
                                <w:rFonts w:cs="Arial"/>
                                <w:iCs/>
                              </w:rPr>
                              <w:t xml:space="preserve"> </w:t>
                            </w:r>
                            <w:r w:rsidR="00240D02" w:rsidRPr="00E907C6">
                              <w:rPr>
                                <w:rFonts w:cs="Arial"/>
                                <w:iCs/>
                              </w:rPr>
                              <w:t>4.1, 4.2</w:t>
                            </w:r>
                            <w:r w:rsidR="00A8351A" w:rsidRPr="00E907C6">
                              <w:rPr>
                                <w:rFonts w:cs="Arial"/>
                                <w:iCs/>
                              </w:rPr>
                              <w:t xml:space="preserve"> and 5.3</w:t>
                            </w:r>
                            <w:r w:rsidR="0081380D" w:rsidRPr="00E907C6">
                              <w:rPr>
                                <w:rFonts w:cs="Arial"/>
                                <w:iCs/>
                              </w:rPr>
                              <w:t xml:space="preserve"> </w:t>
                            </w:r>
                            <w:r w:rsidRPr="00E907C6">
                              <w:rPr>
                                <w:rFonts w:cs="Arial"/>
                                <w:iCs/>
                              </w:rPr>
                              <w:t>of the Samarkand Strategic Plan for Migratory Species 2024–2032</w:t>
                            </w:r>
                            <w:r w:rsidR="00F36BD7" w:rsidRPr="00E907C6">
                              <w:rPr>
                                <w:rFonts w:cs="Arial"/>
                                <w:iCs/>
                              </w:rPr>
                              <w:t>.</w:t>
                            </w:r>
                          </w:p>
                          <w:p w14:paraId="12338272" w14:textId="77777777" w:rsidR="002E0DE9" w:rsidRPr="00440C65" w:rsidRDefault="002E0DE9" w:rsidP="00F75474">
                            <w:pPr>
                              <w:spacing w:after="0"/>
                              <w:jc w:val="both"/>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25pt;width:332.25pt;height:18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" strokeweight=".08811mm">
                <v:textbox>
                  <w:txbxContent>
                    <w:p w14:paraId="1AB47360" w14:textId="77777777" w:rsidR="002E0DE9" w:rsidRDefault="002E0DE9" w:rsidP="00440C65">
                      <w:pPr>
                        <w:spacing w:after="0"/>
                        <w:rPr>
                          <w:rFonts w:cs="Arial"/>
                        </w:rPr>
                      </w:pPr>
                      <w:r>
                        <w:rPr>
                          <w:rFonts w:cs="Arial"/>
                        </w:rPr>
                        <w:t>Summary:</w:t>
                      </w:r>
                    </w:p>
                    <w:p w14:paraId="17BAE7D8" w14:textId="77777777" w:rsidR="00440C65" w:rsidRPr="00E907C6" w:rsidRDefault="00440C65" w:rsidP="00440C65">
                      <w:pPr>
                        <w:spacing w:after="0" w:line="240" w:lineRule="auto"/>
                        <w:jc w:val="both"/>
                        <w:rPr>
                          <w:rFonts w:cs="Arial"/>
                        </w:rPr>
                      </w:pPr>
                    </w:p>
                    <w:p w14:paraId="785D0542" w14:textId="58D7F5E9" w:rsidR="00440C65" w:rsidRPr="00E907C6" w:rsidRDefault="00440C65" w:rsidP="004B2D45">
                      <w:pPr>
                        <w:spacing w:after="0" w:line="240" w:lineRule="auto"/>
                        <w:jc w:val="both"/>
                        <w:rPr>
                          <w:rFonts w:cs="Arial"/>
                        </w:rPr>
                      </w:pPr>
                      <w:r w:rsidRPr="00E907C6">
                        <w:rPr>
                          <w:rFonts w:cs="Arial"/>
                        </w:rPr>
                        <w:t>This document reports on progress to implement Decision</w:t>
                      </w:r>
                      <w:r w:rsidR="00314DFC" w:rsidRPr="00E907C6">
                        <w:rPr>
                          <w:rFonts w:cs="Arial"/>
                        </w:rPr>
                        <w:t xml:space="preserve">s </w:t>
                      </w:r>
                      <w:r w:rsidR="00217024" w:rsidRPr="00E907C6">
                        <w:rPr>
                          <w:rFonts w:cs="Arial"/>
                        </w:rPr>
                        <w:t>14.197</w:t>
                      </w:r>
                      <w:r w:rsidR="007C1E00" w:rsidRPr="00E907C6">
                        <w:rPr>
                          <w:rFonts w:cs="Arial"/>
                          <w:iCs/>
                        </w:rPr>
                        <w:t>–</w:t>
                      </w:r>
                      <w:r w:rsidR="00314DFC" w:rsidRPr="00E907C6">
                        <w:rPr>
                          <w:rFonts w:cs="Arial"/>
                        </w:rPr>
                        <w:t xml:space="preserve">14.199 </w:t>
                      </w:r>
                      <w:r w:rsidR="000426ED" w:rsidRPr="00E907C6">
                        <w:rPr>
                          <w:rFonts w:cs="Arial"/>
                          <w:i/>
                          <w:iCs/>
                        </w:rPr>
                        <w:t>Transfrontier Conservation Areas for Migratory Species</w:t>
                      </w:r>
                      <w:r w:rsidR="00834F74" w:rsidRPr="00E907C6">
                        <w:rPr>
                          <w:rFonts w:cs="Arial"/>
                        </w:rPr>
                        <w:t xml:space="preserve">. It </w:t>
                      </w:r>
                      <w:r w:rsidRPr="00E907C6">
                        <w:rPr>
                          <w:rFonts w:cs="Arial"/>
                        </w:rPr>
                        <w:t>propos</w:t>
                      </w:r>
                      <w:r w:rsidR="00834F74" w:rsidRPr="00E907C6">
                        <w:rPr>
                          <w:rFonts w:cs="Arial"/>
                        </w:rPr>
                        <w:t>es</w:t>
                      </w:r>
                      <w:r w:rsidRPr="00E907C6">
                        <w:rPr>
                          <w:rFonts w:cs="Arial"/>
                        </w:rPr>
                        <w:t xml:space="preserve"> the adoption </w:t>
                      </w:r>
                      <w:r w:rsidR="00C26A06" w:rsidRPr="00E907C6">
                        <w:rPr>
                          <w:rFonts w:cs="Arial"/>
                        </w:rPr>
                        <w:t xml:space="preserve">of new </w:t>
                      </w:r>
                      <w:r w:rsidR="00E7193C" w:rsidRPr="00E907C6">
                        <w:rPr>
                          <w:rFonts w:cs="Arial"/>
                        </w:rPr>
                        <w:t xml:space="preserve">Decisions </w:t>
                      </w:r>
                      <w:r w:rsidR="00F60DAB" w:rsidRPr="00E907C6">
                        <w:rPr>
                          <w:rFonts w:cs="Arial"/>
                        </w:rPr>
                        <w:t xml:space="preserve">and </w:t>
                      </w:r>
                      <w:r w:rsidR="005C0D77" w:rsidRPr="00E907C6">
                        <w:rPr>
                          <w:rFonts w:cs="Arial"/>
                        </w:rPr>
                        <w:t xml:space="preserve">the </w:t>
                      </w:r>
                      <w:r w:rsidR="00F60DAB" w:rsidRPr="00E907C6">
                        <w:rPr>
                          <w:rFonts w:cs="Arial"/>
                        </w:rPr>
                        <w:t xml:space="preserve">deletion </w:t>
                      </w:r>
                      <w:r w:rsidRPr="00E907C6">
                        <w:rPr>
                          <w:rFonts w:cs="Arial"/>
                        </w:rPr>
                        <w:t xml:space="preserve">of </w:t>
                      </w:r>
                      <w:r w:rsidR="00695141" w:rsidRPr="00E907C6">
                        <w:rPr>
                          <w:rFonts w:cs="Arial"/>
                        </w:rPr>
                        <w:t>Decisions</w:t>
                      </w:r>
                      <w:r w:rsidR="00C26A06" w:rsidRPr="00E907C6">
                        <w:rPr>
                          <w:rFonts w:cs="Arial"/>
                        </w:rPr>
                        <w:t xml:space="preserve"> 14.197</w:t>
                      </w:r>
                      <w:r w:rsidR="007C1E00" w:rsidRPr="00E907C6">
                        <w:rPr>
                          <w:rFonts w:cs="Arial"/>
                          <w:iCs/>
                        </w:rPr>
                        <w:t>–</w:t>
                      </w:r>
                      <w:r w:rsidR="00C26A06" w:rsidRPr="00E907C6">
                        <w:rPr>
                          <w:rFonts w:cs="Arial"/>
                        </w:rPr>
                        <w:t>14.199</w:t>
                      </w:r>
                      <w:r w:rsidRPr="00E907C6">
                        <w:rPr>
                          <w:rFonts w:cs="Arial"/>
                        </w:rPr>
                        <w:t xml:space="preserve">. </w:t>
                      </w:r>
                      <w:r w:rsidR="00695152" w:rsidRPr="00E907C6">
                        <w:rPr>
                          <w:rFonts w:cs="Arial"/>
                        </w:rPr>
                        <w:t>It also</w:t>
                      </w:r>
                      <w:r w:rsidRPr="00E907C6">
                        <w:rPr>
                          <w:rFonts w:cs="Arial"/>
                        </w:rPr>
                        <w:t xml:space="preserve"> proposes </w:t>
                      </w:r>
                      <w:r w:rsidR="00126CA7" w:rsidRPr="00E907C6">
                        <w:rPr>
                          <w:rFonts w:cs="Arial"/>
                        </w:rPr>
                        <w:t xml:space="preserve">consultations, including a </w:t>
                      </w:r>
                      <w:r w:rsidR="00126CA7" w:rsidRPr="00E907C6">
                        <w:rPr>
                          <w:rFonts w:cs="Arial"/>
                          <w:color w:val="212121"/>
                        </w:rPr>
                        <w:t>cost benefit analys</w:t>
                      </w:r>
                      <w:r w:rsidR="00497378" w:rsidRPr="00E907C6">
                        <w:rPr>
                          <w:rFonts w:cs="Arial"/>
                          <w:color w:val="212121"/>
                        </w:rPr>
                        <w:t>i</w:t>
                      </w:r>
                      <w:r w:rsidR="00126CA7" w:rsidRPr="00E907C6">
                        <w:rPr>
                          <w:rFonts w:cs="Arial"/>
                          <w:color w:val="212121"/>
                        </w:rPr>
                        <w:t>s</w:t>
                      </w:r>
                      <w:r w:rsidR="003D5615" w:rsidRPr="00E907C6">
                        <w:rPr>
                          <w:rFonts w:cs="Arial"/>
                        </w:rPr>
                        <w:t>,</w:t>
                      </w:r>
                      <w:r w:rsidR="00126CA7" w:rsidRPr="00E907C6">
                        <w:rPr>
                          <w:rFonts w:cs="Arial"/>
                        </w:rPr>
                        <w:t xml:space="preserve"> </w:t>
                      </w:r>
                      <w:r w:rsidR="003D5615" w:rsidRPr="00E907C6">
                        <w:rPr>
                          <w:rFonts w:cs="Arial"/>
                        </w:rPr>
                        <w:t>on</w:t>
                      </w:r>
                      <w:r w:rsidR="00126CA7" w:rsidRPr="00E907C6">
                        <w:rPr>
                          <w:rFonts w:cs="Arial"/>
                        </w:rPr>
                        <w:t xml:space="preserve"> the </w:t>
                      </w:r>
                      <w:r w:rsidR="00E069A6" w:rsidRPr="00E907C6">
                        <w:rPr>
                          <w:rFonts w:cs="Arial"/>
                        </w:rPr>
                        <w:t>t</w:t>
                      </w:r>
                      <w:r w:rsidR="00126CA7" w:rsidRPr="00E907C6">
                        <w:rPr>
                          <w:rFonts w:cs="Arial"/>
                        </w:rPr>
                        <w:t>ool</w:t>
                      </w:r>
                      <w:r w:rsidR="00E06E28" w:rsidRPr="00E907C6">
                        <w:rPr>
                          <w:rFonts w:cs="Arial"/>
                        </w:rPr>
                        <w:t xml:space="preserve"> for</w:t>
                      </w:r>
                      <w:r w:rsidR="00E069A6" w:rsidRPr="00E907C6">
                        <w:rPr>
                          <w:rFonts w:cs="Arial"/>
                        </w:rPr>
                        <w:t xml:space="preserve"> </w:t>
                      </w:r>
                      <w:hyperlink r:id="rId13" w:history="1">
                        <w:r w:rsidR="008D175E" w:rsidRPr="00E907C6">
                          <w:rPr>
                            <w:rStyle w:val="Hyperlink"/>
                            <w:rFonts w:cs="Arial"/>
                            <w:i/>
                            <w:iCs/>
                            <w:color w:val="auto"/>
                            <w:u w:val="none"/>
                          </w:rPr>
                          <w:t>Identifying opportunities for transboundary conservation</w:t>
                        </w:r>
                      </w:hyperlink>
                      <w:r w:rsidR="00497378" w:rsidRPr="00E907C6">
                        <w:rPr>
                          <w:rFonts w:cs="Arial"/>
                        </w:rPr>
                        <w:t>.</w:t>
                      </w:r>
                      <w:r w:rsidRPr="00E907C6">
                        <w:rPr>
                          <w:rFonts w:cs="Arial"/>
                        </w:rPr>
                        <w:t xml:space="preserve"> </w:t>
                      </w:r>
                      <w:r w:rsidR="00BA485A" w:rsidRPr="00E907C6">
                        <w:rPr>
                          <w:rFonts w:cs="Arial"/>
                        </w:rPr>
                        <w:t xml:space="preserve"> </w:t>
                      </w:r>
                    </w:p>
                    <w:p w14:paraId="239FB33C" w14:textId="77777777" w:rsidR="00440C65" w:rsidRPr="00E907C6" w:rsidRDefault="00440C65" w:rsidP="004B2D45">
                      <w:pPr>
                        <w:spacing w:after="0" w:line="240" w:lineRule="auto"/>
                        <w:jc w:val="both"/>
                        <w:rPr>
                          <w:rFonts w:cs="Arial"/>
                        </w:rPr>
                      </w:pPr>
                    </w:p>
                    <w:p w14:paraId="0EB033B4" w14:textId="1C068CB1" w:rsidR="00440C65" w:rsidRPr="00E907C6" w:rsidRDefault="00440C65" w:rsidP="00E907C6">
                      <w:pPr>
                        <w:spacing w:after="0" w:line="240" w:lineRule="auto"/>
                        <w:jc w:val="both"/>
                        <w:rPr>
                          <w:rFonts w:cs="Arial"/>
                          <w:iCs/>
                        </w:rPr>
                      </w:pPr>
                      <w:r w:rsidRPr="00E907C6">
                        <w:rPr>
                          <w:rFonts w:cs="Arial"/>
                          <w:iCs/>
                        </w:rPr>
                        <w:t xml:space="preserve">The attached draft Decisions would support the achievement of Targets </w:t>
                      </w:r>
                      <w:r w:rsidR="00536AFC" w:rsidRPr="00E907C6">
                        <w:rPr>
                          <w:rFonts w:cs="Arial"/>
                          <w:iCs/>
                        </w:rPr>
                        <w:t>2.1</w:t>
                      </w:r>
                      <w:r w:rsidR="0081380D" w:rsidRPr="00E907C6">
                        <w:rPr>
                          <w:rFonts w:cs="Arial"/>
                          <w:iCs/>
                        </w:rPr>
                        <w:t>, 2.3</w:t>
                      </w:r>
                      <w:r w:rsidR="004C5D09" w:rsidRPr="00E907C6">
                        <w:rPr>
                          <w:rFonts w:cs="Arial"/>
                          <w:iCs/>
                        </w:rPr>
                        <w:t>, 3.2</w:t>
                      </w:r>
                      <w:r w:rsidR="006B6FB8" w:rsidRPr="00E907C6">
                        <w:rPr>
                          <w:rFonts w:cs="Arial"/>
                          <w:iCs/>
                        </w:rPr>
                        <w:t>,</w:t>
                      </w:r>
                      <w:r w:rsidR="004C5D09" w:rsidRPr="00E907C6">
                        <w:rPr>
                          <w:rFonts w:cs="Arial"/>
                          <w:iCs/>
                        </w:rPr>
                        <w:t xml:space="preserve"> </w:t>
                      </w:r>
                      <w:r w:rsidR="00240D02" w:rsidRPr="00E907C6">
                        <w:rPr>
                          <w:rFonts w:cs="Arial"/>
                          <w:iCs/>
                        </w:rPr>
                        <w:t>4.1, 4.2</w:t>
                      </w:r>
                      <w:r w:rsidR="00A8351A" w:rsidRPr="00E907C6">
                        <w:rPr>
                          <w:rFonts w:cs="Arial"/>
                          <w:iCs/>
                        </w:rPr>
                        <w:t xml:space="preserve"> and 5.3</w:t>
                      </w:r>
                      <w:r w:rsidR="0081380D" w:rsidRPr="00E907C6">
                        <w:rPr>
                          <w:rFonts w:cs="Arial"/>
                          <w:iCs/>
                        </w:rPr>
                        <w:t xml:space="preserve"> </w:t>
                      </w:r>
                      <w:r w:rsidRPr="00E907C6">
                        <w:rPr>
                          <w:rFonts w:cs="Arial"/>
                          <w:iCs/>
                        </w:rPr>
                        <w:t>of the Samarkand Strategic Plan for Migratory Species 2024–2032</w:t>
                      </w:r>
                      <w:r w:rsidR="00F36BD7" w:rsidRPr="00E907C6">
                        <w:rPr>
                          <w:rFonts w:cs="Arial"/>
                          <w:iCs/>
                        </w:rPr>
                        <w:t>.</w:t>
                      </w:r>
                    </w:p>
                    <w:p w14:paraId="12338272" w14:textId="77777777" w:rsidR="002E0DE9" w:rsidRPr="00440C65" w:rsidRDefault="002E0DE9" w:rsidP="00F75474">
                      <w:pPr>
                        <w:spacing w:after="0"/>
                        <w:jc w:val="both"/>
                        <w:rPr>
                          <w:rFonts w:cs="Arial"/>
                        </w:rPr>
                      </w:pPr>
                    </w:p>
                  </w:txbxContent>
                </v:textbox>
                <w10:wrap type="square" anchorx="margin" anchory="margin"/>
              </v:shape>
            </w:pict>
          </mc:Fallback>
        </mc:AlternateContent>
      </w:r>
    </w:p>
    <w:p w14:paraId="6236BDED" w14:textId="77777777" w:rsidR="002E0DE9" w:rsidRPr="00E907C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E907C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E907C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E907C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E907C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E907C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E907C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E907C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E907C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E907C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E907C6"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E907C6"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E907C6"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3876D47C" w14:textId="77777777" w:rsidR="00B96F31" w:rsidRPr="00081045" w:rsidRDefault="00B96F31" w:rsidP="00852DB3">
      <w:pPr>
        <w:widowControl w:val="0"/>
        <w:suppressAutoHyphens/>
        <w:autoSpaceDE w:val="0"/>
        <w:autoSpaceDN w:val="0"/>
        <w:spacing w:after="0" w:line="240" w:lineRule="auto"/>
        <w:jc w:val="center"/>
        <w:textAlignment w:val="baseline"/>
        <w:rPr>
          <w:rFonts w:eastAsia="Times New Roman" w:cs="Arial"/>
          <w:b/>
          <w:bCs/>
          <w:lang w:val="en-GB"/>
        </w:rPr>
      </w:pPr>
      <w:r>
        <w:rPr>
          <w:rFonts w:eastAsia="Times New Roman" w:cs="Arial"/>
          <w:b/>
          <w:bCs/>
          <w:lang w:val="en-GB"/>
        </w:rPr>
        <w:lastRenderedPageBreak/>
        <w:t>TRANSFRONTIER CONSERVATION AREAS FOR MIGRATORY SPECIES</w:t>
      </w:r>
    </w:p>
    <w:p w14:paraId="0D10C3B4" w14:textId="57308E5B" w:rsidR="006A7DC4" w:rsidRDefault="006A7DC4" w:rsidP="00852DB3">
      <w:pPr>
        <w:spacing w:after="0" w:line="240" w:lineRule="auto"/>
        <w:jc w:val="both"/>
        <w:rPr>
          <w:lang w:val="en-GB"/>
        </w:rPr>
      </w:pPr>
    </w:p>
    <w:p w14:paraId="291D7923" w14:textId="77777777" w:rsidR="00A415A9" w:rsidRPr="008C3A4A" w:rsidRDefault="00A415A9" w:rsidP="00852DB3">
      <w:pPr>
        <w:spacing w:after="0" w:line="240" w:lineRule="auto"/>
        <w:jc w:val="both"/>
        <w:rPr>
          <w:lang w:val="en-GB"/>
        </w:rPr>
      </w:pPr>
    </w:p>
    <w:p w14:paraId="6225A979" w14:textId="77777777" w:rsidR="00D00AA8" w:rsidRPr="00D40C2F" w:rsidRDefault="00D00AA8" w:rsidP="00852DB3">
      <w:pPr>
        <w:suppressAutoHyphens/>
        <w:autoSpaceDN w:val="0"/>
        <w:spacing w:after="0" w:line="240" w:lineRule="auto"/>
        <w:jc w:val="both"/>
        <w:textAlignment w:val="baseline"/>
        <w:rPr>
          <w:rFonts w:eastAsia="Calibri" w:cs="Arial"/>
          <w:u w:val="single"/>
          <w:lang w:val="en-GB"/>
        </w:rPr>
      </w:pPr>
      <w:r w:rsidRPr="00D40C2F">
        <w:rPr>
          <w:rFonts w:eastAsia="Calibri" w:cs="Arial"/>
          <w:u w:val="single"/>
          <w:lang w:val="en-GB"/>
        </w:rPr>
        <w:t>Background</w:t>
      </w:r>
    </w:p>
    <w:p w14:paraId="59E362E5" w14:textId="77777777" w:rsidR="00D00AA8" w:rsidRPr="00D40C2F" w:rsidRDefault="00D00AA8" w:rsidP="00852DB3">
      <w:pPr>
        <w:widowControl w:val="0"/>
        <w:autoSpaceDE w:val="0"/>
        <w:autoSpaceDN w:val="0"/>
        <w:adjustRightInd w:val="0"/>
        <w:spacing w:after="0" w:line="240" w:lineRule="auto"/>
        <w:jc w:val="both"/>
        <w:rPr>
          <w:rFonts w:cs="Arial"/>
          <w:lang w:val="en-GB"/>
        </w:rPr>
      </w:pPr>
    </w:p>
    <w:p w14:paraId="14681CD2" w14:textId="6D902E24" w:rsidR="00656806" w:rsidRPr="00B83B6A" w:rsidRDefault="0007119B" w:rsidP="00852DB3">
      <w:pPr>
        <w:pStyle w:val="ListParagraph"/>
        <w:numPr>
          <w:ilvl w:val="0"/>
          <w:numId w:val="12"/>
        </w:numPr>
        <w:spacing w:after="0" w:line="240" w:lineRule="auto"/>
        <w:ind w:left="567" w:hanging="567"/>
        <w:contextualSpacing w:val="0"/>
        <w:jc w:val="both"/>
        <w:rPr>
          <w:rFonts w:cs="Arial"/>
          <w:lang w:val="en-GB"/>
        </w:rPr>
      </w:pPr>
      <w:r w:rsidRPr="00B83B6A">
        <w:rPr>
          <w:rFonts w:cs="Arial"/>
        </w:rPr>
        <w:t xml:space="preserve">The concept of Transfrontier Conservation Areas (TFCAs) was included in </w:t>
      </w:r>
      <w:hyperlink r:id="rId14" w:history="1">
        <w:r w:rsidR="00656806" w:rsidRPr="003E45C4">
          <w:rPr>
            <w:rStyle w:val="Hyperlink"/>
            <w:rFonts w:cs="Arial"/>
            <w:lang w:val="en-GB"/>
          </w:rPr>
          <w:t>Resolution 14.16</w:t>
        </w:r>
      </w:hyperlink>
      <w:r w:rsidR="00656806" w:rsidRPr="003E45C4">
        <w:rPr>
          <w:rFonts w:cs="Arial"/>
          <w:lang w:val="en-GB"/>
        </w:rPr>
        <w:t xml:space="preserve"> </w:t>
      </w:r>
      <w:r w:rsidR="00656806" w:rsidRPr="003E45C4">
        <w:rPr>
          <w:rFonts w:cs="Arial"/>
          <w:i/>
          <w:iCs/>
          <w:lang w:val="en-GB"/>
        </w:rPr>
        <w:t>Ecological Connectivity</w:t>
      </w:r>
      <w:r w:rsidRPr="00B83B6A">
        <w:rPr>
          <w:rFonts w:cs="Arial"/>
        </w:rPr>
        <w:t>, and described (in paragraph 1</w:t>
      </w:r>
      <w:r w:rsidR="000E2D5D" w:rsidRPr="00B83B6A">
        <w:rPr>
          <w:rFonts w:cs="Arial"/>
        </w:rPr>
        <w:t>8</w:t>
      </w:r>
      <w:r w:rsidRPr="00B83B6A">
        <w:rPr>
          <w:rFonts w:cs="Arial"/>
        </w:rPr>
        <w:t xml:space="preserve">) as “an area or component of a large ecological region that straddles the boundaries of two or more countries and is within their national jurisdiction, which may encompass one or more protected areas, as well as multiple resource use areas”. The concept of TFCAs was initially defined by the members of the Southern African Development Community (SADC) in their </w:t>
      </w:r>
      <w:hyperlink r:id="rId15" w:history="1">
        <w:r w:rsidRPr="00B83B6A">
          <w:rPr>
            <w:rStyle w:val="Hyperlink"/>
            <w:rFonts w:cs="Arial"/>
          </w:rPr>
          <w:t>Protocol on Wildlife Conservation and Law Enforcement</w:t>
        </w:r>
      </w:hyperlink>
      <w:r w:rsidRPr="00B83B6A">
        <w:rPr>
          <w:rFonts w:cs="Arial"/>
        </w:rPr>
        <w:t xml:space="preserve"> of 1999. The establishment of TFCAs has since become the focus of conservation in Southern Africa and provides an example for other regions on the continent.</w:t>
      </w:r>
      <w:r w:rsidR="00025900" w:rsidRPr="00B83B6A">
        <w:rPr>
          <w:rFonts w:cs="Arial"/>
        </w:rPr>
        <w:t xml:space="preserve"> At </w:t>
      </w:r>
      <w:r w:rsidR="00025900" w:rsidRPr="00B83B6A">
        <w:rPr>
          <w:rFonts w:cs="Arial"/>
          <w:lang w:val="en-GB"/>
        </w:rPr>
        <w:t>its 14</w:t>
      </w:r>
      <w:r w:rsidR="00025900" w:rsidRPr="00B83B6A">
        <w:rPr>
          <w:rFonts w:cs="Arial"/>
          <w:vertAlign w:val="superscript"/>
          <w:lang w:val="en-GB"/>
        </w:rPr>
        <w:t>th</w:t>
      </w:r>
      <w:r w:rsidR="00025900" w:rsidRPr="00B83B6A">
        <w:rPr>
          <w:rFonts w:cs="Arial"/>
          <w:lang w:val="en-GB"/>
        </w:rPr>
        <w:t xml:space="preserve"> meeting, the Conference of the Parties (</w:t>
      </w:r>
      <w:r w:rsidR="00025900" w:rsidRPr="00B83B6A">
        <w:rPr>
          <w:rFonts w:eastAsia="Times New Roman" w:cs="Arial"/>
          <w:snapToGrid w:val="0"/>
          <w:color w:val="000000"/>
          <w:kern w:val="2"/>
          <w:lang w:val="en-GB"/>
        </w:rPr>
        <w:t xml:space="preserve">COP14) adopted Decisions 14.197–14.199 </w:t>
      </w:r>
      <w:r w:rsidR="00CA4CD6" w:rsidRPr="00B83B6A">
        <w:rPr>
          <w:rFonts w:eastAsia="Times New Roman" w:cs="Arial"/>
          <w:i/>
          <w:iCs/>
          <w:snapToGrid w:val="0"/>
          <w:color w:val="000000"/>
          <w:kern w:val="2"/>
          <w:lang w:val="en-GB"/>
        </w:rPr>
        <w:t>Transfrontier Conservation Areas</w:t>
      </w:r>
      <w:r w:rsidR="00CA4CD6" w:rsidRPr="00B83B6A">
        <w:rPr>
          <w:rFonts w:eastAsia="Times New Roman" w:cs="Arial"/>
          <w:snapToGrid w:val="0"/>
          <w:color w:val="000000"/>
          <w:kern w:val="2"/>
          <w:lang w:val="en-GB"/>
        </w:rPr>
        <w:t xml:space="preserve"> to </w:t>
      </w:r>
      <w:r w:rsidR="00B47C74" w:rsidRPr="00B83B6A">
        <w:rPr>
          <w:rFonts w:eastAsia="Times New Roman" w:cs="Arial"/>
          <w:snapToGrid w:val="0"/>
          <w:color w:val="000000"/>
          <w:kern w:val="2"/>
          <w:lang w:val="en-GB"/>
        </w:rPr>
        <w:t>support Parties in implementing this approach</w:t>
      </w:r>
      <w:r w:rsidR="004E0DAF" w:rsidRPr="00B83B6A">
        <w:rPr>
          <w:rFonts w:eastAsia="Times New Roman" w:cs="Arial"/>
          <w:snapToGrid w:val="0"/>
          <w:color w:val="000000"/>
          <w:kern w:val="2"/>
          <w:lang w:val="en-GB"/>
        </w:rPr>
        <w:t>:</w:t>
      </w:r>
    </w:p>
    <w:p w14:paraId="5802016C" w14:textId="77777777" w:rsidR="00BA33B2" w:rsidRDefault="00BA33B2" w:rsidP="00852DB3">
      <w:pPr>
        <w:pStyle w:val="ListParagraph"/>
        <w:spacing w:after="0" w:line="240" w:lineRule="auto"/>
        <w:ind w:left="426"/>
        <w:contextualSpacing w:val="0"/>
        <w:jc w:val="both"/>
        <w:rPr>
          <w:rFonts w:eastAsia="Times New Roman" w:cs="Arial"/>
          <w:snapToGrid w:val="0"/>
          <w:color w:val="000000"/>
          <w:kern w:val="2"/>
        </w:rPr>
      </w:pPr>
    </w:p>
    <w:p w14:paraId="1D51693C" w14:textId="5BD5123F" w:rsidR="00BC2151" w:rsidRPr="00BB47E8" w:rsidRDefault="00BC2151" w:rsidP="00B83B6A">
      <w:pPr>
        <w:pStyle w:val="ListParagraph"/>
        <w:spacing w:after="0" w:line="240" w:lineRule="auto"/>
        <w:ind w:left="851"/>
        <w:contextualSpacing w:val="0"/>
        <w:jc w:val="both"/>
        <w:rPr>
          <w:rFonts w:eastAsia="Times New Roman" w:cs="Arial"/>
          <w:b/>
          <w:bCs/>
          <w:i/>
          <w:iCs/>
          <w:snapToGrid w:val="0"/>
          <w:color w:val="000000"/>
          <w:kern w:val="2"/>
          <w:sz w:val="20"/>
          <w:szCs w:val="20"/>
        </w:rPr>
      </w:pPr>
      <w:r w:rsidRPr="00BB47E8">
        <w:rPr>
          <w:rFonts w:eastAsia="Times New Roman" w:cs="Arial"/>
          <w:b/>
          <w:bCs/>
          <w:i/>
          <w:iCs/>
          <w:snapToGrid w:val="0"/>
          <w:color w:val="000000"/>
          <w:kern w:val="2"/>
          <w:sz w:val="20"/>
          <w:szCs w:val="20"/>
        </w:rPr>
        <w:t>14.197</w:t>
      </w:r>
      <w:r w:rsidR="00080C76" w:rsidRPr="00BB47E8">
        <w:rPr>
          <w:rFonts w:eastAsia="Times New Roman" w:cs="Arial"/>
          <w:b/>
          <w:bCs/>
          <w:i/>
          <w:iCs/>
          <w:snapToGrid w:val="0"/>
          <w:color w:val="000000"/>
          <w:kern w:val="2"/>
          <w:sz w:val="20"/>
          <w:szCs w:val="20"/>
        </w:rPr>
        <w:t xml:space="preserve"> Directed to Parties</w:t>
      </w:r>
    </w:p>
    <w:p w14:paraId="573EDE10" w14:textId="77777777" w:rsidR="00BC2151" w:rsidRPr="00BB1EC0" w:rsidRDefault="00BC2151" w:rsidP="00B83B6A">
      <w:pPr>
        <w:pStyle w:val="ListParagraph"/>
        <w:spacing w:after="0" w:line="240" w:lineRule="auto"/>
        <w:ind w:left="851"/>
        <w:contextualSpacing w:val="0"/>
        <w:jc w:val="both"/>
        <w:rPr>
          <w:rFonts w:eastAsia="Times New Roman" w:cs="Arial"/>
          <w:snapToGrid w:val="0"/>
          <w:color w:val="000000"/>
          <w:kern w:val="2"/>
          <w:sz w:val="20"/>
          <w:szCs w:val="20"/>
        </w:rPr>
      </w:pPr>
    </w:p>
    <w:p w14:paraId="21D9FFA7" w14:textId="77777777" w:rsidR="00BC2151" w:rsidRPr="00BB1EC0" w:rsidRDefault="00BC2151" w:rsidP="00B83B6A">
      <w:pPr>
        <w:pStyle w:val="ListParagraph"/>
        <w:spacing w:after="0" w:line="240" w:lineRule="auto"/>
        <w:ind w:left="851"/>
        <w:contextualSpacing w:val="0"/>
        <w:jc w:val="both"/>
        <w:rPr>
          <w:rFonts w:eastAsia="Times New Roman" w:cs="Arial"/>
          <w:i/>
          <w:iCs/>
          <w:snapToGrid w:val="0"/>
          <w:color w:val="000000"/>
          <w:kern w:val="2"/>
          <w:sz w:val="20"/>
          <w:szCs w:val="20"/>
        </w:rPr>
      </w:pPr>
      <w:r w:rsidRPr="00BB1EC0">
        <w:rPr>
          <w:rFonts w:eastAsia="Times New Roman" w:cs="Arial"/>
          <w:i/>
          <w:iCs/>
          <w:snapToGrid w:val="0"/>
          <w:color w:val="000000"/>
          <w:kern w:val="2"/>
          <w:sz w:val="20"/>
          <w:szCs w:val="20"/>
        </w:rPr>
        <w:t>Parties that are members of the Southern African Development Community</w:t>
      </w:r>
      <w:r w:rsidRPr="00BB1EC0">
        <w:rPr>
          <w:rFonts w:eastAsia="Times New Roman" w:cs="Arial"/>
          <w:i/>
          <w:iCs/>
          <w:snapToGrid w:val="0"/>
          <w:color w:val="000000"/>
          <w:kern w:val="2"/>
          <w:sz w:val="20"/>
          <w:szCs w:val="20"/>
          <w:lang w:val="en-GB"/>
        </w:rPr>
        <w:t xml:space="preserve"> (SADC), the </w:t>
      </w:r>
      <w:r w:rsidRPr="00BB1EC0">
        <w:rPr>
          <w:rFonts w:eastAsia="Times New Roman" w:cs="Arial"/>
          <w:i/>
          <w:iCs/>
          <w:snapToGrid w:val="0"/>
          <w:color w:val="000000"/>
          <w:kern w:val="2"/>
          <w:sz w:val="20"/>
          <w:szCs w:val="20"/>
        </w:rPr>
        <w:t>Intergovernmental Authority on Development</w:t>
      </w:r>
      <w:r w:rsidRPr="00BB1EC0">
        <w:rPr>
          <w:rFonts w:eastAsia="Times New Roman" w:cs="Arial"/>
          <w:i/>
          <w:iCs/>
          <w:snapToGrid w:val="0"/>
          <w:color w:val="000000"/>
          <w:kern w:val="2"/>
          <w:sz w:val="20"/>
          <w:szCs w:val="20"/>
          <w:lang w:val="en-GB"/>
        </w:rPr>
        <w:t xml:space="preserve"> (IGAD) and the </w:t>
      </w:r>
      <w:r w:rsidRPr="00BB1EC0">
        <w:rPr>
          <w:rFonts w:eastAsia="Times New Roman" w:cs="Arial"/>
          <w:i/>
          <w:iCs/>
          <w:snapToGrid w:val="0"/>
          <w:color w:val="000000"/>
          <w:kern w:val="2"/>
          <w:sz w:val="20"/>
          <w:szCs w:val="20"/>
        </w:rPr>
        <w:t>East African Community</w:t>
      </w:r>
      <w:r w:rsidRPr="00BB1EC0">
        <w:rPr>
          <w:rFonts w:eastAsia="Times New Roman" w:cs="Arial"/>
          <w:i/>
          <w:iCs/>
          <w:snapToGrid w:val="0"/>
          <w:color w:val="000000"/>
          <w:kern w:val="2"/>
          <w:sz w:val="20"/>
          <w:szCs w:val="20"/>
          <w:lang w:val="en-GB"/>
        </w:rPr>
        <w:t xml:space="preserve"> (EAC) </w:t>
      </w:r>
      <w:r w:rsidRPr="00BB1EC0">
        <w:rPr>
          <w:rFonts w:eastAsia="Times New Roman" w:cs="Arial"/>
          <w:i/>
          <w:iCs/>
          <w:snapToGrid w:val="0"/>
          <w:color w:val="000000"/>
          <w:kern w:val="2"/>
          <w:sz w:val="20"/>
          <w:szCs w:val="20"/>
        </w:rPr>
        <w:t>are invited to:</w:t>
      </w:r>
    </w:p>
    <w:p w14:paraId="43317C77" w14:textId="77777777" w:rsidR="00BC2151" w:rsidRPr="00BB1EC0" w:rsidRDefault="00BC2151" w:rsidP="00852DB3">
      <w:pPr>
        <w:pStyle w:val="ListParagraph"/>
        <w:spacing w:after="0" w:line="240" w:lineRule="auto"/>
        <w:ind w:left="567"/>
        <w:contextualSpacing w:val="0"/>
        <w:jc w:val="both"/>
        <w:rPr>
          <w:rFonts w:eastAsia="Times New Roman" w:cs="Arial"/>
          <w:i/>
          <w:iCs/>
          <w:snapToGrid w:val="0"/>
          <w:color w:val="000000"/>
          <w:kern w:val="2"/>
          <w:sz w:val="20"/>
          <w:szCs w:val="20"/>
        </w:rPr>
      </w:pPr>
    </w:p>
    <w:p w14:paraId="5C80B00E" w14:textId="77777777" w:rsidR="00BC2151" w:rsidRPr="00BB1EC0" w:rsidRDefault="00BC2151" w:rsidP="00EE257E">
      <w:pPr>
        <w:pStyle w:val="ListParagraph"/>
        <w:numPr>
          <w:ilvl w:val="0"/>
          <w:numId w:val="16"/>
        </w:numPr>
        <w:spacing w:after="80" w:line="240" w:lineRule="auto"/>
        <w:ind w:left="1276" w:hanging="425"/>
        <w:contextualSpacing w:val="0"/>
        <w:jc w:val="both"/>
        <w:rPr>
          <w:rFonts w:eastAsia="Times New Roman" w:cs="Arial"/>
          <w:i/>
          <w:iCs/>
          <w:snapToGrid w:val="0"/>
          <w:color w:val="000000"/>
          <w:kern w:val="2"/>
          <w:sz w:val="20"/>
          <w:szCs w:val="20"/>
        </w:rPr>
      </w:pPr>
      <w:r w:rsidRPr="00BB1EC0">
        <w:rPr>
          <w:rFonts w:eastAsia="Times New Roman" w:cs="Arial"/>
          <w:i/>
          <w:iCs/>
          <w:snapToGrid w:val="0"/>
          <w:color w:val="000000"/>
          <w:kern w:val="2"/>
          <w:sz w:val="20"/>
          <w:szCs w:val="20"/>
        </w:rPr>
        <w:t>consider testing, as appropriate, the UNEP-WCMC pilot Transboundary tool (the ‘Tool’) to identify potential opportunities for transboundary conservation using data from the World Database on Protected Areas and the World Database on Key Biodiversity Areas; and</w:t>
      </w:r>
    </w:p>
    <w:p w14:paraId="1B02EA15" w14:textId="77777777" w:rsidR="00BC2151" w:rsidRPr="00BB1EC0" w:rsidRDefault="00BC2151" w:rsidP="00B83B6A">
      <w:pPr>
        <w:pStyle w:val="ListParagraph"/>
        <w:numPr>
          <w:ilvl w:val="0"/>
          <w:numId w:val="16"/>
        </w:numPr>
        <w:spacing w:after="0" w:line="240" w:lineRule="auto"/>
        <w:ind w:left="1276" w:hanging="425"/>
        <w:contextualSpacing w:val="0"/>
        <w:jc w:val="both"/>
        <w:rPr>
          <w:rFonts w:eastAsia="Times New Roman" w:cs="Arial"/>
          <w:i/>
          <w:iCs/>
          <w:snapToGrid w:val="0"/>
          <w:color w:val="000000"/>
          <w:kern w:val="2"/>
          <w:sz w:val="20"/>
          <w:szCs w:val="20"/>
        </w:rPr>
      </w:pPr>
      <w:r w:rsidRPr="00BB1EC0">
        <w:rPr>
          <w:rFonts w:eastAsia="Times New Roman" w:cs="Arial"/>
          <w:i/>
          <w:iCs/>
          <w:snapToGrid w:val="0"/>
          <w:color w:val="000000"/>
          <w:kern w:val="2"/>
          <w:sz w:val="20"/>
          <w:szCs w:val="20"/>
        </w:rPr>
        <w:t>consider reporting through the Secretariat to the Sessional Committee of the Scientific Council at its 7</w:t>
      </w:r>
      <w:r w:rsidRPr="00BB1EC0">
        <w:rPr>
          <w:rFonts w:eastAsia="Times New Roman" w:cs="Arial"/>
          <w:i/>
          <w:iCs/>
          <w:snapToGrid w:val="0"/>
          <w:color w:val="000000"/>
          <w:kern w:val="2"/>
          <w:sz w:val="20"/>
          <w:szCs w:val="20"/>
          <w:vertAlign w:val="superscript"/>
        </w:rPr>
        <w:t xml:space="preserve">th </w:t>
      </w:r>
      <w:r w:rsidRPr="00BB1EC0">
        <w:rPr>
          <w:rFonts w:eastAsia="Times New Roman" w:cs="Arial"/>
          <w:i/>
          <w:iCs/>
          <w:snapToGrid w:val="0"/>
          <w:color w:val="000000"/>
          <w:kern w:val="2"/>
          <w:sz w:val="20"/>
          <w:szCs w:val="20"/>
        </w:rPr>
        <w:t>and/or 8</w:t>
      </w:r>
      <w:r w:rsidRPr="00BB1EC0">
        <w:rPr>
          <w:rFonts w:eastAsia="Times New Roman" w:cs="Arial"/>
          <w:i/>
          <w:iCs/>
          <w:snapToGrid w:val="0"/>
          <w:color w:val="000000"/>
          <w:kern w:val="2"/>
          <w:sz w:val="20"/>
          <w:szCs w:val="20"/>
          <w:vertAlign w:val="superscript"/>
        </w:rPr>
        <w:t>th</w:t>
      </w:r>
      <w:r w:rsidRPr="00BB1EC0">
        <w:rPr>
          <w:rFonts w:eastAsia="Times New Roman" w:cs="Arial"/>
          <w:i/>
          <w:iCs/>
          <w:snapToGrid w:val="0"/>
          <w:color w:val="000000"/>
          <w:kern w:val="2"/>
          <w:sz w:val="20"/>
          <w:szCs w:val="20"/>
        </w:rPr>
        <w:t xml:space="preserve"> meeting on the potential opportunities for identifying transboundary conservation areas, as well as the functionality and usefulness of the Tool in supporting Parties to identify these.</w:t>
      </w:r>
    </w:p>
    <w:p w14:paraId="59DAE525" w14:textId="77777777" w:rsidR="00BC2151" w:rsidRPr="00BB1EC0" w:rsidRDefault="00BC2151" w:rsidP="00852DB3">
      <w:pPr>
        <w:pStyle w:val="ListParagraph"/>
        <w:spacing w:after="0" w:line="240" w:lineRule="auto"/>
        <w:ind w:left="567"/>
        <w:contextualSpacing w:val="0"/>
        <w:jc w:val="both"/>
        <w:rPr>
          <w:rFonts w:eastAsia="Times New Roman" w:cs="Arial"/>
          <w:snapToGrid w:val="0"/>
          <w:color w:val="000000"/>
          <w:kern w:val="2"/>
          <w:sz w:val="20"/>
          <w:szCs w:val="20"/>
        </w:rPr>
      </w:pPr>
    </w:p>
    <w:p w14:paraId="3D959B27" w14:textId="0234CF45" w:rsidR="00BC2151" w:rsidRPr="00BB47E8" w:rsidRDefault="00BC2151" w:rsidP="00EE257E">
      <w:pPr>
        <w:pStyle w:val="ListParagraph"/>
        <w:spacing w:after="0" w:line="240" w:lineRule="auto"/>
        <w:ind w:left="851"/>
        <w:contextualSpacing w:val="0"/>
        <w:jc w:val="both"/>
        <w:rPr>
          <w:rFonts w:eastAsia="Times New Roman" w:cs="Arial"/>
          <w:b/>
          <w:bCs/>
          <w:i/>
          <w:iCs/>
          <w:snapToGrid w:val="0"/>
          <w:color w:val="000000"/>
          <w:kern w:val="2"/>
          <w:sz w:val="20"/>
          <w:szCs w:val="20"/>
        </w:rPr>
      </w:pPr>
      <w:r w:rsidRPr="00BB47E8">
        <w:rPr>
          <w:rFonts w:eastAsia="Times New Roman" w:cs="Arial"/>
          <w:b/>
          <w:bCs/>
          <w:i/>
          <w:iCs/>
          <w:snapToGrid w:val="0"/>
          <w:color w:val="000000"/>
          <w:kern w:val="2"/>
          <w:sz w:val="20"/>
          <w:szCs w:val="20"/>
        </w:rPr>
        <w:t>14.198</w:t>
      </w:r>
      <w:r w:rsidR="00BB47E8" w:rsidRPr="00BB47E8">
        <w:rPr>
          <w:rFonts w:eastAsia="Times New Roman" w:cs="Arial"/>
          <w:b/>
          <w:bCs/>
          <w:i/>
          <w:iCs/>
          <w:snapToGrid w:val="0"/>
          <w:color w:val="000000"/>
          <w:kern w:val="2"/>
          <w:sz w:val="20"/>
          <w:szCs w:val="20"/>
        </w:rPr>
        <w:t xml:space="preserve"> Directed to the Scientific Council</w:t>
      </w:r>
    </w:p>
    <w:p w14:paraId="2F6DF16C" w14:textId="77777777" w:rsidR="00BC2151" w:rsidRPr="00BB1EC0" w:rsidRDefault="00BC2151" w:rsidP="00EE257E">
      <w:pPr>
        <w:pStyle w:val="ListParagraph"/>
        <w:spacing w:after="0" w:line="240" w:lineRule="auto"/>
        <w:ind w:left="851"/>
        <w:contextualSpacing w:val="0"/>
        <w:jc w:val="both"/>
        <w:rPr>
          <w:rFonts w:eastAsia="Times New Roman" w:cs="Arial"/>
          <w:i/>
          <w:iCs/>
          <w:snapToGrid w:val="0"/>
          <w:color w:val="000000"/>
          <w:kern w:val="2"/>
          <w:sz w:val="20"/>
          <w:szCs w:val="20"/>
        </w:rPr>
      </w:pPr>
    </w:p>
    <w:p w14:paraId="27D3964D" w14:textId="77777777" w:rsidR="00BC2151" w:rsidRPr="00BB1EC0" w:rsidRDefault="00BC2151" w:rsidP="00EE257E">
      <w:pPr>
        <w:pStyle w:val="ListParagraph"/>
        <w:spacing w:after="0" w:line="240" w:lineRule="auto"/>
        <w:ind w:left="851"/>
        <w:contextualSpacing w:val="0"/>
        <w:jc w:val="both"/>
        <w:rPr>
          <w:rFonts w:eastAsia="Times New Roman" w:cs="Arial"/>
          <w:i/>
          <w:iCs/>
          <w:snapToGrid w:val="0"/>
          <w:color w:val="000000"/>
          <w:kern w:val="2"/>
          <w:sz w:val="20"/>
          <w:szCs w:val="20"/>
        </w:rPr>
      </w:pPr>
      <w:r w:rsidRPr="00BB1EC0">
        <w:rPr>
          <w:rFonts w:eastAsia="Times New Roman" w:cs="Arial"/>
          <w:i/>
          <w:iCs/>
          <w:snapToGrid w:val="0"/>
          <w:color w:val="000000"/>
          <w:kern w:val="2"/>
          <w:sz w:val="20"/>
          <w:szCs w:val="20"/>
        </w:rPr>
        <w:t>The Scientific Council is requested, subject to the availability of resources, to review the usefulness of the Tool based on the reports submitted by Parties through the Secretariat, in line with Decisions 14.197 (b) and 14.199 (b), and make appropriate recommendations to the Secretariat and Parties on its further use and to help identify improvements that should be incorporated into the Tool and to inform the future expansion of the Tool.</w:t>
      </w:r>
    </w:p>
    <w:p w14:paraId="7B39C82F" w14:textId="77777777" w:rsidR="00BC2151" w:rsidRPr="00BB1EC0" w:rsidRDefault="00BC2151" w:rsidP="00852DB3">
      <w:pPr>
        <w:pStyle w:val="ListParagraph"/>
        <w:spacing w:after="0" w:line="240" w:lineRule="auto"/>
        <w:ind w:left="567"/>
        <w:contextualSpacing w:val="0"/>
        <w:jc w:val="both"/>
        <w:rPr>
          <w:sz w:val="20"/>
          <w:szCs w:val="20"/>
          <w:lang w:val="en-GB"/>
        </w:rPr>
      </w:pPr>
    </w:p>
    <w:p w14:paraId="72C1A676" w14:textId="1883B50B" w:rsidR="00BC2151" w:rsidRPr="00BB47E8" w:rsidRDefault="00BC2151" w:rsidP="00EE257E">
      <w:pPr>
        <w:pStyle w:val="ListParagraph"/>
        <w:spacing w:after="0" w:line="240" w:lineRule="auto"/>
        <w:ind w:left="851"/>
        <w:contextualSpacing w:val="0"/>
        <w:jc w:val="both"/>
        <w:rPr>
          <w:b/>
          <w:bCs/>
          <w:i/>
          <w:iCs/>
          <w:sz w:val="20"/>
          <w:szCs w:val="20"/>
          <w:lang w:val="en-GB"/>
        </w:rPr>
      </w:pPr>
      <w:r w:rsidRPr="00BB47E8">
        <w:rPr>
          <w:b/>
          <w:bCs/>
          <w:i/>
          <w:iCs/>
          <w:sz w:val="20"/>
          <w:szCs w:val="20"/>
          <w:lang w:val="en-GB"/>
        </w:rPr>
        <w:t>14.199</w:t>
      </w:r>
      <w:r w:rsidR="00BB47E8" w:rsidRPr="00BB47E8">
        <w:rPr>
          <w:b/>
          <w:bCs/>
          <w:i/>
          <w:iCs/>
          <w:sz w:val="20"/>
          <w:szCs w:val="20"/>
          <w:lang w:val="en-GB"/>
        </w:rPr>
        <w:t xml:space="preserve"> Directed to the Secretariat</w:t>
      </w:r>
    </w:p>
    <w:p w14:paraId="0A1BF295" w14:textId="77777777" w:rsidR="00BC2151" w:rsidRPr="00BB1EC0" w:rsidRDefault="00BC2151" w:rsidP="00852DB3">
      <w:pPr>
        <w:pStyle w:val="ListParagraph"/>
        <w:spacing w:after="0" w:line="240" w:lineRule="auto"/>
        <w:ind w:left="567"/>
        <w:contextualSpacing w:val="0"/>
        <w:jc w:val="both"/>
        <w:rPr>
          <w:sz w:val="20"/>
          <w:szCs w:val="20"/>
          <w:lang w:val="en-GB"/>
        </w:rPr>
      </w:pPr>
    </w:p>
    <w:p w14:paraId="6D35FF64" w14:textId="77777777" w:rsidR="00BC2151" w:rsidRPr="00BB1EC0" w:rsidRDefault="00BC2151" w:rsidP="00EE257E">
      <w:pPr>
        <w:pStyle w:val="ListParagraph"/>
        <w:spacing w:after="0" w:line="240" w:lineRule="auto"/>
        <w:ind w:left="851"/>
        <w:contextualSpacing w:val="0"/>
        <w:jc w:val="both"/>
        <w:rPr>
          <w:i/>
          <w:iCs/>
          <w:sz w:val="20"/>
          <w:szCs w:val="20"/>
        </w:rPr>
      </w:pPr>
      <w:r w:rsidRPr="00BB1EC0">
        <w:rPr>
          <w:i/>
          <w:iCs/>
          <w:sz w:val="20"/>
          <w:szCs w:val="20"/>
        </w:rPr>
        <w:t xml:space="preserve">The Secretariat shall, subject to the availability of resources: </w:t>
      </w:r>
    </w:p>
    <w:p w14:paraId="4B93812F" w14:textId="77777777" w:rsidR="00BC2151" w:rsidRPr="00BB1EC0" w:rsidRDefault="00BC2151" w:rsidP="00852DB3">
      <w:pPr>
        <w:pStyle w:val="ListParagraph"/>
        <w:spacing w:after="0" w:line="240" w:lineRule="auto"/>
        <w:ind w:left="567"/>
        <w:contextualSpacing w:val="0"/>
        <w:jc w:val="both"/>
        <w:rPr>
          <w:i/>
          <w:iCs/>
          <w:sz w:val="20"/>
          <w:szCs w:val="20"/>
        </w:rPr>
      </w:pPr>
    </w:p>
    <w:p w14:paraId="74CFCA9A" w14:textId="77777777" w:rsidR="00BC2151" w:rsidRPr="00BB1EC0" w:rsidRDefault="00BC2151" w:rsidP="00EE257E">
      <w:pPr>
        <w:pStyle w:val="ListParagraph"/>
        <w:numPr>
          <w:ilvl w:val="0"/>
          <w:numId w:val="15"/>
        </w:numPr>
        <w:spacing w:after="80" w:line="240" w:lineRule="auto"/>
        <w:ind w:left="1276" w:hanging="425"/>
        <w:contextualSpacing w:val="0"/>
        <w:jc w:val="both"/>
        <w:rPr>
          <w:i/>
          <w:iCs/>
          <w:sz w:val="20"/>
          <w:szCs w:val="20"/>
        </w:rPr>
      </w:pPr>
      <w:bookmarkStart w:id="1" w:name="_Hlk137461095"/>
      <w:r w:rsidRPr="00BB1EC0">
        <w:rPr>
          <w:i/>
          <w:iCs/>
          <w:sz w:val="20"/>
          <w:szCs w:val="20"/>
        </w:rPr>
        <w:t>in collaboration with UNEP-WCMC and other partners, raise awareness of the Tool among Parties mentioned in Decision 14.197;</w:t>
      </w:r>
    </w:p>
    <w:bookmarkEnd w:id="1"/>
    <w:p w14:paraId="269B8B12" w14:textId="77777777" w:rsidR="00BC2151" w:rsidRPr="00BB1EC0" w:rsidRDefault="00BC2151" w:rsidP="00EE257E">
      <w:pPr>
        <w:pStyle w:val="ListParagraph"/>
        <w:numPr>
          <w:ilvl w:val="0"/>
          <w:numId w:val="15"/>
        </w:numPr>
        <w:spacing w:after="80" w:line="240" w:lineRule="auto"/>
        <w:ind w:left="1276" w:hanging="425"/>
        <w:contextualSpacing w:val="0"/>
        <w:jc w:val="both"/>
        <w:rPr>
          <w:i/>
          <w:iCs/>
          <w:sz w:val="20"/>
          <w:szCs w:val="20"/>
        </w:rPr>
      </w:pPr>
      <w:r w:rsidRPr="00BB1EC0">
        <w:rPr>
          <w:i/>
          <w:iCs/>
          <w:sz w:val="20"/>
          <w:szCs w:val="20"/>
        </w:rPr>
        <w:t>request Parties referred to in Decision 14.197 to consider sharing feedback on the functionality and usefulness of the Tool in identifying potential opportunities for transboundary conservation, and submit a report on the feedback received to the Sessional Committee of the Scientific Council at its 7</w:t>
      </w:r>
      <w:r w:rsidRPr="00BB1EC0">
        <w:rPr>
          <w:i/>
          <w:iCs/>
          <w:sz w:val="20"/>
          <w:szCs w:val="20"/>
          <w:vertAlign w:val="superscript"/>
        </w:rPr>
        <w:t>th</w:t>
      </w:r>
      <w:r w:rsidRPr="00BB1EC0">
        <w:rPr>
          <w:i/>
          <w:iCs/>
          <w:sz w:val="20"/>
          <w:szCs w:val="20"/>
        </w:rPr>
        <w:t xml:space="preserve"> and/or 8</w:t>
      </w:r>
      <w:r w:rsidRPr="00BB1EC0">
        <w:rPr>
          <w:i/>
          <w:iCs/>
          <w:sz w:val="20"/>
          <w:szCs w:val="20"/>
          <w:vertAlign w:val="superscript"/>
        </w:rPr>
        <w:t>th</w:t>
      </w:r>
      <w:r w:rsidRPr="00BB1EC0">
        <w:rPr>
          <w:i/>
          <w:iCs/>
          <w:sz w:val="20"/>
          <w:szCs w:val="20"/>
        </w:rPr>
        <w:t xml:space="preserve"> meeting; and</w:t>
      </w:r>
    </w:p>
    <w:p w14:paraId="14A52F53" w14:textId="77777777" w:rsidR="00BC2151" w:rsidRPr="00BB1EC0" w:rsidRDefault="00BC2151" w:rsidP="00EE257E">
      <w:pPr>
        <w:pStyle w:val="ListParagraph"/>
        <w:numPr>
          <w:ilvl w:val="0"/>
          <w:numId w:val="15"/>
        </w:numPr>
        <w:spacing w:after="0" w:line="240" w:lineRule="auto"/>
        <w:ind w:left="1276" w:hanging="425"/>
        <w:contextualSpacing w:val="0"/>
        <w:jc w:val="both"/>
        <w:rPr>
          <w:i/>
          <w:iCs/>
          <w:sz w:val="20"/>
          <w:szCs w:val="20"/>
          <w:lang w:val="en-GB"/>
        </w:rPr>
      </w:pPr>
      <w:r w:rsidRPr="00BB1EC0">
        <w:rPr>
          <w:i/>
          <w:iCs/>
          <w:sz w:val="20"/>
          <w:szCs w:val="20"/>
        </w:rPr>
        <w:t>report to the Conference of the Parties at its 15</w:t>
      </w:r>
      <w:r w:rsidRPr="00BB1EC0">
        <w:rPr>
          <w:i/>
          <w:iCs/>
          <w:sz w:val="20"/>
          <w:szCs w:val="20"/>
          <w:vertAlign w:val="superscript"/>
        </w:rPr>
        <w:t>th</w:t>
      </w:r>
      <w:r w:rsidRPr="00BB1EC0">
        <w:rPr>
          <w:i/>
          <w:iCs/>
          <w:sz w:val="20"/>
          <w:szCs w:val="20"/>
        </w:rPr>
        <w:t xml:space="preserve"> meeting on the progress in implementing these Decisions.</w:t>
      </w:r>
    </w:p>
    <w:p w14:paraId="4E7058F7" w14:textId="14EEC8B6" w:rsidR="00A12B84" w:rsidRDefault="00A12B84" w:rsidP="00852DB3">
      <w:pPr>
        <w:spacing w:after="0" w:line="240" w:lineRule="auto"/>
        <w:jc w:val="both"/>
        <w:rPr>
          <w:rFonts w:cs="Arial"/>
        </w:rPr>
      </w:pPr>
      <w:r>
        <w:rPr>
          <w:rFonts w:cs="Arial"/>
        </w:rPr>
        <w:br w:type="page"/>
      </w:r>
    </w:p>
    <w:p w14:paraId="4E60D31E" w14:textId="611B6D77" w:rsidR="00656806" w:rsidRDefault="00BA33B2" w:rsidP="00852DB3">
      <w:pPr>
        <w:spacing w:after="0" w:line="240" w:lineRule="auto"/>
        <w:jc w:val="both"/>
        <w:rPr>
          <w:rFonts w:cs="Arial"/>
          <w:bCs/>
          <w:u w:val="single"/>
        </w:rPr>
      </w:pPr>
      <w:r w:rsidRPr="00BA33B2">
        <w:rPr>
          <w:rFonts w:cs="Arial"/>
          <w:u w:val="single"/>
        </w:rPr>
        <w:lastRenderedPageBreak/>
        <w:t>Cross Regional Wildlife Conservation in Eastern and Southern Africa</w:t>
      </w:r>
      <w:r w:rsidRPr="00BA33B2">
        <w:rPr>
          <w:rFonts w:cs="Arial"/>
          <w:b/>
          <w:u w:val="single"/>
        </w:rPr>
        <w:t xml:space="preserve"> </w:t>
      </w:r>
      <w:r w:rsidRPr="00BA33B2">
        <w:rPr>
          <w:rFonts w:cs="Arial"/>
          <w:bCs/>
          <w:u w:val="single"/>
        </w:rPr>
        <w:t>and the Indian Ocean</w:t>
      </w:r>
    </w:p>
    <w:p w14:paraId="6F1DEAD1" w14:textId="77777777" w:rsidR="00852DB3" w:rsidRPr="00BA33B2" w:rsidRDefault="00852DB3" w:rsidP="00852DB3">
      <w:pPr>
        <w:spacing w:after="0" w:line="240" w:lineRule="auto"/>
        <w:jc w:val="both"/>
        <w:rPr>
          <w:rFonts w:cs="Arial"/>
          <w:u w:val="single"/>
          <w:lang w:val="en-GB"/>
        </w:rPr>
      </w:pPr>
    </w:p>
    <w:p w14:paraId="43CC81DB" w14:textId="44DDBF60" w:rsidR="000A6A7A" w:rsidRPr="0070148E" w:rsidRDefault="000A6A7A" w:rsidP="00852DB3">
      <w:pPr>
        <w:pStyle w:val="ListParagraph"/>
        <w:numPr>
          <w:ilvl w:val="0"/>
          <w:numId w:val="12"/>
        </w:numPr>
        <w:spacing w:after="0" w:line="240" w:lineRule="auto"/>
        <w:ind w:left="567" w:hanging="567"/>
        <w:contextualSpacing w:val="0"/>
        <w:jc w:val="both"/>
        <w:rPr>
          <w:rFonts w:cs="Arial"/>
          <w:lang w:val="en-GB"/>
        </w:rPr>
      </w:pPr>
      <w:r w:rsidRPr="009B79F9">
        <w:rPr>
          <w:rFonts w:cs="Arial"/>
        </w:rPr>
        <w:t>The project</w:t>
      </w:r>
      <w:r w:rsidR="007973DC">
        <w:rPr>
          <w:rFonts w:cs="Arial"/>
        </w:rPr>
        <w:t>,</w:t>
      </w:r>
      <w:r w:rsidRPr="009B79F9">
        <w:rPr>
          <w:rFonts w:cs="Arial"/>
        </w:rPr>
        <w:t xml:space="preserve"> ‘</w:t>
      </w:r>
      <w:bookmarkStart w:id="2" w:name="_Hlk207188852"/>
      <w:r w:rsidRPr="009B79F9">
        <w:rPr>
          <w:rFonts w:cs="Arial"/>
        </w:rPr>
        <w:t>Cross Regional Wildlife Conservation in East</w:t>
      </w:r>
      <w:r w:rsidR="00A30D68">
        <w:rPr>
          <w:rFonts w:cs="Arial"/>
        </w:rPr>
        <w:t>ern</w:t>
      </w:r>
      <w:r w:rsidRPr="009B79F9">
        <w:rPr>
          <w:rFonts w:cs="Arial"/>
        </w:rPr>
        <w:t xml:space="preserve"> and Southern Africa</w:t>
      </w:r>
      <w:r w:rsidRPr="007B5E8B">
        <w:rPr>
          <w:b/>
        </w:rPr>
        <w:t xml:space="preserve"> </w:t>
      </w:r>
      <w:r w:rsidRPr="007B5E8B">
        <w:rPr>
          <w:rFonts w:cs="Arial"/>
          <w:bCs/>
        </w:rPr>
        <w:t>and the Indian Ocean’</w:t>
      </w:r>
      <w:r w:rsidR="007973DC">
        <w:rPr>
          <w:rFonts w:cs="Arial"/>
          <w:bCs/>
        </w:rPr>
        <w:t>,</w:t>
      </w:r>
      <w:r w:rsidRPr="00B657F0">
        <w:rPr>
          <w:rFonts w:cs="Arial"/>
        </w:rPr>
        <w:t xml:space="preserve"> </w:t>
      </w:r>
      <w:bookmarkEnd w:id="2"/>
      <w:r w:rsidR="00B657F0" w:rsidRPr="00765B06">
        <w:rPr>
          <w:rFonts w:cs="Arial"/>
        </w:rPr>
        <w:t>enabled</w:t>
      </w:r>
      <w:r w:rsidRPr="00B657F0">
        <w:rPr>
          <w:rFonts w:cs="Arial"/>
        </w:rPr>
        <w:t xml:space="preserve"> </w:t>
      </w:r>
      <w:r w:rsidRPr="007B5E8B">
        <w:rPr>
          <w:rFonts w:cs="Arial"/>
        </w:rPr>
        <w:t>the CMS Secretariat</w:t>
      </w:r>
      <w:r w:rsidR="007973DC">
        <w:rPr>
          <w:rFonts w:cs="Arial"/>
        </w:rPr>
        <w:t>,</w:t>
      </w:r>
      <w:r w:rsidRPr="007B5E8B">
        <w:rPr>
          <w:rFonts w:cs="Arial"/>
        </w:rPr>
        <w:t xml:space="preserve"> together with </w:t>
      </w:r>
      <w:r w:rsidR="00F65CD6">
        <w:rPr>
          <w:rFonts w:cs="Arial"/>
        </w:rPr>
        <w:t>a number of partners</w:t>
      </w:r>
      <w:r w:rsidR="007973DC">
        <w:rPr>
          <w:rFonts w:cs="Arial"/>
        </w:rPr>
        <w:t>,</w:t>
      </w:r>
      <w:r w:rsidR="00F65CD6">
        <w:rPr>
          <w:rFonts w:cs="Arial"/>
        </w:rPr>
        <w:t xml:space="preserve"> to support Range States </w:t>
      </w:r>
      <w:r w:rsidR="00F65CD6" w:rsidRPr="00F267DB">
        <w:rPr>
          <w:rFonts w:cs="Arial"/>
        </w:rPr>
        <w:t xml:space="preserve">with </w:t>
      </w:r>
      <w:r w:rsidR="00AC5195" w:rsidRPr="00F267DB">
        <w:rPr>
          <w:rFonts w:cs="Arial"/>
        </w:rPr>
        <w:t xml:space="preserve">the implementation of </w:t>
      </w:r>
      <w:r w:rsidR="00AF1546" w:rsidRPr="00765B06">
        <w:rPr>
          <w:rFonts w:cs="Arial"/>
        </w:rPr>
        <w:t xml:space="preserve">the </w:t>
      </w:r>
      <w:r w:rsidR="00AC5195" w:rsidRPr="00F267DB">
        <w:rPr>
          <w:rFonts w:cs="Arial"/>
        </w:rPr>
        <w:t>Resolution</w:t>
      </w:r>
      <w:r w:rsidR="00A17082" w:rsidRPr="00765B06">
        <w:rPr>
          <w:rFonts w:cs="Arial"/>
        </w:rPr>
        <w:t xml:space="preserve"> </w:t>
      </w:r>
      <w:r w:rsidR="00CA7B3D" w:rsidRPr="00F267DB">
        <w:rPr>
          <w:rFonts w:cs="Arial"/>
        </w:rPr>
        <w:t>and Decisions</w:t>
      </w:r>
      <w:r w:rsidR="00A17082" w:rsidRPr="00765B06">
        <w:rPr>
          <w:rFonts w:cs="Arial"/>
        </w:rPr>
        <w:t xml:space="preserve"> </w:t>
      </w:r>
      <w:r w:rsidR="00C067F5" w:rsidRPr="00765B06">
        <w:rPr>
          <w:rFonts w:cs="Arial"/>
        </w:rPr>
        <w:t>relating to TFCAs</w:t>
      </w:r>
      <w:r w:rsidR="00AC5195" w:rsidRPr="00F267DB">
        <w:rPr>
          <w:rFonts w:cs="Arial"/>
        </w:rPr>
        <w:t xml:space="preserve">. </w:t>
      </w:r>
      <w:r w:rsidRPr="00F267DB">
        <w:rPr>
          <w:rFonts w:cs="Arial"/>
          <w:lang w:val="en"/>
        </w:rPr>
        <w:t>Th</w:t>
      </w:r>
      <w:r w:rsidR="00825D51" w:rsidRPr="00F267DB">
        <w:rPr>
          <w:rFonts w:cs="Arial"/>
          <w:lang w:val="en"/>
        </w:rPr>
        <w:t>e</w:t>
      </w:r>
      <w:r w:rsidRPr="00F267DB">
        <w:rPr>
          <w:rFonts w:cs="Arial"/>
          <w:lang w:val="en"/>
        </w:rPr>
        <w:t xml:space="preserve"> project was </w:t>
      </w:r>
      <w:r w:rsidRPr="007B5E8B">
        <w:rPr>
          <w:rFonts w:cs="Arial"/>
          <w:lang w:val="en"/>
        </w:rPr>
        <w:t xml:space="preserve">funded by the European </w:t>
      </w:r>
      <w:r w:rsidR="002C63AE">
        <w:rPr>
          <w:rFonts w:cs="Arial"/>
          <w:lang w:val="en"/>
        </w:rPr>
        <w:t>Union</w:t>
      </w:r>
      <w:r>
        <w:rPr>
          <w:rFonts w:cs="Arial"/>
          <w:lang w:val="en"/>
        </w:rPr>
        <w:t xml:space="preserve"> and was</w:t>
      </w:r>
      <w:r w:rsidRPr="00102CA9">
        <w:rPr>
          <w:rFonts w:cs="Arial"/>
        </w:rPr>
        <w:t xml:space="preserve"> implemented in partnership with the Secretariat for the Convention on International Trade in Endangered Species of Wild Fauna and Flora (CITES) and the United Nations Office on Drugs and Crime (UNODC).</w:t>
      </w:r>
      <w:r w:rsidR="00CA7B3D">
        <w:rPr>
          <w:rFonts w:cs="Arial"/>
        </w:rPr>
        <w:t xml:space="preserve"> </w:t>
      </w:r>
      <w:r w:rsidR="00F81655">
        <w:rPr>
          <w:rFonts w:cs="Arial"/>
        </w:rPr>
        <w:t>The project</w:t>
      </w:r>
      <w:r w:rsidR="00453A6E">
        <w:rPr>
          <w:rFonts w:cs="Arial"/>
        </w:rPr>
        <w:t xml:space="preserve"> </w:t>
      </w:r>
      <w:r w:rsidR="00B12A3B">
        <w:rPr>
          <w:rFonts w:cs="Arial"/>
        </w:rPr>
        <w:t>ended</w:t>
      </w:r>
      <w:r w:rsidR="00453A6E">
        <w:rPr>
          <w:rFonts w:cs="Arial"/>
        </w:rPr>
        <w:t xml:space="preserve"> in October 2024.</w:t>
      </w:r>
      <w:r w:rsidRPr="00102CA9">
        <w:rPr>
          <w:rFonts w:cs="Arial"/>
        </w:rPr>
        <w:t xml:space="preserve"> </w:t>
      </w:r>
    </w:p>
    <w:p w14:paraId="3F3FC6E6" w14:textId="77777777" w:rsidR="0070148E" w:rsidRPr="0070148E" w:rsidRDefault="0070148E" w:rsidP="00852DB3">
      <w:pPr>
        <w:pStyle w:val="ListParagraph"/>
        <w:spacing w:after="0" w:line="240" w:lineRule="auto"/>
        <w:contextualSpacing w:val="0"/>
        <w:rPr>
          <w:rFonts w:cs="Arial"/>
          <w:lang w:val="en-GB"/>
        </w:rPr>
      </w:pPr>
    </w:p>
    <w:p w14:paraId="721F35AE" w14:textId="2F7D5F94" w:rsidR="00F81655" w:rsidRPr="00A12B84" w:rsidRDefault="0070148E" w:rsidP="00852DB3">
      <w:pPr>
        <w:pStyle w:val="ListParagraph"/>
        <w:numPr>
          <w:ilvl w:val="0"/>
          <w:numId w:val="12"/>
        </w:numPr>
        <w:spacing w:after="0" w:line="240" w:lineRule="auto"/>
        <w:ind w:left="567" w:hanging="567"/>
        <w:contextualSpacing w:val="0"/>
        <w:jc w:val="both"/>
      </w:pPr>
      <w:r w:rsidRPr="00A12B84">
        <w:t>The CMS Secretariat’s component of the project focuse</w:t>
      </w:r>
      <w:r w:rsidR="00453A6E" w:rsidRPr="00A12B84">
        <w:t>d</w:t>
      </w:r>
      <w:r w:rsidRPr="00A12B84">
        <w:t xml:space="preserve"> on ‘</w:t>
      </w:r>
      <w:r w:rsidRPr="00A12B84">
        <w:rPr>
          <w:i/>
        </w:rPr>
        <w:t xml:space="preserve">Specific Objective 3: The establishment and sustainable management of Trans-Frontier Conservation Areas (TFCAs) promoted and </w:t>
      </w:r>
      <w:r w:rsidRPr="00A12B84">
        <w:rPr>
          <w:i/>
          <w:iCs/>
        </w:rPr>
        <w:t>strengthened</w:t>
      </w:r>
      <w:r w:rsidRPr="00A12B84">
        <w:t xml:space="preserve">’. The five result areas for this objective are set out below, along with the activities and outputs delivered </w:t>
      </w:r>
      <w:r w:rsidR="00A733AB" w:rsidRPr="00A12B84">
        <w:t xml:space="preserve">between COP14 and </w:t>
      </w:r>
      <w:r w:rsidR="00F81655" w:rsidRPr="00A12B84">
        <w:t>October 2024.</w:t>
      </w:r>
      <w:r w:rsidR="00EE77DE" w:rsidRPr="00A12B84">
        <w:t xml:space="preserve"> </w:t>
      </w:r>
      <w:r w:rsidR="008D1FCD" w:rsidRPr="00A12B84">
        <w:t xml:space="preserve">Details on the implementation of the project prior to COP14 can be found in </w:t>
      </w:r>
      <w:hyperlink r:id="rId16" w:history="1">
        <w:r w:rsidR="003449F5" w:rsidRPr="00A12B84">
          <w:rPr>
            <w:rStyle w:val="Hyperlink"/>
          </w:rPr>
          <w:t>UNEP/CMS/COP14/Doc.30.2.2/Rev.2</w:t>
        </w:r>
      </w:hyperlink>
      <w:r w:rsidR="008D1FCD" w:rsidRPr="00A12B84">
        <w:t xml:space="preserve">. </w:t>
      </w:r>
    </w:p>
    <w:p w14:paraId="2C61B821" w14:textId="77777777" w:rsidR="00AB325C" w:rsidRPr="00A12B84" w:rsidRDefault="00AB325C" w:rsidP="00852DB3">
      <w:pPr>
        <w:pStyle w:val="ListParagraph"/>
        <w:spacing w:after="0" w:line="240" w:lineRule="auto"/>
        <w:ind w:left="567" w:hanging="567"/>
        <w:contextualSpacing w:val="0"/>
      </w:pPr>
    </w:p>
    <w:p w14:paraId="4E60FDAD" w14:textId="0A7D93F4" w:rsidR="004700F0" w:rsidRPr="00A12B84" w:rsidRDefault="004700F0" w:rsidP="00C76270">
      <w:pPr>
        <w:spacing w:after="0" w:line="240" w:lineRule="auto"/>
        <w:jc w:val="both"/>
        <w:rPr>
          <w:i/>
        </w:rPr>
      </w:pPr>
      <w:r w:rsidRPr="00A12B84">
        <w:rPr>
          <w:i/>
          <w:iCs/>
        </w:rPr>
        <w:t>Result</w:t>
      </w:r>
      <w:r w:rsidRPr="00A12B84">
        <w:rPr>
          <w:i/>
        </w:rPr>
        <w:t xml:space="preserve"> 3.1: High-level political instruments (protocols) mandating the formation of TFCAs formulated/updated: </w:t>
      </w:r>
    </w:p>
    <w:p w14:paraId="4BE8A907" w14:textId="77777777" w:rsidR="00D44251" w:rsidRPr="00A12B84" w:rsidRDefault="00D44251" w:rsidP="00852DB3">
      <w:pPr>
        <w:pStyle w:val="ListParagraph"/>
        <w:spacing w:after="0" w:line="240" w:lineRule="auto"/>
        <w:ind w:left="567" w:hanging="567"/>
        <w:contextualSpacing w:val="0"/>
        <w:rPr>
          <w:i/>
        </w:rPr>
      </w:pPr>
    </w:p>
    <w:p w14:paraId="22344FDD" w14:textId="7D8EC6FC" w:rsidR="00D44251" w:rsidRPr="00A12B84" w:rsidRDefault="00BC4B78" w:rsidP="00C76270">
      <w:pPr>
        <w:pStyle w:val="ListParagraph"/>
        <w:numPr>
          <w:ilvl w:val="0"/>
          <w:numId w:val="12"/>
        </w:numPr>
        <w:spacing w:after="0" w:line="240" w:lineRule="auto"/>
        <w:ind w:left="567" w:hanging="567"/>
        <w:contextualSpacing w:val="0"/>
        <w:jc w:val="both"/>
        <w:rPr>
          <w:iCs/>
        </w:rPr>
      </w:pPr>
      <w:r w:rsidRPr="00A12B84">
        <w:rPr>
          <w:iCs/>
        </w:rPr>
        <w:t>Preparatory work to develop a protocol</w:t>
      </w:r>
      <w:r w:rsidR="00DA67E3" w:rsidRPr="00A12B84">
        <w:rPr>
          <w:iCs/>
        </w:rPr>
        <w:t xml:space="preserve"> on </w:t>
      </w:r>
      <w:r w:rsidR="00ED1E9F" w:rsidRPr="00A12B84">
        <w:rPr>
          <w:iCs/>
        </w:rPr>
        <w:t>TFCAs</w:t>
      </w:r>
      <w:r w:rsidRPr="00A12B84">
        <w:rPr>
          <w:iCs/>
        </w:rPr>
        <w:t xml:space="preserve"> </w:t>
      </w:r>
      <w:r w:rsidR="00DA67E3" w:rsidRPr="00A12B84">
        <w:rPr>
          <w:iCs/>
        </w:rPr>
        <w:t xml:space="preserve">for </w:t>
      </w:r>
      <w:r w:rsidR="00D44251" w:rsidRPr="00A12B84">
        <w:rPr>
          <w:iCs/>
        </w:rPr>
        <w:t xml:space="preserve">the Intergovernmental Authority on Development (IGAD) </w:t>
      </w:r>
      <w:r w:rsidR="00ED1E9F" w:rsidRPr="00A12B84">
        <w:rPr>
          <w:iCs/>
        </w:rPr>
        <w:t>had been ongoing between 2021 and 2023</w:t>
      </w:r>
      <w:r w:rsidR="00AA7EEE" w:rsidRPr="00A12B84">
        <w:rPr>
          <w:iCs/>
        </w:rPr>
        <w:t>,</w:t>
      </w:r>
      <w:r w:rsidR="005A3102" w:rsidRPr="00A12B84">
        <w:rPr>
          <w:iCs/>
        </w:rPr>
        <w:t xml:space="preserve"> in partnership with the Cheetah Conservation Fund (CCF) and Legal Atlas (LA)</w:t>
      </w:r>
      <w:r w:rsidR="00AA7EEE" w:rsidRPr="00A12B84">
        <w:rPr>
          <w:iCs/>
        </w:rPr>
        <w:t>,</w:t>
      </w:r>
      <w:r w:rsidR="00E24376" w:rsidRPr="00A12B84">
        <w:rPr>
          <w:iCs/>
        </w:rPr>
        <w:t xml:space="preserve"> and </w:t>
      </w:r>
      <w:r w:rsidR="00504A36" w:rsidRPr="00A12B84">
        <w:rPr>
          <w:iCs/>
        </w:rPr>
        <w:t xml:space="preserve">in </w:t>
      </w:r>
      <w:r w:rsidR="00E24376" w:rsidRPr="00A12B84">
        <w:rPr>
          <w:iCs/>
        </w:rPr>
        <w:t xml:space="preserve">close consultation with the </w:t>
      </w:r>
      <w:r w:rsidR="00D44251" w:rsidRPr="00A12B84">
        <w:rPr>
          <w:iCs/>
        </w:rPr>
        <w:t>Horn of Africa Wildlife Enforcement Network (HAWEN) Executive Committee</w:t>
      </w:r>
      <w:r w:rsidR="004B7296" w:rsidRPr="00A12B84">
        <w:rPr>
          <w:iCs/>
        </w:rPr>
        <w:t xml:space="preserve"> (an entity under the aegis of IGAD)</w:t>
      </w:r>
      <w:r w:rsidR="007E5276" w:rsidRPr="00A12B84">
        <w:rPr>
          <w:iCs/>
        </w:rPr>
        <w:t>.</w:t>
      </w:r>
      <w:r w:rsidR="00D44251" w:rsidRPr="00A12B84">
        <w:rPr>
          <w:iCs/>
        </w:rPr>
        <w:t xml:space="preserve"> In June 2024, during the 6</w:t>
      </w:r>
      <w:r w:rsidR="00D44251" w:rsidRPr="00A12B84">
        <w:rPr>
          <w:iCs/>
          <w:vertAlign w:val="superscript"/>
        </w:rPr>
        <w:t>th</w:t>
      </w:r>
      <w:r w:rsidR="00D44251" w:rsidRPr="00A12B84">
        <w:rPr>
          <w:iCs/>
        </w:rPr>
        <w:t xml:space="preserve"> HAWEN Executive Committee meeting, IGAD member states decided that they did not need the Protocol. Instead, national consultations in the IGAD member states were conducted in September 2024, supported by partners </w:t>
      </w:r>
      <w:r w:rsidR="00DF2C80" w:rsidRPr="00A12B84">
        <w:rPr>
          <w:iCs/>
        </w:rPr>
        <w:t>CCF</w:t>
      </w:r>
      <w:r w:rsidR="00D44251" w:rsidRPr="00A12B84">
        <w:rPr>
          <w:iCs/>
        </w:rPr>
        <w:t xml:space="preserve"> and </w:t>
      </w:r>
      <w:r w:rsidR="00DF2C80" w:rsidRPr="00A12B84">
        <w:rPr>
          <w:iCs/>
        </w:rPr>
        <w:t>LA</w:t>
      </w:r>
      <w:r w:rsidR="00600F14" w:rsidRPr="00A12B84">
        <w:rPr>
          <w:iCs/>
        </w:rPr>
        <w:t>,</w:t>
      </w:r>
      <w:r w:rsidR="00D44251" w:rsidRPr="00A12B84">
        <w:rPr>
          <w:iCs/>
        </w:rPr>
        <w:t xml:space="preserve"> to ascertain countries' needs and </w:t>
      </w:r>
      <w:r w:rsidR="00D44251" w:rsidRPr="00A12B84">
        <w:rPr>
          <w:iCs/>
          <w:color w:val="000000" w:themeColor="text1"/>
        </w:rPr>
        <w:t xml:space="preserve">desires </w:t>
      </w:r>
      <w:r w:rsidR="00D44251" w:rsidRPr="00A12B84">
        <w:rPr>
          <w:iCs/>
        </w:rPr>
        <w:t>regarding the establishment of TFCAs.</w:t>
      </w:r>
      <w:r w:rsidR="00DF2C80" w:rsidRPr="00A12B84">
        <w:rPr>
          <w:iCs/>
        </w:rPr>
        <w:t xml:space="preserve"> </w:t>
      </w:r>
    </w:p>
    <w:p w14:paraId="76057367" w14:textId="77777777" w:rsidR="00EE4DE6" w:rsidRPr="00A12B84" w:rsidRDefault="00EE4DE6" w:rsidP="00852DB3">
      <w:pPr>
        <w:pStyle w:val="ListParagraph"/>
        <w:spacing w:after="0" w:line="240" w:lineRule="auto"/>
        <w:contextualSpacing w:val="0"/>
        <w:rPr>
          <w:i/>
        </w:rPr>
      </w:pPr>
    </w:p>
    <w:p w14:paraId="5FDFFEF4" w14:textId="4A4DEECA" w:rsidR="00EE4DE6" w:rsidRPr="0056346C" w:rsidRDefault="00EE4DE6" w:rsidP="0056346C">
      <w:pPr>
        <w:spacing w:after="0" w:line="240" w:lineRule="auto"/>
        <w:jc w:val="both"/>
        <w:rPr>
          <w:i/>
        </w:rPr>
      </w:pPr>
      <w:r w:rsidRPr="00A12B84">
        <w:rPr>
          <w:i/>
        </w:rPr>
        <w:t xml:space="preserve">Result 3.2: </w:t>
      </w:r>
      <w:bookmarkStart w:id="3" w:name="_Hlk131070135"/>
      <w:r w:rsidRPr="00A12B84">
        <w:rPr>
          <w:i/>
        </w:rPr>
        <w:t>Bilateral and multilateral treaties</w:t>
      </w:r>
      <w:bookmarkEnd w:id="3"/>
      <w:r w:rsidRPr="00A12B84">
        <w:rPr>
          <w:i/>
        </w:rPr>
        <w:t>/agreements/MOUs for the co-management of specific TFCAs formulated and signed:</w:t>
      </w:r>
      <w:r w:rsidRPr="0056346C">
        <w:rPr>
          <w:i/>
        </w:rPr>
        <w:t xml:space="preserve"> </w:t>
      </w:r>
    </w:p>
    <w:p w14:paraId="4F3F97FA" w14:textId="77777777" w:rsidR="00F15F84" w:rsidRDefault="00F15F84" w:rsidP="00852DB3">
      <w:pPr>
        <w:pStyle w:val="ListParagraph"/>
        <w:spacing w:after="0" w:line="240" w:lineRule="auto"/>
        <w:ind w:left="426"/>
        <w:contextualSpacing w:val="0"/>
        <w:jc w:val="both"/>
        <w:rPr>
          <w:i/>
        </w:rPr>
      </w:pPr>
    </w:p>
    <w:p w14:paraId="4F6A9B82" w14:textId="302EA9FE" w:rsidR="002D23D3" w:rsidRDefault="00B91A1B" w:rsidP="00B56576">
      <w:pPr>
        <w:pStyle w:val="ListParagraph"/>
        <w:numPr>
          <w:ilvl w:val="0"/>
          <w:numId w:val="12"/>
        </w:numPr>
        <w:spacing w:after="80" w:line="240" w:lineRule="auto"/>
        <w:ind w:left="567" w:hanging="567"/>
        <w:contextualSpacing w:val="0"/>
        <w:jc w:val="both"/>
        <w:rPr>
          <w:iCs/>
        </w:rPr>
      </w:pPr>
      <w:r>
        <w:rPr>
          <w:iCs/>
        </w:rPr>
        <w:t>A</w:t>
      </w:r>
      <w:r w:rsidR="0015069D" w:rsidRPr="0056346C">
        <w:rPr>
          <w:iCs/>
        </w:rPr>
        <w:t>t the request of</w:t>
      </w:r>
      <w:r w:rsidR="008F7FC0" w:rsidRPr="0056346C">
        <w:rPr>
          <w:iCs/>
        </w:rPr>
        <w:t xml:space="preserve"> the Governments of Kenya and Tanzania, </w:t>
      </w:r>
      <w:r w:rsidR="00DB1978" w:rsidRPr="0056346C">
        <w:rPr>
          <w:iCs/>
        </w:rPr>
        <w:t>the CMS Secretariat</w:t>
      </w:r>
      <w:r w:rsidR="00EC679F">
        <w:rPr>
          <w:iCs/>
        </w:rPr>
        <w:t>,</w:t>
      </w:r>
      <w:r w:rsidRPr="00B91A1B">
        <w:rPr>
          <w:iCs/>
        </w:rPr>
        <w:t xml:space="preserve"> </w:t>
      </w:r>
      <w:r>
        <w:rPr>
          <w:iCs/>
        </w:rPr>
        <w:t>t</w:t>
      </w:r>
      <w:r w:rsidRPr="0056346C">
        <w:rPr>
          <w:iCs/>
        </w:rPr>
        <w:t>ogether with the Secretariat of the Lusaka Agreement Task Force</w:t>
      </w:r>
      <w:r>
        <w:rPr>
          <w:iCs/>
        </w:rPr>
        <w:t>,</w:t>
      </w:r>
      <w:r w:rsidR="00DB1978" w:rsidRPr="0056346C">
        <w:rPr>
          <w:iCs/>
        </w:rPr>
        <w:t xml:space="preserve"> supported </w:t>
      </w:r>
      <w:r w:rsidR="00747E48" w:rsidRPr="0056346C">
        <w:rPr>
          <w:iCs/>
        </w:rPr>
        <w:t xml:space="preserve">preparations for </w:t>
      </w:r>
      <w:r w:rsidR="0059216B">
        <w:rPr>
          <w:iCs/>
        </w:rPr>
        <w:t>establishing</w:t>
      </w:r>
      <w:r w:rsidR="008D49DE" w:rsidRPr="0056346C">
        <w:rPr>
          <w:iCs/>
        </w:rPr>
        <w:t xml:space="preserve"> a TFCA for the </w:t>
      </w:r>
      <w:r w:rsidR="00F15F84" w:rsidRPr="0056346C">
        <w:rPr>
          <w:iCs/>
        </w:rPr>
        <w:t>Mara-Serengeti and Tsavo-</w:t>
      </w:r>
      <w:proofErr w:type="spellStart"/>
      <w:r w:rsidR="00F15F84" w:rsidRPr="0056346C">
        <w:rPr>
          <w:iCs/>
        </w:rPr>
        <w:t>Mkomazi</w:t>
      </w:r>
      <w:proofErr w:type="spellEnd"/>
      <w:r w:rsidR="00F15F84" w:rsidRPr="0056346C">
        <w:rPr>
          <w:iCs/>
        </w:rPr>
        <w:t xml:space="preserve"> </w:t>
      </w:r>
      <w:r w:rsidR="002E01C9">
        <w:rPr>
          <w:iCs/>
        </w:rPr>
        <w:t>e</w:t>
      </w:r>
      <w:r w:rsidR="00F15F84" w:rsidRPr="0056346C">
        <w:rPr>
          <w:iCs/>
        </w:rPr>
        <w:t>cosystems</w:t>
      </w:r>
      <w:r w:rsidR="008D49DE" w:rsidRPr="0056346C">
        <w:rPr>
          <w:iCs/>
        </w:rPr>
        <w:t xml:space="preserve"> in Kenya and Tanzania</w:t>
      </w:r>
      <w:r w:rsidR="002E01C9">
        <w:rPr>
          <w:iCs/>
        </w:rPr>
        <w:t>.</w:t>
      </w:r>
      <w:r w:rsidR="00747E48" w:rsidRPr="0056346C">
        <w:rPr>
          <w:iCs/>
        </w:rPr>
        <w:t xml:space="preserve"> </w:t>
      </w:r>
      <w:r w:rsidR="002D23D3">
        <w:rPr>
          <w:iCs/>
        </w:rPr>
        <w:t>This involved:</w:t>
      </w:r>
    </w:p>
    <w:p w14:paraId="23036955" w14:textId="1593F5A9" w:rsidR="002D23D3" w:rsidRDefault="007A3AC8" w:rsidP="00B56576">
      <w:pPr>
        <w:pStyle w:val="ListParagraph"/>
        <w:numPr>
          <w:ilvl w:val="0"/>
          <w:numId w:val="33"/>
        </w:numPr>
        <w:spacing w:after="80" w:line="240" w:lineRule="auto"/>
        <w:contextualSpacing w:val="0"/>
        <w:jc w:val="both"/>
        <w:rPr>
          <w:iCs/>
        </w:rPr>
      </w:pPr>
      <w:r>
        <w:rPr>
          <w:iCs/>
        </w:rPr>
        <w:t>a</w:t>
      </w:r>
      <w:r w:rsidR="00F15F84" w:rsidRPr="0056346C">
        <w:rPr>
          <w:iCs/>
        </w:rPr>
        <w:t xml:space="preserve"> </w:t>
      </w:r>
      <w:r w:rsidR="000D7B6E">
        <w:rPr>
          <w:iCs/>
        </w:rPr>
        <w:t>g</w:t>
      </w:r>
      <w:r w:rsidR="00F15F84" w:rsidRPr="0056346C">
        <w:rPr>
          <w:iCs/>
        </w:rPr>
        <w:t xml:space="preserve">ap </w:t>
      </w:r>
      <w:r w:rsidR="000D7B6E">
        <w:rPr>
          <w:iCs/>
        </w:rPr>
        <w:t>a</w:t>
      </w:r>
      <w:r w:rsidR="00F15F84" w:rsidRPr="0056346C">
        <w:rPr>
          <w:iCs/>
        </w:rPr>
        <w:t>nalysis of T</w:t>
      </w:r>
      <w:r w:rsidR="00D01DE2">
        <w:rPr>
          <w:iCs/>
        </w:rPr>
        <w:t>FCAs</w:t>
      </w:r>
      <w:r w:rsidR="00A14911" w:rsidRPr="0056346C">
        <w:rPr>
          <w:iCs/>
        </w:rPr>
        <w:t>, h</w:t>
      </w:r>
      <w:r w:rsidR="00F15F84" w:rsidRPr="0056346C">
        <w:rPr>
          <w:iCs/>
        </w:rPr>
        <w:t>ighlight</w:t>
      </w:r>
      <w:r w:rsidR="00A14911" w:rsidRPr="0056346C">
        <w:rPr>
          <w:iCs/>
        </w:rPr>
        <w:t>ing the</w:t>
      </w:r>
      <w:r w:rsidR="00F15F84" w:rsidRPr="0056346C">
        <w:rPr>
          <w:iCs/>
        </w:rPr>
        <w:t xml:space="preserve"> strengths and gaps in existing conservation frameworks</w:t>
      </w:r>
      <w:r w:rsidR="0073507F" w:rsidRPr="0056346C">
        <w:rPr>
          <w:iCs/>
        </w:rPr>
        <w:t xml:space="preserve">; </w:t>
      </w:r>
    </w:p>
    <w:p w14:paraId="15E0A9D8" w14:textId="5092F136" w:rsidR="00E5443A" w:rsidRDefault="007A3AC8" w:rsidP="00B56576">
      <w:pPr>
        <w:pStyle w:val="ListParagraph"/>
        <w:numPr>
          <w:ilvl w:val="0"/>
          <w:numId w:val="33"/>
        </w:numPr>
        <w:spacing w:after="80" w:line="240" w:lineRule="auto"/>
        <w:contextualSpacing w:val="0"/>
        <w:jc w:val="both"/>
        <w:rPr>
          <w:iCs/>
        </w:rPr>
      </w:pPr>
      <w:r>
        <w:rPr>
          <w:iCs/>
        </w:rPr>
        <w:t>a</w:t>
      </w:r>
      <w:r w:rsidR="00F15F84" w:rsidRPr="0056346C">
        <w:rPr>
          <w:iCs/>
        </w:rPr>
        <w:t xml:space="preserve"> </w:t>
      </w:r>
      <w:r w:rsidR="000D7B6E">
        <w:rPr>
          <w:iCs/>
        </w:rPr>
        <w:t>b</w:t>
      </w:r>
      <w:r w:rsidR="00F15F84" w:rsidRPr="0056346C">
        <w:rPr>
          <w:iCs/>
        </w:rPr>
        <w:t xml:space="preserve">enchmarking </w:t>
      </w:r>
      <w:r w:rsidR="000D7B6E">
        <w:rPr>
          <w:iCs/>
        </w:rPr>
        <w:t>m</w:t>
      </w:r>
      <w:r w:rsidR="00F15F84" w:rsidRPr="0056346C">
        <w:rPr>
          <w:iCs/>
        </w:rPr>
        <w:t xml:space="preserve">ission to </w:t>
      </w:r>
      <w:r w:rsidR="0073507F" w:rsidRPr="0056346C">
        <w:rPr>
          <w:iCs/>
        </w:rPr>
        <w:t xml:space="preserve">the </w:t>
      </w:r>
      <w:r w:rsidR="00F562BE" w:rsidRPr="0056346C">
        <w:rPr>
          <w:iCs/>
        </w:rPr>
        <w:t>Kavango</w:t>
      </w:r>
      <w:r w:rsidR="000520D4">
        <w:rPr>
          <w:iCs/>
        </w:rPr>
        <w:t>–</w:t>
      </w:r>
      <w:r w:rsidR="00F562BE" w:rsidRPr="0056346C">
        <w:rPr>
          <w:iCs/>
        </w:rPr>
        <w:t>Zambezi (KAZA)</w:t>
      </w:r>
      <w:r w:rsidR="00F15F84" w:rsidRPr="0056346C">
        <w:rPr>
          <w:iCs/>
        </w:rPr>
        <w:t xml:space="preserve"> TFCA (August 2024, Kasane</w:t>
      </w:r>
      <w:r w:rsidR="000D7B6E">
        <w:rPr>
          <w:iCs/>
        </w:rPr>
        <w:t>,</w:t>
      </w:r>
      <w:r w:rsidR="00F15F84" w:rsidRPr="0056346C">
        <w:rPr>
          <w:iCs/>
        </w:rPr>
        <w:t xml:space="preserve"> Botswana)</w:t>
      </w:r>
      <w:r w:rsidR="0073507F" w:rsidRPr="0056346C">
        <w:rPr>
          <w:iCs/>
        </w:rPr>
        <w:t>, p</w:t>
      </w:r>
      <w:r w:rsidR="00F15F84" w:rsidRPr="0056346C">
        <w:rPr>
          <w:iCs/>
        </w:rPr>
        <w:t>rovid</w:t>
      </w:r>
      <w:r w:rsidR="0073507F" w:rsidRPr="0056346C">
        <w:rPr>
          <w:iCs/>
        </w:rPr>
        <w:t>ing</w:t>
      </w:r>
      <w:r w:rsidR="00F15F84" w:rsidRPr="0056346C">
        <w:rPr>
          <w:iCs/>
        </w:rPr>
        <w:t xml:space="preserve"> insights into </w:t>
      </w:r>
      <w:r w:rsidR="00580D79" w:rsidRPr="0056346C">
        <w:rPr>
          <w:iCs/>
        </w:rPr>
        <w:t xml:space="preserve">the </w:t>
      </w:r>
      <w:r w:rsidR="00F15F84" w:rsidRPr="0056346C">
        <w:rPr>
          <w:iCs/>
        </w:rPr>
        <w:t>success of this model and the modalities for establish</w:t>
      </w:r>
      <w:r w:rsidR="00EA5CD0">
        <w:rPr>
          <w:iCs/>
        </w:rPr>
        <w:t>ing</w:t>
      </w:r>
      <w:r w:rsidR="00F15F84" w:rsidRPr="0056346C">
        <w:rPr>
          <w:iCs/>
        </w:rPr>
        <w:t xml:space="preserve"> </w:t>
      </w:r>
      <w:r w:rsidR="00EA5CD0">
        <w:rPr>
          <w:iCs/>
        </w:rPr>
        <w:t>a</w:t>
      </w:r>
      <w:r w:rsidR="00553E7C">
        <w:rPr>
          <w:iCs/>
        </w:rPr>
        <w:t>n effective</w:t>
      </w:r>
      <w:r w:rsidR="00F15F84" w:rsidRPr="0056346C">
        <w:rPr>
          <w:iCs/>
        </w:rPr>
        <w:t xml:space="preserve"> TFCA</w:t>
      </w:r>
      <w:r w:rsidR="002F46FD" w:rsidRPr="000340E7">
        <w:rPr>
          <w:iCs/>
          <w:color w:val="000000" w:themeColor="text1"/>
        </w:rPr>
        <w:t>, including</w:t>
      </w:r>
      <w:r w:rsidR="00F15F84" w:rsidRPr="000340E7">
        <w:rPr>
          <w:iCs/>
          <w:color w:val="000000" w:themeColor="text1"/>
        </w:rPr>
        <w:t xml:space="preserve"> </w:t>
      </w:r>
      <w:r w:rsidR="00F15F84" w:rsidRPr="0056346C">
        <w:rPr>
          <w:iCs/>
        </w:rPr>
        <w:t xml:space="preserve">governance structures and </w:t>
      </w:r>
      <w:r w:rsidR="002F46FD">
        <w:rPr>
          <w:iCs/>
        </w:rPr>
        <w:t xml:space="preserve">measures to </w:t>
      </w:r>
      <w:r w:rsidR="00F15F84" w:rsidRPr="0056346C">
        <w:rPr>
          <w:iCs/>
        </w:rPr>
        <w:t>mitigat</w:t>
      </w:r>
      <w:r w:rsidR="002F46FD">
        <w:rPr>
          <w:iCs/>
        </w:rPr>
        <w:t>e</w:t>
      </w:r>
      <w:r w:rsidR="00F15F84" w:rsidRPr="0056346C">
        <w:rPr>
          <w:iCs/>
        </w:rPr>
        <w:t xml:space="preserve"> conservation challenges</w:t>
      </w:r>
      <w:r w:rsidR="00580D79" w:rsidRPr="0056346C">
        <w:rPr>
          <w:iCs/>
        </w:rPr>
        <w:t xml:space="preserve">; </w:t>
      </w:r>
    </w:p>
    <w:p w14:paraId="69E14B58" w14:textId="29190839" w:rsidR="00F15F84" w:rsidRPr="0056346C" w:rsidRDefault="00D50A6D" w:rsidP="00B97955">
      <w:pPr>
        <w:pStyle w:val="ListParagraph"/>
        <w:numPr>
          <w:ilvl w:val="0"/>
          <w:numId w:val="33"/>
        </w:numPr>
        <w:spacing w:after="0" w:line="240" w:lineRule="auto"/>
        <w:contextualSpacing w:val="0"/>
        <w:jc w:val="both"/>
        <w:rPr>
          <w:iCs/>
        </w:rPr>
      </w:pPr>
      <w:r>
        <w:rPr>
          <w:iCs/>
        </w:rPr>
        <w:t>c</w:t>
      </w:r>
      <w:r w:rsidR="00F15F84" w:rsidRPr="0056346C">
        <w:rPr>
          <w:iCs/>
        </w:rPr>
        <w:t xml:space="preserve">onsultative </w:t>
      </w:r>
      <w:r w:rsidR="00580D79" w:rsidRPr="0056346C">
        <w:rPr>
          <w:iCs/>
        </w:rPr>
        <w:t xml:space="preserve">meetings </w:t>
      </w:r>
      <w:r w:rsidR="00467013" w:rsidRPr="0056346C">
        <w:rPr>
          <w:iCs/>
        </w:rPr>
        <w:t xml:space="preserve">between </w:t>
      </w:r>
      <w:r w:rsidR="00F15F84" w:rsidRPr="0056346C">
        <w:rPr>
          <w:iCs/>
        </w:rPr>
        <w:t>Kenya</w:t>
      </w:r>
      <w:r w:rsidR="00467013" w:rsidRPr="0056346C">
        <w:rPr>
          <w:iCs/>
        </w:rPr>
        <w:t xml:space="preserve"> and </w:t>
      </w:r>
      <w:r w:rsidR="00F15F84" w:rsidRPr="0056346C">
        <w:rPr>
          <w:iCs/>
        </w:rPr>
        <w:t xml:space="preserve">Tanzania </w:t>
      </w:r>
      <w:r w:rsidR="00467013" w:rsidRPr="0056346C">
        <w:rPr>
          <w:iCs/>
        </w:rPr>
        <w:t xml:space="preserve">at the technical level </w:t>
      </w:r>
      <w:r w:rsidR="00F15F84" w:rsidRPr="0056346C">
        <w:rPr>
          <w:iCs/>
        </w:rPr>
        <w:t>(September 2024, Arusha</w:t>
      </w:r>
      <w:r w:rsidR="00763C10">
        <w:rPr>
          <w:iCs/>
        </w:rPr>
        <w:t>,</w:t>
      </w:r>
      <w:r w:rsidR="00F15F84" w:rsidRPr="0056346C">
        <w:rPr>
          <w:iCs/>
        </w:rPr>
        <w:t xml:space="preserve"> Tanzania)</w:t>
      </w:r>
      <w:r w:rsidR="00763C10">
        <w:rPr>
          <w:iCs/>
        </w:rPr>
        <w:t xml:space="preserve"> to</w:t>
      </w:r>
      <w:r w:rsidR="00467013" w:rsidRPr="0056346C">
        <w:rPr>
          <w:iCs/>
        </w:rPr>
        <w:t xml:space="preserve"> </w:t>
      </w:r>
      <w:r w:rsidR="00DA4A11" w:rsidRPr="0056346C">
        <w:rPr>
          <w:iCs/>
        </w:rPr>
        <w:t>r</w:t>
      </w:r>
      <w:r w:rsidR="00F15F84" w:rsidRPr="0056346C">
        <w:rPr>
          <w:iCs/>
        </w:rPr>
        <w:t>eview the outcomes of the gap analysis and benchmarking mission</w:t>
      </w:r>
      <w:r w:rsidR="00DA4A11" w:rsidRPr="0056346C">
        <w:rPr>
          <w:iCs/>
        </w:rPr>
        <w:t xml:space="preserve"> and</w:t>
      </w:r>
      <w:r w:rsidR="00F15F84" w:rsidRPr="0056346C">
        <w:rPr>
          <w:iCs/>
        </w:rPr>
        <w:t xml:space="preserve"> provid</w:t>
      </w:r>
      <w:r w:rsidR="00763C10">
        <w:rPr>
          <w:iCs/>
        </w:rPr>
        <w:t>e</w:t>
      </w:r>
      <w:r w:rsidR="00F15F84" w:rsidRPr="0056346C">
        <w:rPr>
          <w:iCs/>
        </w:rPr>
        <w:t xml:space="preserve"> recommendations for the two governments’ consideration. </w:t>
      </w:r>
    </w:p>
    <w:p w14:paraId="50FD79DA" w14:textId="77777777" w:rsidR="00DA4A11" w:rsidRPr="008D49DE" w:rsidRDefault="00DA4A11" w:rsidP="0056346C">
      <w:pPr>
        <w:pStyle w:val="ListParagraph"/>
        <w:spacing w:after="0" w:line="240" w:lineRule="auto"/>
        <w:ind w:left="567" w:hanging="567"/>
        <w:contextualSpacing w:val="0"/>
        <w:jc w:val="both"/>
        <w:rPr>
          <w:iCs/>
        </w:rPr>
      </w:pPr>
    </w:p>
    <w:p w14:paraId="39AEC77E" w14:textId="253CFAB9" w:rsidR="002947B9" w:rsidRDefault="002F46FD" w:rsidP="0056346C">
      <w:pPr>
        <w:pStyle w:val="ListParagraph"/>
        <w:numPr>
          <w:ilvl w:val="0"/>
          <w:numId w:val="12"/>
        </w:numPr>
        <w:spacing w:after="0" w:line="240" w:lineRule="auto"/>
        <w:ind w:left="567" w:hanging="567"/>
        <w:contextualSpacing w:val="0"/>
        <w:jc w:val="both"/>
        <w:rPr>
          <w:iCs/>
        </w:rPr>
      </w:pPr>
      <w:r>
        <w:rPr>
          <w:iCs/>
        </w:rPr>
        <w:t>At</w:t>
      </w:r>
      <w:r w:rsidR="00DC3616">
        <w:rPr>
          <w:iCs/>
        </w:rPr>
        <w:t xml:space="preserve"> the request of the Governments of the Democratic Republic of the Congo and </w:t>
      </w:r>
      <w:r w:rsidR="00FD5371">
        <w:rPr>
          <w:iCs/>
        </w:rPr>
        <w:t>Zambia</w:t>
      </w:r>
      <w:r w:rsidR="00C75FA2">
        <w:rPr>
          <w:iCs/>
        </w:rPr>
        <w:t xml:space="preserve">, </w:t>
      </w:r>
      <w:r w:rsidR="00FD5371">
        <w:rPr>
          <w:iCs/>
        </w:rPr>
        <w:t xml:space="preserve">the CMS Secretariat </w:t>
      </w:r>
      <w:r w:rsidR="004F6911">
        <w:rPr>
          <w:iCs/>
        </w:rPr>
        <w:t>commissioned</w:t>
      </w:r>
      <w:r w:rsidR="00FD5371">
        <w:rPr>
          <w:iCs/>
        </w:rPr>
        <w:t xml:space="preserve"> a feasibility study for </w:t>
      </w:r>
      <w:r w:rsidR="00384CCA">
        <w:rPr>
          <w:iCs/>
        </w:rPr>
        <w:t>establishing</w:t>
      </w:r>
      <w:r w:rsidR="00FD5371">
        <w:rPr>
          <w:iCs/>
        </w:rPr>
        <w:t xml:space="preserve"> a TFCA </w:t>
      </w:r>
      <w:r w:rsidR="003C35AA">
        <w:rPr>
          <w:iCs/>
        </w:rPr>
        <w:t xml:space="preserve">in the </w:t>
      </w:r>
      <w:proofErr w:type="spellStart"/>
      <w:r w:rsidR="003C35AA">
        <w:rPr>
          <w:iCs/>
        </w:rPr>
        <w:t>Mutsha</w:t>
      </w:r>
      <w:r w:rsidR="001742D2">
        <w:rPr>
          <w:iCs/>
        </w:rPr>
        <w:t>t</w:t>
      </w:r>
      <w:r w:rsidR="003C35AA">
        <w:rPr>
          <w:iCs/>
        </w:rPr>
        <w:t>sha</w:t>
      </w:r>
      <w:proofErr w:type="spellEnd"/>
      <w:r w:rsidR="00C75FA2">
        <w:rPr>
          <w:iCs/>
        </w:rPr>
        <w:t>–Kasan</w:t>
      </w:r>
      <w:r w:rsidR="001742D2">
        <w:rPr>
          <w:iCs/>
        </w:rPr>
        <w:t>g</w:t>
      </w:r>
      <w:r w:rsidR="00C75FA2">
        <w:rPr>
          <w:iCs/>
        </w:rPr>
        <w:t>a ecosystem</w:t>
      </w:r>
      <w:r w:rsidR="00C46711">
        <w:rPr>
          <w:iCs/>
        </w:rPr>
        <w:t xml:space="preserve">. The </w:t>
      </w:r>
      <w:r w:rsidR="00B04AC7">
        <w:rPr>
          <w:iCs/>
        </w:rPr>
        <w:t xml:space="preserve">proposed </w:t>
      </w:r>
      <w:r w:rsidR="00C46711">
        <w:rPr>
          <w:iCs/>
        </w:rPr>
        <w:t xml:space="preserve">delineation of this TFCA </w:t>
      </w:r>
      <w:r w:rsidR="001742D2">
        <w:rPr>
          <w:iCs/>
        </w:rPr>
        <w:t xml:space="preserve">is </w:t>
      </w:r>
      <w:r w:rsidR="00C46711">
        <w:rPr>
          <w:iCs/>
        </w:rPr>
        <w:t xml:space="preserve">based on </w:t>
      </w:r>
      <w:r w:rsidR="001742D2">
        <w:rPr>
          <w:iCs/>
        </w:rPr>
        <w:t xml:space="preserve">the </w:t>
      </w:r>
      <w:r w:rsidR="00C46711">
        <w:rPr>
          <w:iCs/>
        </w:rPr>
        <w:t>habitat of migratory bats</w:t>
      </w:r>
      <w:r w:rsidR="000503F6">
        <w:rPr>
          <w:iCs/>
        </w:rPr>
        <w:t xml:space="preserve">. </w:t>
      </w:r>
    </w:p>
    <w:p w14:paraId="087979B5" w14:textId="77777777" w:rsidR="00354818" w:rsidRPr="00354818" w:rsidRDefault="00354818" w:rsidP="0056346C">
      <w:pPr>
        <w:pStyle w:val="ListParagraph"/>
        <w:spacing w:after="0" w:line="240" w:lineRule="auto"/>
        <w:ind w:left="567" w:hanging="567"/>
        <w:contextualSpacing w:val="0"/>
        <w:rPr>
          <w:iCs/>
        </w:rPr>
      </w:pPr>
    </w:p>
    <w:p w14:paraId="74660277" w14:textId="5CFE0468" w:rsidR="00354818" w:rsidRDefault="00F562BE" w:rsidP="0056346C">
      <w:pPr>
        <w:pStyle w:val="ListParagraph"/>
        <w:numPr>
          <w:ilvl w:val="0"/>
          <w:numId w:val="12"/>
        </w:numPr>
        <w:spacing w:after="0" w:line="240" w:lineRule="auto"/>
        <w:ind w:left="567" w:hanging="567"/>
        <w:contextualSpacing w:val="0"/>
        <w:jc w:val="both"/>
        <w:rPr>
          <w:iCs/>
        </w:rPr>
      </w:pPr>
      <w:r>
        <w:rPr>
          <w:iCs/>
        </w:rPr>
        <w:lastRenderedPageBreak/>
        <w:t xml:space="preserve">In July 2024, </w:t>
      </w:r>
      <w:r w:rsidR="00DD08F7">
        <w:rPr>
          <w:iCs/>
        </w:rPr>
        <w:t xml:space="preserve">the CMS Secretariat, in cooperation with IUCN, organized </w:t>
      </w:r>
      <w:r>
        <w:rPr>
          <w:iCs/>
        </w:rPr>
        <w:t>a</w:t>
      </w:r>
      <w:r w:rsidR="00354818">
        <w:rPr>
          <w:iCs/>
        </w:rPr>
        <w:t xml:space="preserve"> high-level visit </w:t>
      </w:r>
      <w:r w:rsidR="00E133F1">
        <w:rPr>
          <w:iCs/>
        </w:rPr>
        <w:t>of representatives of the member states of the East African Community</w:t>
      </w:r>
      <w:r w:rsidR="0052197F">
        <w:rPr>
          <w:iCs/>
        </w:rPr>
        <w:t xml:space="preserve"> </w:t>
      </w:r>
      <w:r w:rsidR="0063464D">
        <w:rPr>
          <w:iCs/>
        </w:rPr>
        <w:t xml:space="preserve">to </w:t>
      </w:r>
      <w:r w:rsidR="0086037A">
        <w:rPr>
          <w:iCs/>
        </w:rPr>
        <w:t>the SADC</w:t>
      </w:r>
      <w:r w:rsidR="002F500E">
        <w:rPr>
          <w:iCs/>
        </w:rPr>
        <w:t xml:space="preserve"> Secretariat</w:t>
      </w:r>
      <w:r w:rsidR="0086037A">
        <w:rPr>
          <w:iCs/>
        </w:rPr>
        <w:t xml:space="preserve"> and </w:t>
      </w:r>
      <w:r w:rsidR="00577ADA">
        <w:rPr>
          <w:iCs/>
        </w:rPr>
        <w:t>the KAZA</w:t>
      </w:r>
      <w:r>
        <w:rPr>
          <w:iCs/>
        </w:rPr>
        <w:t xml:space="preserve"> </w:t>
      </w:r>
      <w:r w:rsidR="00577ADA">
        <w:rPr>
          <w:iCs/>
        </w:rPr>
        <w:t>TFCA in Botswana</w:t>
      </w:r>
      <w:r w:rsidR="0052197F">
        <w:rPr>
          <w:iCs/>
        </w:rPr>
        <w:t>.</w:t>
      </w:r>
      <w:r w:rsidR="00F63EA9">
        <w:rPr>
          <w:iCs/>
        </w:rPr>
        <w:t xml:space="preserve"> </w:t>
      </w:r>
    </w:p>
    <w:p w14:paraId="76EBCE34" w14:textId="77777777" w:rsidR="002947B9" w:rsidRDefault="002947B9" w:rsidP="00852DB3">
      <w:pPr>
        <w:pStyle w:val="ListParagraph"/>
        <w:spacing w:after="0" w:line="240" w:lineRule="auto"/>
        <w:ind w:left="426"/>
        <w:contextualSpacing w:val="0"/>
        <w:jc w:val="both"/>
        <w:rPr>
          <w:iCs/>
        </w:rPr>
      </w:pPr>
    </w:p>
    <w:p w14:paraId="18A7BCDF" w14:textId="0A688610" w:rsidR="00EE4DE6" w:rsidRPr="00B56576" w:rsidRDefault="00733000" w:rsidP="0056346C">
      <w:pPr>
        <w:spacing w:after="0" w:line="240" w:lineRule="auto"/>
        <w:jc w:val="both"/>
        <w:rPr>
          <w:i/>
        </w:rPr>
      </w:pPr>
      <w:r w:rsidRPr="00B56576">
        <w:rPr>
          <w:i/>
        </w:rPr>
        <w:t>Result 3.3: Harmonization of legislation pertaining to wildlife conservation, management and crime promoted and supported:</w:t>
      </w:r>
    </w:p>
    <w:p w14:paraId="703F5A34" w14:textId="77777777" w:rsidR="009B713D" w:rsidRPr="00B56576" w:rsidRDefault="009B713D" w:rsidP="00852DB3">
      <w:pPr>
        <w:pStyle w:val="ListParagraph"/>
        <w:spacing w:after="0" w:line="240" w:lineRule="auto"/>
        <w:ind w:left="426"/>
        <w:contextualSpacing w:val="0"/>
        <w:jc w:val="both"/>
        <w:rPr>
          <w:i/>
        </w:rPr>
      </w:pPr>
    </w:p>
    <w:p w14:paraId="109485A6" w14:textId="0D39C363" w:rsidR="009B713D" w:rsidRPr="00B56576" w:rsidRDefault="00FC4C40" w:rsidP="0056346C">
      <w:pPr>
        <w:pStyle w:val="ListParagraph"/>
        <w:numPr>
          <w:ilvl w:val="0"/>
          <w:numId w:val="12"/>
        </w:numPr>
        <w:spacing w:after="0" w:line="240" w:lineRule="auto"/>
        <w:ind w:left="567" w:hanging="567"/>
        <w:contextualSpacing w:val="0"/>
        <w:jc w:val="both"/>
        <w:rPr>
          <w:iCs/>
        </w:rPr>
      </w:pPr>
      <w:r w:rsidRPr="00B56576">
        <w:rPr>
          <w:iCs/>
        </w:rPr>
        <w:t xml:space="preserve">All activities </w:t>
      </w:r>
      <w:r w:rsidR="001935BA" w:rsidRPr="00B56576">
        <w:rPr>
          <w:iCs/>
        </w:rPr>
        <w:t>were</w:t>
      </w:r>
      <w:r w:rsidRPr="00B56576">
        <w:rPr>
          <w:iCs/>
        </w:rPr>
        <w:t xml:space="preserve"> finalized in 2021</w:t>
      </w:r>
      <w:r w:rsidR="001903ED" w:rsidRPr="00B56576">
        <w:rPr>
          <w:iCs/>
        </w:rPr>
        <w:t xml:space="preserve">, as set out in </w:t>
      </w:r>
      <w:hyperlink r:id="rId17" w:history="1">
        <w:r w:rsidR="00F972A1" w:rsidRPr="00B56576">
          <w:rPr>
            <w:rStyle w:val="Hyperlink"/>
            <w:iCs/>
          </w:rPr>
          <w:t>UNEP/CMS/COP14/Doc.30.2.2/Rev.2</w:t>
        </w:r>
      </w:hyperlink>
      <w:r w:rsidRPr="00B56576">
        <w:rPr>
          <w:iCs/>
        </w:rPr>
        <w:t>.</w:t>
      </w:r>
    </w:p>
    <w:p w14:paraId="6E8966EC" w14:textId="77777777" w:rsidR="00FB014F" w:rsidRPr="00B56576" w:rsidRDefault="00FB014F" w:rsidP="00852DB3">
      <w:pPr>
        <w:pStyle w:val="ListParagraph"/>
        <w:spacing w:after="0" w:line="240" w:lineRule="auto"/>
        <w:contextualSpacing w:val="0"/>
        <w:rPr>
          <w:i/>
        </w:rPr>
      </w:pPr>
    </w:p>
    <w:p w14:paraId="6460D785" w14:textId="2F7EBE83" w:rsidR="00FB014F" w:rsidRPr="00FB014F" w:rsidRDefault="00FB014F" w:rsidP="00106303">
      <w:pPr>
        <w:spacing w:after="0" w:line="240" w:lineRule="auto"/>
        <w:jc w:val="both"/>
      </w:pPr>
      <w:r w:rsidRPr="00B56576">
        <w:rPr>
          <w:i/>
          <w:iCs/>
        </w:rPr>
        <w:t>Result</w:t>
      </w:r>
      <w:r w:rsidRPr="00B56576">
        <w:t xml:space="preserve"> </w:t>
      </w:r>
      <w:r w:rsidRPr="00B56576">
        <w:rPr>
          <w:i/>
        </w:rPr>
        <w:t>3.4: Ecosystem/landscape management plans and/or protected area co-management plans prepared for TFCAs and formally approved by the responsible management authorities</w:t>
      </w:r>
      <w:r w:rsidRPr="00B56576">
        <w:t xml:space="preserve">; and </w:t>
      </w:r>
      <w:r w:rsidRPr="00B56576">
        <w:rPr>
          <w:i/>
        </w:rPr>
        <w:t>Result 3.5: Approved management actions implemented in the TFCAs according to jointly-agreed priorities</w:t>
      </w:r>
      <w:r w:rsidRPr="00B56576">
        <w:t>:</w:t>
      </w:r>
      <w:r w:rsidRPr="00FB014F">
        <w:t xml:space="preserve"> </w:t>
      </w:r>
    </w:p>
    <w:p w14:paraId="76B582A4" w14:textId="7238F642" w:rsidR="00AB325C" w:rsidRDefault="00AB325C" w:rsidP="00852DB3">
      <w:pPr>
        <w:pStyle w:val="ListParagraph"/>
        <w:spacing w:after="0" w:line="240" w:lineRule="auto"/>
        <w:ind w:left="426"/>
        <w:contextualSpacing w:val="0"/>
        <w:jc w:val="both"/>
      </w:pPr>
    </w:p>
    <w:p w14:paraId="03EDB39A" w14:textId="71853069" w:rsidR="00C51BEC" w:rsidRDefault="00854471" w:rsidP="00E02570">
      <w:pPr>
        <w:pStyle w:val="ListParagraph"/>
        <w:numPr>
          <w:ilvl w:val="0"/>
          <w:numId w:val="12"/>
        </w:numPr>
        <w:spacing w:after="80" w:line="240" w:lineRule="auto"/>
        <w:ind w:left="567" w:hanging="567"/>
        <w:contextualSpacing w:val="0"/>
        <w:jc w:val="both"/>
      </w:pPr>
      <w:r>
        <w:t xml:space="preserve">Upon the request of the relevant Range States, the </w:t>
      </w:r>
      <w:r w:rsidR="00D91DFF">
        <w:t xml:space="preserve">CMS </w:t>
      </w:r>
      <w:r>
        <w:t xml:space="preserve">Secretariat </w:t>
      </w:r>
      <w:r w:rsidR="00D91DFF">
        <w:t xml:space="preserve">commissioned the preparation of </w:t>
      </w:r>
      <w:r w:rsidR="008C0AC2">
        <w:t>the following m</w:t>
      </w:r>
      <w:r w:rsidR="004539F3">
        <w:t xml:space="preserve">anagement </w:t>
      </w:r>
      <w:r w:rsidR="008C0AC2">
        <w:t>p</w:t>
      </w:r>
      <w:r w:rsidR="004539F3">
        <w:t>lans</w:t>
      </w:r>
      <w:r w:rsidR="00232086">
        <w:t xml:space="preserve"> and </w:t>
      </w:r>
      <w:r w:rsidR="00B752EC">
        <w:t>s</w:t>
      </w:r>
      <w:r w:rsidR="00232086">
        <w:t>trategies</w:t>
      </w:r>
      <w:r w:rsidR="004539F3">
        <w:t>:</w:t>
      </w:r>
    </w:p>
    <w:p w14:paraId="5501E7E9" w14:textId="7EA2DE06" w:rsidR="00834329" w:rsidRDefault="004539F3" w:rsidP="00E02570">
      <w:pPr>
        <w:pStyle w:val="ListParagraph"/>
        <w:numPr>
          <w:ilvl w:val="0"/>
          <w:numId w:val="21"/>
        </w:numPr>
        <w:spacing w:after="80" w:line="240" w:lineRule="auto"/>
        <w:ind w:left="964" w:hanging="397"/>
        <w:contextualSpacing w:val="0"/>
        <w:jc w:val="both"/>
      </w:pPr>
      <w:r>
        <w:t>Joint Strategic Management Plan</w:t>
      </w:r>
      <w:r w:rsidR="008D2A9D" w:rsidRPr="008D2A9D">
        <w:t xml:space="preserve"> </w:t>
      </w:r>
      <w:r w:rsidR="008D2A9D">
        <w:t>for the Great Limpopo TFCA</w:t>
      </w:r>
      <w:r w:rsidR="00854471">
        <w:t xml:space="preserve"> </w:t>
      </w:r>
      <w:r w:rsidR="003572D6">
        <w:t>(</w:t>
      </w:r>
      <w:r w:rsidR="00EB6713" w:rsidRPr="00CC2BFB">
        <w:rPr>
          <w:rFonts w:cs="Arial"/>
          <w:lang w:val="en-GB"/>
        </w:rPr>
        <w:t>Mozambique, South Africa, Zimbabwe</w:t>
      </w:r>
      <w:r w:rsidR="00EB6713">
        <w:rPr>
          <w:rFonts w:cs="Arial"/>
          <w:lang w:val="en-GB"/>
        </w:rPr>
        <w:t>)</w:t>
      </w:r>
    </w:p>
    <w:p w14:paraId="4E633D2F" w14:textId="752A960F" w:rsidR="00834329" w:rsidRDefault="004539F3" w:rsidP="00E02570">
      <w:pPr>
        <w:pStyle w:val="ListParagraph"/>
        <w:numPr>
          <w:ilvl w:val="0"/>
          <w:numId w:val="21"/>
        </w:numPr>
        <w:spacing w:after="80" w:line="240" w:lineRule="auto"/>
        <w:ind w:left="964" w:hanging="397"/>
        <w:contextualSpacing w:val="0"/>
        <w:jc w:val="both"/>
      </w:pPr>
      <w:r>
        <w:t xml:space="preserve">Land Use </w:t>
      </w:r>
      <w:r w:rsidR="007D5E16">
        <w:t>P</w:t>
      </w:r>
      <w:r>
        <w:t>lan</w:t>
      </w:r>
      <w:r w:rsidR="00854471" w:rsidRPr="00854471">
        <w:t xml:space="preserve"> </w:t>
      </w:r>
      <w:r w:rsidR="00854471">
        <w:t xml:space="preserve">for the </w:t>
      </w:r>
      <w:r w:rsidR="00C51BEC">
        <w:t xml:space="preserve">Lower Zambesi Mana Pools (LOZAMAP) TFCA </w:t>
      </w:r>
      <w:r w:rsidR="00EB6713">
        <w:t>(</w:t>
      </w:r>
      <w:r w:rsidR="00EB6713" w:rsidRPr="00CC2BFB">
        <w:rPr>
          <w:rFonts w:cs="Arial"/>
          <w:lang w:val="en-GB"/>
        </w:rPr>
        <w:t>Zambia and Zimbabwe</w:t>
      </w:r>
      <w:r w:rsidR="00EB6713">
        <w:rPr>
          <w:rFonts w:cs="Arial"/>
          <w:lang w:val="en-GB"/>
        </w:rPr>
        <w:t>)</w:t>
      </w:r>
    </w:p>
    <w:p w14:paraId="0B33F3BB" w14:textId="49BF368E" w:rsidR="00834329" w:rsidRDefault="009C2805" w:rsidP="00E02570">
      <w:pPr>
        <w:pStyle w:val="ListParagraph"/>
        <w:numPr>
          <w:ilvl w:val="0"/>
          <w:numId w:val="21"/>
        </w:numPr>
        <w:spacing w:after="80" w:line="240" w:lineRule="auto"/>
        <w:ind w:left="964" w:hanging="397"/>
        <w:contextualSpacing w:val="0"/>
        <w:jc w:val="both"/>
      </w:pPr>
      <w:r>
        <w:t xml:space="preserve">Situational Analysis as basis for the </w:t>
      </w:r>
      <w:r w:rsidR="004539F3">
        <w:t xml:space="preserve">Integrated Elephant Management Plan for Tembe and Maputo Parks </w:t>
      </w:r>
      <w:r>
        <w:t xml:space="preserve">in the </w:t>
      </w:r>
      <w:r w:rsidR="004539F3">
        <w:t>Lubombo TFCA</w:t>
      </w:r>
      <w:r>
        <w:t xml:space="preserve"> (</w:t>
      </w:r>
      <w:r w:rsidR="0096460F">
        <w:t>Es</w:t>
      </w:r>
      <w:r w:rsidR="00CC74B0" w:rsidRPr="00CC74B0">
        <w:t>watini, Mozambique and South Africa</w:t>
      </w:r>
      <w:r w:rsidR="00587BCD">
        <w:t>)</w:t>
      </w:r>
      <w:r w:rsidR="004539F3">
        <w:t xml:space="preserve"> </w:t>
      </w:r>
    </w:p>
    <w:p w14:paraId="1E6BD93B" w14:textId="261E3B67" w:rsidR="00834329" w:rsidRDefault="004539F3" w:rsidP="00E02570">
      <w:pPr>
        <w:pStyle w:val="ListParagraph"/>
        <w:numPr>
          <w:ilvl w:val="0"/>
          <w:numId w:val="21"/>
        </w:numPr>
        <w:spacing w:after="80" w:line="240" w:lineRule="auto"/>
        <w:ind w:left="993" w:hanging="426"/>
        <w:contextualSpacing w:val="0"/>
        <w:jc w:val="both"/>
      </w:pPr>
      <w:r>
        <w:t>National Giraffe Conservation Strategy and Management Plan for Zimbabwe</w:t>
      </w:r>
    </w:p>
    <w:p w14:paraId="0B55E801" w14:textId="26BC6972" w:rsidR="00834329" w:rsidRDefault="007645C4" w:rsidP="00E02570">
      <w:pPr>
        <w:pStyle w:val="ListParagraph"/>
        <w:numPr>
          <w:ilvl w:val="0"/>
          <w:numId w:val="21"/>
        </w:numPr>
        <w:spacing w:after="80" w:line="240" w:lineRule="auto"/>
        <w:ind w:left="993" w:hanging="426"/>
        <w:contextualSpacing w:val="0"/>
        <w:jc w:val="both"/>
      </w:pPr>
      <w:r>
        <w:t xml:space="preserve">Approach for a </w:t>
      </w:r>
      <w:r w:rsidR="004539F3">
        <w:t xml:space="preserve">Joint Operations Strategy for the Kosi Bay/Ponta do Ouro TFCA </w:t>
      </w:r>
      <w:r w:rsidR="000E5A98">
        <w:t>(Mozambique</w:t>
      </w:r>
      <w:r w:rsidR="00B752EC">
        <w:t xml:space="preserve"> and South Africa)</w:t>
      </w:r>
    </w:p>
    <w:p w14:paraId="782E771B" w14:textId="0EB7A239" w:rsidR="00834329" w:rsidRDefault="007819F6" w:rsidP="00E02570">
      <w:pPr>
        <w:pStyle w:val="ListParagraph"/>
        <w:numPr>
          <w:ilvl w:val="0"/>
          <w:numId w:val="21"/>
        </w:numPr>
        <w:spacing w:after="80" w:line="240" w:lineRule="auto"/>
        <w:ind w:left="993" w:hanging="426"/>
        <w:contextualSpacing w:val="0"/>
        <w:jc w:val="both"/>
      </w:pPr>
      <w:r>
        <w:t xml:space="preserve">Situational Analysis for </w:t>
      </w:r>
      <w:r w:rsidR="004539F3">
        <w:t>SADC Vulture Conservation Strategy</w:t>
      </w:r>
    </w:p>
    <w:p w14:paraId="463C3265" w14:textId="743232EA" w:rsidR="00834329" w:rsidRDefault="004539F3" w:rsidP="00E02570">
      <w:pPr>
        <w:pStyle w:val="ListParagraph"/>
        <w:numPr>
          <w:ilvl w:val="0"/>
          <w:numId w:val="21"/>
        </w:numPr>
        <w:spacing w:after="80" w:line="240" w:lineRule="auto"/>
        <w:ind w:left="993" w:hanging="426"/>
        <w:contextualSpacing w:val="0"/>
        <w:jc w:val="both"/>
      </w:pPr>
      <w:r>
        <w:t>Roadmap for the Conservation of the Leopard in Africa</w:t>
      </w:r>
      <w:r w:rsidR="00834329">
        <w:t xml:space="preserve"> (</w:t>
      </w:r>
      <w:r w:rsidR="00834329" w:rsidRPr="00D04CC2">
        <w:t xml:space="preserve">to be consulted </w:t>
      </w:r>
      <w:r w:rsidR="00270FBB" w:rsidRPr="000340E7">
        <w:t>on by</w:t>
      </w:r>
      <w:r w:rsidR="00834329" w:rsidRPr="00D04CC2">
        <w:t xml:space="preserve"> Range States)</w:t>
      </w:r>
    </w:p>
    <w:p w14:paraId="45B58F43" w14:textId="47381D78" w:rsidR="00834329" w:rsidRDefault="004539F3" w:rsidP="00E02570">
      <w:pPr>
        <w:pStyle w:val="ListParagraph"/>
        <w:numPr>
          <w:ilvl w:val="0"/>
          <w:numId w:val="21"/>
        </w:numPr>
        <w:spacing w:after="80" w:line="240" w:lineRule="auto"/>
        <w:ind w:left="993" w:hanging="426"/>
        <w:contextualSpacing w:val="0"/>
        <w:jc w:val="both"/>
      </w:pPr>
      <w:r>
        <w:t>H</w:t>
      </w:r>
      <w:r w:rsidR="009A5421">
        <w:t xml:space="preserve">uman </w:t>
      </w:r>
      <w:r>
        <w:t>W</w:t>
      </w:r>
      <w:r w:rsidR="009A5421">
        <w:t xml:space="preserve">ildlife </w:t>
      </w:r>
      <w:r>
        <w:t>C</w:t>
      </w:r>
      <w:r w:rsidR="009A5421">
        <w:t>onflict</w:t>
      </w:r>
      <w:r>
        <w:t xml:space="preserve"> Insurance Solutions in Zambia</w:t>
      </w:r>
    </w:p>
    <w:p w14:paraId="6661A861" w14:textId="5083C8C6" w:rsidR="00FC4C40" w:rsidRDefault="004539F3" w:rsidP="007B6AC4">
      <w:pPr>
        <w:pStyle w:val="ListParagraph"/>
        <w:numPr>
          <w:ilvl w:val="0"/>
          <w:numId w:val="21"/>
        </w:numPr>
        <w:spacing w:after="0" w:line="240" w:lineRule="auto"/>
        <w:ind w:left="993" w:hanging="426"/>
        <w:contextualSpacing w:val="0"/>
        <w:jc w:val="both"/>
      </w:pPr>
      <w:r>
        <w:t>Finance Solution Inventory</w:t>
      </w:r>
    </w:p>
    <w:p w14:paraId="4F95C1FC" w14:textId="77777777" w:rsidR="0070148E" w:rsidRDefault="0070148E" w:rsidP="00852DB3">
      <w:pPr>
        <w:spacing w:after="0" w:line="240" w:lineRule="auto"/>
        <w:jc w:val="both"/>
        <w:rPr>
          <w:rFonts w:cs="Arial"/>
          <w:lang w:val="en-GB"/>
        </w:rPr>
      </w:pPr>
    </w:p>
    <w:p w14:paraId="792C3A02" w14:textId="480A136F" w:rsidR="00E22BC8" w:rsidRDefault="00E22BC8" w:rsidP="00852DB3">
      <w:pPr>
        <w:spacing w:after="0" w:line="240" w:lineRule="auto"/>
        <w:jc w:val="both"/>
        <w:rPr>
          <w:rFonts w:cs="Arial"/>
          <w:u w:val="single"/>
          <w:lang w:val="en-GB"/>
        </w:rPr>
      </w:pPr>
      <w:r w:rsidRPr="004B250F">
        <w:rPr>
          <w:rFonts w:cs="Arial"/>
          <w:u w:val="single"/>
          <w:lang w:val="en-GB"/>
        </w:rPr>
        <w:t>Implementation of Decisions 14.197</w:t>
      </w:r>
      <w:r w:rsidR="004B250F" w:rsidRPr="004B250F">
        <w:rPr>
          <w:rFonts w:cs="Arial"/>
          <w:u w:val="single"/>
          <w:lang w:val="en-GB"/>
        </w:rPr>
        <w:t>–14.199</w:t>
      </w:r>
    </w:p>
    <w:p w14:paraId="4408489F" w14:textId="77777777" w:rsidR="00720EC1" w:rsidRPr="004B250F" w:rsidRDefault="00720EC1" w:rsidP="00852DB3">
      <w:pPr>
        <w:spacing w:after="0" w:line="240" w:lineRule="auto"/>
        <w:jc w:val="both"/>
        <w:rPr>
          <w:rFonts w:cs="Arial"/>
          <w:u w:val="single"/>
          <w:lang w:val="en-GB"/>
        </w:rPr>
      </w:pPr>
    </w:p>
    <w:p w14:paraId="0E5352CA" w14:textId="3BE42BE8" w:rsidR="00044D91" w:rsidRDefault="00B7542B" w:rsidP="009747A5">
      <w:pPr>
        <w:pStyle w:val="ListParagraph"/>
        <w:numPr>
          <w:ilvl w:val="0"/>
          <w:numId w:val="12"/>
        </w:numPr>
        <w:spacing w:after="0" w:line="240" w:lineRule="auto"/>
        <w:ind w:left="567" w:hanging="567"/>
        <w:contextualSpacing w:val="0"/>
        <w:jc w:val="both"/>
        <w:rPr>
          <w:rFonts w:cs="Arial"/>
        </w:rPr>
      </w:pPr>
      <w:r w:rsidRPr="00B56576">
        <w:rPr>
          <w:rFonts w:cs="Arial"/>
        </w:rPr>
        <w:t xml:space="preserve">In 2021, the CMS Secretariat commissioned the UN Environment </w:t>
      </w:r>
      <w:proofErr w:type="spellStart"/>
      <w:r w:rsidRPr="00B56576">
        <w:rPr>
          <w:rFonts w:cs="Arial"/>
        </w:rPr>
        <w:t>Programme</w:t>
      </w:r>
      <w:proofErr w:type="spellEnd"/>
      <w:r w:rsidRPr="00B56576">
        <w:rPr>
          <w:rFonts w:cs="Arial"/>
        </w:rPr>
        <w:t xml:space="preserve"> World Conservation Monitoring Centre (UNEP</w:t>
      </w:r>
      <w:r w:rsidR="0054091A" w:rsidRPr="00B56576">
        <w:rPr>
          <w:rFonts w:cs="Arial"/>
        </w:rPr>
        <w:t>–</w:t>
      </w:r>
      <w:r w:rsidRPr="00B56576">
        <w:rPr>
          <w:rFonts w:cs="Arial"/>
        </w:rPr>
        <w:t>WCMC) to develop a methodology and a new, publicly available, web-based tool to identify existing protected areas in Africa that are spatially adjacent across country boundaries, and that have the potential for harmonized management. The tool (</w:t>
      </w:r>
      <w:hyperlink r:id="rId18" w:history="1">
        <w:r w:rsidRPr="00B56576">
          <w:rPr>
            <w:rStyle w:val="Hyperlink"/>
            <w:rFonts w:cs="Arial"/>
            <w:i/>
            <w:iCs/>
          </w:rPr>
          <w:t>Identifying opportunities for transboundary conservation</w:t>
        </w:r>
      </w:hyperlink>
      <w:r w:rsidRPr="00B56576">
        <w:rPr>
          <w:rFonts w:cs="Arial"/>
        </w:rPr>
        <w:t xml:space="preserve">) is online, providing Governments and other actors with a scientific basis for establishing bilateral and multilateral TFCA agreements across Africa. The tool was launched at the African Protected Areas Congress in Rwanda in 2022. </w:t>
      </w:r>
      <w:r w:rsidR="00D0273D" w:rsidRPr="00B56576">
        <w:rPr>
          <w:rFonts w:cs="Arial"/>
        </w:rPr>
        <w:t>A</w:t>
      </w:r>
      <w:r w:rsidR="00016095" w:rsidRPr="00B56576">
        <w:rPr>
          <w:rFonts w:cs="Arial"/>
        </w:rPr>
        <w:t xml:space="preserve"> </w:t>
      </w:r>
      <w:hyperlink r:id="rId19" w:history="1">
        <w:r w:rsidR="00016095" w:rsidRPr="00B56576">
          <w:rPr>
            <w:rStyle w:val="Hyperlink"/>
            <w:rFonts w:cs="Arial"/>
          </w:rPr>
          <w:t>scientific paper</w:t>
        </w:r>
      </w:hyperlink>
      <w:r w:rsidR="00016095" w:rsidRPr="00B56576">
        <w:rPr>
          <w:rFonts w:cs="Arial"/>
        </w:rPr>
        <w:t xml:space="preserve"> </w:t>
      </w:r>
      <w:r w:rsidRPr="00B56576">
        <w:rPr>
          <w:rFonts w:cs="Arial"/>
        </w:rPr>
        <w:t xml:space="preserve">based on an analysis conducted using the tool </w:t>
      </w:r>
      <w:r w:rsidR="00081E84" w:rsidRPr="00B56576">
        <w:rPr>
          <w:rFonts w:cs="Arial"/>
        </w:rPr>
        <w:t xml:space="preserve">and </w:t>
      </w:r>
      <w:r w:rsidR="00A230F9" w:rsidRPr="00B56576">
        <w:rPr>
          <w:rFonts w:cs="Arial"/>
        </w:rPr>
        <w:t>a</w:t>
      </w:r>
      <w:r w:rsidR="00AA50B7" w:rsidRPr="00B56576">
        <w:rPr>
          <w:rFonts w:cs="Arial"/>
        </w:rPr>
        <w:t xml:space="preserve"> further</w:t>
      </w:r>
      <w:r w:rsidR="00081E84" w:rsidRPr="00B56576">
        <w:rPr>
          <w:rFonts w:cs="Arial"/>
        </w:rPr>
        <w:t xml:space="preserve"> evaluat</w:t>
      </w:r>
      <w:r w:rsidR="00A230F9" w:rsidRPr="00B56576">
        <w:rPr>
          <w:rFonts w:cs="Arial"/>
        </w:rPr>
        <w:t>ion</w:t>
      </w:r>
      <w:r w:rsidR="004C1A94" w:rsidRPr="00B56576">
        <w:rPr>
          <w:rFonts w:cs="Arial"/>
        </w:rPr>
        <w:t xml:space="preserve"> of</w:t>
      </w:r>
      <w:r w:rsidR="00081E84" w:rsidRPr="00B56576">
        <w:rPr>
          <w:rFonts w:cs="Arial"/>
        </w:rPr>
        <w:t xml:space="preserve"> </w:t>
      </w:r>
      <w:r w:rsidR="002B74D7" w:rsidRPr="00B56576">
        <w:rPr>
          <w:rFonts w:cs="Arial"/>
        </w:rPr>
        <w:t xml:space="preserve">the functional connectivity between </w:t>
      </w:r>
      <w:r w:rsidR="004C1A94" w:rsidRPr="00B56576">
        <w:rPr>
          <w:rFonts w:cs="Arial"/>
        </w:rPr>
        <w:t xml:space="preserve">pairs of </w:t>
      </w:r>
      <w:r w:rsidR="002B74D7" w:rsidRPr="00B56576">
        <w:rPr>
          <w:rFonts w:cs="Arial"/>
        </w:rPr>
        <w:t xml:space="preserve">Protected Areas, </w:t>
      </w:r>
      <w:r w:rsidR="000A10AC" w:rsidRPr="00B56576">
        <w:rPr>
          <w:rFonts w:cs="Arial"/>
        </w:rPr>
        <w:t xml:space="preserve">was </w:t>
      </w:r>
      <w:r w:rsidRPr="00B56576">
        <w:rPr>
          <w:rFonts w:cs="Arial"/>
        </w:rPr>
        <w:t>published in</w:t>
      </w:r>
      <w:r w:rsidR="000A10AC" w:rsidRPr="00B56576">
        <w:rPr>
          <w:rFonts w:cs="Arial"/>
        </w:rPr>
        <w:t xml:space="preserve"> </w:t>
      </w:r>
      <w:r w:rsidR="00FB319B" w:rsidRPr="00B56576">
        <w:rPr>
          <w:rFonts w:cs="Arial"/>
        </w:rPr>
        <w:t xml:space="preserve">the journal, </w:t>
      </w:r>
      <w:r w:rsidR="00D7717D" w:rsidRPr="00B56576">
        <w:rPr>
          <w:rFonts w:cs="Arial"/>
        </w:rPr>
        <w:t>‘</w:t>
      </w:r>
      <w:r w:rsidR="00044D91" w:rsidRPr="00B56576">
        <w:rPr>
          <w:rFonts w:cs="Arial"/>
        </w:rPr>
        <w:t>Frontiers in Conservation Science</w:t>
      </w:r>
      <w:r w:rsidR="00D7717D" w:rsidRPr="00B56576">
        <w:rPr>
          <w:rFonts w:cs="Arial"/>
        </w:rPr>
        <w:t>’</w:t>
      </w:r>
      <w:r w:rsidR="00583DF6" w:rsidRPr="00B56576">
        <w:rPr>
          <w:rFonts w:cs="Arial"/>
        </w:rPr>
        <w:t>,</w:t>
      </w:r>
      <w:r w:rsidR="00044D91" w:rsidRPr="00B56576">
        <w:rPr>
          <w:rFonts w:cs="Arial"/>
        </w:rPr>
        <w:t xml:space="preserve"> </w:t>
      </w:r>
      <w:r w:rsidR="00F25C64" w:rsidRPr="00B56576">
        <w:rPr>
          <w:rFonts w:cs="Arial"/>
        </w:rPr>
        <w:t>in August 2023</w:t>
      </w:r>
      <w:r w:rsidR="000C7F3D" w:rsidRPr="00B56576">
        <w:rPr>
          <w:rFonts w:cs="Arial"/>
        </w:rPr>
        <w:t>.</w:t>
      </w:r>
    </w:p>
    <w:p w14:paraId="3CBEC621" w14:textId="77777777" w:rsidR="0056586B" w:rsidRPr="00B56576" w:rsidRDefault="0056586B" w:rsidP="0056586B">
      <w:pPr>
        <w:pStyle w:val="ListParagraph"/>
        <w:spacing w:after="0" w:line="240" w:lineRule="auto"/>
        <w:ind w:left="567"/>
        <w:contextualSpacing w:val="0"/>
        <w:jc w:val="both"/>
        <w:rPr>
          <w:rFonts w:cs="Arial"/>
        </w:rPr>
      </w:pPr>
    </w:p>
    <w:p w14:paraId="30C8952E" w14:textId="5A28D252" w:rsidR="004D5DDD" w:rsidRPr="00B56576" w:rsidRDefault="00332636" w:rsidP="00B56576">
      <w:pPr>
        <w:pStyle w:val="ListParagraph"/>
        <w:numPr>
          <w:ilvl w:val="0"/>
          <w:numId w:val="12"/>
        </w:numPr>
        <w:spacing w:after="0" w:line="240" w:lineRule="auto"/>
        <w:ind w:left="567" w:hanging="567"/>
        <w:contextualSpacing w:val="0"/>
        <w:jc w:val="both"/>
        <w:rPr>
          <w:rFonts w:eastAsia="Times New Roman" w:cs="Arial"/>
          <w:snapToGrid w:val="0"/>
          <w:color w:val="000000"/>
          <w:kern w:val="2"/>
          <w:lang w:val="en-GB"/>
        </w:rPr>
      </w:pPr>
      <w:r w:rsidRPr="00B56576">
        <w:rPr>
          <w:rFonts w:cs="Arial"/>
          <w:lang w:val="en-GB"/>
        </w:rPr>
        <w:t>In line with</w:t>
      </w:r>
      <w:r w:rsidR="009E507D" w:rsidRPr="00B56576">
        <w:rPr>
          <w:rFonts w:cs="Arial"/>
          <w:lang w:val="en-GB"/>
        </w:rPr>
        <w:t xml:space="preserve"> </w:t>
      </w:r>
      <w:r w:rsidR="009E507D" w:rsidRPr="00B56576">
        <w:rPr>
          <w:rFonts w:eastAsia="Times New Roman" w:cs="Arial"/>
          <w:snapToGrid w:val="0"/>
          <w:color w:val="000000"/>
          <w:kern w:val="2"/>
          <w:lang w:val="en-GB"/>
        </w:rPr>
        <w:t xml:space="preserve">COP14 </w:t>
      </w:r>
      <w:r w:rsidR="006A49B3" w:rsidRPr="00B56576">
        <w:rPr>
          <w:rFonts w:eastAsia="Times New Roman" w:cs="Arial"/>
          <w:snapToGrid w:val="0"/>
          <w:color w:val="000000"/>
          <w:kern w:val="2"/>
          <w:lang w:val="en-GB"/>
        </w:rPr>
        <w:t xml:space="preserve">Decisions </w:t>
      </w:r>
      <w:r w:rsidR="004E5A59" w:rsidRPr="00B56576">
        <w:rPr>
          <w:rFonts w:eastAsia="Times New Roman" w:cs="Arial"/>
          <w:snapToGrid w:val="0"/>
          <w:color w:val="000000"/>
          <w:kern w:val="2"/>
          <w:lang w:val="en-GB"/>
        </w:rPr>
        <w:t>14.197 – 14.199</w:t>
      </w:r>
      <w:r w:rsidR="004D5DDD" w:rsidRPr="00B56576">
        <w:rPr>
          <w:rFonts w:eastAsia="Times New Roman" w:cs="Arial"/>
          <w:snapToGrid w:val="0"/>
          <w:color w:val="000000"/>
          <w:kern w:val="2"/>
          <w:lang w:val="en-GB"/>
        </w:rPr>
        <w:t xml:space="preserve">, the Secretariat organized a series of webinars on the usefulness and functionality of the </w:t>
      </w:r>
      <w:r w:rsidR="000638C5" w:rsidRPr="00B56576">
        <w:rPr>
          <w:rFonts w:eastAsia="Times New Roman" w:cs="Arial"/>
          <w:snapToGrid w:val="0"/>
          <w:color w:val="000000"/>
          <w:kern w:val="2"/>
          <w:lang w:val="en-GB"/>
        </w:rPr>
        <w:t>t</w:t>
      </w:r>
      <w:r w:rsidR="004D5DDD" w:rsidRPr="00B56576">
        <w:rPr>
          <w:rFonts w:eastAsia="Times New Roman" w:cs="Arial"/>
          <w:snapToGrid w:val="0"/>
          <w:color w:val="000000"/>
          <w:kern w:val="2"/>
          <w:lang w:val="en-GB"/>
        </w:rPr>
        <w:t xml:space="preserve">ool. The </w:t>
      </w:r>
      <w:r w:rsidR="000638C5" w:rsidRPr="00B56576">
        <w:rPr>
          <w:rFonts w:eastAsia="Times New Roman" w:cs="Arial"/>
          <w:snapToGrid w:val="0"/>
          <w:color w:val="000000"/>
          <w:kern w:val="2"/>
          <w:lang w:val="en-GB"/>
        </w:rPr>
        <w:t>t</w:t>
      </w:r>
      <w:r w:rsidR="004D5DDD" w:rsidRPr="00B56576">
        <w:rPr>
          <w:rFonts w:eastAsia="Times New Roman" w:cs="Arial"/>
          <w:snapToGrid w:val="0"/>
          <w:color w:val="000000"/>
          <w:kern w:val="2"/>
          <w:lang w:val="en-GB"/>
        </w:rPr>
        <w:t xml:space="preserve">ool was presented to members of the Intergovernmental Authority on Development (IGAD) on 6 June 2024; members of the Southern African Development Community (SADC) on 7 June 2024, and members of the East African Community (EAC) on 26 June 2024 during existing </w:t>
      </w:r>
      <w:r w:rsidR="004D5DDD" w:rsidRPr="00B56576">
        <w:rPr>
          <w:rFonts w:eastAsia="Times New Roman" w:cs="Arial"/>
          <w:snapToGrid w:val="0"/>
          <w:color w:val="000000"/>
          <w:kern w:val="2"/>
          <w:lang w:val="en-GB"/>
        </w:rPr>
        <w:lastRenderedPageBreak/>
        <w:t xml:space="preserve">events. A standalone event was organized by the CMS Secretariat on 19 June 2024 for all Parties to CMS of the IGAD, EAC and SADC regions. </w:t>
      </w:r>
    </w:p>
    <w:p w14:paraId="1A0FC7BA" w14:textId="77777777" w:rsidR="004D5DDD" w:rsidRPr="00B56576" w:rsidRDefault="004D5DDD" w:rsidP="009747A5">
      <w:pPr>
        <w:pStyle w:val="ListParagraph"/>
        <w:ind w:left="567"/>
        <w:jc w:val="both"/>
        <w:rPr>
          <w:rFonts w:eastAsia="Times New Roman" w:cs="Arial"/>
          <w:snapToGrid w:val="0"/>
          <w:color w:val="000000"/>
          <w:kern w:val="2"/>
          <w:lang w:val="en-GB"/>
        </w:rPr>
      </w:pPr>
    </w:p>
    <w:p w14:paraId="6A6DDF05" w14:textId="6B4F598C" w:rsidR="004D5DDD" w:rsidRPr="00B56576" w:rsidRDefault="004D5DDD" w:rsidP="009747A5">
      <w:pPr>
        <w:pStyle w:val="ListParagraph"/>
        <w:numPr>
          <w:ilvl w:val="0"/>
          <w:numId w:val="12"/>
        </w:numPr>
        <w:ind w:left="567" w:hanging="567"/>
        <w:jc w:val="both"/>
        <w:rPr>
          <w:rFonts w:eastAsia="Times New Roman" w:cs="Arial"/>
          <w:i/>
          <w:iCs/>
          <w:snapToGrid w:val="0"/>
          <w:color w:val="000000"/>
          <w:kern w:val="2"/>
          <w:u w:val="single"/>
          <w:lang w:val="en-GB"/>
        </w:rPr>
      </w:pPr>
      <w:r w:rsidRPr="00B56576">
        <w:rPr>
          <w:rFonts w:eastAsia="Times New Roman" w:cs="Arial"/>
          <w:snapToGrid w:val="0"/>
          <w:color w:val="000000"/>
          <w:kern w:val="2"/>
          <w:lang w:val="en-GB"/>
        </w:rPr>
        <w:t xml:space="preserve">To facilitate implementation of </w:t>
      </w:r>
      <w:r w:rsidR="00E96DBF" w:rsidRPr="00B56576">
        <w:rPr>
          <w:rFonts w:eastAsia="Times New Roman" w:cs="Arial"/>
          <w:snapToGrid w:val="0"/>
          <w:color w:val="000000"/>
          <w:kern w:val="2"/>
          <w:lang w:val="en-GB"/>
        </w:rPr>
        <w:t>D</w:t>
      </w:r>
      <w:r w:rsidRPr="00B56576">
        <w:rPr>
          <w:rFonts w:eastAsia="Times New Roman" w:cs="Arial"/>
          <w:snapToGrid w:val="0"/>
          <w:color w:val="000000"/>
          <w:kern w:val="2"/>
          <w:lang w:val="en-GB"/>
        </w:rPr>
        <w:t>ecision 1</w:t>
      </w:r>
      <w:r w:rsidR="001A573B" w:rsidRPr="00B56576">
        <w:rPr>
          <w:rFonts w:eastAsia="Times New Roman" w:cs="Arial"/>
          <w:snapToGrid w:val="0"/>
          <w:color w:val="000000"/>
          <w:kern w:val="2"/>
          <w:lang w:val="en-GB"/>
        </w:rPr>
        <w:t>4</w:t>
      </w:r>
      <w:r w:rsidRPr="00B56576">
        <w:rPr>
          <w:rFonts w:eastAsia="Times New Roman" w:cs="Arial"/>
          <w:snapToGrid w:val="0"/>
          <w:color w:val="000000"/>
          <w:kern w:val="2"/>
          <w:lang w:val="en-GB"/>
        </w:rPr>
        <w:t xml:space="preserve">.197, a survey </w:t>
      </w:r>
      <w:r w:rsidR="00C07493" w:rsidRPr="00B56576">
        <w:rPr>
          <w:rFonts w:eastAsia="Times New Roman" w:cs="Arial"/>
          <w:snapToGrid w:val="0"/>
          <w:color w:val="000000"/>
          <w:kern w:val="2"/>
          <w:lang w:val="en-GB"/>
        </w:rPr>
        <w:t xml:space="preserve">was sent to all CMS Parties </w:t>
      </w:r>
      <w:r w:rsidRPr="00B56576">
        <w:rPr>
          <w:rFonts w:eastAsia="Times New Roman" w:cs="Arial"/>
          <w:snapToGrid w:val="0"/>
          <w:color w:val="000000"/>
          <w:kern w:val="2"/>
          <w:lang w:val="en-GB"/>
        </w:rPr>
        <w:t>as well as participants of the above-mentioned events, a total of 145 pe</w:t>
      </w:r>
      <w:r w:rsidR="00375AEF" w:rsidRPr="00B56576">
        <w:rPr>
          <w:rFonts w:eastAsia="Times New Roman" w:cs="Arial"/>
          <w:snapToGrid w:val="0"/>
          <w:color w:val="000000"/>
          <w:kern w:val="2"/>
          <w:lang w:val="en-GB"/>
        </w:rPr>
        <w:t>ople</w:t>
      </w:r>
      <w:r w:rsidR="009747A5" w:rsidRPr="00B56576">
        <w:rPr>
          <w:rFonts w:eastAsia="Times New Roman" w:cs="Arial"/>
          <w:snapToGrid w:val="0"/>
          <w:color w:val="000000"/>
          <w:kern w:val="2"/>
          <w:lang w:val="en-GB"/>
        </w:rPr>
        <w:t xml:space="preserve"> (</w:t>
      </w:r>
      <w:hyperlink r:id="rId20" w:history="1">
        <w:r w:rsidR="009747A5" w:rsidRPr="00B56576">
          <w:rPr>
            <w:rStyle w:val="Hyperlink"/>
          </w:rPr>
          <w:t>https://forms.office.com/e/wgwVTNU94p</w:t>
        </w:r>
      </w:hyperlink>
      <w:r w:rsidR="009747A5" w:rsidRPr="00B56576">
        <w:t>)</w:t>
      </w:r>
      <w:r w:rsidRPr="00B56576">
        <w:rPr>
          <w:rFonts w:eastAsia="Times New Roman" w:cs="Arial"/>
          <w:snapToGrid w:val="0"/>
          <w:color w:val="000000"/>
          <w:kern w:val="2"/>
          <w:lang w:val="en-GB"/>
        </w:rPr>
        <w:t>. Feedback on the tool during the webinars and responses to the survey were compiled by UNEP</w:t>
      </w:r>
      <w:r w:rsidR="0054091A" w:rsidRPr="00B56576">
        <w:rPr>
          <w:rFonts w:eastAsia="Times New Roman" w:cs="Arial"/>
          <w:snapToGrid w:val="0"/>
          <w:color w:val="000000"/>
          <w:kern w:val="2"/>
          <w:lang w:val="en-GB"/>
        </w:rPr>
        <w:t>–</w:t>
      </w:r>
      <w:r w:rsidRPr="00B56576">
        <w:rPr>
          <w:rFonts w:eastAsia="Times New Roman" w:cs="Arial"/>
          <w:snapToGrid w:val="0"/>
          <w:color w:val="000000"/>
          <w:kern w:val="2"/>
          <w:lang w:val="en-GB"/>
        </w:rPr>
        <w:t xml:space="preserve">WCMC in the </w:t>
      </w:r>
      <w:r w:rsidR="003D3C5B" w:rsidRPr="00B56576">
        <w:rPr>
          <w:rFonts w:eastAsia="Times New Roman" w:cs="Arial"/>
          <w:snapToGrid w:val="0"/>
          <w:color w:val="000000"/>
          <w:kern w:val="2"/>
          <w:lang w:val="en-GB"/>
        </w:rPr>
        <w:t>report</w:t>
      </w:r>
      <w:r w:rsidRPr="00B56576">
        <w:rPr>
          <w:rFonts w:eastAsia="Times New Roman" w:cs="Arial"/>
          <w:snapToGrid w:val="0"/>
          <w:color w:val="000000"/>
          <w:kern w:val="2"/>
          <w:lang w:val="en-GB"/>
        </w:rPr>
        <w:t xml:space="preserve"> annexed to this document. </w:t>
      </w:r>
      <w:r w:rsidR="004C69C7" w:rsidRPr="00B56576">
        <w:rPr>
          <w:rFonts w:eastAsia="Times New Roman" w:cs="Arial"/>
          <w:snapToGrid w:val="0"/>
          <w:color w:val="000000"/>
          <w:kern w:val="2"/>
          <w:lang w:val="en-GB"/>
        </w:rPr>
        <w:t>Two</w:t>
      </w:r>
      <w:r w:rsidRPr="00B56576">
        <w:rPr>
          <w:rFonts w:eastAsia="Times New Roman" w:cs="Arial"/>
          <w:snapToGrid w:val="0"/>
          <w:color w:val="000000"/>
          <w:kern w:val="2"/>
          <w:lang w:val="en-GB"/>
        </w:rPr>
        <w:t xml:space="preserve"> responses to the survey were received by UNEP-WCMC. </w:t>
      </w:r>
      <w:r w:rsidR="00DE7C4D" w:rsidRPr="00B56576">
        <w:rPr>
          <w:rFonts w:eastAsia="Times New Roman" w:cs="Arial"/>
          <w:snapToGrid w:val="0"/>
          <w:color w:val="000000"/>
          <w:kern w:val="2"/>
          <w:lang w:val="en-GB"/>
        </w:rPr>
        <w:t>Further unstructured feedback was gathered through discussions at the workshops.</w:t>
      </w:r>
    </w:p>
    <w:p w14:paraId="5BA5A149" w14:textId="1411A25A" w:rsidR="00FD03D4" w:rsidRDefault="00FD03D4" w:rsidP="009747A5">
      <w:pPr>
        <w:pStyle w:val="ListParagraph"/>
        <w:spacing w:after="0" w:line="240" w:lineRule="auto"/>
        <w:ind w:left="567"/>
        <w:contextualSpacing w:val="0"/>
        <w:jc w:val="both"/>
        <w:rPr>
          <w:rFonts w:cs="Arial"/>
          <w:bCs/>
        </w:rPr>
      </w:pPr>
    </w:p>
    <w:p w14:paraId="0DFD8785" w14:textId="0B41A0CA" w:rsidR="003858DC" w:rsidRPr="0056586B" w:rsidRDefault="002F7E45" w:rsidP="0056586B">
      <w:pPr>
        <w:widowControl w:val="0"/>
        <w:numPr>
          <w:ilvl w:val="0"/>
          <w:numId w:val="12"/>
        </w:numPr>
        <w:autoSpaceDE w:val="0"/>
        <w:autoSpaceDN w:val="0"/>
        <w:adjustRightInd w:val="0"/>
        <w:spacing w:after="80" w:line="240" w:lineRule="auto"/>
        <w:ind w:left="567" w:hanging="567"/>
        <w:jc w:val="both"/>
        <w:rPr>
          <w:rFonts w:cs="Arial"/>
          <w:lang w:val="en-GB"/>
        </w:rPr>
      </w:pPr>
      <w:r>
        <w:rPr>
          <w:rFonts w:cs="Arial"/>
          <w:lang w:val="en-GB"/>
        </w:rPr>
        <w:t xml:space="preserve">The Secretariat submitted the </w:t>
      </w:r>
      <w:r w:rsidR="00305503">
        <w:rPr>
          <w:rFonts w:cs="Arial"/>
          <w:lang w:val="en-GB"/>
        </w:rPr>
        <w:t xml:space="preserve">synthesized </w:t>
      </w:r>
      <w:r>
        <w:rPr>
          <w:rFonts w:cs="Arial"/>
          <w:lang w:val="en-GB"/>
        </w:rPr>
        <w:t>report of Parties’ responses to the Scientific Council at the 7</w:t>
      </w:r>
      <w:r w:rsidRPr="002F7E45">
        <w:rPr>
          <w:rFonts w:cs="Arial"/>
          <w:vertAlign w:val="superscript"/>
          <w:lang w:val="en-GB"/>
        </w:rPr>
        <w:t>th</w:t>
      </w:r>
      <w:r>
        <w:rPr>
          <w:rFonts w:cs="Arial"/>
          <w:lang w:val="en-GB"/>
        </w:rPr>
        <w:t xml:space="preserve"> </w:t>
      </w:r>
      <w:r w:rsidR="00824F91">
        <w:rPr>
          <w:rFonts w:cs="Arial"/>
          <w:lang w:val="en-GB"/>
        </w:rPr>
        <w:t>m</w:t>
      </w:r>
      <w:r>
        <w:rPr>
          <w:rFonts w:cs="Arial"/>
          <w:lang w:val="en-GB"/>
        </w:rPr>
        <w:t>eeting of its Sessional Committee</w:t>
      </w:r>
      <w:r w:rsidR="00DE4260" w:rsidRPr="00DE4260">
        <w:rPr>
          <w:rFonts w:cs="Arial"/>
        </w:rPr>
        <w:t xml:space="preserve"> </w:t>
      </w:r>
      <w:r w:rsidR="00DE4260">
        <w:rPr>
          <w:rFonts w:cs="Arial"/>
        </w:rPr>
        <w:t>(</w:t>
      </w:r>
      <w:hyperlink r:id="rId21" w:history="1">
        <w:r w:rsidR="00DE4260" w:rsidRPr="0041308D">
          <w:rPr>
            <w:rStyle w:val="Hyperlink"/>
            <w:rFonts w:cs="Arial"/>
          </w:rPr>
          <w:t>UNEP/CMS/ScC-SC7/Doc.6.1.3</w:t>
        </w:r>
      </w:hyperlink>
      <w:r w:rsidR="00DE4260">
        <w:rPr>
          <w:rFonts w:cs="Arial"/>
          <w:lang w:val="en-GB"/>
        </w:rPr>
        <w:t>)</w:t>
      </w:r>
      <w:r w:rsidR="00A84FE5">
        <w:rPr>
          <w:rFonts w:cs="Arial"/>
          <w:lang w:val="en-GB"/>
        </w:rPr>
        <w:t xml:space="preserve">, </w:t>
      </w:r>
      <w:r w:rsidR="001D60EB">
        <w:rPr>
          <w:rFonts w:cs="Arial"/>
          <w:lang w:val="en-GB"/>
        </w:rPr>
        <w:t>listing</w:t>
      </w:r>
      <w:r w:rsidR="00A84FE5">
        <w:rPr>
          <w:rFonts w:cs="Arial"/>
          <w:lang w:val="en-GB"/>
        </w:rPr>
        <w:t xml:space="preserve"> the following recommendations: </w:t>
      </w:r>
    </w:p>
    <w:p w14:paraId="6251C708" w14:textId="77777777" w:rsidR="003858DC" w:rsidRPr="001B0CB9" w:rsidRDefault="003858DC" w:rsidP="0056586B">
      <w:pPr>
        <w:pStyle w:val="NoSpacing"/>
        <w:numPr>
          <w:ilvl w:val="0"/>
          <w:numId w:val="26"/>
        </w:numPr>
        <w:spacing w:after="80"/>
        <w:ind w:hanging="540"/>
        <w:jc w:val="both"/>
        <w:rPr>
          <w:rFonts w:cs="Arial"/>
          <w:bCs/>
        </w:rPr>
      </w:pPr>
      <w:r w:rsidRPr="001B0CB9">
        <w:rPr>
          <w:rFonts w:cs="Arial"/>
          <w:bCs/>
        </w:rPr>
        <w:t xml:space="preserve">Circulate the survey further. </w:t>
      </w:r>
    </w:p>
    <w:p w14:paraId="764D7291" w14:textId="3BEDE71E" w:rsidR="003858DC" w:rsidRPr="001B0CB9" w:rsidRDefault="003858DC" w:rsidP="0056586B">
      <w:pPr>
        <w:pStyle w:val="NoSpacing"/>
        <w:numPr>
          <w:ilvl w:val="0"/>
          <w:numId w:val="26"/>
        </w:numPr>
        <w:spacing w:after="80"/>
        <w:ind w:hanging="540"/>
        <w:jc w:val="both"/>
        <w:rPr>
          <w:rFonts w:cs="Arial"/>
          <w:bCs/>
        </w:rPr>
      </w:pPr>
      <w:r w:rsidRPr="001B0CB9">
        <w:rPr>
          <w:rFonts w:cs="Arial"/>
          <w:bCs/>
        </w:rPr>
        <w:t xml:space="preserve">Consider housing the </w:t>
      </w:r>
      <w:r w:rsidR="00C37A36">
        <w:rPr>
          <w:rFonts w:cs="Arial"/>
          <w:bCs/>
        </w:rPr>
        <w:t>t</w:t>
      </w:r>
      <w:r w:rsidRPr="001B0CB9">
        <w:rPr>
          <w:rFonts w:cs="Arial"/>
          <w:bCs/>
        </w:rPr>
        <w:t>ransboundary tool contents in a new location.</w:t>
      </w:r>
    </w:p>
    <w:p w14:paraId="14311DC3" w14:textId="0A4C4455" w:rsidR="003858DC" w:rsidRPr="001B0CB9" w:rsidRDefault="003858DC" w:rsidP="0056586B">
      <w:pPr>
        <w:pStyle w:val="NoSpacing"/>
        <w:numPr>
          <w:ilvl w:val="0"/>
          <w:numId w:val="26"/>
        </w:numPr>
        <w:spacing w:after="80"/>
        <w:ind w:hanging="540"/>
        <w:jc w:val="both"/>
        <w:rPr>
          <w:rFonts w:cs="Arial"/>
          <w:bCs/>
        </w:rPr>
      </w:pPr>
      <w:r w:rsidRPr="001B0CB9">
        <w:rPr>
          <w:rFonts w:cs="Arial"/>
          <w:bCs/>
        </w:rPr>
        <w:t>Consider sharing data layers with UN</w:t>
      </w:r>
      <w:r w:rsidR="00AB5D53">
        <w:rPr>
          <w:rFonts w:cs="Arial"/>
          <w:bCs/>
        </w:rPr>
        <w:t xml:space="preserve"> </w:t>
      </w:r>
      <w:r w:rsidRPr="001B0CB9">
        <w:rPr>
          <w:rFonts w:cs="Arial"/>
          <w:bCs/>
        </w:rPr>
        <w:t>B</w:t>
      </w:r>
      <w:r w:rsidR="00AB5D53">
        <w:rPr>
          <w:rFonts w:cs="Arial"/>
          <w:bCs/>
        </w:rPr>
        <w:t xml:space="preserve">iodiversity </w:t>
      </w:r>
      <w:r w:rsidRPr="001B0CB9">
        <w:rPr>
          <w:rFonts w:cs="Arial"/>
          <w:bCs/>
        </w:rPr>
        <w:t>L</w:t>
      </w:r>
      <w:r w:rsidR="00AB5D53">
        <w:rPr>
          <w:rFonts w:cs="Arial"/>
          <w:bCs/>
        </w:rPr>
        <w:t>ab</w:t>
      </w:r>
      <w:r w:rsidR="00B91663">
        <w:rPr>
          <w:rFonts w:cs="Arial"/>
          <w:bCs/>
        </w:rPr>
        <w:t xml:space="preserve"> (UNBL)</w:t>
      </w:r>
      <w:r w:rsidRPr="001B0CB9">
        <w:rPr>
          <w:rFonts w:cs="Arial"/>
          <w:bCs/>
        </w:rPr>
        <w:t xml:space="preserve"> and/or other online platforms. Alternatively, consider adding some </w:t>
      </w:r>
      <w:r w:rsidR="00C31C0B">
        <w:rPr>
          <w:rFonts w:cs="Arial"/>
          <w:bCs/>
        </w:rPr>
        <w:t xml:space="preserve">of the </w:t>
      </w:r>
      <w:r w:rsidRPr="001B0CB9">
        <w:rPr>
          <w:rFonts w:cs="Arial"/>
          <w:bCs/>
        </w:rPr>
        <w:t xml:space="preserve">data layers listed under ‘Content improvements’, or providing links to </w:t>
      </w:r>
      <w:r w:rsidR="006E36EF">
        <w:rPr>
          <w:rFonts w:cs="Arial"/>
          <w:bCs/>
        </w:rPr>
        <w:t xml:space="preserve">the </w:t>
      </w:r>
      <w:r w:rsidRPr="001B0CB9">
        <w:rPr>
          <w:rFonts w:cs="Arial"/>
          <w:bCs/>
        </w:rPr>
        <w:t xml:space="preserve">UNBL within the </w:t>
      </w:r>
      <w:r w:rsidR="00C37A36">
        <w:rPr>
          <w:rFonts w:cs="Arial"/>
          <w:bCs/>
        </w:rPr>
        <w:t>t</w:t>
      </w:r>
      <w:r w:rsidRPr="001B0CB9">
        <w:rPr>
          <w:rFonts w:cs="Arial"/>
          <w:bCs/>
        </w:rPr>
        <w:t>ransboundary tool.</w:t>
      </w:r>
    </w:p>
    <w:p w14:paraId="3B4F89B2" w14:textId="77777777" w:rsidR="003858DC" w:rsidRPr="001B0CB9" w:rsidRDefault="003858DC" w:rsidP="0056586B">
      <w:pPr>
        <w:pStyle w:val="NoSpacing"/>
        <w:numPr>
          <w:ilvl w:val="0"/>
          <w:numId w:val="26"/>
        </w:numPr>
        <w:spacing w:after="80"/>
        <w:ind w:hanging="540"/>
        <w:jc w:val="both"/>
        <w:rPr>
          <w:rFonts w:cs="Arial"/>
          <w:bCs/>
        </w:rPr>
      </w:pPr>
      <w:r w:rsidRPr="001B0CB9">
        <w:rPr>
          <w:rFonts w:eastAsia="Times New Roman" w:cs="Arial"/>
          <w:bCs/>
          <w:lang w:eastAsia="en-GB"/>
        </w:rPr>
        <w:t>Consider implementing the ide</w:t>
      </w:r>
      <w:r w:rsidRPr="001B0CB9">
        <w:rPr>
          <w:rFonts w:cs="Arial"/>
          <w:bCs/>
        </w:rPr>
        <w:t>as listed under ‘Usability improvements’.</w:t>
      </w:r>
    </w:p>
    <w:p w14:paraId="09013291" w14:textId="643A98AF" w:rsidR="003858DC" w:rsidRPr="00AC4ACE" w:rsidRDefault="003858DC" w:rsidP="00AC4ACE">
      <w:pPr>
        <w:pStyle w:val="NoSpacing"/>
        <w:numPr>
          <w:ilvl w:val="0"/>
          <w:numId w:val="26"/>
        </w:numPr>
        <w:ind w:hanging="540"/>
        <w:jc w:val="both"/>
        <w:rPr>
          <w:rFonts w:cs="Arial"/>
          <w:bCs/>
        </w:rPr>
      </w:pPr>
      <w:r w:rsidRPr="001B0CB9">
        <w:rPr>
          <w:rFonts w:eastAsia="Times New Roman" w:cs="Arial"/>
          <w:bCs/>
          <w:lang w:eastAsia="en-GB"/>
        </w:rPr>
        <w:t>Improve content and visibility of information provided about the data layer methodology.</w:t>
      </w:r>
    </w:p>
    <w:p w14:paraId="621CBF93" w14:textId="77777777" w:rsidR="00D00AA8" w:rsidRDefault="00D00AA8" w:rsidP="00852DB3">
      <w:pPr>
        <w:widowControl w:val="0"/>
        <w:autoSpaceDE w:val="0"/>
        <w:autoSpaceDN w:val="0"/>
        <w:adjustRightInd w:val="0"/>
        <w:spacing w:after="0" w:line="240" w:lineRule="auto"/>
        <w:ind w:left="426"/>
        <w:jc w:val="both"/>
        <w:rPr>
          <w:rFonts w:cs="Arial"/>
          <w:lang w:val="en-GB"/>
        </w:rPr>
      </w:pPr>
    </w:p>
    <w:p w14:paraId="48712ABC" w14:textId="632F4BBE" w:rsidR="005B1AED" w:rsidRDefault="005B1AED" w:rsidP="005B1AED">
      <w:pPr>
        <w:numPr>
          <w:ilvl w:val="0"/>
          <w:numId w:val="12"/>
        </w:numPr>
        <w:autoSpaceDE w:val="0"/>
        <w:autoSpaceDN w:val="0"/>
        <w:adjustRightInd w:val="0"/>
        <w:spacing w:after="0" w:line="240" w:lineRule="auto"/>
        <w:ind w:left="567" w:hanging="567"/>
        <w:jc w:val="both"/>
        <w:rPr>
          <w:rFonts w:cs="Arial"/>
          <w:lang w:val="en-GB"/>
        </w:rPr>
      </w:pPr>
      <w:r>
        <w:rPr>
          <w:rFonts w:cs="Arial"/>
          <w:lang w:val="en-GB"/>
        </w:rPr>
        <w:t>The Scientific Council endorsed the recommendations</w:t>
      </w:r>
      <w:r w:rsidR="00DD026D">
        <w:rPr>
          <w:rFonts w:cs="Arial"/>
          <w:lang w:val="en-GB"/>
        </w:rPr>
        <w:t xml:space="preserve">, </w:t>
      </w:r>
      <w:r w:rsidR="003A1C01">
        <w:rPr>
          <w:rFonts w:cs="Arial"/>
        </w:rPr>
        <w:t xml:space="preserve">emphasizing </w:t>
      </w:r>
      <w:r w:rsidR="0054013A">
        <w:rPr>
          <w:rFonts w:cs="Arial"/>
        </w:rPr>
        <w:t xml:space="preserve">the need </w:t>
      </w:r>
      <w:r w:rsidR="003A1C01">
        <w:rPr>
          <w:rFonts w:cs="Arial"/>
        </w:rPr>
        <w:t>to add</w:t>
      </w:r>
      <w:r w:rsidR="00A47C1E" w:rsidRPr="00A47C1E">
        <w:rPr>
          <w:rFonts w:cs="Arial"/>
        </w:rPr>
        <w:t xml:space="preserve"> more </w:t>
      </w:r>
      <w:r w:rsidR="00B47FF9">
        <w:rPr>
          <w:rFonts w:cs="Arial"/>
        </w:rPr>
        <w:t xml:space="preserve">data </w:t>
      </w:r>
      <w:r w:rsidR="00A47C1E" w:rsidRPr="00A47C1E">
        <w:rPr>
          <w:rFonts w:cs="Arial"/>
        </w:rPr>
        <w:t xml:space="preserve">layers to strengthen baselines, and to show the ranges of wildlife. </w:t>
      </w:r>
      <w:r w:rsidR="00B732DF">
        <w:rPr>
          <w:rFonts w:cs="Arial"/>
        </w:rPr>
        <w:t>It was noted</w:t>
      </w:r>
      <w:r w:rsidR="00A47C1E" w:rsidRPr="00A47C1E">
        <w:rPr>
          <w:rFonts w:cs="Arial"/>
        </w:rPr>
        <w:t xml:space="preserve"> that the </w:t>
      </w:r>
      <w:r w:rsidR="004F131F">
        <w:rPr>
          <w:rFonts w:cs="Arial"/>
        </w:rPr>
        <w:t>t</w:t>
      </w:r>
      <w:r w:rsidR="00A47C1E" w:rsidRPr="00A47C1E">
        <w:rPr>
          <w:rFonts w:cs="Arial"/>
        </w:rPr>
        <w:t xml:space="preserve">ool should integrate data from all land uses and stakeholders to guide decisions, </w:t>
      </w:r>
      <w:r w:rsidR="004411B8" w:rsidRPr="004411B8">
        <w:rPr>
          <w:rFonts w:cs="Arial"/>
        </w:rPr>
        <w:t>ensuring that it serves not only a</w:t>
      </w:r>
      <w:r w:rsidR="00D14FA3">
        <w:rPr>
          <w:rFonts w:cs="Arial"/>
        </w:rPr>
        <w:t>s a</w:t>
      </w:r>
      <w:r w:rsidR="004411B8" w:rsidRPr="004411B8">
        <w:rPr>
          <w:rFonts w:cs="Arial"/>
        </w:rPr>
        <w:t xml:space="preserve"> conservation </w:t>
      </w:r>
      <w:r w:rsidR="00BC1739">
        <w:rPr>
          <w:rFonts w:cs="Arial"/>
        </w:rPr>
        <w:t>tool</w:t>
      </w:r>
      <w:r w:rsidR="004411B8" w:rsidRPr="004411B8">
        <w:rPr>
          <w:rFonts w:cs="Arial"/>
        </w:rPr>
        <w:t xml:space="preserve"> but functions as an independent </w:t>
      </w:r>
      <w:r w:rsidR="00F434F3">
        <w:rPr>
          <w:rFonts w:cs="Arial"/>
        </w:rPr>
        <w:t xml:space="preserve">and practical </w:t>
      </w:r>
      <w:r w:rsidR="004411B8" w:rsidRPr="004411B8">
        <w:rPr>
          <w:rFonts w:cs="Arial"/>
        </w:rPr>
        <w:t>decision-making instrument</w:t>
      </w:r>
      <w:r w:rsidR="004411B8" w:rsidRPr="004411B8" w:rsidDel="004411B8">
        <w:rPr>
          <w:rFonts w:cs="Arial"/>
        </w:rPr>
        <w:t xml:space="preserve"> </w:t>
      </w:r>
      <w:r w:rsidR="002904E6">
        <w:rPr>
          <w:rFonts w:cs="Arial"/>
        </w:rPr>
        <w:t>(</w:t>
      </w:r>
      <w:hyperlink r:id="rId22" w:history="1">
        <w:r w:rsidR="00094976" w:rsidRPr="00DA685F">
          <w:rPr>
            <w:rStyle w:val="Hyperlink"/>
            <w:rFonts w:cs="Arial"/>
          </w:rPr>
          <w:t>UNEP/CMS/ScC-SC7/Report</w:t>
        </w:r>
      </w:hyperlink>
      <w:r w:rsidR="00094976">
        <w:rPr>
          <w:rFonts w:cs="Arial"/>
        </w:rPr>
        <w:t>)</w:t>
      </w:r>
      <w:r w:rsidR="002904E6">
        <w:rPr>
          <w:rFonts w:cs="Arial"/>
        </w:rPr>
        <w:t xml:space="preserve">. </w:t>
      </w:r>
    </w:p>
    <w:p w14:paraId="471D5BB4" w14:textId="77777777" w:rsidR="005B1AED" w:rsidRPr="00AB1269" w:rsidRDefault="005B1AED" w:rsidP="00852DB3">
      <w:pPr>
        <w:widowControl w:val="0"/>
        <w:autoSpaceDE w:val="0"/>
        <w:autoSpaceDN w:val="0"/>
        <w:adjustRightInd w:val="0"/>
        <w:spacing w:after="0" w:line="240" w:lineRule="auto"/>
        <w:ind w:left="426"/>
        <w:jc w:val="both"/>
        <w:rPr>
          <w:rFonts w:cs="Arial"/>
          <w:lang w:val="en-GB"/>
        </w:rPr>
      </w:pPr>
    </w:p>
    <w:p w14:paraId="03EE576D" w14:textId="77777777" w:rsidR="00D00AA8" w:rsidRPr="00D40C2F" w:rsidRDefault="00D00AA8" w:rsidP="00852DB3">
      <w:pPr>
        <w:spacing w:after="0" w:line="240" w:lineRule="auto"/>
        <w:jc w:val="both"/>
        <w:rPr>
          <w:rFonts w:cs="Arial"/>
          <w:u w:val="single"/>
          <w:lang w:val="en-GB"/>
        </w:rPr>
      </w:pPr>
      <w:r w:rsidRPr="00D40C2F">
        <w:rPr>
          <w:rFonts w:cs="Arial"/>
          <w:u w:val="single"/>
          <w:lang w:val="en-GB"/>
        </w:rPr>
        <w:t>Discussion and analysis</w:t>
      </w:r>
    </w:p>
    <w:p w14:paraId="699CAF16" w14:textId="77777777" w:rsidR="00D00AA8" w:rsidRPr="006D257B" w:rsidRDefault="00D00AA8" w:rsidP="00852DB3">
      <w:pPr>
        <w:widowControl w:val="0"/>
        <w:autoSpaceDE w:val="0"/>
        <w:autoSpaceDN w:val="0"/>
        <w:adjustRightInd w:val="0"/>
        <w:spacing w:after="0" w:line="240" w:lineRule="auto"/>
        <w:jc w:val="both"/>
        <w:rPr>
          <w:rFonts w:cs="Arial"/>
          <w:lang w:val="en-GB"/>
        </w:rPr>
      </w:pPr>
    </w:p>
    <w:p w14:paraId="3AF5CB90" w14:textId="7837EEC0" w:rsidR="00D00AA8" w:rsidRDefault="005111B2" w:rsidP="005C40D0">
      <w:pPr>
        <w:numPr>
          <w:ilvl w:val="0"/>
          <w:numId w:val="12"/>
        </w:numPr>
        <w:autoSpaceDE w:val="0"/>
        <w:autoSpaceDN w:val="0"/>
        <w:adjustRightInd w:val="0"/>
        <w:spacing w:after="0" w:line="240" w:lineRule="auto"/>
        <w:ind w:left="567" w:hanging="567"/>
        <w:jc w:val="both"/>
        <w:rPr>
          <w:rFonts w:cs="Arial"/>
          <w:lang w:val="en-GB"/>
        </w:rPr>
      </w:pPr>
      <w:r>
        <w:rPr>
          <w:rFonts w:cs="Arial"/>
          <w:lang w:val="en-GB"/>
        </w:rPr>
        <w:t>In</w:t>
      </w:r>
      <w:r w:rsidR="002F27F8">
        <w:rPr>
          <w:rFonts w:cs="Arial"/>
          <w:lang w:val="en-GB"/>
        </w:rPr>
        <w:t xml:space="preserve"> light of </w:t>
      </w:r>
      <w:r>
        <w:rPr>
          <w:rFonts w:cs="Arial"/>
          <w:lang w:val="en-GB"/>
        </w:rPr>
        <w:t>the</w:t>
      </w:r>
      <w:r w:rsidR="009E3B35">
        <w:rPr>
          <w:rFonts w:cs="Arial"/>
          <w:lang w:val="en-GB"/>
        </w:rPr>
        <w:t xml:space="preserve"> low number of</w:t>
      </w:r>
      <w:r w:rsidR="002F27F8">
        <w:rPr>
          <w:rFonts w:cs="Arial"/>
          <w:lang w:val="en-GB"/>
        </w:rPr>
        <w:t xml:space="preserve"> </w:t>
      </w:r>
      <w:r w:rsidR="007D6908">
        <w:rPr>
          <w:rFonts w:cs="Arial"/>
          <w:lang w:val="en-GB"/>
        </w:rPr>
        <w:t>responses</w:t>
      </w:r>
      <w:r w:rsidR="002F27F8">
        <w:rPr>
          <w:rFonts w:cs="Arial"/>
          <w:lang w:val="en-GB"/>
        </w:rPr>
        <w:t xml:space="preserve"> received</w:t>
      </w:r>
      <w:r w:rsidR="008349BB">
        <w:rPr>
          <w:rFonts w:cs="Arial"/>
          <w:lang w:val="en-GB"/>
        </w:rPr>
        <w:t xml:space="preserve"> and </w:t>
      </w:r>
      <w:r w:rsidR="00C4216A">
        <w:rPr>
          <w:rFonts w:cs="Arial"/>
          <w:lang w:val="en-GB"/>
        </w:rPr>
        <w:t xml:space="preserve">the </w:t>
      </w:r>
      <w:r w:rsidR="009E3B35">
        <w:rPr>
          <w:rFonts w:cs="Arial"/>
          <w:lang w:val="en-GB"/>
        </w:rPr>
        <w:t xml:space="preserve">comments provided </w:t>
      </w:r>
      <w:r w:rsidR="004938CE">
        <w:rPr>
          <w:rFonts w:cs="Arial"/>
          <w:lang w:val="en-GB"/>
        </w:rPr>
        <w:t xml:space="preserve">at the presentations of the </w:t>
      </w:r>
      <w:r w:rsidR="003D3F50">
        <w:rPr>
          <w:rFonts w:cs="Arial"/>
          <w:lang w:val="en-GB"/>
        </w:rPr>
        <w:t>t</w:t>
      </w:r>
      <w:r w:rsidR="004938CE">
        <w:rPr>
          <w:rFonts w:cs="Arial"/>
          <w:lang w:val="en-GB"/>
        </w:rPr>
        <w:t>ool</w:t>
      </w:r>
      <w:r w:rsidR="002F27F8" w:rsidRPr="007B70C5">
        <w:rPr>
          <w:rFonts w:cs="Arial"/>
          <w:lang w:val="en-GB"/>
        </w:rPr>
        <w:t xml:space="preserve">, </w:t>
      </w:r>
      <w:r w:rsidR="003C459E" w:rsidRPr="007B70C5">
        <w:rPr>
          <w:rFonts w:cs="Arial"/>
          <w:lang w:val="en-GB"/>
        </w:rPr>
        <w:t xml:space="preserve">the </w:t>
      </w:r>
      <w:r w:rsidR="001C5593" w:rsidRPr="00574099">
        <w:rPr>
          <w:rFonts w:cs="Arial"/>
          <w:lang w:val="en-GB"/>
        </w:rPr>
        <w:t>benefits</w:t>
      </w:r>
      <w:r w:rsidR="003C459E" w:rsidRPr="007B70C5">
        <w:rPr>
          <w:rFonts w:cs="Arial"/>
          <w:lang w:val="en-GB"/>
        </w:rPr>
        <w:t xml:space="preserve"> </w:t>
      </w:r>
      <w:r w:rsidR="007C6897" w:rsidRPr="007B70C5">
        <w:rPr>
          <w:rFonts w:cs="Arial"/>
          <w:lang w:val="en-GB"/>
        </w:rPr>
        <w:t xml:space="preserve">of </w:t>
      </w:r>
      <w:r w:rsidR="00125A97" w:rsidRPr="00574099">
        <w:rPr>
          <w:rFonts w:cs="Arial"/>
          <w:lang w:val="en-GB"/>
        </w:rPr>
        <w:t>any</w:t>
      </w:r>
      <w:r w:rsidR="007C6897" w:rsidRPr="007B70C5">
        <w:rPr>
          <w:rFonts w:cs="Arial"/>
          <w:lang w:val="en-GB"/>
        </w:rPr>
        <w:t xml:space="preserve"> </w:t>
      </w:r>
      <w:r w:rsidR="00124338" w:rsidRPr="007B70C5">
        <w:rPr>
          <w:rFonts w:cs="Arial"/>
          <w:lang w:val="en-GB"/>
        </w:rPr>
        <w:t>further development</w:t>
      </w:r>
      <w:r w:rsidR="00125A97" w:rsidRPr="00574099">
        <w:rPr>
          <w:rFonts w:cs="Arial"/>
          <w:lang w:val="en-GB"/>
        </w:rPr>
        <w:t>s</w:t>
      </w:r>
      <w:r w:rsidR="00124338" w:rsidRPr="007B70C5">
        <w:rPr>
          <w:rFonts w:cs="Arial"/>
          <w:lang w:val="en-GB"/>
        </w:rPr>
        <w:t xml:space="preserve"> </w:t>
      </w:r>
      <w:r w:rsidR="004938CE" w:rsidRPr="007B70C5">
        <w:rPr>
          <w:rFonts w:cs="Arial"/>
          <w:lang w:val="en-GB"/>
        </w:rPr>
        <w:t xml:space="preserve">should be </w:t>
      </w:r>
      <w:r w:rsidR="001C5593" w:rsidRPr="00574099">
        <w:rPr>
          <w:rFonts w:cs="Arial"/>
          <w:lang w:val="en-GB"/>
        </w:rPr>
        <w:t xml:space="preserve">carefully </w:t>
      </w:r>
      <w:r w:rsidR="004138DE" w:rsidRPr="007B70C5">
        <w:rPr>
          <w:rFonts w:cs="Arial"/>
          <w:lang w:val="en-GB"/>
        </w:rPr>
        <w:t>scrutinized</w:t>
      </w:r>
      <w:r w:rsidR="00874029" w:rsidRPr="007B70C5">
        <w:rPr>
          <w:rFonts w:cs="Arial"/>
          <w:lang w:val="en-GB"/>
        </w:rPr>
        <w:t xml:space="preserve">. </w:t>
      </w:r>
      <w:r w:rsidR="007C6897" w:rsidRPr="007B70C5">
        <w:rPr>
          <w:rFonts w:cs="Arial"/>
          <w:lang w:val="en-GB"/>
        </w:rPr>
        <w:t>This</w:t>
      </w:r>
      <w:r w:rsidR="00F431F0" w:rsidRPr="007B70C5">
        <w:rPr>
          <w:rFonts w:cs="Arial"/>
          <w:lang w:val="en-GB"/>
        </w:rPr>
        <w:t xml:space="preserve"> should inc</w:t>
      </w:r>
      <w:r w:rsidR="00F431F0">
        <w:rPr>
          <w:rFonts w:cs="Arial"/>
          <w:lang w:val="en-GB"/>
        </w:rPr>
        <w:t xml:space="preserve">lude </w:t>
      </w:r>
      <w:r w:rsidR="002B7BE7">
        <w:rPr>
          <w:rFonts w:cs="Arial"/>
          <w:lang w:val="en-GB"/>
        </w:rPr>
        <w:t xml:space="preserve">a review of </w:t>
      </w:r>
      <w:r w:rsidR="00AA359B">
        <w:rPr>
          <w:rFonts w:cs="Arial"/>
          <w:lang w:val="en-GB"/>
        </w:rPr>
        <w:t>other</w:t>
      </w:r>
      <w:r w:rsidR="002B7BE7">
        <w:rPr>
          <w:rFonts w:cs="Arial"/>
          <w:lang w:val="en-GB"/>
        </w:rPr>
        <w:t xml:space="preserve"> existing tools</w:t>
      </w:r>
      <w:r w:rsidR="00124338">
        <w:rPr>
          <w:rFonts w:cs="Arial"/>
          <w:lang w:val="en-GB"/>
        </w:rPr>
        <w:t xml:space="preserve"> </w:t>
      </w:r>
      <w:r w:rsidR="00D03AD6">
        <w:rPr>
          <w:rFonts w:cs="Arial"/>
          <w:lang w:val="en-GB"/>
        </w:rPr>
        <w:t>to avoid duplication</w:t>
      </w:r>
      <w:r w:rsidR="004D1278">
        <w:rPr>
          <w:rFonts w:cs="Arial"/>
          <w:lang w:val="en-GB"/>
        </w:rPr>
        <w:t xml:space="preserve">. At the same time, </w:t>
      </w:r>
      <w:r w:rsidR="00334617">
        <w:rPr>
          <w:rFonts w:cs="Arial"/>
          <w:lang w:val="en-GB"/>
        </w:rPr>
        <w:t xml:space="preserve">the target users of the </w:t>
      </w:r>
      <w:r w:rsidR="00BF0690">
        <w:rPr>
          <w:rFonts w:cs="Arial"/>
          <w:lang w:val="en-GB"/>
        </w:rPr>
        <w:t>t</w:t>
      </w:r>
      <w:r w:rsidR="00334617">
        <w:rPr>
          <w:rFonts w:cs="Arial"/>
          <w:lang w:val="en-GB"/>
        </w:rPr>
        <w:t xml:space="preserve">ool </w:t>
      </w:r>
      <w:r w:rsidR="002F6C16">
        <w:rPr>
          <w:rFonts w:cs="Arial"/>
          <w:lang w:val="en-GB"/>
        </w:rPr>
        <w:t xml:space="preserve">and their needs </w:t>
      </w:r>
      <w:r w:rsidR="00334617">
        <w:rPr>
          <w:rFonts w:cs="Arial"/>
          <w:lang w:val="en-GB"/>
        </w:rPr>
        <w:t xml:space="preserve">should be </w:t>
      </w:r>
      <w:r w:rsidR="00BB140D">
        <w:rPr>
          <w:rFonts w:cs="Arial"/>
          <w:lang w:val="en-GB"/>
        </w:rPr>
        <w:t>identified</w:t>
      </w:r>
      <w:r w:rsidR="004D45B1">
        <w:rPr>
          <w:rFonts w:cs="Arial"/>
          <w:lang w:val="en-GB"/>
        </w:rPr>
        <w:t>,</w:t>
      </w:r>
      <w:r w:rsidR="00BB140D">
        <w:rPr>
          <w:rFonts w:cs="Arial"/>
          <w:lang w:val="en-GB"/>
        </w:rPr>
        <w:t xml:space="preserve"> </w:t>
      </w:r>
      <w:r w:rsidR="001E7A7A">
        <w:rPr>
          <w:rFonts w:cs="Arial"/>
          <w:lang w:val="en-GB"/>
        </w:rPr>
        <w:t>in</w:t>
      </w:r>
      <w:r w:rsidR="00542348">
        <w:rPr>
          <w:rFonts w:cs="Arial"/>
          <w:lang w:val="en-GB"/>
        </w:rPr>
        <w:t xml:space="preserve"> close consultation with </w:t>
      </w:r>
      <w:r w:rsidR="00AA359B">
        <w:rPr>
          <w:rFonts w:cs="Arial"/>
          <w:lang w:val="en-GB"/>
        </w:rPr>
        <w:t>Parties</w:t>
      </w:r>
      <w:r w:rsidR="001E7A7A">
        <w:rPr>
          <w:rFonts w:cs="Arial"/>
          <w:lang w:val="en-GB"/>
        </w:rPr>
        <w:t xml:space="preserve">, building on </w:t>
      </w:r>
      <w:r w:rsidR="00201940">
        <w:rPr>
          <w:rFonts w:cs="Arial"/>
          <w:lang w:val="en-GB"/>
        </w:rPr>
        <w:t>the experience of SADC</w:t>
      </w:r>
      <w:r w:rsidR="00BB140D">
        <w:rPr>
          <w:rFonts w:cs="Arial"/>
          <w:lang w:val="en-GB"/>
        </w:rPr>
        <w:t xml:space="preserve"> </w:t>
      </w:r>
      <w:r w:rsidR="008B2EA6">
        <w:rPr>
          <w:rFonts w:cs="Arial"/>
          <w:lang w:val="en-GB"/>
        </w:rPr>
        <w:t>m</w:t>
      </w:r>
      <w:r w:rsidR="00BB140D">
        <w:rPr>
          <w:rFonts w:cs="Arial"/>
          <w:lang w:val="en-GB"/>
        </w:rPr>
        <w:t xml:space="preserve">ember </w:t>
      </w:r>
      <w:r w:rsidR="008B2EA6">
        <w:rPr>
          <w:rFonts w:cs="Arial"/>
          <w:lang w:val="en-GB"/>
        </w:rPr>
        <w:t>s</w:t>
      </w:r>
      <w:r w:rsidR="00BB140D">
        <w:rPr>
          <w:rFonts w:cs="Arial"/>
          <w:lang w:val="en-GB"/>
        </w:rPr>
        <w:t xml:space="preserve">tates </w:t>
      </w:r>
      <w:r w:rsidR="002F6C16">
        <w:rPr>
          <w:rFonts w:cs="Arial"/>
          <w:lang w:val="en-GB"/>
        </w:rPr>
        <w:t xml:space="preserve">in establishing TFCAs. </w:t>
      </w:r>
      <w:r w:rsidR="0066621B">
        <w:rPr>
          <w:rFonts w:cs="Arial"/>
          <w:lang w:val="en-GB"/>
        </w:rPr>
        <w:t>On</w:t>
      </w:r>
      <w:r w:rsidR="00AF084E">
        <w:rPr>
          <w:rFonts w:cs="Arial"/>
          <w:lang w:val="en-GB"/>
        </w:rPr>
        <w:t>c</w:t>
      </w:r>
      <w:r w:rsidR="0066621B">
        <w:rPr>
          <w:rFonts w:cs="Arial"/>
          <w:lang w:val="en-GB"/>
        </w:rPr>
        <w:t xml:space="preserve">e the target users and their needs </w:t>
      </w:r>
      <w:r w:rsidR="00405E83">
        <w:rPr>
          <w:rFonts w:cs="Arial"/>
          <w:lang w:val="en-GB"/>
        </w:rPr>
        <w:t xml:space="preserve">have been </w:t>
      </w:r>
      <w:r w:rsidR="00BF0690">
        <w:rPr>
          <w:rFonts w:cs="Arial"/>
          <w:lang w:val="en-GB"/>
        </w:rPr>
        <w:t>determined</w:t>
      </w:r>
      <w:r w:rsidR="00791F2C">
        <w:rPr>
          <w:rFonts w:cs="Arial"/>
          <w:lang w:val="en-GB"/>
        </w:rPr>
        <w:t>,</w:t>
      </w:r>
      <w:r w:rsidR="00E034AF">
        <w:rPr>
          <w:rFonts w:cs="Arial"/>
          <w:lang w:val="en-GB"/>
        </w:rPr>
        <w:t xml:space="preserve"> the recommendations endorsed by the Scientific Council</w:t>
      </w:r>
      <w:r w:rsidR="00791F2C">
        <w:rPr>
          <w:rFonts w:cs="Arial"/>
          <w:lang w:val="en-GB"/>
        </w:rPr>
        <w:t xml:space="preserve"> should be given due consideration</w:t>
      </w:r>
      <w:r w:rsidR="00E034AF">
        <w:rPr>
          <w:rFonts w:cs="Arial"/>
          <w:lang w:val="en-GB"/>
        </w:rPr>
        <w:t>.</w:t>
      </w:r>
    </w:p>
    <w:p w14:paraId="028F34B9" w14:textId="77777777" w:rsidR="00D00AA8" w:rsidRPr="00D40C2F" w:rsidRDefault="00D00AA8" w:rsidP="00852DB3">
      <w:pPr>
        <w:autoSpaceDE w:val="0"/>
        <w:autoSpaceDN w:val="0"/>
        <w:adjustRightInd w:val="0"/>
        <w:spacing w:after="0" w:line="240" w:lineRule="auto"/>
        <w:ind w:left="360"/>
        <w:jc w:val="both"/>
        <w:rPr>
          <w:rFonts w:cs="Arial"/>
          <w:lang w:val="en-GB"/>
        </w:rPr>
      </w:pPr>
    </w:p>
    <w:p w14:paraId="4AE655C7" w14:textId="77777777" w:rsidR="00D00AA8" w:rsidRPr="00D40C2F" w:rsidRDefault="00D00AA8" w:rsidP="00852DB3">
      <w:pPr>
        <w:spacing w:after="0" w:line="240" w:lineRule="auto"/>
        <w:jc w:val="both"/>
        <w:rPr>
          <w:rFonts w:cs="Arial"/>
          <w:lang w:val="en-GB"/>
        </w:rPr>
      </w:pPr>
      <w:r w:rsidRPr="00D40C2F">
        <w:rPr>
          <w:rFonts w:cs="Arial"/>
          <w:u w:val="single"/>
          <w:lang w:val="en-GB"/>
        </w:rPr>
        <w:t>Recommended actions</w:t>
      </w:r>
    </w:p>
    <w:p w14:paraId="01759275" w14:textId="77777777" w:rsidR="00D00AA8" w:rsidRPr="00D40C2F" w:rsidRDefault="00D00AA8" w:rsidP="00852DB3">
      <w:pPr>
        <w:spacing w:after="0" w:line="240" w:lineRule="auto"/>
        <w:jc w:val="both"/>
        <w:rPr>
          <w:rFonts w:cs="Arial"/>
          <w:lang w:val="en-GB"/>
        </w:rPr>
      </w:pPr>
    </w:p>
    <w:p w14:paraId="168050D9" w14:textId="77777777" w:rsidR="00D00AA8" w:rsidRPr="00D40C2F" w:rsidRDefault="00D00AA8" w:rsidP="005C40D0">
      <w:pPr>
        <w:widowControl w:val="0"/>
        <w:numPr>
          <w:ilvl w:val="0"/>
          <w:numId w:val="12"/>
        </w:numPr>
        <w:autoSpaceDE w:val="0"/>
        <w:autoSpaceDN w:val="0"/>
        <w:adjustRightInd w:val="0"/>
        <w:spacing w:after="0" w:line="240" w:lineRule="auto"/>
        <w:ind w:left="567" w:hanging="567"/>
        <w:jc w:val="both"/>
        <w:rPr>
          <w:rFonts w:cs="Arial"/>
          <w:lang w:val="en-GB"/>
        </w:rPr>
      </w:pPr>
      <w:r w:rsidRPr="00D40C2F">
        <w:rPr>
          <w:rFonts w:cs="Arial"/>
          <w:lang w:val="en-GB" w:eastAsia="en-GB"/>
        </w:rPr>
        <w:t>The Conference of the Parties is recommended to</w:t>
      </w:r>
      <w:r w:rsidRPr="00D40C2F">
        <w:rPr>
          <w:rFonts w:cs="Arial"/>
          <w:lang w:val="en-GB"/>
        </w:rPr>
        <w:t>:</w:t>
      </w:r>
    </w:p>
    <w:p w14:paraId="53AA4D1A" w14:textId="77777777" w:rsidR="00D00AA8" w:rsidRPr="00D40C2F" w:rsidRDefault="00D00AA8" w:rsidP="00852DB3">
      <w:pPr>
        <w:spacing w:after="0" w:line="240" w:lineRule="auto"/>
        <w:jc w:val="both"/>
        <w:rPr>
          <w:lang w:val="en-GB"/>
        </w:rPr>
      </w:pPr>
    </w:p>
    <w:p w14:paraId="475CD398" w14:textId="71A276B6" w:rsidR="00D00AA8" w:rsidRPr="00DE2828" w:rsidRDefault="00D00AA8" w:rsidP="00F728AB">
      <w:pPr>
        <w:pStyle w:val="Secondnumbering"/>
        <w:numPr>
          <w:ilvl w:val="0"/>
          <w:numId w:val="22"/>
        </w:numPr>
        <w:ind w:left="993" w:hanging="426"/>
        <w:jc w:val="both"/>
      </w:pPr>
      <w:r>
        <w:t xml:space="preserve">adopt the draft Decisions contained </w:t>
      </w:r>
      <w:r w:rsidRPr="005B05F6">
        <w:t xml:space="preserve">in </w:t>
      </w:r>
      <w:r w:rsidR="00F728AB">
        <w:t xml:space="preserve">the </w:t>
      </w:r>
      <w:r w:rsidRPr="005B05F6">
        <w:t>Annex</w:t>
      </w:r>
      <w:r>
        <w:t xml:space="preserve"> of this document;</w:t>
      </w:r>
    </w:p>
    <w:p w14:paraId="4F2E5B04" w14:textId="660948D7" w:rsidR="00D00AA8" w:rsidRPr="000A4C50" w:rsidRDefault="00D00AA8" w:rsidP="00F728AB">
      <w:pPr>
        <w:spacing w:after="0" w:line="240" w:lineRule="auto"/>
        <w:ind w:left="993" w:hanging="426"/>
        <w:jc w:val="both"/>
        <w:rPr>
          <w:rFonts w:cs="Arial"/>
        </w:rPr>
      </w:pPr>
    </w:p>
    <w:p w14:paraId="40667867" w14:textId="6D7B0E8A" w:rsidR="00D00AA8" w:rsidRPr="00F3226B" w:rsidRDefault="00D00AA8" w:rsidP="00F728AB">
      <w:pPr>
        <w:pStyle w:val="Secondnumbering"/>
        <w:numPr>
          <w:ilvl w:val="0"/>
          <w:numId w:val="22"/>
        </w:numPr>
        <w:ind w:left="993" w:hanging="426"/>
        <w:jc w:val="both"/>
      </w:pPr>
      <w:r w:rsidRPr="00695AAD">
        <w:rPr>
          <w:rFonts w:cs="Arial"/>
        </w:rPr>
        <w:t>delete Decision</w:t>
      </w:r>
      <w:r w:rsidR="00E87100">
        <w:rPr>
          <w:rFonts w:cs="Arial"/>
        </w:rPr>
        <w:t>s</w:t>
      </w:r>
      <w:r w:rsidRPr="00695AAD">
        <w:rPr>
          <w:rFonts w:cs="Arial"/>
        </w:rPr>
        <w:t xml:space="preserve"> </w:t>
      </w:r>
      <w:r w:rsidR="00E87100">
        <w:rPr>
          <w:rFonts w:eastAsia="Times New Roman" w:cs="Arial"/>
          <w:snapToGrid w:val="0"/>
          <w:color w:val="000000"/>
          <w:kern w:val="2"/>
        </w:rPr>
        <w:t>14.197–14.199</w:t>
      </w:r>
      <w:r>
        <w:rPr>
          <w:rFonts w:cs="Arial"/>
        </w:rPr>
        <w:t>.</w:t>
      </w:r>
    </w:p>
    <w:p w14:paraId="204F1683" w14:textId="77777777" w:rsidR="00F728AB" w:rsidRDefault="00F728AB" w:rsidP="00955018">
      <w:pPr>
        <w:jc w:val="both"/>
        <w:rPr>
          <w:lang w:val="en-GB"/>
        </w:rPr>
        <w:sectPr w:rsidR="00F728AB" w:rsidSect="00D93628">
          <w:headerReference w:type="even" r:id="rId23"/>
          <w:headerReference w:type="default" r:id="rId24"/>
          <w:footerReference w:type="even" r:id="rId25"/>
          <w:footerReference w:type="default" r:id="rId26"/>
          <w:headerReference w:type="first" r:id="rId27"/>
          <w:pgSz w:w="11906" w:h="16838" w:code="9"/>
          <w:pgMar w:top="1440" w:right="1440" w:bottom="1440" w:left="1440" w:header="720" w:footer="720" w:gutter="0"/>
          <w:cols w:space="720"/>
          <w:titlePg/>
          <w:docGrid w:linePitch="360"/>
        </w:sectPr>
      </w:pPr>
    </w:p>
    <w:p w14:paraId="6270044C" w14:textId="6A70CC4A" w:rsidR="00D00AA8" w:rsidRPr="00380BF8" w:rsidRDefault="00D00AA8" w:rsidP="00D00AA8">
      <w:pPr>
        <w:spacing w:after="0" w:line="240" w:lineRule="auto"/>
        <w:jc w:val="right"/>
        <w:rPr>
          <w:rFonts w:cs="Arial"/>
          <w:b/>
          <w:bCs/>
          <w:caps/>
          <w:lang w:val="en-GB"/>
        </w:rPr>
      </w:pPr>
      <w:r w:rsidRPr="00380BF8">
        <w:rPr>
          <w:rFonts w:cs="Arial"/>
          <w:b/>
          <w:caps/>
          <w:lang w:val="en-GB"/>
        </w:rPr>
        <w:lastRenderedPageBreak/>
        <w:t>Annex</w:t>
      </w:r>
    </w:p>
    <w:p w14:paraId="7E61CE38" w14:textId="77777777" w:rsidR="00D00AA8" w:rsidRPr="00380BF8" w:rsidRDefault="00D00AA8" w:rsidP="00D00AA8">
      <w:pPr>
        <w:spacing w:after="0" w:line="240" w:lineRule="auto"/>
        <w:rPr>
          <w:rFonts w:cs="Arial"/>
          <w:lang w:val="en-GB"/>
        </w:rPr>
      </w:pPr>
    </w:p>
    <w:p w14:paraId="093128CB" w14:textId="77777777" w:rsidR="00D00AA8" w:rsidRPr="00380BF8" w:rsidRDefault="00D00AA8" w:rsidP="00D00AA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en-GB"/>
        </w:rPr>
      </w:pPr>
      <w:r w:rsidRPr="00380BF8">
        <w:rPr>
          <w:rFonts w:cs="Arial"/>
          <w:bCs/>
          <w:caps/>
          <w:lang w:val="en-GB"/>
        </w:rPr>
        <w:t>DRAFT DECISIONS</w:t>
      </w:r>
    </w:p>
    <w:p w14:paraId="3DF69D55" w14:textId="77777777" w:rsidR="00D00AA8" w:rsidRPr="00380BF8" w:rsidRDefault="00D00AA8" w:rsidP="00D00AA8">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lang w:val="en-GB"/>
        </w:rPr>
      </w:pPr>
    </w:p>
    <w:p w14:paraId="60E029B0" w14:textId="77777777" w:rsidR="00BA5CD6" w:rsidRPr="00081045" w:rsidRDefault="00BA5CD6" w:rsidP="00BA5CD6">
      <w:pPr>
        <w:widowControl w:val="0"/>
        <w:suppressAutoHyphens/>
        <w:autoSpaceDE w:val="0"/>
        <w:autoSpaceDN w:val="0"/>
        <w:spacing w:after="120" w:line="240" w:lineRule="auto"/>
        <w:jc w:val="center"/>
        <w:textAlignment w:val="baseline"/>
        <w:rPr>
          <w:rFonts w:eastAsia="Times New Roman" w:cs="Arial"/>
          <w:b/>
          <w:bCs/>
          <w:lang w:val="en-GB"/>
        </w:rPr>
      </w:pPr>
      <w:r>
        <w:rPr>
          <w:rFonts w:eastAsia="Times New Roman" w:cs="Arial"/>
          <w:b/>
          <w:bCs/>
          <w:lang w:val="en-GB"/>
        </w:rPr>
        <w:t>TRANSFRONTIER CONSERVATION AREAS FOR MIGRATORY SPECIES</w:t>
      </w:r>
    </w:p>
    <w:p w14:paraId="1A2B5410" w14:textId="77777777" w:rsidR="00D00AA8" w:rsidRPr="00CA6782" w:rsidRDefault="00D00AA8" w:rsidP="00D00AA8">
      <w:pPr>
        <w:spacing w:after="0" w:line="240" w:lineRule="auto"/>
        <w:jc w:val="both"/>
        <w:rPr>
          <w:rFonts w:cs="Arial"/>
          <w:i/>
          <w:lang w:val="en-GB"/>
        </w:rPr>
      </w:pPr>
    </w:p>
    <w:p w14:paraId="0B44ACF4" w14:textId="06FB4735" w:rsidR="00D00AA8" w:rsidRPr="00380BF8" w:rsidRDefault="00D00AA8" w:rsidP="00D00AA8">
      <w:pPr>
        <w:spacing w:after="0" w:line="240" w:lineRule="auto"/>
        <w:jc w:val="both"/>
        <w:rPr>
          <w:rFonts w:cs="Arial"/>
          <w:b/>
          <w:iCs/>
          <w:lang w:val="en-GB"/>
        </w:rPr>
      </w:pPr>
      <w:r w:rsidRPr="00380BF8">
        <w:rPr>
          <w:rFonts w:cs="Arial"/>
          <w:b/>
          <w:iCs/>
          <w:lang w:val="en-GB"/>
        </w:rPr>
        <w:t xml:space="preserve">Directed to the </w:t>
      </w:r>
      <w:r w:rsidR="00092A84">
        <w:rPr>
          <w:rFonts w:cs="Arial"/>
          <w:b/>
          <w:iCs/>
          <w:lang w:val="en-GB"/>
        </w:rPr>
        <w:t>Scientific Council</w:t>
      </w:r>
    </w:p>
    <w:p w14:paraId="64ABB686" w14:textId="77777777" w:rsidR="00D00AA8" w:rsidRPr="00380BF8" w:rsidRDefault="00D00AA8" w:rsidP="00D00AA8">
      <w:pPr>
        <w:spacing w:after="0" w:line="240" w:lineRule="auto"/>
        <w:jc w:val="both"/>
        <w:rPr>
          <w:rFonts w:cs="Arial"/>
          <w:iCs/>
          <w:lang w:val="en-GB"/>
        </w:rPr>
      </w:pPr>
    </w:p>
    <w:p w14:paraId="1D15B17D" w14:textId="77777777" w:rsidR="004C73CD" w:rsidRPr="004C73CD" w:rsidRDefault="00D00AA8" w:rsidP="004C73CD">
      <w:pPr>
        <w:spacing w:after="0" w:line="240" w:lineRule="auto"/>
        <w:ind w:left="851" w:hanging="851"/>
        <w:jc w:val="both"/>
        <w:rPr>
          <w:rFonts w:cs="Arial"/>
          <w:iCs/>
          <w:lang/>
        </w:rPr>
      </w:pPr>
      <w:r w:rsidRPr="00380BF8">
        <w:rPr>
          <w:rFonts w:cs="Arial"/>
          <w:iCs/>
          <w:lang w:val="en-GB"/>
        </w:rPr>
        <w:t>15.</w:t>
      </w:r>
      <w:r>
        <w:rPr>
          <w:rFonts w:cs="Arial"/>
          <w:iCs/>
          <w:lang w:val="en-GB"/>
        </w:rPr>
        <w:t>AA</w:t>
      </w:r>
      <w:r w:rsidRPr="00380BF8">
        <w:rPr>
          <w:rFonts w:cs="Arial"/>
          <w:iCs/>
          <w:lang w:val="en-GB"/>
        </w:rPr>
        <w:tab/>
      </w:r>
      <w:r w:rsidR="004C73CD" w:rsidRPr="004C73CD">
        <w:rPr>
          <w:rFonts w:cs="Arial"/>
          <w:iCs/>
          <w:lang/>
        </w:rPr>
        <w:t>Taking into account the recommendations emanating from the 7</w:t>
      </w:r>
      <w:r w:rsidR="004C73CD" w:rsidRPr="004C73CD">
        <w:rPr>
          <w:rFonts w:cs="Arial"/>
          <w:iCs/>
          <w:vertAlign w:val="superscript"/>
          <w:lang/>
        </w:rPr>
        <w:t>th</w:t>
      </w:r>
      <w:r w:rsidR="004C73CD" w:rsidRPr="004C73CD">
        <w:rPr>
          <w:rFonts w:cs="Arial"/>
          <w:iCs/>
          <w:lang/>
        </w:rPr>
        <w:t xml:space="preserve"> meeting of the Sessional Committee, the Scientific Council is requested to establish a Working Group, which includes representatives from the Southern African Development Community region (the lead region for establishing Transfrontier Conservation Areas), to: </w:t>
      </w:r>
    </w:p>
    <w:p w14:paraId="24D0B273" w14:textId="77777777" w:rsidR="00C170F1" w:rsidRPr="001C7F50" w:rsidRDefault="00C170F1" w:rsidP="00C170F1">
      <w:pPr>
        <w:spacing w:after="0" w:line="240" w:lineRule="auto"/>
        <w:ind w:left="851" w:hanging="851"/>
        <w:jc w:val="both"/>
        <w:rPr>
          <w:rFonts w:cs="Arial"/>
          <w:iCs/>
          <w:lang w:val="en-GB"/>
        </w:rPr>
      </w:pPr>
    </w:p>
    <w:p w14:paraId="29451C2E" w14:textId="60A617B3" w:rsidR="00A71A5A" w:rsidRPr="00983517" w:rsidRDefault="002B0F39" w:rsidP="00CA6782">
      <w:pPr>
        <w:pStyle w:val="ListParagraph"/>
        <w:numPr>
          <w:ilvl w:val="0"/>
          <w:numId w:val="31"/>
        </w:numPr>
        <w:spacing w:after="0" w:line="240" w:lineRule="auto"/>
        <w:ind w:left="1418" w:hanging="567"/>
        <w:jc w:val="both"/>
        <w:rPr>
          <w:rFonts w:cs="Arial"/>
          <w:iCs/>
          <w:lang w:val="en-GB"/>
        </w:rPr>
      </w:pPr>
      <w:r>
        <w:rPr>
          <w:rFonts w:cs="Arial"/>
          <w:iCs/>
        </w:rPr>
        <w:t>determine</w:t>
      </w:r>
      <w:r w:rsidR="004450F3" w:rsidRPr="007C11F7">
        <w:rPr>
          <w:rFonts w:cs="Arial"/>
          <w:iCs/>
        </w:rPr>
        <w:t xml:space="preserve"> </w:t>
      </w:r>
      <w:r w:rsidR="0070093D" w:rsidRPr="007C11F7">
        <w:rPr>
          <w:rFonts w:cs="Arial"/>
          <w:iCs/>
        </w:rPr>
        <w:t xml:space="preserve">the </w:t>
      </w:r>
      <w:r w:rsidR="007159FD">
        <w:rPr>
          <w:rFonts w:cs="Arial"/>
          <w:iCs/>
        </w:rPr>
        <w:t>target users</w:t>
      </w:r>
      <w:r w:rsidR="00B738A9">
        <w:rPr>
          <w:rFonts w:cs="Arial"/>
          <w:iCs/>
        </w:rPr>
        <w:t xml:space="preserve"> of the </w:t>
      </w:r>
      <w:r w:rsidR="004A1207">
        <w:rPr>
          <w:rFonts w:cs="Arial"/>
          <w:iCs/>
        </w:rPr>
        <w:t>t</w:t>
      </w:r>
      <w:r w:rsidR="00E10EF1">
        <w:rPr>
          <w:rFonts w:cs="Arial"/>
          <w:iCs/>
        </w:rPr>
        <w:t xml:space="preserve">ool for </w:t>
      </w:r>
      <w:r w:rsidR="00CC5D09" w:rsidRPr="008E3E04">
        <w:rPr>
          <w:rFonts w:cs="Arial"/>
        </w:rPr>
        <w:t>identifying opportunities for transboundary conservation</w:t>
      </w:r>
      <w:r w:rsidR="000A20F7">
        <w:t>,</w:t>
      </w:r>
      <w:r w:rsidR="00536773" w:rsidRPr="007A40BA">
        <w:rPr>
          <w:rFonts w:cs="Arial"/>
          <w:i/>
          <w:iCs/>
        </w:rPr>
        <w:t xml:space="preserve"> </w:t>
      </w:r>
      <w:r w:rsidR="00536773">
        <w:rPr>
          <w:rFonts w:cs="Arial"/>
          <w:iCs/>
        </w:rPr>
        <w:t>in close consultation with Parties</w:t>
      </w:r>
      <w:r w:rsidR="00096663">
        <w:rPr>
          <w:rFonts w:cs="Arial"/>
          <w:iCs/>
        </w:rPr>
        <w:t xml:space="preserve"> and other stakeholders</w:t>
      </w:r>
      <w:r w:rsidR="008D3132">
        <w:rPr>
          <w:rFonts w:cs="Arial"/>
          <w:iCs/>
        </w:rPr>
        <w:t>;</w:t>
      </w:r>
    </w:p>
    <w:p w14:paraId="77ECB5A4" w14:textId="77777777" w:rsidR="0028371E" w:rsidRPr="008D3132" w:rsidRDefault="0028371E" w:rsidP="00CA6782">
      <w:pPr>
        <w:pStyle w:val="ListParagraph"/>
        <w:spacing w:after="0" w:line="240" w:lineRule="auto"/>
        <w:ind w:left="1418" w:hanging="567"/>
        <w:jc w:val="both"/>
        <w:rPr>
          <w:rFonts w:cs="Arial"/>
          <w:iCs/>
          <w:lang w:val="en-GB"/>
        </w:rPr>
      </w:pPr>
    </w:p>
    <w:p w14:paraId="09749D7C" w14:textId="5B2F0F90" w:rsidR="007C11F7" w:rsidRPr="005D393F" w:rsidRDefault="00C273D2" w:rsidP="00CA6782">
      <w:pPr>
        <w:pStyle w:val="ListParagraph"/>
        <w:numPr>
          <w:ilvl w:val="0"/>
          <w:numId w:val="31"/>
        </w:numPr>
        <w:spacing w:after="0" w:line="240" w:lineRule="auto"/>
        <w:ind w:left="1418" w:hanging="567"/>
        <w:jc w:val="both"/>
        <w:rPr>
          <w:rFonts w:cs="Arial"/>
          <w:iCs/>
          <w:lang w:val="en-GB"/>
        </w:rPr>
      </w:pPr>
      <w:r>
        <w:rPr>
          <w:rFonts w:cs="Arial"/>
          <w:iCs/>
        </w:rPr>
        <w:t>t</w:t>
      </w:r>
      <w:r w:rsidR="00536773">
        <w:rPr>
          <w:rFonts w:cs="Arial"/>
          <w:iCs/>
        </w:rPr>
        <w:t>aking into account the recommendations emanating from the 7</w:t>
      </w:r>
      <w:r w:rsidR="00536773" w:rsidRPr="005D393F">
        <w:rPr>
          <w:rFonts w:cs="Arial"/>
          <w:iCs/>
          <w:vertAlign w:val="superscript"/>
        </w:rPr>
        <w:t>th</w:t>
      </w:r>
      <w:r w:rsidR="00536773">
        <w:rPr>
          <w:rFonts w:cs="Arial"/>
          <w:iCs/>
        </w:rPr>
        <w:t xml:space="preserve"> </w:t>
      </w:r>
      <w:r w:rsidR="00D94EDD">
        <w:rPr>
          <w:rFonts w:cs="Arial"/>
          <w:iCs/>
        </w:rPr>
        <w:t>m</w:t>
      </w:r>
      <w:r w:rsidR="00536773">
        <w:rPr>
          <w:rFonts w:cs="Arial"/>
          <w:iCs/>
        </w:rPr>
        <w:t>eeting of the Sessional Committee,</w:t>
      </w:r>
      <w:r w:rsidR="009F733E">
        <w:rPr>
          <w:rFonts w:cs="Arial"/>
          <w:iCs/>
        </w:rPr>
        <w:t xml:space="preserve"> c</w:t>
      </w:r>
      <w:r w:rsidR="00A71A5A">
        <w:rPr>
          <w:rFonts w:cs="Arial"/>
          <w:iCs/>
        </w:rPr>
        <w:t xml:space="preserve">onduct consultations with target users to identify </w:t>
      </w:r>
      <w:r w:rsidR="004450F3">
        <w:rPr>
          <w:rFonts w:cs="Arial"/>
          <w:iCs/>
        </w:rPr>
        <w:t>their needs</w:t>
      </w:r>
      <w:r w:rsidR="007159FD">
        <w:rPr>
          <w:rFonts w:cs="Arial"/>
          <w:iCs/>
        </w:rPr>
        <w:t>,</w:t>
      </w:r>
      <w:r w:rsidR="007159FD" w:rsidRPr="007C11F7">
        <w:rPr>
          <w:rFonts w:cs="Arial"/>
          <w:iCs/>
        </w:rPr>
        <w:t xml:space="preserve"> </w:t>
      </w:r>
      <w:r w:rsidR="00D94EDD">
        <w:rPr>
          <w:rFonts w:cs="Arial"/>
          <w:iCs/>
        </w:rPr>
        <w:t xml:space="preserve">the </w:t>
      </w:r>
      <w:r w:rsidR="0070093D" w:rsidRPr="007C11F7">
        <w:rPr>
          <w:rFonts w:cs="Arial"/>
          <w:iCs/>
        </w:rPr>
        <w:t xml:space="preserve">applicability of the </w:t>
      </w:r>
      <w:r w:rsidR="004A1207">
        <w:rPr>
          <w:rFonts w:cs="Arial"/>
          <w:iCs/>
        </w:rPr>
        <w:t>t</w:t>
      </w:r>
      <w:r w:rsidR="0070093D" w:rsidRPr="007C11F7">
        <w:rPr>
          <w:rFonts w:cs="Arial"/>
          <w:iCs/>
        </w:rPr>
        <w:t>ool</w:t>
      </w:r>
      <w:r w:rsidR="006047BE">
        <w:rPr>
          <w:rFonts w:cs="Arial"/>
          <w:iCs/>
        </w:rPr>
        <w:t xml:space="preserve"> </w:t>
      </w:r>
      <w:r w:rsidR="00A71A5A">
        <w:rPr>
          <w:rFonts w:cs="Arial"/>
          <w:iCs/>
        </w:rPr>
        <w:t xml:space="preserve">and </w:t>
      </w:r>
      <w:r w:rsidR="00072D7E">
        <w:rPr>
          <w:rFonts w:cs="Arial"/>
          <w:iCs/>
        </w:rPr>
        <w:t xml:space="preserve">any </w:t>
      </w:r>
      <w:r w:rsidR="00A71A5A">
        <w:rPr>
          <w:rFonts w:cs="Arial"/>
          <w:iCs/>
        </w:rPr>
        <w:t>te</w:t>
      </w:r>
      <w:r w:rsidR="008E4B33">
        <w:rPr>
          <w:rFonts w:cs="Arial"/>
          <w:iCs/>
        </w:rPr>
        <w:t xml:space="preserve">chnical adjustments </w:t>
      </w:r>
      <w:r w:rsidR="005301BC">
        <w:rPr>
          <w:rFonts w:cs="Arial"/>
          <w:iCs/>
        </w:rPr>
        <w:t>required</w:t>
      </w:r>
      <w:r w:rsidR="008E4B33">
        <w:rPr>
          <w:rFonts w:cs="Arial"/>
          <w:iCs/>
        </w:rPr>
        <w:t xml:space="preserve"> to improve </w:t>
      </w:r>
      <w:r w:rsidR="005B7D83">
        <w:rPr>
          <w:rFonts w:cs="Arial"/>
          <w:iCs/>
        </w:rPr>
        <w:t>it</w:t>
      </w:r>
      <w:r w:rsidR="0070093D" w:rsidRPr="007C11F7">
        <w:rPr>
          <w:rFonts w:cs="Arial"/>
          <w:iCs/>
        </w:rPr>
        <w:t>;</w:t>
      </w:r>
      <w:r w:rsidR="005B45E2" w:rsidRPr="007C11F7">
        <w:rPr>
          <w:rFonts w:cs="Arial"/>
          <w:iCs/>
        </w:rPr>
        <w:t xml:space="preserve"> </w:t>
      </w:r>
      <w:r w:rsidR="004321EC">
        <w:rPr>
          <w:rFonts w:cs="Arial"/>
          <w:iCs/>
        </w:rPr>
        <w:t>and</w:t>
      </w:r>
    </w:p>
    <w:p w14:paraId="1644D26A" w14:textId="77777777" w:rsidR="005D393F" w:rsidRPr="00180ED6" w:rsidRDefault="005D393F" w:rsidP="00CA6782">
      <w:pPr>
        <w:pStyle w:val="ListParagraph"/>
        <w:spacing w:after="0" w:line="240" w:lineRule="auto"/>
        <w:ind w:left="1418" w:hanging="567"/>
        <w:jc w:val="both"/>
        <w:rPr>
          <w:rFonts w:cs="Arial"/>
          <w:iCs/>
          <w:lang w:val="en-GB"/>
        </w:rPr>
      </w:pPr>
    </w:p>
    <w:p w14:paraId="3B0AF0B0" w14:textId="4781A78A" w:rsidR="00CF4A3F" w:rsidRPr="007C11F7" w:rsidRDefault="00A1616C" w:rsidP="00CA6782">
      <w:pPr>
        <w:pStyle w:val="ListParagraph"/>
        <w:numPr>
          <w:ilvl w:val="0"/>
          <w:numId w:val="31"/>
        </w:numPr>
        <w:spacing w:after="0" w:line="240" w:lineRule="auto"/>
        <w:ind w:left="1418" w:hanging="567"/>
        <w:jc w:val="both"/>
        <w:rPr>
          <w:rFonts w:cs="Arial"/>
          <w:iCs/>
          <w:lang w:val="en-GB"/>
        </w:rPr>
      </w:pPr>
      <w:r>
        <w:rPr>
          <w:rFonts w:cs="Arial"/>
          <w:iCs/>
          <w:lang w:val="en-GB"/>
        </w:rPr>
        <w:t>based on the outcomes of</w:t>
      </w:r>
      <w:r w:rsidR="00E84398">
        <w:rPr>
          <w:rFonts w:cs="Arial"/>
          <w:iCs/>
          <w:lang w:val="en-GB"/>
        </w:rPr>
        <w:t xml:space="preserve"> a) and</w:t>
      </w:r>
      <w:r>
        <w:rPr>
          <w:rFonts w:cs="Arial"/>
          <w:iCs/>
          <w:lang w:val="en-GB"/>
        </w:rPr>
        <w:t xml:space="preserve"> </w:t>
      </w:r>
      <w:r w:rsidR="007159FD">
        <w:rPr>
          <w:rFonts w:cs="Arial"/>
          <w:iCs/>
          <w:lang w:val="en-GB"/>
        </w:rPr>
        <w:t>b)</w:t>
      </w:r>
      <w:r w:rsidR="00C85FB5">
        <w:rPr>
          <w:rFonts w:cs="Arial"/>
          <w:iCs/>
          <w:lang w:val="en-GB"/>
        </w:rPr>
        <w:t xml:space="preserve">, </w:t>
      </w:r>
      <w:r w:rsidR="00A75EF7">
        <w:rPr>
          <w:rFonts w:cs="Arial"/>
          <w:iCs/>
          <w:lang w:val="en-GB"/>
        </w:rPr>
        <w:t>identify</w:t>
      </w:r>
      <w:r w:rsidR="00072D7E">
        <w:rPr>
          <w:rFonts w:cs="Arial"/>
          <w:iCs/>
          <w:lang w:val="en-GB"/>
        </w:rPr>
        <w:t>,</w:t>
      </w:r>
      <w:r w:rsidR="00307AB4" w:rsidRPr="007C11F7">
        <w:rPr>
          <w:rFonts w:cs="Arial"/>
          <w:iCs/>
          <w:lang w:val="en-GB"/>
        </w:rPr>
        <w:t xml:space="preserve"> </w:t>
      </w:r>
      <w:r w:rsidR="00B15C51">
        <w:rPr>
          <w:rFonts w:cs="Arial"/>
          <w:iCs/>
          <w:lang w:val="en-GB"/>
        </w:rPr>
        <w:t xml:space="preserve">in </w:t>
      </w:r>
      <w:r w:rsidR="00A75EF7">
        <w:rPr>
          <w:rFonts w:cs="Arial"/>
          <w:iCs/>
          <w:lang w:val="en-GB"/>
        </w:rPr>
        <w:t xml:space="preserve">close </w:t>
      </w:r>
      <w:r w:rsidR="00B15C51">
        <w:rPr>
          <w:rFonts w:cs="Arial"/>
          <w:iCs/>
          <w:lang w:val="en-GB"/>
        </w:rPr>
        <w:t>consultation with target users</w:t>
      </w:r>
      <w:r w:rsidR="00A00A24">
        <w:rPr>
          <w:rFonts w:cs="Arial"/>
          <w:iCs/>
          <w:lang w:val="en-GB"/>
        </w:rPr>
        <w:t>,</w:t>
      </w:r>
      <w:r w:rsidR="00B15C51">
        <w:rPr>
          <w:rFonts w:cs="Arial"/>
          <w:iCs/>
          <w:lang w:val="en-GB"/>
        </w:rPr>
        <w:t xml:space="preserve"> </w:t>
      </w:r>
      <w:r w:rsidR="006559CC">
        <w:rPr>
          <w:rFonts w:cs="Arial"/>
          <w:iCs/>
          <w:lang w:val="en-GB"/>
        </w:rPr>
        <w:t xml:space="preserve">further parameters </w:t>
      </w:r>
      <w:r w:rsidR="006C63AD">
        <w:rPr>
          <w:rFonts w:cs="Arial"/>
          <w:iCs/>
          <w:lang w:val="en-GB"/>
        </w:rPr>
        <w:t xml:space="preserve">and functions </w:t>
      </w:r>
      <w:r w:rsidR="006559CC">
        <w:rPr>
          <w:rFonts w:cs="Arial"/>
          <w:iCs/>
          <w:lang w:val="en-GB"/>
        </w:rPr>
        <w:t xml:space="preserve">to be added to the </w:t>
      </w:r>
      <w:r w:rsidR="004A1207">
        <w:rPr>
          <w:rFonts w:cs="Arial"/>
          <w:iCs/>
          <w:lang w:val="en-GB"/>
        </w:rPr>
        <w:t>t</w:t>
      </w:r>
      <w:r w:rsidR="006559CC">
        <w:rPr>
          <w:rFonts w:cs="Arial"/>
          <w:iCs/>
          <w:lang w:val="en-GB"/>
        </w:rPr>
        <w:t>ool.</w:t>
      </w:r>
    </w:p>
    <w:p w14:paraId="0298045F" w14:textId="77777777" w:rsidR="00C37FF2" w:rsidRPr="001D0D47" w:rsidRDefault="00C37FF2" w:rsidP="00C37FF2">
      <w:pPr>
        <w:pStyle w:val="ListParagraph"/>
        <w:spacing w:after="0" w:line="240" w:lineRule="auto"/>
        <w:ind w:left="2356"/>
        <w:jc w:val="both"/>
        <w:rPr>
          <w:rFonts w:cs="Arial"/>
          <w:iCs/>
          <w:lang w:val="en-GB"/>
        </w:rPr>
      </w:pPr>
    </w:p>
    <w:p w14:paraId="105893F9" w14:textId="77777777" w:rsidR="00092A84" w:rsidRPr="00380BF8" w:rsidRDefault="00092A84" w:rsidP="00092A84">
      <w:pPr>
        <w:spacing w:after="0" w:line="240" w:lineRule="auto"/>
        <w:jc w:val="both"/>
        <w:rPr>
          <w:rFonts w:cs="Arial"/>
          <w:b/>
          <w:iCs/>
          <w:lang w:val="en-GB"/>
        </w:rPr>
      </w:pPr>
      <w:r w:rsidRPr="00380BF8">
        <w:rPr>
          <w:rFonts w:cs="Arial"/>
          <w:b/>
          <w:iCs/>
          <w:lang w:val="en-GB"/>
        </w:rPr>
        <w:t>Directed to the Secretariat</w:t>
      </w:r>
    </w:p>
    <w:p w14:paraId="31317460" w14:textId="77777777" w:rsidR="00092A84" w:rsidRPr="00380BF8" w:rsidRDefault="00092A84" w:rsidP="00092A84">
      <w:pPr>
        <w:spacing w:after="0" w:line="240" w:lineRule="auto"/>
        <w:jc w:val="both"/>
        <w:rPr>
          <w:rFonts w:cs="Arial"/>
          <w:iCs/>
          <w:lang w:val="en-GB"/>
        </w:rPr>
      </w:pPr>
    </w:p>
    <w:p w14:paraId="210C98DC" w14:textId="786E6F62" w:rsidR="00B8500D" w:rsidRPr="00AF56CD" w:rsidRDefault="00092A84" w:rsidP="00EB028F">
      <w:pPr>
        <w:spacing w:after="0" w:line="240" w:lineRule="auto"/>
        <w:ind w:left="900" w:hanging="900"/>
        <w:jc w:val="both"/>
        <w:rPr>
          <w:rFonts w:cs="Arial"/>
          <w:iCs/>
          <w:lang w:val="en-GB"/>
        </w:rPr>
      </w:pPr>
      <w:r w:rsidRPr="00AF56CD">
        <w:rPr>
          <w:rFonts w:cs="Arial"/>
          <w:iCs/>
          <w:lang w:val="en-GB"/>
        </w:rPr>
        <w:t>15.BB</w:t>
      </w:r>
      <w:r w:rsidRPr="00AF56CD">
        <w:rPr>
          <w:rFonts w:cs="Arial"/>
          <w:iCs/>
          <w:lang w:val="en-GB"/>
        </w:rPr>
        <w:tab/>
        <w:t>The Secretariat shall, subject to the availability of external resources</w:t>
      </w:r>
      <w:r w:rsidR="0045020D" w:rsidRPr="00AF56CD">
        <w:rPr>
          <w:rFonts w:cs="Arial"/>
          <w:iCs/>
          <w:lang w:val="en-GB"/>
        </w:rPr>
        <w:t xml:space="preserve"> and in cooperation with UNEP</w:t>
      </w:r>
      <w:r w:rsidR="00343DB7">
        <w:rPr>
          <w:rFonts w:eastAsia="Times New Roman" w:cs="Arial"/>
          <w:snapToGrid w:val="0"/>
          <w:color w:val="000000"/>
          <w:kern w:val="2"/>
        </w:rPr>
        <w:t>–</w:t>
      </w:r>
      <w:r w:rsidR="0045020D" w:rsidRPr="00AF56CD">
        <w:rPr>
          <w:rFonts w:cs="Arial"/>
          <w:iCs/>
          <w:lang w:val="en-GB"/>
        </w:rPr>
        <w:t>WCMC</w:t>
      </w:r>
      <w:r w:rsidR="00B40EF8" w:rsidRPr="00AF56CD">
        <w:rPr>
          <w:rFonts w:cs="Arial"/>
          <w:iCs/>
          <w:lang w:val="en-GB"/>
        </w:rPr>
        <w:t>,</w:t>
      </w:r>
      <w:r w:rsidR="0045020D" w:rsidRPr="00AF56CD">
        <w:rPr>
          <w:rFonts w:cs="Arial"/>
          <w:iCs/>
          <w:lang w:val="en-GB"/>
        </w:rPr>
        <w:t xml:space="preserve"> support the </w:t>
      </w:r>
      <w:r w:rsidR="00452CB4" w:rsidRPr="00AF56CD">
        <w:rPr>
          <w:rFonts w:cs="Arial"/>
          <w:iCs/>
          <w:lang w:val="en-GB"/>
        </w:rPr>
        <w:t xml:space="preserve">Working Group </w:t>
      </w:r>
      <w:r w:rsidR="00C86E56" w:rsidRPr="00AF56CD">
        <w:rPr>
          <w:rFonts w:cs="Arial"/>
          <w:iCs/>
          <w:lang w:val="en-GB"/>
        </w:rPr>
        <w:t xml:space="preserve">established </w:t>
      </w:r>
      <w:r w:rsidR="00452CB4" w:rsidRPr="00AF56CD">
        <w:rPr>
          <w:rFonts w:cs="Arial"/>
          <w:iCs/>
          <w:lang w:val="en-GB"/>
        </w:rPr>
        <w:t xml:space="preserve">under </w:t>
      </w:r>
      <w:r w:rsidR="00F7163C" w:rsidRPr="00AF56CD">
        <w:rPr>
          <w:rFonts w:cs="Arial"/>
          <w:iCs/>
          <w:lang w:val="en-GB"/>
        </w:rPr>
        <w:t>Decision 15.AA</w:t>
      </w:r>
      <w:r w:rsidR="00B8500D" w:rsidRPr="00AF56CD">
        <w:rPr>
          <w:rFonts w:cs="Arial"/>
          <w:iCs/>
          <w:lang w:val="en-GB"/>
        </w:rPr>
        <w:t xml:space="preserve"> and</w:t>
      </w:r>
      <w:r w:rsidR="00452CB4" w:rsidRPr="00AF56CD">
        <w:rPr>
          <w:rFonts w:cs="Arial"/>
          <w:iCs/>
          <w:lang w:val="en-GB"/>
        </w:rPr>
        <w:t xml:space="preserve"> </w:t>
      </w:r>
      <w:r w:rsidR="00B8500D" w:rsidRPr="00AF56CD">
        <w:rPr>
          <w:rFonts w:cs="Arial"/>
          <w:iCs/>
        </w:rPr>
        <w:t xml:space="preserve">assess the costs and benefits of further developing and maintaining the </w:t>
      </w:r>
      <w:r w:rsidR="004A1207">
        <w:rPr>
          <w:rFonts w:cs="Arial"/>
          <w:iCs/>
        </w:rPr>
        <w:t>t</w:t>
      </w:r>
      <w:r w:rsidR="00B8500D" w:rsidRPr="00AF56CD">
        <w:rPr>
          <w:rFonts w:cs="Arial"/>
          <w:iCs/>
        </w:rPr>
        <w:t>ool.</w:t>
      </w:r>
    </w:p>
    <w:p w14:paraId="514A5433" w14:textId="7B50FD9F" w:rsidR="00092A84" w:rsidRPr="00380BF8" w:rsidRDefault="00092A84" w:rsidP="00092A84">
      <w:pPr>
        <w:spacing w:after="0" w:line="240" w:lineRule="auto"/>
        <w:ind w:left="851" w:hanging="851"/>
        <w:jc w:val="both"/>
        <w:rPr>
          <w:rFonts w:cs="Arial"/>
          <w:iCs/>
          <w:lang w:val="en-GB"/>
        </w:rPr>
      </w:pPr>
    </w:p>
    <w:p w14:paraId="2B8D13C0" w14:textId="77777777" w:rsidR="00092A84" w:rsidRPr="00380BF8" w:rsidRDefault="00092A84" w:rsidP="00092A84">
      <w:pPr>
        <w:spacing w:after="0" w:line="240" w:lineRule="auto"/>
        <w:ind w:left="720" w:hanging="720"/>
        <w:jc w:val="both"/>
        <w:rPr>
          <w:rFonts w:cs="Arial"/>
          <w:iCs/>
          <w:lang w:val="en-GB"/>
        </w:rPr>
      </w:pPr>
    </w:p>
    <w:bookmarkEnd w:id="0"/>
    <w:p w14:paraId="1426886B" w14:textId="7C7D94EE" w:rsidR="006A689A" w:rsidRPr="008C3A4A" w:rsidRDefault="006A689A" w:rsidP="0006101D">
      <w:pPr>
        <w:rPr>
          <w:lang w:val="en-GB"/>
        </w:rPr>
      </w:pPr>
    </w:p>
    <w:sectPr w:rsidR="006A689A" w:rsidRPr="008C3A4A" w:rsidSect="00D93628">
      <w:headerReference w:type="first" r:id="rId28"/>
      <w:footerReference w:type="first" r:id="rId2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F8518" w14:textId="77777777" w:rsidR="00BB6371" w:rsidRDefault="00BB6371" w:rsidP="002E0DE9">
      <w:pPr>
        <w:spacing w:after="0" w:line="240" w:lineRule="auto"/>
      </w:pPr>
      <w:r>
        <w:separator/>
      </w:r>
    </w:p>
  </w:endnote>
  <w:endnote w:type="continuationSeparator" w:id="0">
    <w:p w14:paraId="11C9093B" w14:textId="77777777" w:rsidR="00BB6371" w:rsidRDefault="00BB6371" w:rsidP="002E0DE9">
      <w:pPr>
        <w:spacing w:after="0" w:line="240" w:lineRule="auto"/>
      </w:pPr>
      <w:r>
        <w:continuationSeparator/>
      </w:r>
    </w:p>
  </w:endnote>
  <w:endnote w:type="continuationNotice" w:id="1">
    <w:p w14:paraId="3F9CBC91" w14:textId="77777777" w:rsidR="00BB6371" w:rsidRDefault="00BB63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26834470"/>
      <w:docPartObj>
        <w:docPartGallery w:val="Page Numbers (Bottom of Page)"/>
        <w:docPartUnique/>
      </w:docPartObj>
    </w:sdtPr>
    <w:sdtEndPr>
      <w:rPr>
        <w:noProof/>
      </w:rPr>
    </w:sdtEndPr>
    <w:sdtContent>
      <w:p w14:paraId="126FB5F0" w14:textId="77F37520" w:rsidR="00A415A9" w:rsidRPr="00A415A9" w:rsidRDefault="00A415A9" w:rsidP="00A415A9">
        <w:pPr>
          <w:pStyle w:val="Footer"/>
          <w:jc w:val="center"/>
          <w:rPr>
            <w:sz w:val="18"/>
            <w:szCs w:val="18"/>
          </w:rPr>
        </w:pPr>
        <w:r w:rsidRPr="00A415A9">
          <w:rPr>
            <w:sz w:val="18"/>
            <w:szCs w:val="18"/>
          </w:rPr>
          <w:fldChar w:fldCharType="begin"/>
        </w:r>
        <w:r w:rsidRPr="00A415A9">
          <w:rPr>
            <w:sz w:val="18"/>
            <w:szCs w:val="18"/>
          </w:rPr>
          <w:instrText xml:space="preserve"> PAGE   \* MERGEFORMAT </w:instrText>
        </w:r>
        <w:r w:rsidRPr="00A415A9">
          <w:rPr>
            <w:sz w:val="18"/>
            <w:szCs w:val="18"/>
          </w:rPr>
          <w:fldChar w:fldCharType="separate"/>
        </w:r>
        <w:r w:rsidRPr="00A415A9">
          <w:rPr>
            <w:noProof/>
            <w:sz w:val="18"/>
            <w:szCs w:val="18"/>
          </w:rPr>
          <w:t>2</w:t>
        </w:r>
        <w:r w:rsidRPr="00A415A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4C5C5" w14:textId="77777777" w:rsidR="00BB6371" w:rsidRDefault="00BB6371" w:rsidP="002E0DE9">
      <w:pPr>
        <w:spacing w:after="0" w:line="240" w:lineRule="auto"/>
      </w:pPr>
      <w:r>
        <w:separator/>
      </w:r>
    </w:p>
  </w:footnote>
  <w:footnote w:type="continuationSeparator" w:id="0">
    <w:p w14:paraId="5F11A6F8" w14:textId="77777777" w:rsidR="00BB6371" w:rsidRDefault="00BB6371" w:rsidP="002E0DE9">
      <w:pPr>
        <w:spacing w:after="0" w:line="240" w:lineRule="auto"/>
      </w:pPr>
      <w:r>
        <w:continuationSeparator/>
      </w:r>
    </w:p>
  </w:footnote>
  <w:footnote w:type="continuationNotice" w:id="1">
    <w:p w14:paraId="7444AC4D" w14:textId="77777777" w:rsidR="00BB6371" w:rsidRDefault="00BB63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5EA17786"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654906">
      <w:rPr>
        <w:rFonts w:eastAsia="Times New Roman" w:cs="Arial"/>
        <w:i/>
        <w:sz w:val="18"/>
        <w:szCs w:val="18"/>
        <w:lang w:val="en-GB"/>
      </w:rPr>
      <w:t>28.3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53B70DAC"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sidRPr="00C51C27">
      <w:rPr>
        <w:rFonts w:eastAsia="Times New Roman" w:cs="Arial"/>
        <w:i/>
        <w:sz w:val="18"/>
        <w:szCs w:val="18"/>
        <w:lang w:val="en-GB"/>
      </w:rPr>
      <w:t>Doc.</w:t>
    </w:r>
    <w:r w:rsidR="00654906">
      <w:rPr>
        <w:rFonts w:eastAsia="Times New Roman" w:cs="Arial"/>
        <w:i/>
        <w:sz w:val="18"/>
        <w:szCs w:val="18"/>
        <w:lang w:val="en-GB"/>
      </w:rPr>
      <w:t>28.3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287C2FBE">
          <wp:simplePos x="0" y="0"/>
          <wp:positionH relativeFrom="column">
            <wp:posOffset>5568950</wp:posOffset>
          </wp:positionH>
          <wp:positionV relativeFrom="paragraph">
            <wp:posOffset>109855</wp:posOffset>
          </wp:positionV>
          <wp:extent cx="539496" cy="25603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39496" cy="25603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9FBB" w14:textId="73B8CCC0" w:rsidR="00F728AB" w:rsidRPr="002E0DE9" w:rsidRDefault="00F728AB" w:rsidP="00F728AB">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sidRPr="00C51C27">
      <w:rPr>
        <w:rFonts w:eastAsia="Times New Roman" w:cs="Arial"/>
        <w:i/>
        <w:sz w:val="18"/>
        <w:szCs w:val="18"/>
        <w:lang w:val="en-GB"/>
      </w:rPr>
      <w:t>Doc.</w:t>
    </w:r>
    <w:r>
      <w:rPr>
        <w:rFonts w:eastAsia="Times New Roman" w:cs="Arial"/>
        <w:i/>
        <w:sz w:val="18"/>
        <w:szCs w:val="18"/>
        <w:lang w:val="en-GB"/>
      </w:rPr>
      <w:t>28.3/Annex</w:t>
    </w:r>
  </w:p>
  <w:p w14:paraId="7C4B066D" w14:textId="77777777" w:rsidR="00F728AB" w:rsidRDefault="00F72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0AA"/>
    <w:multiLevelType w:val="hybridMultilevel"/>
    <w:tmpl w:val="50CE6DA4"/>
    <w:lvl w:ilvl="0" w:tplc="D5861E28">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96FDE"/>
    <w:multiLevelType w:val="hybridMultilevel"/>
    <w:tmpl w:val="BA5C03C4"/>
    <w:lvl w:ilvl="0" w:tplc="F6B2AA4C">
      <w:start w:val="9"/>
      <w:numFmt w:val="lowerLetter"/>
      <w:lvlText w:val="%1."/>
      <w:lvlJc w:val="left"/>
      <w:pPr>
        <w:ind w:left="2356" w:hanging="360"/>
      </w:pPr>
      <w:rPr>
        <w:rFonts w:hint="default"/>
      </w:rPr>
    </w:lvl>
    <w:lvl w:ilvl="1" w:tplc="20000019" w:tentative="1">
      <w:start w:val="1"/>
      <w:numFmt w:val="lowerLetter"/>
      <w:lvlText w:val="%2."/>
      <w:lvlJc w:val="left"/>
      <w:pPr>
        <w:ind w:left="3076" w:hanging="360"/>
      </w:pPr>
    </w:lvl>
    <w:lvl w:ilvl="2" w:tplc="2000001B" w:tentative="1">
      <w:start w:val="1"/>
      <w:numFmt w:val="lowerRoman"/>
      <w:lvlText w:val="%3."/>
      <w:lvlJc w:val="right"/>
      <w:pPr>
        <w:ind w:left="3796" w:hanging="180"/>
      </w:pPr>
    </w:lvl>
    <w:lvl w:ilvl="3" w:tplc="2000000F" w:tentative="1">
      <w:start w:val="1"/>
      <w:numFmt w:val="decimal"/>
      <w:lvlText w:val="%4."/>
      <w:lvlJc w:val="left"/>
      <w:pPr>
        <w:ind w:left="4516" w:hanging="360"/>
      </w:pPr>
    </w:lvl>
    <w:lvl w:ilvl="4" w:tplc="20000019" w:tentative="1">
      <w:start w:val="1"/>
      <w:numFmt w:val="lowerLetter"/>
      <w:lvlText w:val="%5."/>
      <w:lvlJc w:val="left"/>
      <w:pPr>
        <w:ind w:left="5236" w:hanging="360"/>
      </w:pPr>
    </w:lvl>
    <w:lvl w:ilvl="5" w:tplc="2000001B" w:tentative="1">
      <w:start w:val="1"/>
      <w:numFmt w:val="lowerRoman"/>
      <w:lvlText w:val="%6."/>
      <w:lvlJc w:val="right"/>
      <w:pPr>
        <w:ind w:left="5956" w:hanging="180"/>
      </w:pPr>
    </w:lvl>
    <w:lvl w:ilvl="6" w:tplc="2000000F" w:tentative="1">
      <w:start w:val="1"/>
      <w:numFmt w:val="decimal"/>
      <w:lvlText w:val="%7."/>
      <w:lvlJc w:val="left"/>
      <w:pPr>
        <w:ind w:left="6676" w:hanging="360"/>
      </w:pPr>
    </w:lvl>
    <w:lvl w:ilvl="7" w:tplc="20000019" w:tentative="1">
      <w:start w:val="1"/>
      <w:numFmt w:val="lowerLetter"/>
      <w:lvlText w:val="%8."/>
      <w:lvlJc w:val="left"/>
      <w:pPr>
        <w:ind w:left="7396" w:hanging="360"/>
      </w:pPr>
    </w:lvl>
    <w:lvl w:ilvl="8" w:tplc="2000001B" w:tentative="1">
      <w:start w:val="1"/>
      <w:numFmt w:val="lowerRoman"/>
      <w:lvlText w:val="%9."/>
      <w:lvlJc w:val="right"/>
      <w:pPr>
        <w:ind w:left="8116" w:hanging="180"/>
      </w:pPr>
    </w:lvl>
  </w:abstractNum>
  <w:abstractNum w:abstractNumId="4" w15:restartNumberingAfterBreak="0">
    <w:nsid w:val="12AB642E"/>
    <w:multiLevelType w:val="hybridMultilevel"/>
    <w:tmpl w:val="D7C2BC78"/>
    <w:lvl w:ilvl="0" w:tplc="55922C38">
      <w:start w:val="1"/>
      <w:numFmt w:val="lowerLetter"/>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5" w15:restartNumberingAfterBreak="0">
    <w:nsid w:val="14040C4F"/>
    <w:multiLevelType w:val="hybridMultilevel"/>
    <w:tmpl w:val="32461884"/>
    <w:lvl w:ilvl="0" w:tplc="05D296B2">
      <w:start w:val="1"/>
      <w:numFmt w:val="decimal"/>
      <w:lvlText w:val="%1."/>
      <w:lvlJc w:val="left"/>
      <w:pPr>
        <w:ind w:left="720" w:hanging="360"/>
      </w:pPr>
      <w:rPr>
        <w:rFonts w:ascii="Arial" w:hAnsi="Arial" w:cs="Arial" w:hint="default"/>
        <w:b w:val="0"/>
        <w:bCs/>
        <w:i w:val="0"/>
        <w:iCs w:val="0"/>
        <w:sz w:val="22"/>
        <w:szCs w:val="22"/>
      </w:rPr>
    </w:lvl>
    <w:lvl w:ilvl="1" w:tplc="CD8E4BB8">
      <w:start w:val="1"/>
      <w:numFmt w:val="lowerLetter"/>
      <w:lvlText w:val="%2)"/>
      <w:lvlJc w:val="left"/>
      <w:pPr>
        <w:ind w:left="1440" w:hanging="360"/>
      </w:pPr>
      <w:rPr>
        <w:rFont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4EA19FF"/>
    <w:multiLevelType w:val="hybridMultilevel"/>
    <w:tmpl w:val="F22ADC3E"/>
    <w:lvl w:ilvl="0" w:tplc="CD0A8AEA">
      <w:start w:val="1"/>
      <w:numFmt w:val="decimal"/>
      <w:lvlText w:val="%1."/>
      <w:lvlJc w:val="left"/>
      <w:pPr>
        <w:ind w:left="360" w:hanging="360"/>
      </w:pPr>
      <w:rPr>
        <w:b w:val="0"/>
        <w:bCs w:val="0"/>
        <w:color w:val="auto"/>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8D26074"/>
    <w:multiLevelType w:val="hybridMultilevel"/>
    <w:tmpl w:val="84427CE8"/>
    <w:lvl w:ilvl="0" w:tplc="16AC499E">
      <w:start w:val="2"/>
      <w:numFmt w:val="lowerRoman"/>
      <w:lvlText w:val="%1."/>
      <w:lvlJc w:val="left"/>
      <w:pPr>
        <w:ind w:left="3076" w:hanging="720"/>
      </w:pPr>
      <w:rPr>
        <w:rFonts w:hint="default"/>
      </w:rPr>
    </w:lvl>
    <w:lvl w:ilvl="1" w:tplc="20000019" w:tentative="1">
      <w:start w:val="1"/>
      <w:numFmt w:val="lowerLetter"/>
      <w:lvlText w:val="%2."/>
      <w:lvlJc w:val="left"/>
      <w:pPr>
        <w:ind w:left="3436" w:hanging="360"/>
      </w:pPr>
    </w:lvl>
    <w:lvl w:ilvl="2" w:tplc="2000001B" w:tentative="1">
      <w:start w:val="1"/>
      <w:numFmt w:val="lowerRoman"/>
      <w:lvlText w:val="%3."/>
      <w:lvlJc w:val="right"/>
      <w:pPr>
        <w:ind w:left="4156" w:hanging="180"/>
      </w:pPr>
    </w:lvl>
    <w:lvl w:ilvl="3" w:tplc="2000000F" w:tentative="1">
      <w:start w:val="1"/>
      <w:numFmt w:val="decimal"/>
      <w:lvlText w:val="%4."/>
      <w:lvlJc w:val="left"/>
      <w:pPr>
        <w:ind w:left="4876" w:hanging="360"/>
      </w:pPr>
    </w:lvl>
    <w:lvl w:ilvl="4" w:tplc="20000019" w:tentative="1">
      <w:start w:val="1"/>
      <w:numFmt w:val="lowerLetter"/>
      <w:lvlText w:val="%5."/>
      <w:lvlJc w:val="left"/>
      <w:pPr>
        <w:ind w:left="5596" w:hanging="360"/>
      </w:pPr>
    </w:lvl>
    <w:lvl w:ilvl="5" w:tplc="2000001B" w:tentative="1">
      <w:start w:val="1"/>
      <w:numFmt w:val="lowerRoman"/>
      <w:lvlText w:val="%6."/>
      <w:lvlJc w:val="right"/>
      <w:pPr>
        <w:ind w:left="6316" w:hanging="180"/>
      </w:pPr>
    </w:lvl>
    <w:lvl w:ilvl="6" w:tplc="2000000F" w:tentative="1">
      <w:start w:val="1"/>
      <w:numFmt w:val="decimal"/>
      <w:lvlText w:val="%7."/>
      <w:lvlJc w:val="left"/>
      <w:pPr>
        <w:ind w:left="7036" w:hanging="360"/>
      </w:pPr>
    </w:lvl>
    <w:lvl w:ilvl="7" w:tplc="20000019" w:tentative="1">
      <w:start w:val="1"/>
      <w:numFmt w:val="lowerLetter"/>
      <w:lvlText w:val="%8."/>
      <w:lvlJc w:val="left"/>
      <w:pPr>
        <w:ind w:left="7756" w:hanging="360"/>
      </w:pPr>
    </w:lvl>
    <w:lvl w:ilvl="8" w:tplc="2000001B" w:tentative="1">
      <w:start w:val="1"/>
      <w:numFmt w:val="lowerRoman"/>
      <w:lvlText w:val="%9."/>
      <w:lvlJc w:val="right"/>
      <w:pPr>
        <w:ind w:left="8476" w:hanging="180"/>
      </w:pPr>
    </w:lvl>
  </w:abstractNum>
  <w:abstractNum w:abstractNumId="8" w15:restartNumberingAfterBreak="0">
    <w:nsid w:val="1E402DF4"/>
    <w:multiLevelType w:val="hybridMultilevel"/>
    <w:tmpl w:val="50CE6DA4"/>
    <w:lvl w:ilvl="0" w:tplc="FFFFFFFF">
      <w:start w:val="1"/>
      <w:numFmt w:val="lowerLetter"/>
      <w:lvlText w:val="%1)"/>
      <w:lvlJc w:val="left"/>
      <w:pPr>
        <w:ind w:left="1636" w:hanging="360"/>
      </w:pPr>
      <w:rPr>
        <w:rFonts w:hint="default"/>
      </w:rPr>
    </w:lvl>
    <w:lvl w:ilvl="1" w:tplc="FFFFFFFF">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9" w15:restartNumberingAfterBreak="0">
    <w:nsid w:val="1FBE6611"/>
    <w:multiLevelType w:val="hybridMultilevel"/>
    <w:tmpl w:val="5A7260F4"/>
    <w:lvl w:ilvl="0" w:tplc="23A030B8">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BC68B1"/>
    <w:multiLevelType w:val="hybridMultilevel"/>
    <w:tmpl w:val="C6F4286C"/>
    <w:lvl w:ilvl="0" w:tplc="F85EB840">
      <w:start w:val="1"/>
      <w:numFmt w:val="lowerLetter"/>
      <w:lvlText w:val="%1."/>
      <w:lvlJc w:val="left"/>
      <w:pPr>
        <w:ind w:left="786" w:hanging="360"/>
      </w:pPr>
      <w:rPr>
        <w:rFonts w:hint="default"/>
      </w:rPr>
    </w:lvl>
    <w:lvl w:ilvl="1" w:tplc="42507AEA">
      <w:start w:val="1"/>
      <w:numFmt w:val="decimal"/>
      <w:lvlText w:val="%2."/>
      <w:lvlJc w:val="left"/>
      <w:pPr>
        <w:ind w:left="1506" w:hanging="360"/>
      </w:pPr>
      <w:rPr>
        <w:rFonts w:hint="default"/>
      </w:r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3"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48A4751E"/>
    <w:multiLevelType w:val="hybridMultilevel"/>
    <w:tmpl w:val="F43AEE8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97B41C2"/>
    <w:multiLevelType w:val="hybridMultilevel"/>
    <w:tmpl w:val="A7727492"/>
    <w:lvl w:ilvl="0" w:tplc="EB20BF2C">
      <w:start w:val="9"/>
      <w:numFmt w:val="lowerLetter"/>
      <w:lvlText w:val="%1."/>
      <w:lvlJc w:val="left"/>
      <w:pPr>
        <w:ind w:left="2356" w:hanging="360"/>
      </w:pPr>
      <w:rPr>
        <w:rFonts w:hint="default"/>
      </w:rPr>
    </w:lvl>
    <w:lvl w:ilvl="1" w:tplc="20000019" w:tentative="1">
      <w:start w:val="1"/>
      <w:numFmt w:val="lowerLetter"/>
      <w:lvlText w:val="%2."/>
      <w:lvlJc w:val="left"/>
      <w:pPr>
        <w:ind w:left="3076" w:hanging="360"/>
      </w:pPr>
    </w:lvl>
    <w:lvl w:ilvl="2" w:tplc="2000001B" w:tentative="1">
      <w:start w:val="1"/>
      <w:numFmt w:val="lowerRoman"/>
      <w:lvlText w:val="%3."/>
      <w:lvlJc w:val="right"/>
      <w:pPr>
        <w:ind w:left="3796" w:hanging="180"/>
      </w:pPr>
    </w:lvl>
    <w:lvl w:ilvl="3" w:tplc="2000000F" w:tentative="1">
      <w:start w:val="1"/>
      <w:numFmt w:val="decimal"/>
      <w:lvlText w:val="%4."/>
      <w:lvlJc w:val="left"/>
      <w:pPr>
        <w:ind w:left="4516" w:hanging="360"/>
      </w:pPr>
    </w:lvl>
    <w:lvl w:ilvl="4" w:tplc="20000019" w:tentative="1">
      <w:start w:val="1"/>
      <w:numFmt w:val="lowerLetter"/>
      <w:lvlText w:val="%5."/>
      <w:lvlJc w:val="left"/>
      <w:pPr>
        <w:ind w:left="5236" w:hanging="360"/>
      </w:pPr>
    </w:lvl>
    <w:lvl w:ilvl="5" w:tplc="2000001B" w:tentative="1">
      <w:start w:val="1"/>
      <w:numFmt w:val="lowerRoman"/>
      <w:lvlText w:val="%6."/>
      <w:lvlJc w:val="right"/>
      <w:pPr>
        <w:ind w:left="5956" w:hanging="180"/>
      </w:pPr>
    </w:lvl>
    <w:lvl w:ilvl="6" w:tplc="2000000F" w:tentative="1">
      <w:start w:val="1"/>
      <w:numFmt w:val="decimal"/>
      <w:lvlText w:val="%7."/>
      <w:lvlJc w:val="left"/>
      <w:pPr>
        <w:ind w:left="6676" w:hanging="360"/>
      </w:pPr>
    </w:lvl>
    <w:lvl w:ilvl="7" w:tplc="20000019" w:tentative="1">
      <w:start w:val="1"/>
      <w:numFmt w:val="lowerLetter"/>
      <w:lvlText w:val="%8."/>
      <w:lvlJc w:val="left"/>
      <w:pPr>
        <w:ind w:left="7396" w:hanging="360"/>
      </w:pPr>
    </w:lvl>
    <w:lvl w:ilvl="8" w:tplc="2000001B" w:tentative="1">
      <w:start w:val="1"/>
      <w:numFmt w:val="lowerRoman"/>
      <w:lvlText w:val="%9."/>
      <w:lvlJc w:val="right"/>
      <w:pPr>
        <w:ind w:left="8116" w:hanging="180"/>
      </w:pPr>
    </w:lvl>
  </w:abstractNum>
  <w:abstractNum w:abstractNumId="16"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4021E7"/>
    <w:multiLevelType w:val="hybridMultilevel"/>
    <w:tmpl w:val="35BCCBD4"/>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9" w15:restartNumberingAfterBreak="0">
    <w:nsid w:val="557A7EFC"/>
    <w:multiLevelType w:val="hybridMultilevel"/>
    <w:tmpl w:val="97C6160E"/>
    <w:lvl w:ilvl="0" w:tplc="20000017">
      <w:start w:val="1"/>
      <w:numFmt w:val="lowerLetter"/>
      <w:lvlText w:val="%1)"/>
      <w:lvlJc w:val="left"/>
      <w:pPr>
        <w:ind w:left="1146" w:hanging="360"/>
      </w:p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20" w15:restartNumberingAfterBreak="0">
    <w:nsid w:val="643D533B"/>
    <w:multiLevelType w:val="hybridMultilevel"/>
    <w:tmpl w:val="0020220E"/>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67365EBF"/>
    <w:multiLevelType w:val="hybridMultilevel"/>
    <w:tmpl w:val="35BCCBD4"/>
    <w:lvl w:ilvl="0" w:tplc="20000017">
      <w:start w:val="1"/>
      <w:numFmt w:val="lowerLetter"/>
      <w:lvlText w:val="%1)"/>
      <w:lvlJc w:val="left"/>
      <w:pPr>
        <w:ind w:left="1211" w:hanging="360"/>
      </w:p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2"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9BD44F9"/>
    <w:multiLevelType w:val="hybridMultilevel"/>
    <w:tmpl w:val="3E4075CE"/>
    <w:lvl w:ilvl="0" w:tplc="FFFFFFFF">
      <w:start w:val="1"/>
      <w:numFmt w:val="lowerLetter"/>
      <w:lvlText w:val="%1."/>
      <w:lvlJc w:val="left"/>
      <w:pPr>
        <w:ind w:left="1146" w:hanging="360"/>
      </w:pPr>
    </w:lvl>
    <w:lvl w:ilvl="1" w:tplc="2000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4" w15:restartNumberingAfterBreak="0">
    <w:nsid w:val="6BC93A6D"/>
    <w:multiLevelType w:val="hybridMultilevel"/>
    <w:tmpl w:val="D5EA2504"/>
    <w:lvl w:ilvl="0" w:tplc="FFFFFFFF">
      <w:start w:val="1"/>
      <w:numFmt w:val="lowerLetter"/>
      <w:lvlText w:val="%1)"/>
      <w:lvlJc w:val="left"/>
      <w:pPr>
        <w:ind w:left="1350" w:hanging="360"/>
      </w:pPr>
    </w:lvl>
    <w:lvl w:ilvl="1" w:tplc="08090017">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5" w15:restartNumberingAfterBreak="0">
    <w:nsid w:val="6D6F1067"/>
    <w:multiLevelType w:val="hybridMultilevel"/>
    <w:tmpl w:val="34CA8598"/>
    <w:lvl w:ilvl="0" w:tplc="9D24EBDE">
      <w:start w:val="1"/>
      <w:numFmt w:val="lowerLetter"/>
      <w:lvlText w:val="%1)"/>
      <w:lvlJc w:val="left"/>
      <w:pPr>
        <w:ind w:left="1146" w:hanging="360"/>
      </w:pPr>
      <w:rPr>
        <w:color w:val="auto"/>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6" w15:restartNumberingAfterBreak="0">
    <w:nsid w:val="6E615E0A"/>
    <w:multiLevelType w:val="hybridMultilevel"/>
    <w:tmpl w:val="FDFAF788"/>
    <w:lvl w:ilvl="0" w:tplc="20000019">
      <w:start w:val="1"/>
      <w:numFmt w:val="lowerLetter"/>
      <w:lvlText w:val="%1."/>
      <w:lvlJc w:val="left"/>
      <w:pPr>
        <w:ind w:left="1146" w:hanging="360"/>
      </w:pPr>
    </w:lvl>
    <w:lvl w:ilvl="1" w:tplc="20000019">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2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75B86ADE"/>
    <w:multiLevelType w:val="hybridMultilevel"/>
    <w:tmpl w:val="4A5E8D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7885532C"/>
    <w:multiLevelType w:val="hybridMultilevel"/>
    <w:tmpl w:val="66F2A7A0"/>
    <w:lvl w:ilvl="0" w:tplc="FFFFFFFF">
      <w:start w:val="1"/>
      <w:numFmt w:val="low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0"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1"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6"/>
  </w:num>
  <w:num w:numId="2" w16cid:durableId="1342467551">
    <w:abstractNumId w:val="27"/>
  </w:num>
  <w:num w:numId="3" w16cid:durableId="1569996155">
    <w:abstractNumId w:val="1"/>
  </w:num>
  <w:num w:numId="4" w16cid:durableId="5037120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11"/>
  </w:num>
  <w:num w:numId="8" w16cid:durableId="657730385">
    <w:abstractNumId w:val="31"/>
  </w:num>
  <w:num w:numId="9" w16cid:durableId="1150515762">
    <w:abstractNumId w:val="17"/>
  </w:num>
  <w:num w:numId="10" w16cid:durableId="627323914">
    <w:abstractNumId w:val="2"/>
  </w:num>
  <w:num w:numId="11" w16cid:durableId="23095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1914993">
    <w:abstractNumId w:val="5"/>
  </w:num>
  <w:num w:numId="13" w16cid:durableId="550076360">
    <w:abstractNumId w:val="24"/>
  </w:num>
  <w:num w:numId="14" w16cid:durableId="1693453728">
    <w:abstractNumId w:val="0"/>
  </w:num>
  <w:num w:numId="15" w16cid:durableId="1104442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7495619">
    <w:abstractNumId w:val="4"/>
  </w:num>
  <w:num w:numId="17" w16cid:durableId="403525997">
    <w:abstractNumId w:val="12"/>
  </w:num>
  <w:num w:numId="18" w16cid:durableId="2098940267">
    <w:abstractNumId w:val="10"/>
  </w:num>
  <w:num w:numId="19" w16cid:durableId="71897384">
    <w:abstractNumId w:val="26"/>
  </w:num>
  <w:num w:numId="20" w16cid:durableId="1245341843">
    <w:abstractNumId w:val="23"/>
  </w:num>
  <w:num w:numId="21" w16cid:durableId="42019563">
    <w:abstractNumId w:val="25"/>
  </w:num>
  <w:num w:numId="22" w16cid:durableId="890655869">
    <w:abstractNumId w:val="20"/>
  </w:num>
  <w:num w:numId="23" w16cid:durableId="957376197">
    <w:abstractNumId w:val="19"/>
  </w:num>
  <w:num w:numId="24" w16cid:durableId="605427393">
    <w:abstractNumId w:val="9"/>
  </w:num>
  <w:num w:numId="25" w16cid:durableId="2061399074">
    <w:abstractNumId w:val="6"/>
  </w:num>
  <w:num w:numId="26" w16cid:durableId="1540514461">
    <w:abstractNumId w:val="14"/>
  </w:num>
  <w:num w:numId="27" w16cid:durableId="916943233">
    <w:abstractNumId w:val="8"/>
  </w:num>
  <w:num w:numId="28" w16cid:durableId="919564124">
    <w:abstractNumId w:val="15"/>
  </w:num>
  <w:num w:numId="29" w16cid:durableId="1575580349">
    <w:abstractNumId w:val="3"/>
  </w:num>
  <w:num w:numId="30" w16cid:durableId="2053115197">
    <w:abstractNumId w:val="7"/>
  </w:num>
  <w:num w:numId="31" w16cid:durableId="2129202192">
    <w:abstractNumId w:val="21"/>
  </w:num>
  <w:num w:numId="32" w16cid:durableId="1406417512">
    <w:abstractNumId w:val="18"/>
  </w:num>
  <w:num w:numId="33" w16cid:durableId="2179759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CE2"/>
    <w:rsid w:val="00006ECB"/>
    <w:rsid w:val="00010E6B"/>
    <w:rsid w:val="00013330"/>
    <w:rsid w:val="00016095"/>
    <w:rsid w:val="00025900"/>
    <w:rsid w:val="00030D7E"/>
    <w:rsid w:val="000340E7"/>
    <w:rsid w:val="000426ED"/>
    <w:rsid w:val="00044D91"/>
    <w:rsid w:val="00046551"/>
    <w:rsid w:val="000503F6"/>
    <w:rsid w:val="000520D4"/>
    <w:rsid w:val="000539AB"/>
    <w:rsid w:val="0006101D"/>
    <w:rsid w:val="000638C5"/>
    <w:rsid w:val="00063C40"/>
    <w:rsid w:val="00063D1F"/>
    <w:rsid w:val="000661B2"/>
    <w:rsid w:val="0007119B"/>
    <w:rsid w:val="00072D7E"/>
    <w:rsid w:val="000744B9"/>
    <w:rsid w:val="00080359"/>
    <w:rsid w:val="00080C76"/>
    <w:rsid w:val="00081045"/>
    <w:rsid w:val="00081710"/>
    <w:rsid w:val="00081E84"/>
    <w:rsid w:val="00085729"/>
    <w:rsid w:val="000904D2"/>
    <w:rsid w:val="00090514"/>
    <w:rsid w:val="00092855"/>
    <w:rsid w:val="00092A84"/>
    <w:rsid w:val="000939DB"/>
    <w:rsid w:val="00094976"/>
    <w:rsid w:val="00096663"/>
    <w:rsid w:val="000A10AC"/>
    <w:rsid w:val="000A1A5A"/>
    <w:rsid w:val="000A20F7"/>
    <w:rsid w:val="000A37F1"/>
    <w:rsid w:val="000A6A7A"/>
    <w:rsid w:val="000B52B5"/>
    <w:rsid w:val="000B7661"/>
    <w:rsid w:val="000C3E90"/>
    <w:rsid w:val="000C54A9"/>
    <w:rsid w:val="000C7F3D"/>
    <w:rsid w:val="000D44EC"/>
    <w:rsid w:val="000D7B6E"/>
    <w:rsid w:val="000E2D5D"/>
    <w:rsid w:val="000E3127"/>
    <w:rsid w:val="000E4B57"/>
    <w:rsid w:val="000E5A98"/>
    <w:rsid w:val="000F13BB"/>
    <w:rsid w:val="000F29BA"/>
    <w:rsid w:val="000F7167"/>
    <w:rsid w:val="00102CA9"/>
    <w:rsid w:val="00103C7C"/>
    <w:rsid w:val="00105713"/>
    <w:rsid w:val="00106303"/>
    <w:rsid w:val="001069D3"/>
    <w:rsid w:val="00110910"/>
    <w:rsid w:val="0011208B"/>
    <w:rsid w:val="00124338"/>
    <w:rsid w:val="00125A97"/>
    <w:rsid w:val="00125F26"/>
    <w:rsid w:val="00126CA7"/>
    <w:rsid w:val="001331AD"/>
    <w:rsid w:val="00136527"/>
    <w:rsid w:val="00136F99"/>
    <w:rsid w:val="00137609"/>
    <w:rsid w:val="00142FB8"/>
    <w:rsid w:val="001450A3"/>
    <w:rsid w:val="0015069D"/>
    <w:rsid w:val="00152D86"/>
    <w:rsid w:val="001531E0"/>
    <w:rsid w:val="00156724"/>
    <w:rsid w:val="00163AEE"/>
    <w:rsid w:val="001742D2"/>
    <w:rsid w:val="00176AAF"/>
    <w:rsid w:val="00177179"/>
    <w:rsid w:val="00180ED6"/>
    <w:rsid w:val="001836E1"/>
    <w:rsid w:val="00184004"/>
    <w:rsid w:val="00184287"/>
    <w:rsid w:val="001866AE"/>
    <w:rsid w:val="001903ED"/>
    <w:rsid w:val="00190ADA"/>
    <w:rsid w:val="001935BA"/>
    <w:rsid w:val="00197A4D"/>
    <w:rsid w:val="001A1F5D"/>
    <w:rsid w:val="001A26D9"/>
    <w:rsid w:val="001A573B"/>
    <w:rsid w:val="001B25C5"/>
    <w:rsid w:val="001B38A5"/>
    <w:rsid w:val="001C39D4"/>
    <w:rsid w:val="001C5593"/>
    <w:rsid w:val="001C6C56"/>
    <w:rsid w:val="001C7F50"/>
    <w:rsid w:val="001D0D47"/>
    <w:rsid w:val="001D542E"/>
    <w:rsid w:val="001D60EB"/>
    <w:rsid w:val="001E7A7A"/>
    <w:rsid w:val="001F144B"/>
    <w:rsid w:val="001F4511"/>
    <w:rsid w:val="001F484F"/>
    <w:rsid w:val="00201940"/>
    <w:rsid w:val="00217024"/>
    <w:rsid w:val="00220870"/>
    <w:rsid w:val="00221A55"/>
    <w:rsid w:val="00222C95"/>
    <w:rsid w:val="00224B86"/>
    <w:rsid w:val="002262D3"/>
    <w:rsid w:val="0023157B"/>
    <w:rsid w:val="00232086"/>
    <w:rsid w:val="002326AB"/>
    <w:rsid w:val="00232A32"/>
    <w:rsid w:val="00235010"/>
    <w:rsid w:val="00235DBF"/>
    <w:rsid w:val="00237692"/>
    <w:rsid w:val="0024084D"/>
    <w:rsid w:val="00240D02"/>
    <w:rsid w:val="002561EC"/>
    <w:rsid w:val="00270FBB"/>
    <w:rsid w:val="00272E30"/>
    <w:rsid w:val="002802BB"/>
    <w:rsid w:val="0028371E"/>
    <w:rsid w:val="00283EA5"/>
    <w:rsid w:val="00284272"/>
    <w:rsid w:val="00284880"/>
    <w:rsid w:val="00284A57"/>
    <w:rsid w:val="002904E6"/>
    <w:rsid w:val="002947B9"/>
    <w:rsid w:val="002A0103"/>
    <w:rsid w:val="002A5316"/>
    <w:rsid w:val="002A5410"/>
    <w:rsid w:val="002A5C16"/>
    <w:rsid w:val="002B0F39"/>
    <w:rsid w:val="002B2806"/>
    <w:rsid w:val="002B74D7"/>
    <w:rsid w:val="002B7A32"/>
    <w:rsid w:val="002B7BE7"/>
    <w:rsid w:val="002C5C43"/>
    <w:rsid w:val="002C63AE"/>
    <w:rsid w:val="002D23D3"/>
    <w:rsid w:val="002E01C9"/>
    <w:rsid w:val="002E0DE9"/>
    <w:rsid w:val="002E6A7D"/>
    <w:rsid w:val="002F27F8"/>
    <w:rsid w:val="002F46FD"/>
    <w:rsid w:val="002F500E"/>
    <w:rsid w:val="002F6C16"/>
    <w:rsid w:val="002F7E45"/>
    <w:rsid w:val="00305503"/>
    <w:rsid w:val="00306C7F"/>
    <w:rsid w:val="00307AB4"/>
    <w:rsid w:val="003105BA"/>
    <w:rsid w:val="00314551"/>
    <w:rsid w:val="00314DFC"/>
    <w:rsid w:val="00315B3C"/>
    <w:rsid w:val="00316AA7"/>
    <w:rsid w:val="0032402B"/>
    <w:rsid w:val="00327666"/>
    <w:rsid w:val="00327891"/>
    <w:rsid w:val="00331BA6"/>
    <w:rsid w:val="00331D38"/>
    <w:rsid w:val="00332636"/>
    <w:rsid w:val="00334617"/>
    <w:rsid w:val="003433DF"/>
    <w:rsid w:val="00343DB7"/>
    <w:rsid w:val="003440E3"/>
    <w:rsid w:val="003449F5"/>
    <w:rsid w:val="0035024E"/>
    <w:rsid w:val="003503D6"/>
    <w:rsid w:val="00352CFC"/>
    <w:rsid w:val="00354818"/>
    <w:rsid w:val="003572D6"/>
    <w:rsid w:val="003669FF"/>
    <w:rsid w:val="003670C9"/>
    <w:rsid w:val="00371F71"/>
    <w:rsid w:val="003755D5"/>
    <w:rsid w:val="00375AEF"/>
    <w:rsid w:val="0037760A"/>
    <w:rsid w:val="00384CCA"/>
    <w:rsid w:val="003858DC"/>
    <w:rsid w:val="003A1C01"/>
    <w:rsid w:val="003A346F"/>
    <w:rsid w:val="003A3893"/>
    <w:rsid w:val="003B7F5B"/>
    <w:rsid w:val="003C2331"/>
    <w:rsid w:val="003C2B60"/>
    <w:rsid w:val="003C35AA"/>
    <w:rsid w:val="003C459E"/>
    <w:rsid w:val="003C569E"/>
    <w:rsid w:val="003C6437"/>
    <w:rsid w:val="003D11C4"/>
    <w:rsid w:val="003D292B"/>
    <w:rsid w:val="003D2A02"/>
    <w:rsid w:val="003D3932"/>
    <w:rsid w:val="003D3C5B"/>
    <w:rsid w:val="003D3F50"/>
    <w:rsid w:val="003D5615"/>
    <w:rsid w:val="003E45C4"/>
    <w:rsid w:val="003E64FF"/>
    <w:rsid w:val="003E78F2"/>
    <w:rsid w:val="00402EA6"/>
    <w:rsid w:val="004033CC"/>
    <w:rsid w:val="00405E83"/>
    <w:rsid w:val="0040663F"/>
    <w:rsid w:val="0041308D"/>
    <w:rsid w:val="004138DE"/>
    <w:rsid w:val="00425D66"/>
    <w:rsid w:val="00426FE6"/>
    <w:rsid w:val="00431FE3"/>
    <w:rsid w:val="004321EC"/>
    <w:rsid w:val="00434BDA"/>
    <w:rsid w:val="004353AA"/>
    <w:rsid w:val="00435AEB"/>
    <w:rsid w:val="00440C65"/>
    <w:rsid w:val="004411B8"/>
    <w:rsid w:val="00443325"/>
    <w:rsid w:val="004440BE"/>
    <w:rsid w:val="004450F3"/>
    <w:rsid w:val="0045020D"/>
    <w:rsid w:val="00450DD3"/>
    <w:rsid w:val="00452CB4"/>
    <w:rsid w:val="00452F3F"/>
    <w:rsid w:val="004531F1"/>
    <w:rsid w:val="004539F3"/>
    <w:rsid w:val="00453A6E"/>
    <w:rsid w:val="00454959"/>
    <w:rsid w:val="004573DB"/>
    <w:rsid w:val="00457A20"/>
    <w:rsid w:val="004608C4"/>
    <w:rsid w:val="00462E7F"/>
    <w:rsid w:val="004639CE"/>
    <w:rsid w:val="00466626"/>
    <w:rsid w:val="00467013"/>
    <w:rsid w:val="004700F0"/>
    <w:rsid w:val="004714F5"/>
    <w:rsid w:val="00472BCE"/>
    <w:rsid w:val="00474BFD"/>
    <w:rsid w:val="00486208"/>
    <w:rsid w:val="004938CE"/>
    <w:rsid w:val="00494FEE"/>
    <w:rsid w:val="00495855"/>
    <w:rsid w:val="00495B71"/>
    <w:rsid w:val="00497378"/>
    <w:rsid w:val="004A1207"/>
    <w:rsid w:val="004A4CB4"/>
    <w:rsid w:val="004A6AD5"/>
    <w:rsid w:val="004B1A4C"/>
    <w:rsid w:val="004B250F"/>
    <w:rsid w:val="004B27A4"/>
    <w:rsid w:val="004B2D45"/>
    <w:rsid w:val="004B7296"/>
    <w:rsid w:val="004C015B"/>
    <w:rsid w:val="004C1A94"/>
    <w:rsid w:val="004C1FDD"/>
    <w:rsid w:val="004C5D09"/>
    <w:rsid w:val="004C625D"/>
    <w:rsid w:val="004C69C7"/>
    <w:rsid w:val="004C73CD"/>
    <w:rsid w:val="004D1278"/>
    <w:rsid w:val="004D250E"/>
    <w:rsid w:val="004D45B1"/>
    <w:rsid w:val="004D5DDD"/>
    <w:rsid w:val="004E0DAF"/>
    <w:rsid w:val="004E5A59"/>
    <w:rsid w:val="004F131F"/>
    <w:rsid w:val="004F2E65"/>
    <w:rsid w:val="004F6911"/>
    <w:rsid w:val="004F747C"/>
    <w:rsid w:val="00500665"/>
    <w:rsid w:val="00504A36"/>
    <w:rsid w:val="005052AB"/>
    <w:rsid w:val="005111B2"/>
    <w:rsid w:val="00516A25"/>
    <w:rsid w:val="0052197F"/>
    <w:rsid w:val="00521DA2"/>
    <w:rsid w:val="005301BC"/>
    <w:rsid w:val="00531BD1"/>
    <w:rsid w:val="005330F7"/>
    <w:rsid w:val="00536773"/>
    <w:rsid w:val="00536AFC"/>
    <w:rsid w:val="0054013A"/>
    <w:rsid w:val="0054091A"/>
    <w:rsid w:val="00542348"/>
    <w:rsid w:val="00545A65"/>
    <w:rsid w:val="0055004D"/>
    <w:rsid w:val="0055344C"/>
    <w:rsid w:val="00553E7C"/>
    <w:rsid w:val="00556582"/>
    <w:rsid w:val="00560A27"/>
    <w:rsid w:val="0056346C"/>
    <w:rsid w:val="00563598"/>
    <w:rsid w:val="0056586B"/>
    <w:rsid w:val="0057001E"/>
    <w:rsid w:val="0057248E"/>
    <w:rsid w:val="005738F0"/>
    <w:rsid w:val="00574099"/>
    <w:rsid w:val="005771B2"/>
    <w:rsid w:val="005774DD"/>
    <w:rsid w:val="00577ADA"/>
    <w:rsid w:val="00580D79"/>
    <w:rsid w:val="00583DF6"/>
    <w:rsid w:val="00587BCD"/>
    <w:rsid w:val="0059075E"/>
    <w:rsid w:val="0059216B"/>
    <w:rsid w:val="00594151"/>
    <w:rsid w:val="00597EB1"/>
    <w:rsid w:val="005A2A3E"/>
    <w:rsid w:val="005A3102"/>
    <w:rsid w:val="005B1AED"/>
    <w:rsid w:val="005B23A6"/>
    <w:rsid w:val="005B45E2"/>
    <w:rsid w:val="005B7D83"/>
    <w:rsid w:val="005C0D77"/>
    <w:rsid w:val="005C28E8"/>
    <w:rsid w:val="005C40D0"/>
    <w:rsid w:val="005C5625"/>
    <w:rsid w:val="005C5C48"/>
    <w:rsid w:val="005D243C"/>
    <w:rsid w:val="005D393F"/>
    <w:rsid w:val="005E031D"/>
    <w:rsid w:val="005E1101"/>
    <w:rsid w:val="005E1CB6"/>
    <w:rsid w:val="005E40F5"/>
    <w:rsid w:val="005E59F1"/>
    <w:rsid w:val="005E6D3C"/>
    <w:rsid w:val="005F738C"/>
    <w:rsid w:val="00600F14"/>
    <w:rsid w:val="006034C4"/>
    <w:rsid w:val="006047BE"/>
    <w:rsid w:val="00604F31"/>
    <w:rsid w:val="00610891"/>
    <w:rsid w:val="00611C4C"/>
    <w:rsid w:val="0061539F"/>
    <w:rsid w:val="0062443C"/>
    <w:rsid w:val="00625FFD"/>
    <w:rsid w:val="0063464D"/>
    <w:rsid w:val="006459A7"/>
    <w:rsid w:val="00654906"/>
    <w:rsid w:val="006559CC"/>
    <w:rsid w:val="00656806"/>
    <w:rsid w:val="00657D04"/>
    <w:rsid w:val="00661301"/>
    <w:rsid w:val="0066621B"/>
    <w:rsid w:val="006704FB"/>
    <w:rsid w:val="00676513"/>
    <w:rsid w:val="0068059A"/>
    <w:rsid w:val="00682891"/>
    <w:rsid w:val="006867A3"/>
    <w:rsid w:val="00691174"/>
    <w:rsid w:val="00695141"/>
    <w:rsid w:val="00695152"/>
    <w:rsid w:val="006964EB"/>
    <w:rsid w:val="006A49B3"/>
    <w:rsid w:val="006A5677"/>
    <w:rsid w:val="006A689A"/>
    <w:rsid w:val="006A7DC4"/>
    <w:rsid w:val="006B39D6"/>
    <w:rsid w:val="006B5A71"/>
    <w:rsid w:val="006B6D85"/>
    <w:rsid w:val="006B6FB8"/>
    <w:rsid w:val="006C0316"/>
    <w:rsid w:val="006C1348"/>
    <w:rsid w:val="006C3098"/>
    <w:rsid w:val="006C5070"/>
    <w:rsid w:val="006C63AD"/>
    <w:rsid w:val="006C75C2"/>
    <w:rsid w:val="006D088F"/>
    <w:rsid w:val="006D2054"/>
    <w:rsid w:val="006D257B"/>
    <w:rsid w:val="006E36EF"/>
    <w:rsid w:val="006E554B"/>
    <w:rsid w:val="0070093D"/>
    <w:rsid w:val="0070148E"/>
    <w:rsid w:val="00704E4A"/>
    <w:rsid w:val="007112A1"/>
    <w:rsid w:val="0071181A"/>
    <w:rsid w:val="00711901"/>
    <w:rsid w:val="007159FD"/>
    <w:rsid w:val="00720EC1"/>
    <w:rsid w:val="00725612"/>
    <w:rsid w:val="007259EC"/>
    <w:rsid w:val="0073233F"/>
    <w:rsid w:val="00733000"/>
    <w:rsid w:val="0073507F"/>
    <w:rsid w:val="007356F3"/>
    <w:rsid w:val="00735B5C"/>
    <w:rsid w:val="007453FC"/>
    <w:rsid w:val="00747E48"/>
    <w:rsid w:val="00751DEA"/>
    <w:rsid w:val="00760208"/>
    <w:rsid w:val="00763C10"/>
    <w:rsid w:val="007645C4"/>
    <w:rsid w:val="0076477F"/>
    <w:rsid w:val="00765B06"/>
    <w:rsid w:val="007729AE"/>
    <w:rsid w:val="007779EE"/>
    <w:rsid w:val="007818B7"/>
    <w:rsid w:val="007819F6"/>
    <w:rsid w:val="00786961"/>
    <w:rsid w:val="00787CAA"/>
    <w:rsid w:val="00791F2C"/>
    <w:rsid w:val="007923B2"/>
    <w:rsid w:val="007973DC"/>
    <w:rsid w:val="00797E36"/>
    <w:rsid w:val="007A0F39"/>
    <w:rsid w:val="007A3AC8"/>
    <w:rsid w:val="007A40BA"/>
    <w:rsid w:val="007A6CAC"/>
    <w:rsid w:val="007B20FA"/>
    <w:rsid w:val="007B44D5"/>
    <w:rsid w:val="007B5E8B"/>
    <w:rsid w:val="007B6AC4"/>
    <w:rsid w:val="007B70C5"/>
    <w:rsid w:val="007C11F7"/>
    <w:rsid w:val="007C1E00"/>
    <w:rsid w:val="007C6897"/>
    <w:rsid w:val="007D2BF9"/>
    <w:rsid w:val="007D5C27"/>
    <w:rsid w:val="007D5E16"/>
    <w:rsid w:val="007D6908"/>
    <w:rsid w:val="007E5276"/>
    <w:rsid w:val="007F1CCA"/>
    <w:rsid w:val="007F4390"/>
    <w:rsid w:val="007F46FB"/>
    <w:rsid w:val="007F533C"/>
    <w:rsid w:val="008033D4"/>
    <w:rsid w:val="00807A99"/>
    <w:rsid w:val="00811E53"/>
    <w:rsid w:val="0081380D"/>
    <w:rsid w:val="0081416C"/>
    <w:rsid w:val="00815977"/>
    <w:rsid w:val="00815B3F"/>
    <w:rsid w:val="00816618"/>
    <w:rsid w:val="00820572"/>
    <w:rsid w:val="00821483"/>
    <w:rsid w:val="00824F91"/>
    <w:rsid w:val="00825D51"/>
    <w:rsid w:val="00834329"/>
    <w:rsid w:val="008349BB"/>
    <w:rsid w:val="00834F74"/>
    <w:rsid w:val="00837BC1"/>
    <w:rsid w:val="00837FF3"/>
    <w:rsid w:val="00842B75"/>
    <w:rsid w:val="008451D3"/>
    <w:rsid w:val="0084611F"/>
    <w:rsid w:val="00847C3F"/>
    <w:rsid w:val="0085070F"/>
    <w:rsid w:val="00852DB3"/>
    <w:rsid w:val="00854471"/>
    <w:rsid w:val="0086037A"/>
    <w:rsid w:val="008613BE"/>
    <w:rsid w:val="008619CA"/>
    <w:rsid w:val="008673B2"/>
    <w:rsid w:val="00871567"/>
    <w:rsid w:val="00871E2C"/>
    <w:rsid w:val="00872FF8"/>
    <w:rsid w:val="00874029"/>
    <w:rsid w:val="008852CE"/>
    <w:rsid w:val="00886252"/>
    <w:rsid w:val="008873E7"/>
    <w:rsid w:val="0089260E"/>
    <w:rsid w:val="00893772"/>
    <w:rsid w:val="008940E0"/>
    <w:rsid w:val="00895855"/>
    <w:rsid w:val="008A0C53"/>
    <w:rsid w:val="008A1CD2"/>
    <w:rsid w:val="008A3276"/>
    <w:rsid w:val="008A5341"/>
    <w:rsid w:val="008B0AC3"/>
    <w:rsid w:val="008B2EA6"/>
    <w:rsid w:val="008B4841"/>
    <w:rsid w:val="008B5431"/>
    <w:rsid w:val="008B6106"/>
    <w:rsid w:val="008B6B71"/>
    <w:rsid w:val="008C0AC2"/>
    <w:rsid w:val="008C3A4A"/>
    <w:rsid w:val="008D0CE7"/>
    <w:rsid w:val="008D1515"/>
    <w:rsid w:val="008D175E"/>
    <w:rsid w:val="008D1FCD"/>
    <w:rsid w:val="008D2A9D"/>
    <w:rsid w:val="008D3132"/>
    <w:rsid w:val="008D4693"/>
    <w:rsid w:val="008D49DE"/>
    <w:rsid w:val="008D7F9C"/>
    <w:rsid w:val="008E184B"/>
    <w:rsid w:val="008E1E04"/>
    <w:rsid w:val="008E2901"/>
    <w:rsid w:val="008E399F"/>
    <w:rsid w:val="008E3B38"/>
    <w:rsid w:val="008E3E04"/>
    <w:rsid w:val="008E4B33"/>
    <w:rsid w:val="008E6292"/>
    <w:rsid w:val="008E7441"/>
    <w:rsid w:val="008F13F9"/>
    <w:rsid w:val="008F3F2D"/>
    <w:rsid w:val="008F7FC0"/>
    <w:rsid w:val="00906179"/>
    <w:rsid w:val="0091710D"/>
    <w:rsid w:val="0092141A"/>
    <w:rsid w:val="00923366"/>
    <w:rsid w:val="00933B90"/>
    <w:rsid w:val="0093713A"/>
    <w:rsid w:val="009417C5"/>
    <w:rsid w:val="009449C0"/>
    <w:rsid w:val="0094618F"/>
    <w:rsid w:val="0095084B"/>
    <w:rsid w:val="00955018"/>
    <w:rsid w:val="00961BF6"/>
    <w:rsid w:val="0096460F"/>
    <w:rsid w:val="00971A67"/>
    <w:rsid w:val="009747A5"/>
    <w:rsid w:val="00977F25"/>
    <w:rsid w:val="009812FD"/>
    <w:rsid w:val="0098220D"/>
    <w:rsid w:val="00983517"/>
    <w:rsid w:val="00985F9E"/>
    <w:rsid w:val="009A08AE"/>
    <w:rsid w:val="009A2337"/>
    <w:rsid w:val="009A4E8B"/>
    <w:rsid w:val="009A4FCA"/>
    <w:rsid w:val="009A5421"/>
    <w:rsid w:val="009A6799"/>
    <w:rsid w:val="009B28A1"/>
    <w:rsid w:val="009B3CF3"/>
    <w:rsid w:val="009B713D"/>
    <w:rsid w:val="009B79F9"/>
    <w:rsid w:val="009C2805"/>
    <w:rsid w:val="009C7F12"/>
    <w:rsid w:val="009D3988"/>
    <w:rsid w:val="009D71F8"/>
    <w:rsid w:val="009E3B35"/>
    <w:rsid w:val="009E507D"/>
    <w:rsid w:val="009F4E00"/>
    <w:rsid w:val="009F6C60"/>
    <w:rsid w:val="009F733E"/>
    <w:rsid w:val="009F7990"/>
    <w:rsid w:val="00A00A24"/>
    <w:rsid w:val="00A12B84"/>
    <w:rsid w:val="00A14911"/>
    <w:rsid w:val="00A1616C"/>
    <w:rsid w:val="00A17082"/>
    <w:rsid w:val="00A230F9"/>
    <w:rsid w:val="00A3033D"/>
    <w:rsid w:val="00A30D68"/>
    <w:rsid w:val="00A350E8"/>
    <w:rsid w:val="00A35B94"/>
    <w:rsid w:val="00A415A9"/>
    <w:rsid w:val="00A43358"/>
    <w:rsid w:val="00A44ED2"/>
    <w:rsid w:val="00A45996"/>
    <w:rsid w:val="00A47C1E"/>
    <w:rsid w:val="00A5174B"/>
    <w:rsid w:val="00A5442D"/>
    <w:rsid w:val="00A557D3"/>
    <w:rsid w:val="00A56F6E"/>
    <w:rsid w:val="00A70866"/>
    <w:rsid w:val="00A71A5A"/>
    <w:rsid w:val="00A733AB"/>
    <w:rsid w:val="00A74ED8"/>
    <w:rsid w:val="00A75EF7"/>
    <w:rsid w:val="00A8351A"/>
    <w:rsid w:val="00A8480F"/>
    <w:rsid w:val="00A84FE5"/>
    <w:rsid w:val="00A9327D"/>
    <w:rsid w:val="00A93363"/>
    <w:rsid w:val="00A95D68"/>
    <w:rsid w:val="00A9736C"/>
    <w:rsid w:val="00AA18B1"/>
    <w:rsid w:val="00AA2D12"/>
    <w:rsid w:val="00AA359B"/>
    <w:rsid w:val="00AA3DA2"/>
    <w:rsid w:val="00AA50B7"/>
    <w:rsid w:val="00AA7EEE"/>
    <w:rsid w:val="00AB2AB0"/>
    <w:rsid w:val="00AB325C"/>
    <w:rsid w:val="00AB3DFE"/>
    <w:rsid w:val="00AB5D53"/>
    <w:rsid w:val="00AC4ACE"/>
    <w:rsid w:val="00AC5195"/>
    <w:rsid w:val="00AC5EB5"/>
    <w:rsid w:val="00AD21C1"/>
    <w:rsid w:val="00AD4F4C"/>
    <w:rsid w:val="00AE0252"/>
    <w:rsid w:val="00AF084E"/>
    <w:rsid w:val="00AF1546"/>
    <w:rsid w:val="00AF1B17"/>
    <w:rsid w:val="00AF56CD"/>
    <w:rsid w:val="00AF5CA3"/>
    <w:rsid w:val="00AF63ED"/>
    <w:rsid w:val="00B01DEB"/>
    <w:rsid w:val="00B042B2"/>
    <w:rsid w:val="00B04AC7"/>
    <w:rsid w:val="00B04EDF"/>
    <w:rsid w:val="00B06A57"/>
    <w:rsid w:val="00B07B54"/>
    <w:rsid w:val="00B10242"/>
    <w:rsid w:val="00B12A3B"/>
    <w:rsid w:val="00B15C51"/>
    <w:rsid w:val="00B162A3"/>
    <w:rsid w:val="00B173D8"/>
    <w:rsid w:val="00B2055E"/>
    <w:rsid w:val="00B2310F"/>
    <w:rsid w:val="00B232EE"/>
    <w:rsid w:val="00B33183"/>
    <w:rsid w:val="00B36828"/>
    <w:rsid w:val="00B40EF8"/>
    <w:rsid w:val="00B419AA"/>
    <w:rsid w:val="00B4546D"/>
    <w:rsid w:val="00B47C74"/>
    <w:rsid w:val="00B47FF9"/>
    <w:rsid w:val="00B51A11"/>
    <w:rsid w:val="00B56576"/>
    <w:rsid w:val="00B609A5"/>
    <w:rsid w:val="00B61649"/>
    <w:rsid w:val="00B657F0"/>
    <w:rsid w:val="00B665AB"/>
    <w:rsid w:val="00B6701F"/>
    <w:rsid w:val="00B67ECE"/>
    <w:rsid w:val="00B716CD"/>
    <w:rsid w:val="00B732DF"/>
    <w:rsid w:val="00B738A9"/>
    <w:rsid w:val="00B73F6F"/>
    <w:rsid w:val="00B750F4"/>
    <w:rsid w:val="00B752EC"/>
    <w:rsid w:val="00B7542B"/>
    <w:rsid w:val="00B81CB2"/>
    <w:rsid w:val="00B83B6A"/>
    <w:rsid w:val="00B8500D"/>
    <w:rsid w:val="00B86FD6"/>
    <w:rsid w:val="00B91663"/>
    <w:rsid w:val="00B91A1B"/>
    <w:rsid w:val="00B93A94"/>
    <w:rsid w:val="00B93B28"/>
    <w:rsid w:val="00B96F31"/>
    <w:rsid w:val="00B97955"/>
    <w:rsid w:val="00BA33B2"/>
    <w:rsid w:val="00BA485A"/>
    <w:rsid w:val="00BA5CD6"/>
    <w:rsid w:val="00BB140D"/>
    <w:rsid w:val="00BB1B95"/>
    <w:rsid w:val="00BB1EC0"/>
    <w:rsid w:val="00BB47E8"/>
    <w:rsid w:val="00BB4968"/>
    <w:rsid w:val="00BB5D73"/>
    <w:rsid w:val="00BB6371"/>
    <w:rsid w:val="00BB7FAE"/>
    <w:rsid w:val="00BC1739"/>
    <w:rsid w:val="00BC2151"/>
    <w:rsid w:val="00BC4B78"/>
    <w:rsid w:val="00BC60DB"/>
    <w:rsid w:val="00BD32BB"/>
    <w:rsid w:val="00BD705F"/>
    <w:rsid w:val="00BE0D30"/>
    <w:rsid w:val="00BE189C"/>
    <w:rsid w:val="00BE54DD"/>
    <w:rsid w:val="00BF0690"/>
    <w:rsid w:val="00BF1DCB"/>
    <w:rsid w:val="00BF5338"/>
    <w:rsid w:val="00BF5B09"/>
    <w:rsid w:val="00BF7022"/>
    <w:rsid w:val="00C01ED7"/>
    <w:rsid w:val="00C02C92"/>
    <w:rsid w:val="00C067F5"/>
    <w:rsid w:val="00C06E7B"/>
    <w:rsid w:val="00C07493"/>
    <w:rsid w:val="00C108C1"/>
    <w:rsid w:val="00C11824"/>
    <w:rsid w:val="00C147CD"/>
    <w:rsid w:val="00C170F1"/>
    <w:rsid w:val="00C17B33"/>
    <w:rsid w:val="00C22028"/>
    <w:rsid w:val="00C2237C"/>
    <w:rsid w:val="00C22E28"/>
    <w:rsid w:val="00C235F9"/>
    <w:rsid w:val="00C26A06"/>
    <w:rsid w:val="00C273D2"/>
    <w:rsid w:val="00C30FAA"/>
    <w:rsid w:val="00C3173C"/>
    <w:rsid w:val="00C31C0B"/>
    <w:rsid w:val="00C32E9F"/>
    <w:rsid w:val="00C34F42"/>
    <w:rsid w:val="00C37A36"/>
    <w:rsid w:val="00C37FF2"/>
    <w:rsid w:val="00C4216A"/>
    <w:rsid w:val="00C45810"/>
    <w:rsid w:val="00C46711"/>
    <w:rsid w:val="00C51BEC"/>
    <w:rsid w:val="00C51C27"/>
    <w:rsid w:val="00C54CDD"/>
    <w:rsid w:val="00C6758B"/>
    <w:rsid w:val="00C7409D"/>
    <w:rsid w:val="00C75FA2"/>
    <w:rsid w:val="00C76270"/>
    <w:rsid w:val="00C85FB5"/>
    <w:rsid w:val="00C8691C"/>
    <w:rsid w:val="00C86E56"/>
    <w:rsid w:val="00C9147D"/>
    <w:rsid w:val="00C96A15"/>
    <w:rsid w:val="00C974A1"/>
    <w:rsid w:val="00CA4CD6"/>
    <w:rsid w:val="00CA55D3"/>
    <w:rsid w:val="00CA6782"/>
    <w:rsid w:val="00CA7B3D"/>
    <w:rsid w:val="00CB5468"/>
    <w:rsid w:val="00CB5C22"/>
    <w:rsid w:val="00CC0B2A"/>
    <w:rsid w:val="00CC0F44"/>
    <w:rsid w:val="00CC1226"/>
    <w:rsid w:val="00CC20D1"/>
    <w:rsid w:val="00CC2BFB"/>
    <w:rsid w:val="00CC2E1C"/>
    <w:rsid w:val="00CC5D09"/>
    <w:rsid w:val="00CC74B0"/>
    <w:rsid w:val="00CC7EBB"/>
    <w:rsid w:val="00CD1BA0"/>
    <w:rsid w:val="00CE0965"/>
    <w:rsid w:val="00CF0880"/>
    <w:rsid w:val="00CF4149"/>
    <w:rsid w:val="00CF4A3F"/>
    <w:rsid w:val="00CF54EF"/>
    <w:rsid w:val="00CF5D3B"/>
    <w:rsid w:val="00D00AA8"/>
    <w:rsid w:val="00D01DE2"/>
    <w:rsid w:val="00D0273D"/>
    <w:rsid w:val="00D03AD6"/>
    <w:rsid w:val="00D04CC2"/>
    <w:rsid w:val="00D14FA3"/>
    <w:rsid w:val="00D1567A"/>
    <w:rsid w:val="00D201DF"/>
    <w:rsid w:val="00D21BCD"/>
    <w:rsid w:val="00D21CEB"/>
    <w:rsid w:val="00D30DA0"/>
    <w:rsid w:val="00D33B14"/>
    <w:rsid w:val="00D40160"/>
    <w:rsid w:val="00D4073E"/>
    <w:rsid w:val="00D418E6"/>
    <w:rsid w:val="00D42E7D"/>
    <w:rsid w:val="00D44251"/>
    <w:rsid w:val="00D4557B"/>
    <w:rsid w:val="00D4691A"/>
    <w:rsid w:val="00D5036F"/>
    <w:rsid w:val="00D50A6D"/>
    <w:rsid w:val="00D51E59"/>
    <w:rsid w:val="00D54432"/>
    <w:rsid w:val="00D55949"/>
    <w:rsid w:val="00D566AF"/>
    <w:rsid w:val="00D6158E"/>
    <w:rsid w:val="00D61BE5"/>
    <w:rsid w:val="00D62FDB"/>
    <w:rsid w:val="00D63699"/>
    <w:rsid w:val="00D66DB0"/>
    <w:rsid w:val="00D733E4"/>
    <w:rsid w:val="00D7717D"/>
    <w:rsid w:val="00D779D8"/>
    <w:rsid w:val="00D8210B"/>
    <w:rsid w:val="00D8211E"/>
    <w:rsid w:val="00D84FCC"/>
    <w:rsid w:val="00D91DFF"/>
    <w:rsid w:val="00D93628"/>
    <w:rsid w:val="00D93921"/>
    <w:rsid w:val="00D94EDD"/>
    <w:rsid w:val="00D959AF"/>
    <w:rsid w:val="00DA2151"/>
    <w:rsid w:val="00DA4A11"/>
    <w:rsid w:val="00DA67E3"/>
    <w:rsid w:val="00DA685F"/>
    <w:rsid w:val="00DB1978"/>
    <w:rsid w:val="00DB63CA"/>
    <w:rsid w:val="00DC3616"/>
    <w:rsid w:val="00DC7F86"/>
    <w:rsid w:val="00DD026D"/>
    <w:rsid w:val="00DD08F7"/>
    <w:rsid w:val="00DD3DBA"/>
    <w:rsid w:val="00DD4096"/>
    <w:rsid w:val="00DD4314"/>
    <w:rsid w:val="00DD57DD"/>
    <w:rsid w:val="00DD5D8D"/>
    <w:rsid w:val="00DE4260"/>
    <w:rsid w:val="00DE481B"/>
    <w:rsid w:val="00DE4905"/>
    <w:rsid w:val="00DE7C4D"/>
    <w:rsid w:val="00DF2C80"/>
    <w:rsid w:val="00DF3A4F"/>
    <w:rsid w:val="00DF3DE7"/>
    <w:rsid w:val="00DF3F0F"/>
    <w:rsid w:val="00E019DF"/>
    <w:rsid w:val="00E02570"/>
    <w:rsid w:val="00E034AF"/>
    <w:rsid w:val="00E069A6"/>
    <w:rsid w:val="00E06DAB"/>
    <w:rsid w:val="00E06E28"/>
    <w:rsid w:val="00E108EA"/>
    <w:rsid w:val="00E10EF1"/>
    <w:rsid w:val="00E133F1"/>
    <w:rsid w:val="00E1489A"/>
    <w:rsid w:val="00E17C6F"/>
    <w:rsid w:val="00E22BC8"/>
    <w:rsid w:val="00E24376"/>
    <w:rsid w:val="00E24C82"/>
    <w:rsid w:val="00E2697F"/>
    <w:rsid w:val="00E26D8A"/>
    <w:rsid w:val="00E4182C"/>
    <w:rsid w:val="00E428D4"/>
    <w:rsid w:val="00E47466"/>
    <w:rsid w:val="00E5443A"/>
    <w:rsid w:val="00E56C45"/>
    <w:rsid w:val="00E67C93"/>
    <w:rsid w:val="00E718A1"/>
    <w:rsid w:val="00E7193C"/>
    <w:rsid w:val="00E75025"/>
    <w:rsid w:val="00E76837"/>
    <w:rsid w:val="00E77D51"/>
    <w:rsid w:val="00E83650"/>
    <w:rsid w:val="00E84398"/>
    <w:rsid w:val="00E84420"/>
    <w:rsid w:val="00E87100"/>
    <w:rsid w:val="00E907C6"/>
    <w:rsid w:val="00E90952"/>
    <w:rsid w:val="00E96DBF"/>
    <w:rsid w:val="00EA5CD0"/>
    <w:rsid w:val="00EB028F"/>
    <w:rsid w:val="00EB046B"/>
    <w:rsid w:val="00EB3205"/>
    <w:rsid w:val="00EB6713"/>
    <w:rsid w:val="00EC48BA"/>
    <w:rsid w:val="00EC679F"/>
    <w:rsid w:val="00EC6820"/>
    <w:rsid w:val="00ED1E9F"/>
    <w:rsid w:val="00ED3EFE"/>
    <w:rsid w:val="00ED7689"/>
    <w:rsid w:val="00EE1B28"/>
    <w:rsid w:val="00EE257E"/>
    <w:rsid w:val="00EE4DE6"/>
    <w:rsid w:val="00EE77DE"/>
    <w:rsid w:val="00EF0C26"/>
    <w:rsid w:val="00EF21F8"/>
    <w:rsid w:val="00F071CF"/>
    <w:rsid w:val="00F13254"/>
    <w:rsid w:val="00F15F84"/>
    <w:rsid w:val="00F165F8"/>
    <w:rsid w:val="00F166B9"/>
    <w:rsid w:val="00F174CF"/>
    <w:rsid w:val="00F22985"/>
    <w:rsid w:val="00F231E8"/>
    <w:rsid w:val="00F25C64"/>
    <w:rsid w:val="00F267DB"/>
    <w:rsid w:val="00F26BA0"/>
    <w:rsid w:val="00F36BD7"/>
    <w:rsid w:val="00F4117C"/>
    <w:rsid w:val="00F431F0"/>
    <w:rsid w:val="00F434F3"/>
    <w:rsid w:val="00F53636"/>
    <w:rsid w:val="00F54248"/>
    <w:rsid w:val="00F562BE"/>
    <w:rsid w:val="00F57CC5"/>
    <w:rsid w:val="00F60DAB"/>
    <w:rsid w:val="00F63EA9"/>
    <w:rsid w:val="00F65B05"/>
    <w:rsid w:val="00F65CD6"/>
    <w:rsid w:val="00F67E81"/>
    <w:rsid w:val="00F7155B"/>
    <w:rsid w:val="00F7163C"/>
    <w:rsid w:val="00F728AB"/>
    <w:rsid w:val="00F748CF"/>
    <w:rsid w:val="00F74BED"/>
    <w:rsid w:val="00F74F81"/>
    <w:rsid w:val="00F75474"/>
    <w:rsid w:val="00F76B34"/>
    <w:rsid w:val="00F77DE9"/>
    <w:rsid w:val="00F815B4"/>
    <w:rsid w:val="00F81655"/>
    <w:rsid w:val="00F81BCB"/>
    <w:rsid w:val="00F875EF"/>
    <w:rsid w:val="00F92351"/>
    <w:rsid w:val="00F94767"/>
    <w:rsid w:val="00F972A1"/>
    <w:rsid w:val="00FA0076"/>
    <w:rsid w:val="00FA0519"/>
    <w:rsid w:val="00FA1258"/>
    <w:rsid w:val="00FA29AC"/>
    <w:rsid w:val="00FA5582"/>
    <w:rsid w:val="00FB014F"/>
    <w:rsid w:val="00FB21EF"/>
    <w:rsid w:val="00FB319B"/>
    <w:rsid w:val="00FC1D33"/>
    <w:rsid w:val="00FC31C1"/>
    <w:rsid w:val="00FC3F6A"/>
    <w:rsid w:val="00FC4C40"/>
    <w:rsid w:val="00FC6F54"/>
    <w:rsid w:val="00FD03D4"/>
    <w:rsid w:val="00FD5371"/>
    <w:rsid w:val="00FD76F4"/>
    <w:rsid w:val="00FE321E"/>
    <w:rsid w:val="00FE35DB"/>
    <w:rsid w:val="00FE46D0"/>
    <w:rsid w:val="00FE63B1"/>
    <w:rsid w:val="00FF305F"/>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8D64DF5B-2F31-4562-A048-1B0A4D72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5">
    <w:name w:val="heading 5"/>
    <w:basedOn w:val="Normal"/>
    <w:next w:val="Normal"/>
    <w:link w:val="Heading5Char"/>
    <w:uiPriority w:val="9"/>
    <w:semiHidden/>
    <w:unhideWhenUsed/>
    <w:qFormat/>
    <w:rsid w:val="000939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link w:val="SecondnumberingChar"/>
    <w:qFormat/>
    <w:rsid w:val="00D00AA8"/>
    <w:pPr>
      <w:numPr>
        <w:numId w:val="11"/>
      </w:numPr>
      <w:spacing w:after="0" w:line="240" w:lineRule="auto"/>
    </w:pPr>
    <w:rPr>
      <w:lang w:val="en-GB"/>
    </w:rPr>
  </w:style>
  <w:style w:type="character" w:customStyle="1" w:styleId="ListParagraphChar">
    <w:name w:val="List Paragraph Char"/>
    <w:basedOn w:val="DefaultParagraphFont"/>
    <w:link w:val="ListParagraph"/>
    <w:uiPriority w:val="34"/>
    <w:rsid w:val="00D00AA8"/>
  </w:style>
  <w:style w:type="character" w:customStyle="1" w:styleId="SecondnumberingChar">
    <w:name w:val="Second numbering Char"/>
    <w:basedOn w:val="DefaultParagraphFont"/>
    <w:link w:val="Secondnumbering"/>
    <w:rsid w:val="00D00AA8"/>
    <w:rPr>
      <w:lang w:val="en-GB"/>
    </w:rPr>
  </w:style>
  <w:style w:type="character" w:styleId="Mention">
    <w:name w:val="Mention"/>
    <w:basedOn w:val="DefaultParagraphFont"/>
    <w:uiPriority w:val="99"/>
    <w:unhideWhenUsed/>
    <w:rsid w:val="00D00AA8"/>
    <w:rPr>
      <w:color w:val="2B579A"/>
      <w:shd w:val="clear" w:color="auto" w:fill="E1DFDD"/>
    </w:rPr>
  </w:style>
  <w:style w:type="character" w:customStyle="1" w:styleId="Heading5Char">
    <w:name w:val="Heading 5 Char"/>
    <w:basedOn w:val="DefaultParagraphFont"/>
    <w:link w:val="Heading5"/>
    <w:uiPriority w:val="9"/>
    <w:semiHidden/>
    <w:rsid w:val="000939DB"/>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0939DB"/>
    <w:rPr>
      <w:color w:val="605E5C"/>
      <w:shd w:val="clear" w:color="auto" w:fill="E1DFDD"/>
    </w:rPr>
  </w:style>
  <w:style w:type="paragraph" w:styleId="Revision">
    <w:name w:val="Revision"/>
    <w:hidden/>
    <w:uiPriority w:val="99"/>
    <w:semiHidden/>
    <w:rsid w:val="00B419AA"/>
    <w:pPr>
      <w:spacing w:after="0" w:line="240" w:lineRule="auto"/>
    </w:pPr>
  </w:style>
  <w:style w:type="character" w:styleId="FollowedHyperlink">
    <w:name w:val="FollowedHyperlink"/>
    <w:basedOn w:val="DefaultParagraphFont"/>
    <w:uiPriority w:val="99"/>
    <w:semiHidden/>
    <w:unhideWhenUsed/>
    <w:rsid w:val="00D7717D"/>
    <w:rPr>
      <w:color w:val="954F72" w:themeColor="followedHyperlink"/>
      <w:u w:val="single"/>
    </w:rPr>
  </w:style>
  <w:style w:type="paragraph" w:styleId="NoSpacing">
    <w:name w:val="No Spacing"/>
    <w:uiPriority w:val="1"/>
    <w:qFormat/>
    <w:rsid w:val="004D5D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boundarycms.app/" TargetMode="External"/><Relationship Id="rId18" Type="http://schemas.openxmlformats.org/officeDocument/2006/relationships/hyperlink" Target="https://www.transboundarycms.ap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ms.int/en/document/transfrontier-conservation-areas-migratory-species-6" TargetMode="External"/><Relationship Id="rId7" Type="http://schemas.openxmlformats.org/officeDocument/2006/relationships/settings" Target="settings.xml"/><Relationship Id="rId12" Type="http://schemas.openxmlformats.org/officeDocument/2006/relationships/hyperlink" Target="https://www.transboundarycms.app/" TargetMode="External"/><Relationship Id="rId17" Type="http://schemas.openxmlformats.org/officeDocument/2006/relationships/hyperlink" Target="https://www.cms.int/en/document/trans-frontier-conservation-are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ms.int/en/document/trans-frontier-conservation-areas" TargetMode="External"/><Relationship Id="rId20" Type="http://schemas.openxmlformats.org/officeDocument/2006/relationships/hyperlink" Target="https://forms.office.com/e/wgwVTNU94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sadc.int/sites/default/files/2021-08/Wildlife_Conservation.pdf" TargetMode="Externa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frontiersin.org/journals/conservation-science/articles/10.3389/fcosc.2023.1237849/full?utm_source=Email_to_authors_&amp;utm_medium=Email&amp;utm_content=T1_11.5e1_author&amp;utm_campaign=Email_publication&amp;field=&amp;journalName=Frontiers_in_Conservation_Science&amp;id=1237849"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ecological-connectivity" TargetMode="External"/><Relationship Id="rId22" Type="http://schemas.openxmlformats.org/officeDocument/2006/relationships/hyperlink" Target="https://www.cms.int/en/document/meeting-report-21" TargetMode="External"/><Relationship Id="rId27" Type="http://schemas.openxmlformats.org/officeDocument/2006/relationships/header" Target="header3.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D34C256D-75CA-41E8-B2D9-2F8418F0E398}"/>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22</TotalTime>
  <Pages>6</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14096</CharactersWithSpaces>
  <SharedDoc>false</SharedDoc>
  <HLinks>
    <vt:vector size="24" baseType="variant">
      <vt:variant>
        <vt:i4>3211318</vt:i4>
      </vt:variant>
      <vt:variant>
        <vt:i4>9</vt:i4>
      </vt:variant>
      <vt:variant>
        <vt:i4>0</vt:i4>
      </vt:variant>
      <vt:variant>
        <vt:i4>5</vt:i4>
      </vt:variant>
      <vt:variant>
        <vt:lpwstr>https://osgurmcdermottlong.users.earthengine.app/view/transboundary</vt:lpwstr>
      </vt:variant>
      <vt:variant>
        <vt:lpwstr/>
      </vt:variant>
      <vt:variant>
        <vt:i4>131155</vt:i4>
      </vt:variant>
      <vt:variant>
        <vt:i4>6</vt:i4>
      </vt:variant>
      <vt:variant>
        <vt:i4>0</vt:i4>
      </vt:variant>
      <vt:variant>
        <vt:i4>5</vt:i4>
      </vt:variant>
      <vt:variant>
        <vt:lpwstr>https://www.cms.int/en/document/trans-frontier-conservation-areas</vt:lpwstr>
      </vt:variant>
      <vt:variant>
        <vt:lpwstr/>
      </vt:variant>
      <vt:variant>
        <vt:i4>1835055</vt:i4>
      </vt:variant>
      <vt:variant>
        <vt:i4>3</vt:i4>
      </vt:variant>
      <vt:variant>
        <vt:i4>0</vt:i4>
      </vt:variant>
      <vt:variant>
        <vt:i4>5</vt:i4>
      </vt:variant>
      <vt:variant>
        <vt:lpwstr>https://www.sadc.int/sites/default/files/2021-08/Wildlife_Conservation.pdf</vt:lpwstr>
      </vt:variant>
      <vt:variant>
        <vt:lpwstr/>
      </vt:variant>
      <vt:variant>
        <vt:i4>7733294</vt:i4>
      </vt:variant>
      <vt:variant>
        <vt:i4>0</vt:i4>
      </vt:variant>
      <vt:variant>
        <vt:i4>0</vt:i4>
      </vt:variant>
      <vt:variant>
        <vt:i4>5</vt:i4>
      </vt:variant>
      <vt:variant>
        <vt:lpwstr>https://www.cms.int/en/document/ecological-connectivity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19</cp:revision>
  <dcterms:created xsi:type="dcterms:W3CDTF">2025-09-24T06:59:00Z</dcterms:created>
  <dcterms:modified xsi:type="dcterms:W3CDTF">2025-10-02T09:44:00Z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